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79"/>
        <w:spacing w:after="0"/>
        <w:rPr>
          <w:sz w:val="20"/>
          <w:szCs w:val="20"/>
          <w:color w:val="auto"/>
        </w:rPr>
      </w:pPr>
      <w:r>
        <w:rPr>
          <w:rFonts w:ascii="Arial" w:cs="Arial" w:eastAsia="Arial" w:hAnsi="Arial"/>
          <w:sz w:val="22"/>
          <w:szCs w:val="22"/>
          <w:b w:val="1"/>
          <w:bCs w:val="1"/>
          <w:color w:val="auto"/>
        </w:rPr>
        <w:t>UNITED STATES</w:t>
      </w:r>
    </w:p>
    <w:p>
      <w:pPr>
        <w:spacing w:after="0" w:line="4" w:lineRule="exact"/>
        <w:rPr>
          <w:sz w:val="24"/>
          <w:szCs w:val="24"/>
          <w:color w:val="auto"/>
        </w:rPr>
      </w:pPr>
    </w:p>
    <w:p>
      <w:pPr>
        <w:jc w:val="center"/>
        <w:ind w:right="-79"/>
        <w:spacing w:after="0"/>
        <w:rPr>
          <w:sz w:val="20"/>
          <w:szCs w:val="20"/>
          <w:color w:val="auto"/>
        </w:rPr>
      </w:pPr>
      <w:r>
        <w:rPr>
          <w:rFonts w:ascii="Arial" w:cs="Arial" w:eastAsia="Arial" w:hAnsi="Arial"/>
          <w:sz w:val="22"/>
          <w:szCs w:val="22"/>
          <w:b w:val="1"/>
          <w:bCs w:val="1"/>
          <w:color w:val="auto"/>
        </w:rPr>
        <w:t>SECURITIES AND EXCHANGE COMMISSION</w:t>
      </w:r>
    </w:p>
    <w:p>
      <w:pPr>
        <w:jc w:val="center"/>
        <w:ind w:right="-79"/>
        <w:spacing w:after="0"/>
        <w:rPr>
          <w:sz w:val="20"/>
          <w:szCs w:val="20"/>
          <w:color w:val="auto"/>
        </w:rPr>
      </w:pPr>
      <w:r>
        <w:rPr>
          <w:rFonts w:ascii="Arial" w:cs="Arial" w:eastAsia="Arial" w:hAnsi="Arial"/>
          <w:sz w:val="22"/>
          <w:szCs w:val="22"/>
          <w:b w:val="1"/>
          <w:bCs w:val="1"/>
          <w:color w:val="auto"/>
        </w:rPr>
        <w:t>Washington, D.C. 20549</w:t>
      </w:r>
    </w:p>
    <w:p>
      <w:pPr>
        <w:spacing w:after="0" w:line="254" w:lineRule="exact"/>
        <w:rPr>
          <w:sz w:val="24"/>
          <w:szCs w:val="24"/>
          <w:color w:val="auto"/>
        </w:rPr>
      </w:pPr>
    </w:p>
    <w:p>
      <w:pPr>
        <w:jc w:val="center"/>
        <w:ind w:right="-79"/>
        <w:spacing w:after="0"/>
        <w:rPr>
          <w:sz w:val="20"/>
          <w:szCs w:val="20"/>
          <w:color w:val="auto"/>
        </w:rPr>
      </w:pPr>
      <w:r>
        <w:rPr>
          <w:rFonts w:ascii="Arial" w:cs="Arial" w:eastAsia="Arial" w:hAnsi="Arial"/>
          <w:sz w:val="25"/>
          <w:szCs w:val="25"/>
          <w:b w:val="1"/>
          <w:bCs w:val="1"/>
          <w:color w:val="auto"/>
        </w:rPr>
        <w:t>SCHEDULE 13G</w:t>
      </w:r>
    </w:p>
    <w:p>
      <w:pPr>
        <w:spacing w:after="0" w:line="303" w:lineRule="exact"/>
        <w:rPr>
          <w:sz w:val="24"/>
          <w:szCs w:val="24"/>
          <w:color w:val="auto"/>
        </w:rPr>
      </w:pPr>
    </w:p>
    <w:p>
      <w:pPr>
        <w:jc w:val="center"/>
        <w:ind w:right="-79"/>
        <w:spacing w:after="0"/>
        <w:rPr>
          <w:sz w:val="20"/>
          <w:szCs w:val="20"/>
          <w:color w:val="auto"/>
        </w:rPr>
      </w:pPr>
      <w:r>
        <w:rPr>
          <w:rFonts w:ascii="Arial" w:cs="Arial" w:eastAsia="Arial" w:hAnsi="Arial"/>
          <w:sz w:val="22"/>
          <w:szCs w:val="22"/>
          <w:b w:val="1"/>
          <w:bCs w:val="1"/>
          <w:color w:val="auto"/>
        </w:rPr>
        <w:t>Under the Securities Exchange Act of 1934</w:t>
      </w:r>
    </w:p>
    <w:p>
      <w:pPr>
        <w:spacing w:after="0" w:line="283" w:lineRule="exact"/>
        <w:rPr>
          <w:sz w:val="24"/>
          <w:szCs w:val="24"/>
          <w:color w:val="auto"/>
        </w:rPr>
      </w:pPr>
    </w:p>
    <w:p>
      <w:pPr>
        <w:jc w:val="center"/>
        <w:ind w:right="-79"/>
        <w:spacing w:after="0"/>
        <w:rPr>
          <w:sz w:val="20"/>
          <w:szCs w:val="20"/>
          <w:color w:val="auto"/>
        </w:rPr>
      </w:pPr>
      <w:r>
        <w:rPr>
          <w:rFonts w:ascii="Arial" w:cs="Arial" w:eastAsia="Arial" w:hAnsi="Arial"/>
          <w:sz w:val="22"/>
          <w:szCs w:val="22"/>
          <w:b w:val="1"/>
          <w:bCs w:val="1"/>
          <w:color w:val="auto"/>
        </w:rPr>
        <w:t>(Amendment No. 2)</w:t>
      </w:r>
      <w:r>
        <w:rPr>
          <w:rFonts w:ascii="Arial" w:cs="Arial" w:eastAsia="Arial" w:hAnsi="Arial"/>
          <w:sz w:val="36"/>
          <w:szCs w:val="36"/>
          <w:b w:val="1"/>
          <w:bCs w:val="1"/>
          <w:color w:val="auto"/>
          <w:vertAlign w:val="superscript"/>
        </w:rPr>
        <w:t>*</w:t>
      </w:r>
    </w:p>
    <w:p>
      <w:pPr>
        <w:spacing w:after="0" w:line="200" w:lineRule="exact"/>
        <w:rPr>
          <w:sz w:val="24"/>
          <w:szCs w:val="24"/>
          <w:color w:val="auto"/>
        </w:rPr>
      </w:pPr>
    </w:p>
    <w:p>
      <w:pPr>
        <w:spacing w:after="0" w:line="382" w:lineRule="exact"/>
        <w:rPr>
          <w:sz w:val="24"/>
          <w:szCs w:val="24"/>
          <w:color w:val="auto"/>
        </w:rPr>
      </w:pPr>
    </w:p>
    <w:p>
      <w:pPr>
        <w:jc w:val="center"/>
        <w:ind w:right="-79"/>
        <w:spacing w:after="0"/>
        <w:rPr>
          <w:sz w:val="20"/>
          <w:szCs w:val="20"/>
          <w:color w:val="auto"/>
        </w:rPr>
      </w:pPr>
      <w:r>
        <w:rPr>
          <w:rFonts w:ascii="Arial" w:cs="Arial" w:eastAsia="Arial" w:hAnsi="Arial"/>
          <w:sz w:val="22"/>
          <w:szCs w:val="22"/>
          <w:color w:val="auto"/>
        </w:rPr>
        <w:t>Regeneron Pharmaceuticals,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723265</wp:posOffset>
            </wp:positionH>
            <wp:positionV relativeFrom="paragraph">
              <wp:posOffset>142240</wp:posOffset>
            </wp:positionV>
            <wp:extent cx="5818505" cy="215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818505" cy="21590"/>
                    </a:xfrm>
                    <a:prstGeom prst="rect">
                      <a:avLst/>
                    </a:prstGeom>
                    <a:noFill/>
                  </pic:spPr>
                </pic:pic>
              </a:graphicData>
            </a:graphic>
          </wp:anchor>
        </w:drawing>
      </w:r>
    </w:p>
    <w:p>
      <w:pPr>
        <w:spacing w:after="0" w:line="321" w:lineRule="exact"/>
        <w:rPr>
          <w:sz w:val="24"/>
          <w:szCs w:val="24"/>
          <w:color w:val="auto"/>
        </w:rPr>
      </w:pPr>
    </w:p>
    <w:p>
      <w:pPr>
        <w:ind w:left="4980"/>
        <w:spacing w:after="0"/>
        <w:rPr>
          <w:sz w:val="20"/>
          <w:szCs w:val="20"/>
          <w:color w:val="auto"/>
        </w:rPr>
      </w:pPr>
      <w:r>
        <w:rPr>
          <w:rFonts w:ascii="Arial" w:cs="Arial" w:eastAsia="Arial" w:hAnsi="Arial"/>
          <w:sz w:val="22"/>
          <w:szCs w:val="22"/>
          <w:color w:val="auto"/>
        </w:rPr>
        <w:t>(Name of Issuer)</w:t>
      </w:r>
    </w:p>
    <w:p>
      <w:pPr>
        <w:spacing w:after="0" w:line="206" w:lineRule="exact"/>
        <w:rPr>
          <w:sz w:val="24"/>
          <w:szCs w:val="24"/>
          <w:color w:val="auto"/>
        </w:rPr>
      </w:pPr>
    </w:p>
    <w:p>
      <w:pPr>
        <w:ind w:left="5040"/>
        <w:spacing w:after="0"/>
        <w:rPr>
          <w:sz w:val="20"/>
          <w:szCs w:val="20"/>
          <w:color w:val="auto"/>
        </w:rPr>
      </w:pPr>
      <w:r>
        <w:rPr>
          <w:rFonts w:ascii="Arial" w:cs="Arial" w:eastAsia="Arial" w:hAnsi="Arial"/>
          <w:sz w:val="22"/>
          <w:szCs w:val="22"/>
          <w:color w:val="auto"/>
        </w:rPr>
        <w:t>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723265</wp:posOffset>
            </wp:positionH>
            <wp:positionV relativeFrom="paragraph">
              <wp:posOffset>142240</wp:posOffset>
            </wp:positionV>
            <wp:extent cx="5818505" cy="215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18505" cy="21590"/>
                    </a:xfrm>
                    <a:prstGeom prst="rect">
                      <a:avLst/>
                    </a:prstGeom>
                    <a:noFill/>
                  </pic:spPr>
                </pic:pic>
              </a:graphicData>
            </a:graphic>
          </wp:anchor>
        </w:drawing>
      </w:r>
    </w:p>
    <w:p>
      <w:pPr>
        <w:spacing w:after="0" w:line="321" w:lineRule="exact"/>
        <w:rPr>
          <w:sz w:val="24"/>
          <w:szCs w:val="24"/>
          <w:color w:val="auto"/>
        </w:rPr>
      </w:pPr>
    </w:p>
    <w:p>
      <w:pPr>
        <w:jc w:val="center"/>
        <w:ind w:right="-79"/>
        <w:spacing w:after="0"/>
        <w:rPr>
          <w:sz w:val="20"/>
          <w:szCs w:val="20"/>
          <w:color w:val="auto"/>
        </w:rPr>
      </w:pPr>
      <w:r>
        <w:rPr>
          <w:rFonts w:ascii="Arial" w:cs="Arial" w:eastAsia="Arial" w:hAnsi="Arial"/>
          <w:sz w:val="22"/>
          <w:szCs w:val="22"/>
          <w:color w:val="auto"/>
        </w:rPr>
        <w:t>(Title of Class of Securities)</w:t>
      </w:r>
    </w:p>
    <w:p>
      <w:pPr>
        <w:spacing w:after="0" w:line="206" w:lineRule="exact"/>
        <w:rPr>
          <w:sz w:val="24"/>
          <w:szCs w:val="24"/>
          <w:color w:val="auto"/>
        </w:rPr>
      </w:pPr>
    </w:p>
    <w:p>
      <w:pPr>
        <w:jc w:val="center"/>
        <w:ind w:right="-79"/>
        <w:spacing w:after="0"/>
        <w:rPr>
          <w:sz w:val="20"/>
          <w:szCs w:val="20"/>
          <w:color w:val="auto"/>
        </w:rPr>
      </w:pPr>
      <w:r>
        <w:rPr>
          <w:rFonts w:ascii="Arial" w:cs="Arial" w:eastAsia="Arial" w:hAnsi="Arial"/>
          <w:sz w:val="22"/>
          <w:szCs w:val="22"/>
          <w:color w:val="auto"/>
        </w:rPr>
        <w:t>75886F107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723265</wp:posOffset>
            </wp:positionH>
            <wp:positionV relativeFrom="paragraph">
              <wp:posOffset>142240</wp:posOffset>
            </wp:positionV>
            <wp:extent cx="5818505" cy="215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18505" cy="21590"/>
                    </a:xfrm>
                    <a:prstGeom prst="rect">
                      <a:avLst/>
                    </a:prstGeom>
                    <a:noFill/>
                  </pic:spPr>
                </pic:pic>
              </a:graphicData>
            </a:graphic>
          </wp:anchor>
        </w:drawing>
      </w:r>
    </w:p>
    <w:p>
      <w:pPr>
        <w:spacing w:after="0" w:line="321" w:lineRule="exact"/>
        <w:rPr>
          <w:sz w:val="24"/>
          <w:szCs w:val="24"/>
          <w:color w:val="auto"/>
        </w:rPr>
      </w:pPr>
    </w:p>
    <w:p>
      <w:pPr>
        <w:ind w:left="4960"/>
        <w:spacing w:after="0"/>
        <w:rPr>
          <w:sz w:val="20"/>
          <w:szCs w:val="20"/>
          <w:color w:val="auto"/>
        </w:rPr>
      </w:pPr>
      <w:r>
        <w:rPr>
          <w:rFonts w:ascii="Arial" w:cs="Arial" w:eastAsia="Arial" w:hAnsi="Arial"/>
          <w:sz w:val="22"/>
          <w:szCs w:val="22"/>
          <w:color w:val="auto"/>
        </w:rPr>
        <w:t>(CUSIP Number)</w:t>
      </w:r>
    </w:p>
    <w:p>
      <w:pPr>
        <w:spacing w:after="0" w:line="206" w:lineRule="exact"/>
        <w:rPr>
          <w:sz w:val="24"/>
          <w:szCs w:val="24"/>
          <w:color w:val="auto"/>
        </w:rPr>
      </w:pPr>
    </w:p>
    <w:p>
      <w:pPr>
        <w:ind w:left="4840"/>
        <w:spacing w:after="0"/>
        <w:rPr>
          <w:sz w:val="20"/>
          <w:szCs w:val="20"/>
          <w:color w:val="auto"/>
        </w:rPr>
      </w:pPr>
      <w:r>
        <w:rPr>
          <w:rFonts w:ascii="Arial" w:cs="Arial" w:eastAsia="Arial" w:hAnsi="Arial"/>
          <w:sz w:val="22"/>
          <w:szCs w:val="22"/>
          <w:color w:val="auto"/>
        </w:rPr>
        <w:t>December 31, 2006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723265</wp:posOffset>
            </wp:positionH>
            <wp:positionV relativeFrom="paragraph">
              <wp:posOffset>142240</wp:posOffset>
            </wp:positionV>
            <wp:extent cx="5818505" cy="215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18505" cy="21590"/>
                    </a:xfrm>
                    <a:prstGeom prst="rect">
                      <a:avLst/>
                    </a:prstGeom>
                    <a:noFill/>
                  </pic:spPr>
                </pic:pic>
              </a:graphicData>
            </a:graphic>
          </wp:anchor>
        </w:drawing>
      </w:r>
    </w:p>
    <w:p>
      <w:pPr>
        <w:spacing w:after="0" w:line="321" w:lineRule="exact"/>
        <w:rPr>
          <w:sz w:val="24"/>
          <w:szCs w:val="24"/>
          <w:color w:val="auto"/>
        </w:rPr>
      </w:pPr>
    </w:p>
    <w:p>
      <w:pPr>
        <w:ind w:left="3280"/>
        <w:spacing w:after="0"/>
        <w:rPr>
          <w:sz w:val="20"/>
          <w:szCs w:val="20"/>
          <w:color w:val="auto"/>
        </w:rPr>
      </w:pPr>
      <w:r>
        <w:rPr>
          <w:rFonts w:ascii="Arial" w:cs="Arial" w:eastAsia="Arial" w:hAnsi="Arial"/>
          <w:sz w:val="22"/>
          <w:szCs w:val="22"/>
          <w:color w:val="auto"/>
        </w:rPr>
        <w:t>(Date of Event Which Requires Filing of this Statement)</w:t>
      </w:r>
    </w:p>
    <w:p>
      <w:pPr>
        <w:spacing w:after="0" w:line="206" w:lineRule="exact"/>
        <w:rPr>
          <w:sz w:val="24"/>
          <w:szCs w:val="24"/>
          <w:color w:val="auto"/>
        </w:rPr>
      </w:pPr>
    </w:p>
    <w:p>
      <w:pPr>
        <w:spacing w:after="0"/>
        <w:rPr>
          <w:sz w:val="20"/>
          <w:szCs w:val="20"/>
          <w:color w:val="auto"/>
        </w:rPr>
      </w:pPr>
      <w:r>
        <w:rPr>
          <w:rFonts w:ascii="Arial" w:cs="Arial" w:eastAsia="Arial" w:hAnsi="Arial"/>
          <w:sz w:val="22"/>
          <w:szCs w:val="22"/>
          <w:color w:val="auto"/>
        </w:rPr>
        <w:t>Check the appropriate box to designate the rule pursuant to which this Schedule is filed:</w:t>
      </w:r>
    </w:p>
    <w:p>
      <w:pPr>
        <w:spacing w:after="0" w:line="287" w:lineRule="exact"/>
        <w:rPr>
          <w:sz w:val="24"/>
          <w:szCs w:val="24"/>
          <w:color w:val="auto"/>
        </w:rPr>
      </w:pPr>
    </w:p>
    <w:p>
      <w:pPr>
        <w:jc w:val="both"/>
        <w:ind w:left="60" w:right="9660" w:firstLine="2"/>
        <w:spacing w:after="0" w:line="385" w:lineRule="auto"/>
        <w:tabs>
          <w:tab w:leader="none" w:pos="479" w:val="left"/>
        </w:tabs>
        <w:numPr>
          <w:ilvl w:val="1"/>
          <w:numId w:val="1"/>
        </w:numPr>
        <w:rPr>
          <w:rFonts w:ascii="Arial" w:cs="Arial" w:eastAsia="Arial" w:hAnsi="Arial"/>
          <w:sz w:val="19"/>
          <w:szCs w:val="19"/>
          <w:color w:val="auto"/>
        </w:rPr>
      </w:pPr>
      <w:r>
        <w:rPr>
          <w:rFonts w:ascii="Arial" w:cs="Arial" w:eastAsia="Arial" w:hAnsi="Arial"/>
          <w:sz w:val="19"/>
          <w:szCs w:val="19"/>
          <w:color w:val="auto"/>
        </w:rPr>
        <w:t>Rule 13d-1(b) [ ] Rule 13d-1(c)</w:t>
      </w:r>
    </w:p>
    <w:p>
      <w:pPr>
        <w:spacing w:after="0" w:line="1" w:lineRule="exact"/>
        <w:rPr>
          <w:rFonts w:ascii="Arial" w:cs="Arial" w:eastAsia="Arial" w:hAnsi="Arial"/>
          <w:sz w:val="19"/>
          <w:szCs w:val="19"/>
          <w:color w:val="auto"/>
        </w:rPr>
      </w:pPr>
    </w:p>
    <w:p>
      <w:pPr>
        <w:ind w:left="60"/>
        <w:spacing w:after="0"/>
        <w:rPr>
          <w:rFonts w:ascii="Arial" w:cs="Arial" w:eastAsia="Arial" w:hAnsi="Arial"/>
          <w:sz w:val="19"/>
          <w:szCs w:val="19"/>
          <w:color w:val="auto"/>
        </w:rPr>
      </w:pPr>
      <w:r>
        <w:rPr>
          <w:rFonts w:ascii="Arial" w:cs="Arial" w:eastAsia="Arial" w:hAnsi="Arial"/>
          <w:sz w:val="22"/>
          <w:szCs w:val="22"/>
          <w:color w:val="auto"/>
        </w:rPr>
        <w:t>[ ]  Rule 13d-1(d)</w:t>
      </w:r>
    </w:p>
    <w:p>
      <w:pPr>
        <w:spacing w:after="0" w:line="267" w:lineRule="exact"/>
        <w:rPr>
          <w:rFonts w:ascii="Arial" w:cs="Arial" w:eastAsia="Arial" w:hAnsi="Arial"/>
          <w:sz w:val="19"/>
          <w:szCs w:val="19"/>
          <w:color w:val="auto"/>
        </w:rPr>
      </w:pPr>
    </w:p>
    <w:p>
      <w:pPr>
        <w:spacing w:after="0" w:line="210" w:lineRule="auto"/>
        <w:rPr>
          <w:rFonts w:ascii="Arial" w:cs="Arial" w:eastAsia="Arial" w:hAnsi="Arial"/>
          <w:sz w:val="19"/>
          <w:szCs w:val="19"/>
          <w:color w:val="auto"/>
        </w:rPr>
      </w:pPr>
      <w:r>
        <w:rPr>
          <w:rFonts w:ascii="Arial" w:cs="Arial" w:eastAsia="Arial" w:hAnsi="Arial"/>
          <w:sz w:val="36"/>
          <w:szCs w:val="36"/>
          <w:color w:val="auto"/>
          <w:vertAlign w:val="superscript"/>
        </w:rPr>
        <w:t>*</w:t>
      </w:r>
      <w:r>
        <w:rPr>
          <w:rFonts w:ascii="Arial" w:cs="Arial" w:eastAsia="Arial" w:hAnsi="Arial"/>
          <w:sz w:val="22"/>
          <w:szCs w:val="22"/>
          <w:color w:val="auto"/>
        </w:rPr>
        <w:t xml:space="preserve"> 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87" w:lineRule="exact"/>
        <w:rPr>
          <w:sz w:val="24"/>
          <w:szCs w:val="24"/>
          <w:color w:val="auto"/>
        </w:rPr>
      </w:pPr>
    </w:p>
    <w:p>
      <w:pPr>
        <w:jc w:val="both"/>
        <w:ind w:right="100"/>
        <w:spacing w:after="0"/>
        <w:rPr>
          <w:sz w:val="20"/>
          <w:szCs w:val="20"/>
          <w:color w:val="auto"/>
        </w:rPr>
      </w:pPr>
      <w:r>
        <w:rPr>
          <w:rFonts w:ascii="Arial" w:cs="Arial" w:eastAsia="Arial" w:hAnsi="Arial"/>
          <w:sz w:val="22"/>
          <w:szCs w:val="22"/>
          <w:color w:val="auto"/>
        </w:rPr>
        <w:t>The information required in the remainder of this cover page shall not be deemed to be "filed" for the purpose of Section 18 of the Securities Exchange Act of 1934 (the "Act") or otherwise subject to the liabilities of that section of the Act, but shall be subject to all other provisions of the Act (however, see the Notes.)</w:t>
      </w:r>
    </w:p>
    <w:p>
      <w:pPr>
        <w:sectPr>
          <w:pgSz w:w="11900" w:h="16838" w:orient="portrait"/>
          <w:cols w:equalWidth="0" w:num="1">
            <w:col w:w="11360"/>
          </w:cols>
          <w:pgMar w:left="240" w:top="220" w:right="299" w:bottom="1440" w:gutter="0" w:footer="0" w:header="0"/>
        </w:sectPr>
      </w:pPr>
    </w:p>
    <w:bookmarkStart w:id="1" w:name="page2"/>
    <w:bookmarkEnd w:id="1"/>
    <w:p>
      <w:pPr>
        <w:spacing w:after="0"/>
        <w:rPr>
          <w:sz w:val="20"/>
          <w:szCs w:val="20"/>
          <w:color w:val="auto"/>
        </w:rPr>
      </w:pPr>
      <w:r>
        <w:rPr>
          <w:rFonts w:ascii="Arial" w:cs="Arial" w:eastAsia="Arial" w:hAnsi="Arial"/>
          <w:sz w:val="22"/>
          <w:szCs w:val="22"/>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726376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63765" cy="8890"/>
                    </a:xfrm>
                    <a:prstGeom prst="rect">
                      <a:avLst/>
                    </a:prstGeom>
                    <a:noFill/>
                  </pic:spPr>
                </pic:pic>
              </a:graphicData>
            </a:graphic>
          </wp:anchor>
        </w:drawing>
        <w:t>CUSIP No. 75886F107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170180</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38" w:lineRule="exact"/>
        <w:rPr>
          <w:sz w:val="20"/>
          <w:szCs w:val="20"/>
          <w:color w:val="auto"/>
        </w:rPr>
      </w:pPr>
    </w:p>
    <w:tbl>
      <w:tblPr>
        <w:tblLayout w:type="fixed"/>
        <w:tblInd w:w="80" w:type="dxa"/>
        <w:tblCellMar>
          <w:top w:w="0" w:type="dxa"/>
          <w:left w:w="0" w:type="dxa"/>
          <w:bottom w:w="0" w:type="dxa"/>
          <w:right w:w="0" w:type="dxa"/>
        </w:tblCellMar>
      </w:tblPr>
      <w:tr>
        <w:trPr>
          <w:trHeight w:val="253"/>
        </w:trPr>
        <w:tc>
          <w:tcPr>
            <w:tcW w:w="920" w:type="dxa"/>
            <w:vAlign w:val="bottom"/>
          </w:tcPr>
          <w:p>
            <w:pPr>
              <w:jc w:val="right"/>
              <w:ind w:right="652"/>
              <w:spacing w:after="0"/>
              <w:rPr>
                <w:sz w:val="20"/>
                <w:szCs w:val="20"/>
                <w:color w:val="auto"/>
              </w:rPr>
            </w:pPr>
            <w:r>
              <w:rPr>
                <w:rFonts w:ascii="Arial" w:cs="Arial" w:eastAsia="Arial" w:hAnsi="Arial"/>
                <w:sz w:val="22"/>
                <w:szCs w:val="22"/>
                <w:color w:val="auto"/>
                <w:w w:val="76"/>
              </w:rPr>
              <w:t>1.</w:t>
            </w:r>
          </w:p>
        </w:tc>
        <w:tc>
          <w:tcPr>
            <w:tcW w:w="7360" w:type="dxa"/>
            <w:vAlign w:val="bottom"/>
          </w:tcPr>
          <w:p>
            <w:pPr>
              <w:ind w:left="780"/>
              <w:spacing w:after="0"/>
              <w:rPr>
                <w:sz w:val="20"/>
                <w:szCs w:val="20"/>
                <w:color w:val="auto"/>
              </w:rPr>
            </w:pPr>
            <w:r>
              <w:rPr>
                <w:rFonts w:ascii="Arial" w:cs="Arial" w:eastAsia="Arial" w:hAnsi="Arial"/>
                <w:sz w:val="22"/>
                <w:szCs w:val="22"/>
                <w:color w:val="auto"/>
              </w:rPr>
              <w:t>NAMES OF REPORTING PERSONS</w:t>
            </w:r>
          </w:p>
        </w:tc>
      </w:tr>
      <w:tr>
        <w:trPr>
          <w:trHeight w:val="275"/>
        </w:trPr>
        <w:tc>
          <w:tcPr>
            <w:tcW w:w="920" w:type="dxa"/>
            <w:vAlign w:val="bottom"/>
          </w:tcPr>
          <w:p>
            <w:pPr>
              <w:spacing w:after="0"/>
              <w:rPr>
                <w:sz w:val="23"/>
                <w:szCs w:val="23"/>
                <w:color w:val="auto"/>
              </w:rPr>
            </w:pPr>
          </w:p>
        </w:tc>
        <w:tc>
          <w:tcPr>
            <w:tcW w:w="7360" w:type="dxa"/>
            <w:vAlign w:val="bottom"/>
          </w:tcPr>
          <w:p>
            <w:pPr>
              <w:ind w:left="780"/>
              <w:spacing w:after="0"/>
              <w:rPr>
                <w:sz w:val="20"/>
                <w:szCs w:val="20"/>
                <w:color w:val="auto"/>
              </w:rPr>
            </w:pPr>
            <w:r>
              <w:rPr>
                <w:rFonts w:ascii="Arial" w:cs="Arial" w:eastAsia="Arial" w:hAnsi="Arial"/>
                <w:sz w:val="22"/>
                <w:szCs w:val="22"/>
                <w:color w:val="auto"/>
                <w:w w:val="93"/>
              </w:rPr>
              <w:t>I.R.S. IDENTIFICATION NO. OF ABOVE PERSONS (ENTITIES ONLY)</w:t>
            </w:r>
          </w:p>
        </w:tc>
      </w:tr>
      <w:tr>
        <w:trPr>
          <w:trHeight w:val="455"/>
        </w:trPr>
        <w:tc>
          <w:tcPr>
            <w:tcW w:w="920" w:type="dxa"/>
            <w:vAlign w:val="bottom"/>
          </w:tcPr>
          <w:p>
            <w:pPr>
              <w:spacing w:after="0"/>
              <w:rPr>
                <w:sz w:val="24"/>
                <w:szCs w:val="24"/>
                <w:color w:val="auto"/>
              </w:rPr>
            </w:pPr>
          </w:p>
        </w:tc>
        <w:tc>
          <w:tcPr>
            <w:tcW w:w="7360" w:type="dxa"/>
            <w:vAlign w:val="bottom"/>
          </w:tcPr>
          <w:p>
            <w:pPr>
              <w:ind w:left="780"/>
              <w:spacing w:after="0"/>
              <w:rPr>
                <w:sz w:val="20"/>
                <w:szCs w:val="20"/>
                <w:color w:val="auto"/>
              </w:rPr>
            </w:pPr>
            <w:r>
              <w:rPr>
                <w:rFonts w:ascii="Arial" w:cs="Arial" w:eastAsia="Arial" w:hAnsi="Arial"/>
                <w:sz w:val="22"/>
                <w:szCs w:val="22"/>
                <w:color w:val="auto"/>
              </w:rPr>
              <w:t>Wellington Management Company, LLP</w:t>
            </w:r>
          </w:p>
        </w:tc>
      </w:tr>
      <w:tr>
        <w:trPr>
          <w:trHeight w:val="275"/>
        </w:trPr>
        <w:tc>
          <w:tcPr>
            <w:tcW w:w="920" w:type="dxa"/>
            <w:vAlign w:val="bottom"/>
          </w:tcPr>
          <w:p>
            <w:pPr>
              <w:spacing w:after="0"/>
              <w:rPr>
                <w:sz w:val="23"/>
                <w:szCs w:val="23"/>
                <w:color w:val="auto"/>
              </w:rPr>
            </w:pPr>
          </w:p>
        </w:tc>
        <w:tc>
          <w:tcPr>
            <w:tcW w:w="7360" w:type="dxa"/>
            <w:vAlign w:val="bottom"/>
          </w:tcPr>
          <w:p>
            <w:pPr>
              <w:ind w:left="780"/>
              <w:spacing w:after="0"/>
              <w:rPr>
                <w:sz w:val="20"/>
                <w:szCs w:val="20"/>
                <w:color w:val="auto"/>
              </w:rPr>
            </w:pPr>
            <w:r>
              <w:rPr>
                <w:rFonts w:ascii="Arial" w:cs="Arial" w:eastAsia="Arial" w:hAnsi="Arial"/>
                <w:sz w:val="22"/>
                <w:szCs w:val="22"/>
                <w:color w:val="auto"/>
              </w:rPr>
              <w:t>04-2683227</w:t>
            </w:r>
          </w:p>
        </w:tc>
      </w:tr>
      <w:tr>
        <w:trPr>
          <w:trHeight w:val="459"/>
        </w:trPr>
        <w:tc>
          <w:tcPr>
            <w:tcW w:w="920" w:type="dxa"/>
            <w:vAlign w:val="bottom"/>
          </w:tcPr>
          <w:p>
            <w:pPr>
              <w:jc w:val="right"/>
              <w:ind w:right="652"/>
              <w:spacing w:after="0"/>
              <w:rPr>
                <w:sz w:val="20"/>
                <w:szCs w:val="20"/>
                <w:color w:val="auto"/>
              </w:rPr>
            </w:pPr>
            <w:r>
              <w:rPr>
                <w:rFonts w:ascii="Arial" w:cs="Arial" w:eastAsia="Arial" w:hAnsi="Arial"/>
                <w:sz w:val="22"/>
                <w:szCs w:val="22"/>
                <w:color w:val="auto"/>
                <w:w w:val="76"/>
              </w:rPr>
              <w:t>2.</w:t>
            </w:r>
          </w:p>
        </w:tc>
        <w:tc>
          <w:tcPr>
            <w:tcW w:w="7360" w:type="dxa"/>
            <w:vAlign w:val="bottom"/>
          </w:tcPr>
          <w:p>
            <w:pPr>
              <w:ind w:left="780"/>
              <w:spacing w:after="0"/>
              <w:rPr>
                <w:sz w:val="20"/>
                <w:szCs w:val="20"/>
                <w:color w:val="auto"/>
              </w:rPr>
            </w:pPr>
            <w:r>
              <w:rPr>
                <w:rFonts w:ascii="Arial" w:cs="Arial" w:eastAsia="Arial" w:hAnsi="Arial"/>
                <w:sz w:val="22"/>
                <w:szCs w:val="22"/>
                <w:color w:val="auto"/>
              </w:rPr>
              <w:t>CHECK THE APPROPRIATE BOX IF A MEMBER OF A GROUP</w:t>
            </w:r>
          </w:p>
        </w:tc>
      </w:tr>
      <w:tr>
        <w:trPr>
          <w:trHeight w:val="455"/>
        </w:trPr>
        <w:tc>
          <w:tcPr>
            <w:tcW w:w="920" w:type="dxa"/>
            <w:vAlign w:val="bottom"/>
          </w:tcPr>
          <w:p>
            <w:pPr>
              <w:spacing w:after="0"/>
              <w:rPr>
                <w:sz w:val="24"/>
                <w:szCs w:val="24"/>
                <w:color w:val="auto"/>
              </w:rPr>
            </w:pPr>
          </w:p>
        </w:tc>
        <w:tc>
          <w:tcPr>
            <w:tcW w:w="7360" w:type="dxa"/>
            <w:vAlign w:val="bottom"/>
          </w:tcPr>
          <w:p>
            <w:pPr>
              <w:ind w:left="780"/>
              <w:spacing w:after="0"/>
              <w:rPr>
                <w:sz w:val="20"/>
                <w:szCs w:val="20"/>
                <w:color w:val="auto"/>
              </w:rPr>
            </w:pPr>
            <w:r>
              <w:rPr>
                <w:rFonts w:ascii="Arial" w:cs="Arial" w:eastAsia="Arial" w:hAnsi="Arial"/>
                <w:sz w:val="22"/>
                <w:szCs w:val="22"/>
                <w:color w:val="auto"/>
              </w:rPr>
              <w:t>(a) [ ]</w:t>
            </w:r>
          </w:p>
        </w:tc>
      </w:tr>
      <w:tr>
        <w:trPr>
          <w:trHeight w:val="275"/>
        </w:trPr>
        <w:tc>
          <w:tcPr>
            <w:tcW w:w="920" w:type="dxa"/>
            <w:vAlign w:val="bottom"/>
          </w:tcPr>
          <w:p>
            <w:pPr>
              <w:spacing w:after="0"/>
              <w:rPr>
                <w:sz w:val="23"/>
                <w:szCs w:val="23"/>
                <w:color w:val="auto"/>
              </w:rPr>
            </w:pPr>
          </w:p>
        </w:tc>
        <w:tc>
          <w:tcPr>
            <w:tcW w:w="7360" w:type="dxa"/>
            <w:vAlign w:val="bottom"/>
          </w:tcPr>
          <w:p>
            <w:pPr>
              <w:ind w:left="780"/>
              <w:spacing w:after="0"/>
              <w:rPr>
                <w:sz w:val="20"/>
                <w:szCs w:val="20"/>
                <w:color w:val="auto"/>
              </w:rPr>
            </w:pPr>
            <w:r>
              <w:rPr>
                <w:rFonts w:ascii="Arial" w:cs="Arial" w:eastAsia="Arial" w:hAnsi="Arial"/>
                <w:sz w:val="22"/>
                <w:szCs w:val="22"/>
                <w:color w:val="auto"/>
              </w:rPr>
              <w:t>(b) [ ]</w:t>
            </w:r>
          </w:p>
        </w:tc>
      </w:tr>
      <w:tr>
        <w:trPr>
          <w:trHeight w:val="459"/>
        </w:trPr>
        <w:tc>
          <w:tcPr>
            <w:tcW w:w="920" w:type="dxa"/>
            <w:vAlign w:val="bottom"/>
          </w:tcPr>
          <w:p>
            <w:pPr>
              <w:jc w:val="right"/>
              <w:ind w:right="652"/>
              <w:spacing w:after="0"/>
              <w:rPr>
                <w:sz w:val="20"/>
                <w:szCs w:val="20"/>
                <w:color w:val="auto"/>
              </w:rPr>
            </w:pPr>
            <w:r>
              <w:rPr>
                <w:rFonts w:ascii="Arial" w:cs="Arial" w:eastAsia="Arial" w:hAnsi="Arial"/>
                <w:sz w:val="22"/>
                <w:szCs w:val="22"/>
                <w:color w:val="auto"/>
                <w:w w:val="76"/>
              </w:rPr>
              <w:t>3.</w:t>
            </w:r>
          </w:p>
        </w:tc>
        <w:tc>
          <w:tcPr>
            <w:tcW w:w="7360" w:type="dxa"/>
            <w:vAlign w:val="bottom"/>
          </w:tcPr>
          <w:p>
            <w:pPr>
              <w:ind w:left="780"/>
              <w:spacing w:after="0"/>
              <w:rPr>
                <w:sz w:val="20"/>
                <w:szCs w:val="20"/>
                <w:color w:val="auto"/>
              </w:rPr>
            </w:pPr>
            <w:r>
              <w:rPr>
                <w:rFonts w:ascii="Arial" w:cs="Arial" w:eastAsia="Arial" w:hAnsi="Arial"/>
                <w:sz w:val="22"/>
                <w:szCs w:val="22"/>
                <w:color w:val="auto"/>
              </w:rPr>
              <w:t>SEC USE ONLY</w:t>
            </w:r>
          </w:p>
        </w:tc>
      </w:tr>
      <w:tr>
        <w:trPr>
          <w:trHeight w:val="459"/>
        </w:trPr>
        <w:tc>
          <w:tcPr>
            <w:tcW w:w="920" w:type="dxa"/>
            <w:vAlign w:val="bottom"/>
          </w:tcPr>
          <w:p>
            <w:pPr>
              <w:jc w:val="right"/>
              <w:ind w:right="652"/>
              <w:spacing w:after="0"/>
              <w:rPr>
                <w:sz w:val="20"/>
                <w:szCs w:val="20"/>
                <w:color w:val="auto"/>
              </w:rPr>
            </w:pPr>
            <w:r>
              <w:rPr>
                <w:rFonts w:ascii="Arial" w:cs="Arial" w:eastAsia="Arial" w:hAnsi="Arial"/>
                <w:sz w:val="22"/>
                <w:szCs w:val="22"/>
                <w:color w:val="auto"/>
                <w:w w:val="76"/>
              </w:rPr>
              <w:t>4.</w:t>
            </w:r>
          </w:p>
        </w:tc>
        <w:tc>
          <w:tcPr>
            <w:tcW w:w="7360" w:type="dxa"/>
            <w:vAlign w:val="bottom"/>
          </w:tcPr>
          <w:p>
            <w:pPr>
              <w:ind w:left="780"/>
              <w:spacing w:after="0"/>
              <w:rPr>
                <w:sz w:val="20"/>
                <w:szCs w:val="20"/>
                <w:color w:val="auto"/>
              </w:rPr>
            </w:pPr>
            <w:r>
              <w:rPr>
                <w:rFonts w:ascii="Arial" w:cs="Arial" w:eastAsia="Arial" w:hAnsi="Arial"/>
                <w:sz w:val="22"/>
                <w:szCs w:val="22"/>
                <w:color w:val="auto"/>
              </w:rPr>
              <w:t>CITIZENSHIP OR PLACE OF ORGANIZATION</w:t>
            </w:r>
          </w:p>
        </w:tc>
      </w:tr>
      <w:tr>
        <w:trPr>
          <w:trHeight w:val="486"/>
        </w:trPr>
        <w:tc>
          <w:tcPr>
            <w:tcW w:w="920" w:type="dxa"/>
            <w:vAlign w:val="bottom"/>
          </w:tcPr>
          <w:p>
            <w:pPr>
              <w:spacing w:after="0"/>
              <w:rPr>
                <w:sz w:val="24"/>
                <w:szCs w:val="24"/>
                <w:color w:val="auto"/>
              </w:rPr>
            </w:pPr>
          </w:p>
        </w:tc>
        <w:tc>
          <w:tcPr>
            <w:tcW w:w="7360" w:type="dxa"/>
            <w:vAlign w:val="bottom"/>
          </w:tcPr>
          <w:p>
            <w:pPr>
              <w:ind w:left="780"/>
              <w:spacing w:after="0"/>
              <w:rPr>
                <w:sz w:val="20"/>
                <w:szCs w:val="20"/>
                <w:color w:val="auto"/>
              </w:rPr>
            </w:pPr>
            <w:r>
              <w:rPr>
                <w:rFonts w:ascii="Arial" w:cs="Arial" w:eastAsia="Arial" w:hAnsi="Arial"/>
                <w:sz w:val="22"/>
                <w:szCs w:val="22"/>
                <w:color w:val="auto"/>
              </w:rPr>
              <w:t>Massachusetts</w:t>
            </w:r>
          </w:p>
        </w:tc>
      </w:tr>
    </w:tbl>
    <w:p>
      <w:pPr>
        <w:spacing w:after="0" w:line="185" w:lineRule="exact"/>
        <w:rPr>
          <w:sz w:val="20"/>
          <w:szCs w:val="20"/>
          <w:color w:val="auto"/>
        </w:rPr>
      </w:pPr>
    </w:p>
    <w:tbl>
      <w:tblPr>
        <w:tblLayout w:type="fixed"/>
        <w:tblInd w:w="80" w:type="dxa"/>
        <w:tblCellMar>
          <w:top w:w="0" w:type="dxa"/>
          <w:left w:w="0" w:type="dxa"/>
          <w:bottom w:w="0" w:type="dxa"/>
          <w:right w:w="0" w:type="dxa"/>
        </w:tblCellMar>
      </w:tblPr>
      <w:tr>
        <w:trPr>
          <w:trHeight w:val="275"/>
        </w:trPr>
        <w:tc>
          <w:tcPr>
            <w:tcW w:w="1620" w:type="dxa"/>
            <w:vAlign w:val="bottom"/>
            <w:vMerge w:val="restart"/>
          </w:tcPr>
          <w:p>
            <w:pPr>
              <w:spacing w:after="0"/>
              <w:rPr>
                <w:sz w:val="20"/>
                <w:szCs w:val="20"/>
                <w:color w:val="auto"/>
              </w:rPr>
            </w:pPr>
            <w:r>
              <w:rPr>
                <w:rFonts w:ascii="Arial" w:cs="Arial" w:eastAsia="Arial" w:hAnsi="Arial"/>
                <w:sz w:val="22"/>
                <w:szCs w:val="22"/>
                <w:color w:val="auto"/>
              </w:rPr>
              <w:t>NUMBER OF</w:t>
            </w:r>
          </w:p>
        </w:tc>
        <w:tc>
          <w:tcPr>
            <w:tcW w:w="420" w:type="dxa"/>
            <w:vAlign w:val="bottom"/>
          </w:tcPr>
          <w:p>
            <w:pPr>
              <w:spacing w:after="0"/>
              <w:rPr>
                <w:sz w:val="23"/>
                <w:szCs w:val="23"/>
                <w:color w:val="auto"/>
              </w:rPr>
            </w:pPr>
          </w:p>
        </w:tc>
        <w:tc>
          <w:tcPr>
            <w:tcW w:w="5320" w:type="dxa"/>
            <w:vAlign w:val="bottom"/>
          </w:tcPr>
          <w:p>
            <w:pPr>
              <w:ind w:left="220"/>
              <w:spacing w:after="0"/>
              <w:rPr>
                <w:sz w:val="20"/>
                <w:szCs w:val="20"/>
                <w:color w:val="auto"/>
              </w:rPr>
            </w:pPr>
            <w:r>
              <w:rPr>
                <w:rFonts w:ascii="Arial" w:cs="Arial" w:eastAsia="Arial" w:hAnsi="Arial"/>
                <w:sz w:val="22"/>
                <w:szCs w:val="22"/>
                <w:color w:val="auto"/>
              </w:rPr>
              <w:t>5. SOLE VOTING POWER</w:t>
            </w:r>
          </w:p>
        </w:tc>
        <w:tc>
          <w:tcPr>
            <w:tcW w:w="2720" w:type="dxa"/>
            <w:vAlign w:val="bottom"/>
          </w:tcPr>
          <w:p>
            <w:pPr>
              <w:ind w:left="1840"/>
              <w:spacing w:after="0"/>
              <w:rPr>
                <w:sz w:val="20"/>
                <w:szCs w:val="20"/>
                <w:color w:val="auto"/>
              </w:rPr>
            </w:pPr>
            <w:r>
              <w:rPr>
                <w:rFonts w:ascii="Arial" w:cs="Arial" w:eastAsia="Arial" w:hAnsi="Arial"/>
                <w:sz w:val="22"/>
                <w:szCs w:val="22"/>
                <w:color w:val="auto"/>
              </w:rPr>
              <w:t>0</w:t>
            </w:r>
          </w:p>
        </w:tc>
        <w:tc>
          <w:tcPr>
            <w:tcW w:w="0" w:type="dxa"/>
            <w:vAlign w:val="bottom"/>
          </w:tcPr>
          <w:p>
            <w:pPr>
              <w:spacing w:after="0"/>
              <w:rPr>
                <w:sz w:val="1"/>
                <w:szCs w:val="1"/>
                <w:color w:val="auto"/>
              </w:rPr>
            </w:pPr>
          </w:p>
        </w:tc>
      </w:tr>
      <w:tr>
        <w:trPr>
          <w:trHeight w:val="50"/>
        </w:trPr>
        <w:tc>
          <w:tcPr>
            <w:tcW w:w="1620" w:type="dxa"/>
            <w:vAlign w:val="bottom"/>
            <w:vMerge w:val="continue"/>
          </w:tcPr>
          <w:p>
            <w:pPr>
              <w:spacing w:after="0"/>
              <w:rPr>
                <w:sz w:val="4"/>
                <w:szCs w:val="4"/>
                <w:color w:val="auto"/>
              </w:rPr>
            </w:pPr>
          </w:p>
        </w:tc>
        <w:tc>
          <w:tcPr>
            <w:tcW w:w="420" w:type="dxa"/>
            <w:vAlign w:val="bottom"/>
          </w:tcPr>
          <w:p>
            <w:pPr>
              <w:spacing w:after="0"/>
              <w:rPr>
                <w:sz w:val="4"/>
                <w:szCs w:val="4"/>
                <w:color w:val="auto"/>
              </w:rPr>
            </w:pPr>
          </w:p>
        </w:tc>
        <w:tc>
          <w:tcPr>
            <w:tcW w:w="5320" w:type="dxa"/>
            <w:vAlign w:val="bottom"/>
          </w:tcPr>
          <w:p>
            <w:pPr>
              <w:spacing w:after="0"/>
              <w:rPr>
                <w:sz w:val="4"/>
                <w:szCs w:val="4"/>
                <w:color w:val="auto"/>
              </w:rPr>
            </w:pPr>
          </w:p>
        </w:tc>
        <w:tc>
          <w:tcPr>
            <w:tcW w:w="27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43"/>
        </w:trPr>
        <w:tc>
          <w:tcPr>
            <w:tcW w:w="1620" w:type="dxa"/>
            <w:vAlign w:val="bottom"/>
          </w:tcPr>
          <w:p>
            <w:pPr>
              <w:spacing w:after="0" w:line="243" w:lineRule="exact"/>
              <w:rPr>
                <w:sz w:val="20"/>
                <w:szCs w:val="20"/>
                <w:color w:val="auto"/>
              </w:rPr>
            </w:pPr>
            <w:r>
              <w:rPr>
                <w:rFonts w:ascii="Arial" w:cs="Arial" w:eastAsia="Arial" w:hAnsi="Arial"/>
                <w:sz w:val="22"/>
                <w:szCs w:val="22"/>
                <w:color w:val="auto"/>
              </w:rPr>
              <w:t>SHARES</w:t>
            </w:r>
          </w:p>
        </w:tc>
        <w:tc>
          <w:tcPr>
            <w:tcW w:w="420" w:type="dxa"/>
            <w:vAlign w:val="bottom"/>
          </w:tcPr>
          <w:p>
            <w:pPr>
              <w:spacing w:after="0"/>
              <w:rPr>
                <w:sz w:val="21"/>
                <w:szCs w:val="21"/>
                <w:color w:val="auto"/>
              </w:rPr>
            </w:pPr>
          </w:p>
        </w:tc>
        <w:tc>
          <w:tcPr>
            <w:tcW w:w="5320" w:type="dxa"/>
            <w:vAlign w:val="bottom"/>
            <w:vMerge w:val="restart"/>
          </w:tcPr>
          <w:p>
            <w:pPr>
              <w:ind w:left="220"/>
              <w:spacing w:after="0"/>
              <w:rPr>
                <w:sz w:val="20"/>
                <w:szCs w:val="20"/>
                <w:color w:val="auto"/>
              </w:rPr>
            </w:pPr>
            <w:r>
              <w:rPr>
                <w:rFonts w:ascii="Arial" w:cs="Arial" w:eastAsia="Arial" w:hAnsi="Arial"/>
                <w:sz w:val="22"/>
                <w:szCs w:val="22"/>
                <w:color w:val="auto"/>
              </w:rPr>
              <w:t>6. SHARED VOTING POWER</w:t>
            </w:r>
          </w:p>
        </w:tc>
        <w:tc>
          <w:tcPr>
            <w:tcW w:w="2720" w:type="dxa"/>
            <w:vAlign w:val="bottom"/>
            <w:vMerge w:val="restart"/>
          </w:tcPr>
          <w:p>
            <w:pPr>
              <w:ind w:left="1840"/>
              <w:spacing w:after="0"/>
              <w:rPr>
                <w:sz w:val="20"/>
                <w:szCs w:val="20"/>
                <w:color w:val="auto"/>
              </w:rPr>
            </w:pPr>
            <w:r>
              <w:rPr>
                <w:rFonts w:ascii="Arial" w:cs="Arial" w:eastAsia="Arial" w:hAnsi="Arial"/>
                <w:sz w:val="22"/>
                <w:szCs w:val="22"/>
                <w:color w:val="auto"/>
                <w:w w:val="87"/>
              </w:rPr>
              <w:t>3,304,010</w:t>
            </w:r>
          </w:p>
        </w:tc>
        <w:tc>
          <w:tcPr>
            <w:tcW w:w="0" w:type="dxa"/>
            <w:vAlign w:val="bottom"/>
          </w:tcPr>
          <w:p>
            <w:pPr>
              <w:spacing w:after="0"/>
              <w:rPr>
                <w:sz w:val="1"/>
                <w:szCs w:val="1"/>
                <w:color w:val="auto"/>
              </w:rPr>
            </w:pPr>
          </w:p>
        </w:tc>
      </w:tr>
      <w:tr>
        <w:trPr>
          <w:trHeight w:val="166"/>
        </w:trPr>
        <w:tc>
          <w:tcPr>
            <w:tcW w:w="1620" w:type="dxa"/>
            <w:vAlign w:val="bottom"/>
            <w:vMerge w:val="restart"/>
          </w:tcPr>
          <w:p>
            <w:pPr>
              <w:spacing w:after="0" w:line="243" w:lineRule="exact"/>
              <w:rPr>
                <w:sz w:val="20"/>
                <w:szCs w:val="20"/>
                <w:color w:val="auto"/>
              </w:rPr>
            </w:pPr>
            <w:r>
              <w:rPr>
                <w:rFonts w:ascii="Arial" w:cs="Arial" w:eastAsia="Arial" w:hAnsi="Arial"/>
                <w:sz w:val="22"/>
                <w:szCs w:val="22"/>
                <w:color w:val="auto"/>
              </w:rPr>
              <w:t>BENEFICIALLY</w:t>
            </w:r>
          </w:p>
        </w:tc>
        <w:tc>
          <w:tcPr>
            <w:tcW w:w="420" w:type="dxa"/>
            <w:vAlign w:val="bottom"/>
          </w:tcPr>
          <w:p>
            <w:pPr>
              <w:spacing w:after="0"/>
              <w:rPr>
                <w:sz w:val="14"/>
                <w:szCs w:val="14"/>
                <w:color w:val="auto"/>
              </w:rPr>
            </w:pPr>
          </w:p>
        </w:tc>
        <w:tc>
          <w:tcPr>
            <w:tcW w:w="5320" w:type="dxa"/>
            <w:vAlign w:val="bottom"/>
            <w:vMerge w:val="continue"/>
          </w:tcPr>
          <w:p>
            <w:pPr>
              <w:spacing w:after="0"/>
              <w:rPr>
                <w:sz w:val="14"/>
                <w:szCs w:val="14"/>
                <w:color w:val="auto"/>
              </w:rPr>
            </w:pPr>
          </w:p>
        </w:tc>
        <w:tc>
          <w:tcPr>
            <w:tcW w:w="27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77"/>
        </w:trPr>
        <w:tc>
          <w:tcPr>
            <w:tcW w:w="1620" w:type="dxa"/>
            <w:vAlign w:val="bottom"/>
            <w:vMerge w:val="continue"/>
          </w:tcPr>
          <w:p>
            <w:pPr>
              <w:spacing w:after="0"/>
              <w:rPr>
                <w:sz w:val="6"/>
                <w:szCs w:val="6"/>
                <w:color w:val="auto"/>
              </w:rPr>
            </w:pPr>
          </w:p>
        </w:tc>
        <w:tc>
          <w:tcPr>
            <w:tcW w:w="420" w:type="dxa"/>
            <w:vAlign w:val="bottom"/>
          </w:tcPr>
          <w:p>
            <w:pPr>
              <w:spacing w:after="0"/>
              <w:rPr>
                <w:sz w:val="6"/>
                <w:szCs w:val="6"/>
                <w:color w:val="auto"/>
              </w:rPr>
            </w:pPr>
          </w:p>
        </w:tc>
        <w:tc>
          <w:tcPr>
            <w:tcW w:w="5320" w:type="dxa"/>
            <w:vAlign w:val="bottom"/>
          </w:tcPr>
          <w:p>
            <w:pPr>
              <w:spacing w:after="0"/>
              <w:rPr>
                <w:sz w:val="6"/>
                <w:szCs w:val="6"/>
                <w:color w:val="auto"/>
              </w:rPr>
            </w:pPr>
          </w:p>
        </w:tc>
        <w:tc>
          <w:tcPr>
            <w:tcW w:w="27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43"/>
        </w:trPr>
        <w:tc>
          <w:tcPr>
            <w:tcW w:w="2040" w:type="dxa"/>
            <w:vAlign w:val="bottom"/>
            <w:gridSpan w:val="2"/>
          </w:tcPr>
          <w:p>
            <w:pPr>
              <w:spacing w:after="0" w:line="243" w:lineRule="exact"/>
              <w:rPr>
                <w:sz w:val="20"/>
                <w:szCs w:val="20"/>
                <w:color w:val="auto"/>
              </w:rPr>
            </w:pPr>
            <w:r>
              <w:rPr>
                <w:rFonts w:ascii="Arial" w:cs="Arial" w:eastAsia="Arial" w:hAnsi="Arial"/>
                <w:sz w:val="22"/>
                <w:szCs w:val="22"/>
                <w:color w:val="auto"/>
              </w:rPr>
              <w:t>OWNED BY EACH</w:t>
            </w:r>
          </w:p>
        </w:tc>
        <w:tc>
          <w:tcPr>
            <w:tcW w:w="5320" w:type="dxa"/>
            <w:vAlign w:val="bottom"/>
            <w:vMerge w:val="restart"/>
          </w:tcPr>
          <w:p>
            <w:pPr>
              <w:ind w:left="220"/>
              <w:spacing w:after="0"/>
              <w:rPr>
                <w:sz w:val="20"/>
                <w:szCs w:val="20"/>
                <w:color w:val="auto"/>
              </w:rPr>
            </w:pPr>
            <w:r>
              <w:rPr>
                <w:rFonts w:ascii="Arial" w:cs="Arial" w:eastAsia="Arial" w:hAnsi="Arial"/>
                <w:sz w:val="22"/>
                <w:szCs w:val="22"/>
                <w:color w:val="auto"/>
              </w:rPr>
              <w:t>7. SOLE DISPOSITIVE POWER</w:t>
            </w:r>
          </w:p>
        </w:tc>
        <w:tc>
          <w:tcPr>
            <w:tcW w:w="2720" w:type="dxa"/>
            <w:vAlign w:val="bottom"/>
            <w:vMerge w:val="restart"/>
          </w:tcPr>
          <w:p>
            <w:pPr>
              <w:ind w:left="1840"/>
              <w:spacing w:after="0"/>
              <w:rPr>
                <w:sz w:val="20"/>
                <w:szCs w:val="20"/>
                <w:color w:val="auto"/>
              </w:rPr>
            </w:pPr>
            <w:r>
              <w:rPr>
                <w:rFonts w:ascii="Arial" w:cs="Arial" w:eastAsia="Arial" w:hAnsi="Arial"/>
                <w:sz w:val="22"/>
                <w:szCs w:val="22"/>
                <w:color w:val="auto"/>
              </w:rPr>
              <w:t>0</w:t>
            </w:r>
          </w:p>
        </w:tc>
        <w:tc>
          <w:tcPr>
            <w:tcW w:w="0" w:type="dxa"/>
            <w:vAlign w:val="bottom"/>
          </w:tcPr>
          <w:p>
            <w:pPr>
              <w:spacing w:after="0"/>
              <w:rPr>
                <w:sz w:val="1"/>
                <w:szCs w:val="1"/>
                <w:color w:val="auto"/>
              </w:rPr>
            </w:pPr>
          </w:p>
        </w:tc>
      </w:tr>
      <w:tr>
        <w:trPr>
          <w:trHeight w:val="139"/>
        </w:trPr>
        <w:tc>
          <w:tcPr>
            <w:tcW w:w="1620" w:type="dxa"/>
            <w:vAlign w:val="bottom"/>
            <w:vMerge w:val="restart"/>
          </w:tcPr>
          <w:p>
            <w:pPr>
              <w:spacing w:after="0" w:line="243" w:lineRule="exact"/>
              <w:rPr>
                <w:sz w:val="20"/>
                <w:szCs w:val="20"/>
                <w:color w:val="auto"/>
              </w:rPr>
            </w:pPr>
            <w:r>
              <w:rPr>
                <w:rFonts w:ascii="Arial" w:cs="Arial" w:eastAsia="Arial" w:hAnsi="Arial"/>
                <w:sz w:val="22"/>
                <w:szCs w:val="22"/>
                <w:color w:val="auto"/>
              </w:rPr>
              <w:t>REPORTING</w:t>
            </w:r>
          </w:p>
        </w:tc>
        <w:tc>
          <w:tcPr>
            <w:tcW w:w="420" w:type="dxa"/>
            <w:vAlign w:val="bottom"/>
          </w:tcPr>
          <w:p>
            <w:pPr>
              <w:spacing w:after="0"/>
              <w:rPr>
                <w:sz w:val="12"/>
                <w:szCs w:val="12"/>
                <w:color w:val="auto"/>
              </w:rPr>
            </w:pPr>
          </w:p>
        </w:tc>
        <w:tc>
          <w:tcPr>
            <w:tcW w:w="5320" w:type="dxa"/>
            <w:vAlign w:val="bottom"/>
            <w:vMerge w:val="continue"/>
          </w:tcPr>
          <w:p>
            <w:pPr>
              <w:spacing w:after="0"/>
              <w:rPr>
                <w:sz w:val="12"/>
                <w:szCs w:val="12"/>
                <w:color w:val="auto"/>
              </w:rPr>
            </w:pPr>
          </w:p>
        </w:tc>
        <w:tc>
          <w:tcPr>
            <w:tcW w:w="27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04"/>
        </w:trPr>
        <w:tc>
          <w:tcPr>
            <w:tcW w:w="1620" w:type="dxa"/>
            <w:vAlign w:val="bottom"/>
            <w:vMerge w:val="continue"/>
          </w:tcPr>
          <w:p>
            <w:pPr>
              <w:spacing w:after="0"/>
              <w:rPr>
                <w:sz w:val="9"/>
                <w:szCs w:val="9"/>
                <w:color w:val="auto"/>
              </w:rPr>
            </w:pPr>
          </w:p>
        </w:tc>
        <w:tc>
          <w:tcPr>
            <w:tcW w:w="420" w:type="dxa"/>
            <w:vAlign w:val="bottom"/>
          </w:tcPr>
          <w:p>
            <w:pPr>
              <w:spacing w:after="0"/>
              <w:rPr>
                <w:sz w:val="9"/>
                <w:szCs w:val="9"/>
                <w:color w:val="auto"/>
              </w:rPr>
            </w:pPr>
          </w:p>
        </w:tc>
        <w:tc>
          <w:tcPr>
            <w:tcW w:w="5320" w:type="dxa"/>
            <w:vAlign w:val="bottom"/>
          </w:tcPr>
          <w:p>
            <w:pPr>
              <w:spacing w:after="0"/>
              <w:rPr>
                <w:sz w:val="9"/>
                <w:szCs w:val="9"/>
                <w:color w:val="auto"/>
              </w:rPr>
            </w:pPr>
          </w:p>
        </w:tc>
        <w:tc>
          <w:tcPr>
            <w:tcW w:w="27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75"/>
        </w:trPr>
        <w:tc>
          <w:tcPr>
            <w:tcW w:w="1620" w:type="dxa"/>
            <w:vAlign w:val="bottom"/>
          </w:tcPr>
          <w:p>
            <w:pPr>
              <w:spacing w:after="0"/>
              <w:rPr>
                <w:sz w:val="20"/>
                <w:szCs w:val="20"/>
                <w:color w:val="auto"/>
              </w:rPr>
            </w:pPr>
            <w:r>
              <w:rPr>
                <w:rFonts w:ascii="Arial" w:cs="Arial" w:eastAsia="Arial" w:hAnsi="Arial"/>
                <w:sz w:val="22"/>
                <w:szCs w:val="22"/>
                <w:color w:val="auto"/>
              </w:rPr>
              <w:t>PERSON WITH</w:t>
            </w:r>
          </w:p>
        </w:tc>
        <w:tc>
          <w:tcPr>
            <w:tcW w:w="420" w:type="dxa"/>
            <w:vAlign w:val="bottom"/>
          </w:tcPr>
          <w:p>
            <w:pPr>
              <w:spacing w:after="0"/>
              <w:rPr>
                <w:sz w:val="23"/>
                <w:szCs w:val="23"/>
                <w:color w:val="auto"/>
              </w:rPr>
            </w:pPr>
          </w:p>
        </w:tc>
        <w:tc>
          <w:tcPr>
            <w:tcW w:w="5320" w:type="dxa"/>
            <w:vAlign w:val="bottom"/>
            <w:vMerge w:val="restart"/>
          </w:tcPr>
          <w:p>
            <w:pPr>
              <w:ind w:left="220"/>
              <w:spacing w:after="0"/>
              <w:rPr>
                <w:sz w:val="20"/>
                <w:szCs w:val="20"/>
                <w:color w:val="auto"/>
              </w:rPr>
            </w:pPr>
            <w:r>
              <w:rPr>
                <w:rFonts w:ascii="Arial" w:cs="Arial" w:eastAsia="Arial" w:hAnsi="Arial"/>
                <w:sz w:val="22"/>
                <w:szCs w:val="22"/>
                <w:color w:val="auto"/>
              </w:rPr>
              <w:t>8. SHARED DISPOSITIVE POWER</w:t>
            </w:r>
          </w:p>
        </w:tc>
        <w:tc>
          <w:tcPr>
            <w:tcW w:w="2720" w:type="dxa"/>
            <w:vAlign w:val="bottom"/>
            <w:vMerge w:val="restart"/>
          </w:tcPr>
          <w:p>
            <w:pPr>
              <w:ind w:left="1840"/>
              <w:spacing w:after="0"/>
              <w:rPr>
                <w:sz w:val="20"/>
                <w:szCs w:val="20"/>
                <w:color w:val="auto"/>
              </w:rPr>
            </w:pPr>
            <w:r>
              <w:rPr>
                <w:rFonts w:ascii="Arial" w:cs="Arial" w:eastAsia="Arial" w:hAnsi="Arial"/>
                <w:sz w:val="22"/>
                <w:szCs w:val="22"/>
                <w:color w:val="auto"/>
                <w:w w:val="87"/>
              </w:rPr>
              <w:t>4,098,070</w:t>
            </w:r>
          </w:p>
        </w:tc>
        <w:tc>
          <w:tcPr>
            <w:tcW w:w="0" w:type="dxa"/>
            <w:vAlign w:val="bottom"/>
          </w:tcPr>
          <w:p>
            <w:pPr>
              <w:spacing w:after="0"/>
              <w:rPr>
                <w:sz w:val="1"/>
                <w:szCs w:val="1"/>
                <w:color w:val="auto"/>
              </w:rPr>
            </w:pPr>
          </w:p>
        </w:tc>
      </w:tr>
      <w:tr>
        <w:trPr>
          <w:trHeight w:val="81"/>
        </w:trPr>
        <w:tc>
          <w:tcPr>
            <w:tcW w:w="1620" w:type="dxa"/>
            <w:vAlign w:val="bottom"/>
          </w:tcPr>
          <w:p>
            <w:pPr>
              <w:spacing w:after="0"/>
              <w:rPr>
                <w:sz w:val="7"/>
                <w:szCs w:val="7"/>
                <w:color w:val="auto"/>
              </w:rPr>
            </w:pPr>
          </w:p>
        </w:tc>
        <w:tc>
          <w:tcPr>
            <w:tcW w:w="420" w:type="dxa"/>
            <w:vAlign w:val="bottom"/>
          </w:tcPr>
          <w:p>
            <w:pPr>
              <w:spacing w:after="0"/>
              <w:rPr>
                <w:sz w:val="7"/>
                <w:szCs w:val="7"/>
                <w:color w:val="auto"/>
              </w:rPr>
            </w:pPr>
          </w:p>
        </w:tc>
        <w:tc>
          <w:tcPr>
            <w:tcW w:w="5320" w:type="dxa"/>
            <w:vAlign w:val="bottom"/>
            <w:vMerge w:val="continue"/>
          </w:tcPr>
          <w:p>
            <w:pPr>
              <w:spacing w:after="0"/>
              <w:rPr>
                <w:sz w:val="7"/>
                <w:szCs w:val="7"/>
                <w:color w:val="auto"/>
              </w:rPr>
            </w:pPr>
          </w:p>
        </w:tc>
        <w:tc>
          <w:tcPr>
            <w:tcW w:w="27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459"/>
        </w:trPr>
        <w:tc>
          <w:tcPr>
            <w:tcW w:w="1620" w:type="dxa"/>
            <w:vAlign w:val="bottom"/>
          </w:tcPr>
          <w:p>
            <w:pPr>
              <w:spacing w:after="0"/>
              <w:rPr>
                <w:sz w:val="20"/>
                <w:szCs w:val="20"/>
                <w:color w:val="auto"/>
              </w:rPr>
            </w:pPr>
            <w:r>
              <w:rPr>
                <w:rFonts w:ascii="Arial" w:cs="Arial" w:eastAsia="Arial" w:hAnsi="Arial"/>
                <w:sz w:val="22"/>
                <w:szCs w:val="22"/>
                <w:color w:val="auto"/>
              </w:rPr>
              <w:t>9.</w:t>
            </w:r>
          </w:p>
        </w:tc>
        <w:tc>
          <w:tcPr>
            <w:tcW w:w="8460" w:type="dxa"/>
            <w:vAlign w:val="bottom"/>
            <w:gridSpan w:val="3"/>
          </w:tcPr>
          <w:p>
            <w:pPr>
              <w:ind w:left="80"/>
              <w:spacing w:after="0"/>
              <w:rPr>
                <w:sz w:val="20"/>
                <w:szCs w:val="20"/>
                <w:color w:val="auto"/>
              </w:rPr>
            </w:pPr>
            <w:r>
              <w:rPr>
                <w:rFonts w:ascii="Arial" w:cs="Arial" w:eastAsia="Arial" w:hAnsi="Arial"/>
                <w:sz w:val="22"/>
                <w:szCs w:val="22"/>
                <w:color w:val="auto"/>
              </w:rPr>
              <w:t>AGGREGATE AMOUNT BENEFICIALLY OWNED BY EACH REPORTING PERSON</w:t>
            </w:r>
          </w:p>
        </w:tc>
        <w:tc>
          <w:tcPr>
            <w:tcW w:w="0" w:type="dxa"/>
            <w:vAlign w:val="bottom"/>
          </w:tcPr>
          <w:p>
            <w:pPr>
              <w:spacing w:after="0"/>
              <w:rPr>
                <w:sz w:val="1"/>
                <w:szCs w:val="1"/>
                <w:color w:val="auto"/>
              </w:rPr>
            </w:pPr>
          </w:p>
        </w:tc>
      </w:tr>
    </w:tbl>
    <w:p>
      <w:pPr>
        <w:spacing w:after="0" w:line="212" w:lineRule="exact"/>
        <w:rPr>
          <w:sz w:val="20"/>
          <w:szCs w:val="20"/>
          <w:color w:val="auto"/>
        </w:rPr>
      </w:pPr>
    </w:p>
    <w:p>
      <w:pPr>
        <w:ind w:left="1780"/>
        <w:spacing w:after="0"/>
        <w:rPr>
          <w:sz w:val="20"/>
          <w:szCs w:val="20"/>
          <w:color w:val="auto"/>
        </w:rPr>
      </w:pPr>
      <w:r>
        <w:rPr>
          <w:rFonts w:ascii="Arial" w:cs="Arial" w:eastAsia="Arial" w:hAnsi="Arial"/>
          <w:sz w:val="22"/>
          <w:szCs w:val="22"/>
          <w:color w:val="auto"/>
        </w:rPr>
        <w:t>4,135,570</w:t>
      </w:r>
    </w:p>
    <w:p>
      <w:pPr>
        <w:spacing w:after="0" w:line="206" w:lineRule="exact"/>
        <w:rPr>
          <w:sz w:val="20"/>
          <w:szCs w:val="20"/>
          <w:color w:val="auto"/>
        </w:rPr>
      </w:pPr>
    </w:p>
    <w:p>
      <w:pPr>
        <w:ind w:left="80"/>
        <w:spacing w:after="0"/>
        <w:tabs>
          <w:tab w:leader="none" w:pos="1760" w:val="left"/>
        </w:tabs>
        <w:rPr>
          <w:sz w:val="20"/>
          <w:szCs w:val="20"/>
          <w:color w:val="auto"/>
        </w:rPr>
      </w:pPr>
      <w:r>
        <w:rPr>
          <w:rFonts w:ascii="Arial" w:cs="Arial" w:eastAsia="Arial" w:hAnsi="Arial"/>
          <w:sz w:val="21"/>
          <w:szCs w:val="21"/>
          <w:color w:val="auto"/>
        </w:rPr>
        <w:t>10.</w:t>
      </w:r>
      <w:r>
        <w:rPr>
          <w:sz w:val="20"/>
          <w:szCs w:val="20"/>
          <w:color w:val="auto"/>
        </w:rPr>
        <w:tab/>
      </w:r>
      <w:r>
        <w:rPr>
          <w:rFonts w:ascii="Arial" w:cs="Arial" w:eastAsia="Arial" w:hAnsi="Arial"/>
          <w:sz w:val="21"/>
          <w:szCs w:val="21"/>
          <w:color w:val="auto"/>
        </w:rPr>
        <w:t>CHECK IF THE AGGREGATE AMOUNT IN ROW (9) EXCLUDES CERTAIN SHARES</w:t>
      </w:r>
    </w:p>
    <w:p>
      <w:pPr>
        <w:spacing w:after="0" w:line="245" w:lineRule="exact"/>
        <w:rPr>
          <w:sz w:val="20"/>
          <w:szCs w:val="20"/>
          <w:color w:val="auto"/>
        </w:rPr>
      </w:pPr>
    </w:p>
    <w:p>
      <w:pPr>
        <w:ind w:left="1780"/>
        <w:spacing w:after="0"/>
        <w:rPr>
          <w:sz w:val="20"/>
          <w:szCs w:val="20"/>
          <w:color w:val="auto"/>
        </w:rPr>
      </w:pPr>
      <w:r>
        <w:rPr>
          <w:rFonts w:ascii="Arial" w:cs="Arial" w:eastAsia="Arial" w:hAnsi="Arial"/>
          <w:sz w:val="22"/>
          <w:szCs w:val="22"/>
          <w:color w:val="auto"/>
        </w:rPr>
        <w:t>[ ]</w:t>
      </w:r>
    </w:p>
    <w:p>
      <w:pPr>
        <w:spacing w:after="0" w:line="206" w:lineRule="exact"/>
        <w:rPr>
          <w:sz w:val="20"/>
          <w:szCs w:val="20"/>
          <w:color w:val="auto"/>
        </w:rPr>
      </w:pPr>
    </w:p>
    <w:p>
      <w:pPr>
        <w:ind w:left="80"/>
        <w:spacing w:after="0"/>
        <w:tabs>
          <w:tab w:leader="none" w:pos="1760" w:val="left"/>
        </w:tabs>
        <w:rPr>
          <w:sz w:val="20"/>
          <w:szCs w:val="20"/>
          <w:color w:val="auto"/>
        </w:rPr>
      </w:pPr>
      <w:r>
        <w:rPr>
          <w:rFonts w:ascii="Arial" w:cs="Arial" w:eastAsia="Arial" w:hAnsi="Arial"/>
          <w:sz w:val="22"/>
          <w:szCs w:val="22"/>
          <w:color w:val="auto"/>
        </w:rPr>
        <w:t>11.</w:t>
      </w:r>
      <w:r>
        <w:rPr>
          <w:sz w:val="20"/>
          <w:szCs w:val="20"/>
          <w:color w:val="auto"/>
        </w:rPr>
        <w:tab/>
      </w:r>
      <w:r>
        <w:rPr>
          <w:rFonts w:ascii="Arial" w:cs="Arial" w:eastAsia="Arial" w:hAnsi="Arial"/>
          <w:sz w:val="22"/>
          <w:szCs w:val="22"/>
          <w:color w:val="auto"/>
        </w:rPr>
        <w:t>PERCENT OF CLASS REPRESENTED BY AMOUNT IN ROW (9)</w:t>
      </w:r>
    </w:p>
    <w:p>
      <w:pPr>
        <w:spacing w:after="0" w:line="233" w:lineRule="exact"/>
        <w:rPr>
          <w:sz w:val="20"/>
          <w:szCs w:val="20"/>
          <w:color w:val="auto"/>
        </w:rPr>
      </w:pPr>
    </w:p>
    <w:p>
      <w:pPr>
        <w:ind w:left="1780"/>
        <w:spacing w:after="0"/>
        <w:rPr>
          <w:sz w:val="20"/>
          <w:szCs w:val="20"/>
          <w:color w:val="auto"/>
        </w:rPr>
      </w:pPr>
      <w:r>
        <w:rPr>
          <w:rFonts w:ascii="Arial" w:cs="Arial" w:eastAsia="Arial" w:hAnsi="Arial"/>
          <w:sz w:val="22"/>
          <w:szCs w:val="22"/>
          <w:color w:val="auto"/>
        </w:rPr>
        <w:t>6.59%</w:t>
      </w:r>
    </w:p>
    <w:p>
      <w:pPr>
        <w:spacing w:after="0" w:line="206" w:lineRule="exact"/>
        <w:rPr>
          <w:sz w:val="20"/>
          <w:szCs w:val="20"/>
          <w:color w:val="auto"/>
        </w:rPr>
      </w:pPr>
    </w:p>
    <w:p>
      <w:pPr>
        <w:ind w:left="80"/>
        <w:spacing w:after="0"/>
        <w:tabs>
          <w:tab w:leader="none" w:pos="1760" w:val="left"/>
        </w:tabs>
        <w:rPr>
          <w:sz w:val="20"/>
          <w:szCs w:val="20"/>
          <w:color w:val="auto"/>
        </w:rPr>
      </w:pPr>
      <w:r>
        <w:rPr>
          <w:rFonts w:ascii="Arial" w:cs="Arial" w:eastAsia="Arial" w:hAnsi="Arial"/>
          <w:sz w:val="22"/>
          <w:szCs w:val="22"/>
          <w:color w:val="auto"/>
        </w:rPr>
        <w:t>12.</w:t>
      </w:r>
      <w:r>
        <w:rPr>
          <w:sz w:val="20"/>
          <w:szCs w:val="20"/>
          <w:color w:val="auto"/>
        </w:rPr>
        <w:tab/>
      </w:r>
      <w:r>
        <w:rPr>
          <w:rFonts w:ascii="Arial" w:cs="Arial" w:eastAsia="Arial" w:hAnsi="Arial"/>
          <w:sz w:val="22"/>
          <w:szCs w:val="22"/>
          <w:color w:val="auto"/>
        </w:rPr>
        <w:t>TYPE OF REPORTING PERSON</w:t>
      </w:r>
    </w:p>
    <w:p>
      <w:pPr>
        <w:spacing w:after="0" w:line="233" w:lineRule="exact"/>
        <w:rPr>
          <w:sz w:val="20"/>
          <w:szCs w:val="20"/>
          <w:color w:val="auto"/>
        </w:rPr>
      </w:pPr>
    </w:p>
    <w:p>
      <w:pPr>
        <w:ind w:left="1780"/>
        <w:spacing w:after="0"/>
        <w:rPr>
          <w:sz w:val="20"/>
          <w:szCs w:val="20"/>
          <w:color w:val="auto"/>
        </w:rPr>
      </w:pPr>
      <w:r>
        <w:rPr>
          <w:rFonts w:ascii="Arial" w:cs="Arial" w:eastAsia="Arial" w:hAnsi="Arial"/>
          <w:sz w:val="22"/>
          <w:szCs w:val="22"/>
          <w:color w:val="auto"/>
        </w:rPr>
        <w:t>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76200</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179"/>
          </w:cols>
          <w:pgMar w:left="280" w:top="388" w:right="1440" w:bottom="1440" w:gutter="0" w:footer="0" w:header="0"/>
        </w:sectPr>
      </w:pPr>
    </w:p>
    <w:bookmarkStart w:id="2" w:name="page3"/>
    <w:bookmarkEnd w:id="2"/>
    <w:p>
      <w:pPr>
        <w:spacing w:after="0"/>
        <w:rPr>
          <w:sz w:val="20"/>
          <w:szCs w:val="20"/>
          <w:color w:val="auto"/>
        </w:rPr>
      </w:pPr>
      <w:r>
        <w:rPr>
          <w:rFonts w:ascii="Arial" w:cs="Arial" w:eastAsia="Arial" w:hAnsi="Arial"/>
          <w:sz w:val="22"/>
          <w:szCs w:val="22"/>
          <w:b w:val="1"/>
          <w:bCs w:val="1"/>
          <w:color w:val="auto"/>
        </w:rPr>
        <w:t>Item 1.</w:t>
      </w:r>
    </w:p>
    <w:p>
      <w:pPr>
        <w:spacing w:after="0" w:line="125" w:lineRule="exact"/>
        <w:rPr>
          <w:sz w:val="20"/>
          <w:szCs w:val="20"/>
          <w:color w:val="auto"/>
        </w:rPr>
      </w:pPr>
    </w:p>
    <w:p>
      <w:pPr>
        <w:ind w:left="1780" w:hanging="407"/>
        <w:spacing w:after="0"/>
        <w:tabs>
          <w:tab w:leader="none" w:pos="1780" w:val="left"/>
        </w:tabs>
        <w:numPr>
          <w:ilvl w:val="0"/>
          <w:numId w:val="2"/>
        </w:numPr>
        <w:rPr>
          <w:rFonts w:ascii="Arial" w:cs="Arial" w:eastAsia="Arial" w:hAnsi="Arial"/>
          <w:sz w:val="22"/>
          <w:szCs w:val="22"/>
          <w:b w:val="1"/>
          <w:bCs w:val="1"/>
          <w:color w:val="auto"/>
        </w:rPr>
      </w:pPr>
      <w:r>
        <w:rPr>
          <w:rFonts w:ascii="Arial" w:cs="Arial" w:eastAsia="Arial" w:hAnsi="Arial"/>
          <w:sz w:val="22"/>
          <w:szCs w:val="22"/>
          <w:b w:val="1"/>
          <w:bCs w:val="1"/>
          <w:color w:val="auto"/>
        </w:rPr>
        <w:t>Name of Issuer</w:t>
      </w:r>
    </w:p>
    <w:p>
      <w:pPr>
        <w:spacing w:after="0" w:line="14" w:lineRule="exact"/>
        <w:rPr>
          <w:rFonts w:ascii="Arial" w:cs="Arial" w:eastAsia="Arial" w:hAnsi="Arial"/>
          <w:sz w:val="22"/>
          <w:szCs w:val="22"/>
          <w:b w:val="1"/>
          <w:bCs w:val="1"/>
          <w:color w:val="auto"/>
        </w:rPr>
      </w:pPr>
    </w:p>
    <w:p>
      <w:pPr>
        <w:ind w:left="1780"/>
        <w:spacing w:after="0"/>
        <w:rPr>
          <w:rFonts w:ascii="Arial" w:cs="Arial" w:eastAsia="Arial" w:hAnsi="Arial"/>
          <w:sz w:val="22"/>
          <w:szCs w:val="22"/>
          <w:b w:val="1"/>
          <w:bCs w:val="1"/>
          <w:color w:val="auto"/>
        </w:rPr>
      </w:pPr>
      <w:r>
        <w:rPr>
          <w:rFonts w:ascii="Arial" w:cs="Arial" w:eastAsia="Arial" w:hAnsi="Arial"/>
          <w:sz w:val="22"/>
          <w:szCs w:val="22"/>
          <w:color w:val="auto"/>
        </w:rPr>
        <w:t>Regeneron Pharmaceuticals, Inc.</w:t>
      </w:r>
    </w:p>
    <w:p>
      <w:pPr>
        <w:spacing w:after="0" w:line="101" w:lineRule="exact"/>
        <w:rPr>
          <w:rFonts w:ascii="Arial" w:cs="Arial" w:eastAsia="Arial" w:hAnsi="Arial"/>
          <w:sz w:val="22"/>
          <w:szCs w:val="22"/>
          <w:b w:val="1"/>
          <w:bCs w:val="1"/>
          <w:color w:val="auto"/>
        </w:rPr>
      </w:pPr>
    </w:p>
    <w:p>
      <w:pPr>
        <w:ind w:left="1780" w:right="5180" w:hanging="407"/>
        <w:spacing w:after="0" w:line="242" w:lineRule="auto"/>
        <w:tabs>
          <w:tab w:leader="none" w:pos="1780" w:val="left"/>
        </w:tabs>
        <w:numPr>
          <w:ilvl w:val="0"/>
          <w:numId w:val="2"/>
        </w:numPr>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Address of Issuer's Principal Executive Offices </w:t>
      </w:r>
      <w:r>
        <w:rPr>
          <w:rFonts w:ascii="Arial" w:cs="Arial" w:eastAsia="Arial" w:hAnsi="Arial"/>
          <w:sz w:val="22"/>
          <w:szCs w:val="22"/>
          <w:color w:val="auto"/>
        </w:rPr>
        <w:t>777 Old Saw Mill River Road</w:t>
      </w:r>
    </w:p>
    <w:p>
      <w:pPr>
        <w:ind w:left="1780"/>
        <w:spacing w:after="0"/>
        <w:rPr>
          <w:rFonts w:ascii="Arial" w:cs="Arial" w:eastAsia="Arial" w:hAnsi="Arial"/>
          <w:sz w:val="22"/>
          <w:szCs w:val="22"/>
          <w:b w:val="1"/>
          <w:bCs w:val="1"/>
          <w:color w:val="auto"/>
        </w:rPr>
      </w:pPr>
      <w:r>
        <w:rPr>
          <w:rFonts w:ascii="Arial" w:cs="Arial" w:eastAsia="Arial" w:hAnsi="Arial"/>
          <w:sz w:val="22"/>
          <w:szCs w:val="22"/>
          <w:color w:val="auto"/>
        </w:rPr>
        <w:t>Tarrytown, NY 10591-6707</w:t>
      </w:r>
    </w:p>
    <w:p>
      <w:pPr>
        <w:spacing w:after="0" w:line="10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2.</w:t>
      </w:r>
    </w:p>
    <w:p>
      <w:pPr>
        <w:spacing w:after="0" w:line="125" w:lineRule="exact"/>
        <w:rPr>
          <w:sz w:val="20"/>
          <w:szCs w:val="20"/>
          <w:color w:val="auto"/>
        </w:rPr>
      </w:pPr>
    </w:p>
    <w:p>
      <w:pPr>
        <w:ind w:left="1780" w:hanging="407"/>
        <w:spacing w:after="0"/>
        <w:tabs>
          <w:tab w:leader="none" w:pos="1780" w:val="left"/>
        </w:tabs>
        <w:numPr>
          <w:ilvl w:val="0"/>
          <w:numId w:val="3"/>
        </w:numPr>
        <w:rPr>
          <w:rFonts w:ascii="Arial" w:cs="Arial" w:eastAsia="Arial" w:hAnsi="Arial"/>
          <w:sz w:val="22"/>
          <w:szCs w:val="22"/>
          <w:b w:val="1"/>
          <w:bCs w:val="1"/>
          <w:color w:val="auto"/>
        </w:rPr>
      </w:pPr>
      <w:r>
        <w:rPr>
          <w:rFonts w:ascii="Arial" w:cs="Arial" w:eastAsia="Arial" w:hAnsi="Arial"/>
          <w:sz w:val="22"/>
          <w:szCs w:val="22"/>
          <w:b w:val="1"/>
          <w:bCs w:val="1"/>
          <w:color w:val="auto"/>
        </w:rPr>
        <w:t>Name of Person Filing</w:t>
      </w:r>
    </w:p>
    <w:p>
      <w:pPr>
        <w:spacing w:after="0" w:line="14" w:lineRule="exact"/>
        <w:rPr>
          <w:rFonts w:ascii="Arial" w:cs="Arial" w:eastAsia="Arial" w:hAnsi="Arial"/>
          <w:sz w:val="22"/>
          <w:szCs w:val="22"/>
          <w:b w:val="1"/>
          <w:bCs w:val="1"/>
          <w:color w:val="auto"/>
        </w:rPr>
      </w:pPr>
    </w:p>
    <w:p>
      <w:pPr>
        <w:ind w:left="1780"/>
        <w:spacing w:after="0"/>
        <w:rPr>
          <w:rFonts w:ascii="Arial" w:cs="Arial" w:eastAsia="Arial" w:hAnsi="Arial"/>
          <w:sz w:val="22"/>
          <w:szCs w:val="22"/>
          <w:b w:val="1"/>
          <w:bCs w:val="1"/>
          <w:color w:val="auto"/>
        </w:rPr>
      </w:pPr>
      <w:r>
        <w:rPr>
          <w:rFonts w:ascii="Arial" w:cs="Arial" w:eastAsia="Arial" w:hAnsi="Arial"/>
          <w:sz w:val="22"/>
          <w:szCs w:val="22"/>
          <w:color w:val="auto"/>
        </w:rPr>
        <w:t>Wellington Management Company, LLP (''Wellington Management'')</w:t>
      </w:r>
    </w:p>
    <w:p>
      <w:pPr>
        <w:spacing w:after="0" w:line="101" w:lineRule="exact"/>
        <w:rPr>
          <w:rFonts w:ascii="Arial" w:cs="Arial" w:eastAsia="Arial" w:hAnsi="Arial"/>
          <w:sz w:val="22"/>
          <w:szCs w:val="22"/>
          <w:b w:val="1"/>
          <w:bCs w:val="1"/>
          <w:color w:val="auto"/>
        </w:rPr>
      </w:pPr>
    </w:p>
    <w:p>
      <w:pPr>
        <w:ind w:left="1780" w:right="4080" w:hanging="407"/>
        <w:spacing w:after="0" w:line="242" w:lineRule="auto"/>
        <w:tabs>
          <w:tab w:leader="none" w:pos="1780" w:val="left"/>
        </w:tabs>
        <w:numPr>
          <w:ilvl w:val="0"/>
          <w:numId w:val="3"/>
        </w:numPr>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Address of Principal Business Office or, if None, Residence </w:t>
      </w:r>
      <w:r>
        <w:rPr>
          <w:rFonts w:ascii="Arial" w:cs="Arial" w:eastAsia="Arial" w:hAnsi="Arial"/>
          <w:sz w:val="22"/>
          <w:szCs w:val="22"/>
          <w:color w:val="auto"/>
        </w:rPr>
        <w:t>75 State Street</w:t>
      </w:r>
    </w:p>
    <w:p>
      <w:pPr>
        <w:ind w:left="1780"/>
        <w:spacing w:after="0"/>
        <w:rPr>
          <w:rFonts w:ascii="Arial" w:cs="Arial" w:eastAsia="Arial" w:hAnsi="Arial"/>
          <w:sz w:val="22"/>
          <w:szCs w:val="22"/>
          <w:b w:val="1"/>
          <w:bCs w:val="1"/>
          <w:color w:val="auto"/>
        </w:rPr>
      </w:pPr>
      <w:r>
        <w:rPr>
          <w:rFonts w:ascii="Arial" w:cs="Arial" w:eastAsia="Arial" w:hAnsi="Arial"/>
          <w:sz w:val="22"/>
          <w:szCs w:val="22"/>
          <w:color w:val="auto"/>
        </w:rPr>
        <w:t>Boston, MA 02109</w:t>
      </w:r>
    </w:p>
    <w:p>
      <w:pPr>
        <w:spacing w:after="0" w:line="101" w:lineRule="exact"/>
        <w:rPr>
          <w:rFonts w:ascii="Arial" w:cs="Arial" w:eastAsia="Arial" w:hAnsi="Arial"/>
          <w:sz w:val="22"/>
          <w:szCs w:val="22"/>
          <w:b w:val="1"/>
          <w:bCs w:val="1"/>
          <w:color w:val="auto"/>
        </w:rPr>
      </w:pPr>
    </w:p>
    <w:p>
      <w:pPr>
        <w:ind w:left="1780" w:right="8240" w:hanging="407"/>
        <w:spacing w:after="0" w:line="360" w:lineRule="auto"/>
        <w:tabs>
          <w:tab w:leader="none" w:pos="1780"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Citizenship </w:t>
      </w:r>
      <w:r>
        <w:rPr>
          <w:rFonts w:ascii="Arial" w:cs="Arial" w:eastAsia="Arial" w:hAnsi="Arial"/>
          <w:sz w:val="18"/>
          <w:szCs w:val="18"/>
          <w:color w:val="auto"/>
        </w:rPr>
        <w:t>Massachusetts</w:t>
      </w:r>
    </w:p>
    <w:p>
      <w:pPr>
        <w:ind w:left="1780" w:right="7080" w:hanging="407"/>
        <w:spacing w:after="0" w:line="335" w:lineRule="auto"/>
        <w:tabs>
          <w:tab w:leader="none" w:pos="1780" w:val="left"/>
        </w:tabs>
        <w:numPr>
          <w:ilvl w:val="0"/>
          <w:numId w:val="3"/>
        </w:numPr>
        <w:rPr>
          <w:rFonts w:ascii="Arial" w:cs="Arial" w:eastAsia="Arial" w:hAnsi="Arial"/>
          <w:sz w:val="19"/>
          <w:szCs w:val="19"/>
          <w:b w:val="1"/>
          <w:bCs w:val="1"/>
          <w:color w:val="auto"/>
        </w:rPr>
      </w:pPr>
      <w:r>
        <w:rPr>
          <w:rFonts w:ascii="Arial" w:cs="Arial" w:eastAsia="Arial" w:hAnsi="Arial"/>
          <w:sz w:val="19"/>
          <w:szCs w:val="19"/>
          <w:b w:val="1"/>
          <w:bCs w:val="1"/>
          <w:color w:val="auto"/>
        </w:rPr>
        <w:t xml:space="preserve">Title of Class of Securities </w:t>
      </w:r>
      <w:r>
        <w:rPr>
          <w:rFonts w:ascii="Arial" w:cs="Arial" w:eastAsia="Arial" w:hAnsi="Arial"/>
          <w:sz w:val="19"/>
          <w:szCs w:val="19"/>
          <w:color w:val="auto"/>
        </w:rPr>
        <w:t>Common Stock</w:t>
      </w:r>
    </w:p>
    <w:p>
      <w:pPr>
        <w:spacing w:after="0" w:line="11" w:lineRule="exact"/>
        <w:rPr>
          <w:rFonts w:ascii="Arial" w:cs="Arial" w:eastAsia="Arial" w:hAnsi="Arial"/>
          <w:sz w:val="19"/>
          <w:szCs w:val="19"/>
          <w:b w:val="1"/>
          <w:bCs w:val="1"/>
          <w:color w:val="auto"/>
        </w:rPr>
      </w:pPr>
    </w:p>
    <w:p>
      <w:pPr>
        <w:ind w:left="1780" w:right="8020" w:hanging="407"/>
        <w:spacing w:after="0" w:line="335" w:lineRule="auto"/>
        <w:tabs>
          <w:tab w:leader="none" w:pos="1780" w:val="left"/>
        </w:tabs>
        <w:numPr>
          <w:ilvl w:val="0"/>
          <w:numId w:val="3"/>
        </w:numPr>
        <w:rPr>
          <w:rFonts w:ascii="Arial" w:cs="Arial" w:eastAsia="Arial" w:hAnsi="Arial"/>
          <w:sz w:val="19"/>
          <w:szCs w:val="19"/>
          <w:b w:val="1"/>
          <w:bCs w:val="1"/>
          <w:color w:val="auto"/>
        </w:rPr>
      </w:pPr>
      <w:r>
        <w:rPr>
          <w:rFonts w:ascii="Arial" w:cs="Arial" w:eastAsia="Arial" w:hAnsi="Arial"/>
          <w:sz w:val="19"/>
          <w:szCs w:val="19"/>
          <w:b w:val="1"/>
          <w:bCs w:val="1"/>
          <w:color w:val="auto"/>
        </w:rPr>
        <w:t xml:space="preserve">CUSIP Number </w:t>
      </w:r>
      <w:r>
        <w:rPr>
          <w:rFonts w:ascii="Arial" w:cs="Arial" w:eastAsia="Arial" w:hAnsi="Arial"/>
          <w:sz w:val="19"/>
          <w:szCs w:val="19"/>
          <w:color w:val="auto"/>
        </w:rPr>
        <w:t>75886F107</w:t>
      </w:r>
    </w:p>
    <w:p>
      <w:pPr>
        <w:spacing w:after="0" w:line="11" w:lineRule="exact"/>
        <w:rPr>
          <w:sz w:val="20"/>
          <w:szCs w:val="20"/>
          <w:color w:val="auto"/>
        </w:rPr>
      </w:pPr>
    </w:p>
    <w:p>
      <w:pPr>
        <w:ind w:left="1380" w:hanging="1363"/>
        <w:spacing w:after="0" w:line="256" w:lineRule="auto"/>
        <w:tabs>
          <w:tab w:leader="none" w:pos="1360" w:val="left"/>
        </w:tabs>
        <w:rPr>
          <w:sz w:val="20"/>
          <w:szCs w:val="20"/>
          <w:color w:val="auto"/>
        </w:rPr>
      </w:pPr>
      <w:r>
        <w:rPr>
          <w:rFonts w:ascii="Arial" w:cs="Arial" w:eastAsia="Arial" w:hAnsi="Arial"/>
          <w:sz w:val="22"/>
          <w:szCs w:val="22"/>
          <w:b w:val="1"/>
          <w:bCs w:val="1"/>
          <w:color w:val="auto"/>
        </w:rPr>
        <w:t>Item 3.</w:t>
      </w:r>
      <w:r>
        <w:rPr>
          <w:sz w:val="20"/>
          <w:szCs w:val="20"/>
          <w:color w:val="auto"/>
        </w:rPr>
        <w:tab/>
      </w:r>
      <w:r>
        <w:rPr>
          <w:rFonts w:ascii="Arial" w:cs="Arial" w:eastAsia="Arial" w:hAnsi="Arial"/>
          <w:sz w:val="22"/>
          <w:szCs w:val="22"/>
          <w:b w:val="1"/>
          <w:bCs w:val="1"/>
          <w:color w:val="auto"/>
        </w:rPr>
        <w:t>If This Statement is Filed Pursuant to Rule 13d-1(b), or 13d-2(b) or (c), Check Whether the Person Filing is a:</w:t>
      </w:r>
    </w:p>
    <w:p>
      <w:pPr>
        <w:spacing w:after="0" w:line="88" w:lineRule="exact"/>
        <w:rPr>
          <w:sz w:val="20"/>
          <w:szCs w:val="20"/>
          <w:color w:val="auto"/>
        </w:rPr>
      </w:pPr>
    </w:p>
    <w:p>
      <w:pPr>
        <w:ind w:left="1780" w:hanging="407"/>
        <w:spacing w:after="0"/>
        <w:tabs>
          <w:tab w:leader="none" w:pos="1780" w:val="left"/>
        </w:tabs>
        <w:numPr>
          <w:ilvl w:val="0"/>
          <w:numId w:val="4"/>
        </w:numPr>
        <w:rPr>
          <w:rFonts w:ascii="Arial" w:cs="Arial" w:eastAsia="Arial" w:hAnsi="Arial"/>
          <w:sz w:val="22"/>
          <w:szCs w:val="22"/>
          <w:color w:val="auto"/>
        </w:rPr>
      </w:pPr>
      <w:r>
        <w:rPr>
          <w:rFonts w:ascii="Arial" w:cs="Arial" w:eastAsia="Arial" w:hAnsi="Arial"/>
          <w:sz w:val="22"/>
          <w:szCs w:val="22"/>
          <w:color w:val="auto"/>
        </w:rPr>
        <w:t>[ ]   Broker or dealer registered under Section 15 of the Act (15 U.S.C. 78o).</w:t>
      </w:r>
    </w:p>
    <w:p>
      <w:pPr>
        <w:spacing w:after="0" w:line="125" w:lineRule="exact"/>
        <w:rPr>
          <w:rFonts w:ascii="Arial" w:cs="Arial" w:eastAsia="Arial" w:hAnsi="Arial"/>
          <w:sz w:val="22"/>
          <w:szCs w:val="22"/>
          <w:color w:val="auto"/>
        </w:rPr>
      </w:pPr>
    </w:p>
    <w:p>
      <w:pPr>
        <w:ind w:left="1780" w:hanging="407"/>
        <w:spacing w:after="0"/>
        <w:tabs>
          <w:tab w:leader="none" w:pos="1780" w:val="left"/>
        </w:tabs>
        <w:numPr>
          <w:ilvl w:val="0"/>
          <w:numId w:val="4"/>
        </w:numPr>
        <w:rPr>
          <w:rFonts w:ascii="Arial" w:cs="Arial" w:eastAsia="Arial" w:hAnsi="Arial"/>
          <w:sz w:val="22"/>
          <w:szCs w:val="22"/>
          <w:color w:val="auto"/>
        </w:rPr>
      </w:pPr>
      <w:r>
        <w:rPr>
          <w:rFonts w:ascii="Arial" w:cs="Arial" w:eastAsia="Arial" w:hAnsi="Arial"/>
          <w:sz w:val="22"/>
          <w:szCs w:val="22"/>
          <w:color w:val="auto"/>
        </w:rPr>
        <w:t>[ ]   Bank as defined in Section 3(a)(6) of the Act (15 U.S.C. 78c).</w:t>
      </w:r>
    </w:p>
    <w:p>
      <w:pPr>
        <w:spacing w:after="0" w:line="125" w:lineRule="exact"/>
        <w:rPr>
          <w:rFonts w:ascii="Arial" w:cs="Arial" w:eastAsia="Arial" w:hAnsi="Arial"/>
          <w:sz w:val="22"/>
          <w:szCs w:val="22"/>
          <w:color w:val="auto"/>
        </w:rPr>
      </w:pPr>
    </w:p>
    <w:p>
      <w:pPr>
        <w:ind w:left="1780" w:hanging="407"/>
        <w:spacing w:after="0"/>
        <w:tabs>
          <w:tab w:leader="none" w:pos="1780" w:val="left"/>
        </w:tabs>
        <w:numPr>
          <w:ilvl w:val="0"/>
          <w:numId w:val="4"/>
        </w:numPr>
        <w:rPr>
          <w:rFonts w:ascii="Arial" w:cs="Arial" w:eastAsia="Arial" w:hAnsi="Arial"/>
          <w:sz w:val="22"/>
          <w:szCs w:val="22"/>
          <w:color w:val="auto"/>
        </w:rPr>
      </w:pPr>
      <w:r>
        <w:rPr>
          <w:rFonts w:ascii="Arial" w:cs="Arial" w:eastAsia="Arial" w:hAnsi="Arial"/>
          <w:sz w:val="22"/>
          <w:szCs w:val="22"/>
          <w:color w:val="auto"/>
        </w:rPr>
        <w:t>[ ]   Insurance Company as defined in Section 3(a)(19) of the Act (15 U.S.C. 78c).</w:t>
      </w:r>
    </w:p>
    <w:p>
      <w:pPr>
        <w:spacing w:after="0" w:line="125" w:lineRule="exact"/>
        <w:rPr>
          <w:rFonts w:ascii="Arial" w:cs="Arial" w:eastAsia="Arial" w:hAnsi="Arial"/>
          <w:sz w:val="22"/>
          <w:szCs w:val="22"/>
          <w:color w:val="auto"/>
        </w:rPr>
      </w:pPr>
    </w:p>
    <w:p>
      <w:pPr>
        <w:ind w:left="2240" w:right="320" w:hanging="867"/>
        <w:spacing w:after="0" w:line="251" w:lineRule="auto"/>
        <w:tabs>
          <w:tab w:leader="none" w:pos="1781" w:val="left"/>
        </w:tabs>
        <w:numPr>
          <w:ilvl w:val="0"/>
          <w:numId w:val="4"/>
        </w:numPr>
        <w:rPr>
          <w:rFonts w:ascii="Arial" w:cs="Arial" w:eastAsia="Arial" w:hAnsi="Arial"/>
          <w:sz w:val="22"/>
          <w:szCs w:val="22"/>
          <w:color w:val="auto"/>
        </w:rPr>
      </w:pPr>
      <w:r>
        <w:rPr>
          <w:rFonts w:ascii="Arial" w:cs="Arial" w:eastAsia="Arial" w:hAnsi="Arial"/>
          <w:sz w:val="22"/>
          <w:szCs w:val="22"/>
          <w:color w:val="auto"/>
        </w:rPr>
        <w:t>[ ] Investment Company registered under Section 8 of the Investment Company Act of 1940 (15 U.S.C. 80a-8).</w:t>
      </w:r>
    </w:p>
    <w:p>
      <w:pPr>
        <w:spacing w:after="0" w:line="92" w:lineRule="exact"/>
        <w:rPr>
          <w:rFonts w:ascii="Arial" w:cs="Arial" w:eastAsia="Arial" w:hAnsi="Arial"/>
          <w:sz w:val="22"/>
          <w:szCs w:val="22"/>
          <w:color w:val="auto"/>
        </w:rPr>
      </w:pPr>
    </w:p>
    <w:p>
      <w:pPr>
        <w:ind w:left="1780" w:hanging="407"/>
        <w:spacing w:after="0"/>
        <w:tabs>
          <w:tab w:leader="none" w:pos="1780" w:val="left"/>
        </w:tabs>
        <w:numPr>
          <w:ilvl w:val="0"/>
          <w:numId w:val="4"/>
        </w:numPr>
        <w:rPr>
          <w:rFonts w:ascii="Arial" w:cs="Arial" w:eastAsia="Arial" w:hAnsi="Arial"/>
          <w:sz w:val="22"/>
          <w:szCs w:val="22"/>
          <w:color w:val="auto"/>
        </w:rPr>
      </w:pPr>
      <w:r>
        <w:rPr>
          <w:rFonts w:ascii="Arial" w:cs="Arial" w:eastAsia="Arial" w:hAnsi="Arial"/>
          <w:sz w:val="22"/>
          <w:szCs w:val="22"/>
          <w:color w:val="auto"/>
        </w:rPr>
        <w:t>[X]  An investment adviser in accordance with Rule 240.13d-1(b)(1)(ii)(E);</w:t>
      </w:r>
    </w:p>
    <w:p>
      <w:pPr>
        <w:spacing w:after="0" w:line="125" w:lineRule="exact"/>
        <w:rPr>
          <w:rFonts w:ascii="Arial" w:cs="Arial" w:eastAsia="Arial" w:hAnsi="Arial"/>
          <w:sz w:val="22"/>
          <w:szCs w:val="22"/>
          <w:color w:val="auto"/>
        </w:rPr>
      </w:pPr>
    </w:p>
    <w:p>
      <w:pPr>
        <w:ind w:left="1780" w:hanging="407"/>
        <w:spacing w:after="0"/>
        <w:tabs>
          <w:tab w:leader="none" w:pos="1780" w:val="left"/>
        </w:tabs>
        <w:numPr>
          <w:ilvl w:val="0"/>
          <w:numId w:val="4"/>
        </w:numPr>
        <w:rPr>
          <w:rFonts w:ascii="Arial" w:cs="Arial" w:eastAsia="Arial" w:hAnsi="Arial"/>
          <w:sz w:val="22"/>
          <w:szCs w:val="22"/>
          <w:color w:val="auto"/>
        </w:rPr>
      </w:pPr>
      <w:r>
        <w:rPr>
          <w:rFonts w:ascii="Arial" w:cs="Arial" w:eastAsia="Arial" w:hAnsi="Arial"/>
          <w:sz w:val="22"/>
          <w:szCs w:val="22"/>
          <w:color w:val="auto"/>
        </w:rPr>
        <w:t>[ ]   An employee benefit plan or endowment fund in accordance with Rule 240.13d-1(b)(1)(ii)(F);</w:t>
      </w:r>
    </w:p>
    <w:p>
      <w:pPr>
        <w:spacing w:after="0" w:line="125" w:lineRule="exact"/>
        <w:rPr>
          <w:rFonts w:ascii="Arial" w:cs="Arial" w:eastAsia="Arial" w:hAnsi="Arial"/>
          <w:sz w:val="22"/>
          <w:szCs w:val="22"/>
          <w:color w:val="auto"/>
        </w:rPr>
      </w:pPr>
    </w:p>
    <w:p>
      <w:pPr>
        <w:ind w:left="1780" w:hanging="407"/>
        <w:spacing w:after="0"/>
        <w:tabs>
          <w:tab w:leader="none" w:pos="1780" w:val="left"/>
        </w:tabs>
        <w:numPr>
          <w:ilvl w:val="0"/>
          <w:numId w:val="4"/>
        </w:numPr>
        <w:rPr>
          <w:rFonts w:ascii="Arial" w:cs="Arial" w:eastAsia="Arial" w:hAnsi="Arial"/>
          <w:sz w:val="22"/>
          <w:szCs w:val="22"/>
          <w:color w:val="auto"/>
        </w:rPr>
      </w:pPr>
      <w:r>
        <w:rPr>
          <w:rFonts w:ascii="Arial" w:cs="Arial" w:eastAsia="Arial" w:hAnsi="Arial"/>
          <w:sz w:val="22"/>
          <w:szCs w:val="22"/>
          <w:color w:val="auto"/>
        </w:rPr>
        <w:t>[ ]   A parent holding company or control person in accordance with Rule 240.13d-1(b)(1)(ii)(G);</w:t>
      </w:r>
    </w:p>
    <w:p>
      <w:pPr>
        <w:spacing w:after="0" w:line="125" w:lineRule="exact"/>
        <w:rPr>
          <w:rFonts w:ascii="Arial" w:cs="Arial" w:eastAsia="Arial" w:hAnsi="Arial"/>
          <w:sz w:val="22"/>
          <w:szCs w:val="22"/>
          <w:color w:val="auto"/>
        </w:rPr>
      </w:pPr>
    </w:p>
    <w:p>
      <w:pPr>
        <w:ind w:left="1780" w:hanging="407"/>
        <w:spacing w:after="0"/>
        <w:tabs>
          <w:tab w:leader="none" w:pos="1780" w:val="left"/>
        </w:tabs>
        <w:numPr>
          <w:ilvl w:val="0"/>
          <w:numId w:val="4"/>
        </w:numPr>
        <w:rPr>
          <w:rFonts w:ascii="Arial" w:cs="Arial" w:eastAsia="Arial" w:hAnsi="Arial"/>
          <w:sz w:val="19"/>
          <w:szCs w:val="19"/>
          <w:color w:val="auto"/>
        </w:rPr>
      </w:pPr>
      <w:r>
        <w:rPr>
          <w:rFonts w:ascii="Arial" w:cs="Arial" w:eastAsia="Arial" w:hAnsi="Arial"/>
          <w:sz w:val="19"/>
          <w:szCs w:val="19"/>
          <w:color w:val="auto"/>
        </w:rPr>
        <w:t>[ ]   A savings association as defined in Section 3(b) of the Federal Deposit Insurance Act (12 U.S.C. 1813);</w:t>
      </w:r>
    </w:p>
    <w:p>
      <w:pPr>
        <w:spacing w:after="0" w:line="159" w:lineRule="exact"/>
        <w:rPr>
          <w:rFonts w:ascii="Arial" w:cs="Arial" w:eastAsia="Arial" w:hAnsi="Arial"/>
          <w:sz w:val="19"/>
          <w:szCs w:val="19"/>
          <w:color w:val="auto"/>
        </w:rPr>
      </w:pPr>
    </w:p>
    <w:p>
      <w:pPr>
        <w:ind w:left="2240" w:right="120" w:hanging="867"/>
        <w:spacing w:after="0" w:line="251" w:lineRule="auto"/>
        <w:tabs>
          <w:tab w:leader="none" w:pos="1781" w:val="left"/>
        </w:tabs>
        <w:numPr>
          <w:ilvl w:val="0"/>
          <w:numId w:val="4"/>
        </w:numPr>
        <w:rPr>
          <w:rFonts w:ascii="Arial" w:cs="Arial" w:eastAsia="Arial" w:hAnsi="Arial"/>
          <w:sz w:val="22"/>
          <w:szCs w:val="22"/>
          <w:color w:val="auto"/>
        </w:rPr>
      </w:pPr>
      <w:r>
        <w:rPr>
          <w:rFonts w:ascii="Arial" w:cs="Arial" w:eastAsia="Arial" w:hAnsi="Arial"/>
          <w:sz w:val="22"/>
          <w:szCs w:val="22"/>
          <w:color w:val="auto"/>
        </w:rPr>
        <w:t>[ ] A church plan that is excluded from the definition of an investment company under Section 3(c)(14) of the Investment Company Act of 1940 (15 U.S.C. 80a-3);</w:t>
      </w:r>
    </w:p>
    <w:p>
      <w:pPr>
        <w:spacing w:after="0" w:line="92" w:lineRule="exact"/>
        <w:rPr>
          <w:rFonts w:ascii="Arial" w:cs="Arial" w:eastAsia="Arial" w:hAnsi="Arial"/>
          <w:sz w:val="22"/>
          <w:szCs w:val="22"/>
          <w:color w:val="auto"/>
        </w:rPr>
      </w:pPr>
    </w:p>
    <w:p>
      <w:pPr>
        <w:ind w:left="1780" w:hanging="407"/>
        <w:spacing w:after="0"/>
        <w:tabs>
          <w:tab w:leader="none" w:pos="1780" w:val="left"/>
        </w:tabs>
        <w:numPr>
          <w:ilvl w:val="0"/>
          <w:numId w:val="4"/>
        </w:numPr>
        <w:rPr>
          <w:rFonts w:ascii="Arial" w:cs="Arial" w:eastAsia="Arial" w:hAnsi="Arial"/>
          <w:sz w:val="22"/>
          <w:szCs w:val="22"/>
          <w:color w:val="auto"/>
        </w:rPr>
      </w:pPr>
      <w:r>
        <w:rPr>
          <w:rFonts w:ascii="Arial" w:cs="Arial" w:eastAsia="Arial" w:hAnsi="Arial"/>
          <w:sz w:val="22"/>
          <w:szCs w:val="22"/>
          <w:color w:val="auto"/>
        </w:rPr>
        <w:t>[ ]   Group, in accordance with Rule 240.13d-1(b)(1)(ii)(J).</w:t>
      </w:r>
    </w:p>
    <w:p>
      <w:pPr>
        <w:spacing w:after="0" w:line="125" w:lineRule="exact"/>
        <w:rPr>
          <w:rFonts w:ascii="Arial" w:cs="Arial" w:eastAsia="Arial" w:hAnsi="Arial"/>
          <w:sz w:val="22"/>
          <w:szCs w:val="22"/>
          <w:color w:val="auto"/>
        </w:rPr>
      </w:pPr>
    </w:p>
    <w:p>
      <w:pPr>
        <w:ind w:left="1780"/>
        <w:spacing w:after="0"/>
        <w:rPr>
          <w:rFonts w:ascii="Arial" w:cs="Arial" w:eastAsia="Arial" w:hAnsi="Arial"/>
          <w:sz w:val="22"/>
          <w:szCs w:val="22"/>
          <w:color w:val="auto"/>
        </w:rPr>
      </w:pPr>
      <w:r>
        <w:rPr>
          <w:rFonts w:ascii="Arial" w:cs="Arial" w:eastAsia="Arial" w:hAnsi="Arial"/>
          <w:sz w:val="22"/>
          <w:szCs w:val="22"/>
          <w:color w:val="auto"/>
        </w:rPr>
        <w:t>If this statement is filed pursuant to Rule 13d-1(c), check this box [ ]</w:t>
      </w:r>
    </w:p>
    <w:p>
      <w:pPr>
        <w:spacing w:after="0" w:line="119" w:lineRule="exact"/>
        <w:rPr>
          <w:sz w:val="20"/>
          <w:szCs w:val="20"/>
          <w:color w:val="auto"/>
        </w:rPr>
      </w:pPr>
    </w:p>
    <w:p>
      <w:pPr>
        <w:spacing w:after="0"/>
        <w:tabs>
          <w:tab w:leader="none" w:pos="1360" w:val="left"/>
        </w:tabs>
        <w:rPr>
          <w:sz w:val="20"/>
          <w:szCs w:val="20"/>
          <w:color w:val="auto"/>
        </w:rPr>
      </w:pPr>
      <w:r>
        <w:rPr>
          <w:rFonts w:ascii="Arial" w:cs="Arial" w:eastAsia="Arial" w:hAnsi="Arial"/>
          <w:sz w:val="22"/>
          <w:szCs w:val="22"/>
          <w:b w:val="1"/>
          <w:bCs w:val="1"/>
          <w:color w:val="auto"/>
        </w:rPr>
        <w:t>Item 4.</w:t>
      </w:r>
      <w:r>
        <w:rPr>
          <w:sz w:val="20"/>
          <w:szCs w:val="20"/>
          <w:color w:val="auto"/>
        </w:rPr>
        <w:tab/>
      </w:r>
      <w:r>
        <w:rPr>
          <w:rFonts w:ascii="Arial" w:cs="Arial" w:eastAsia="Arial" w:hAnsi="Arial"/>
          <w:sz w:val="19"/>
          <w:szCs w:val="19"/>
          <w:b w:val="1"/>
          <w:bCs w:val="1"/>
          <w:color w:val="auto"/>
        </w:rPr>
        <w:t>Ownership.</w:t>
      </w:r>
    </w:p>
    <w:p>
      <w:pPr>
        <w:spacing w:after="0" w:line="131" w:lineRule="exact"/>
        <w:rPr>
          <w:sz w:val="20"/>
          <w:szCs w:val="20"/>
          <w:color w:val="auto"/>
        </w:rPr>
      </w:pPr>
    </w:p>
    <w:p>
      <w:pPr>
        <w:spacing w:after="0" w:line="251" w:lineRule="auto"/>
        <w:rPr>
          <w:sz w:val="20"/>
          <w:szCs w:val="20"/>
          <w:color w:val="auto"/>
        </w:rPr>
      </w:pPr>
      <w:r>
        <w:rPr>
          <w:rFonts w:ascii="Arial" w:cs="Arial" w:eastAsia="Arial" w:hAnsi="Arial"/>
          <w:sz w:val="22"/>
          <w:szCs w:val="22"/>
          <w:color w:val="auto"/>
        </w:rPr>
        <w:t>Provide the following information regarding the aggregate number and percentage of the class of securities of the issuer identified in Item 1.</w:t>
      </w:r>
    </w:p>
    <w:p>
      <w:pPr>
        <w:spacing w:after="0" w:line="92" w:lineRule="exact"/>
        <w:rPr>
          <w:sz w:val="20"/>
          <w:szCs w:val="20"/>
          <w:color w:val="auto"/>
        </w:rPr>
      </w:pPr>
    </w:p>
    <w:p>
      <w:pPr>
        <w:ind w:left="1780" w:hanging="407"/>
        <w:spacing w:after="0"/>
        <w:tabs>
          <w:tab w:leader="none" w:pos="1780" w:val="left"/>
        </w:tabs>
        <w:numPr>
          <w:ilvl w:val="0"/>
          <w:numId w:val="5"/>
        </w:numPr>
        <w:rPr>
          <w:rFonts w:ascii="Arial" w:cs="Arial" w:eastAsia="Arial" w:hAnsi="Arial"/>
          <w:sz w:val="22"/>
          <w:szCs w:val="22"/>
          <w:color w:val="auto"/>
        </w:rPr>
      </w:pPr>
      <w:r>
        <w:rPr>
          <w:rFonts w:ascii="Arial" w:cs="Arial" w:eastAsia="Arial" w:hAnsi="Arial"/>
          <w:sz w:val="22"/>
          <w:szCs w:val="22"/>
          <w:color w:val="auto"/>
        </w:rPr>
        <w:t>Amount Beneficially Owned:</w:t>
      </w:r>
    </w:p>
    <w:p>
      <w:pPr>
        <w:spacing w:after="0" w:line="125" w:lineRule="exact"/>
        <w:rPr>
          <w:rFonts w:ascii="Arial" w:cs="Arial" w:eastAsia="Arial" w:hAnsi="Arial"/>
          <w:sz w:val="22"/>
          <w:szCs w:val="22"/>
          <w:color w:val="auto"/>
        </w:rPr>
      </w:pPr>
    </w:p>
    <w:p>
      <w:pPr>
        <w:ind w:left="1780" w:right="20"/>
        <w:spacing w:after="0" w:line="274" w:lineRule="auto"/>
        <w:rPr>
          <w:rFonts w:ascii="Arial" w:cs="Arial" w:eastAsia="Arial" w:hAnsi="Arial"/>
          <w:sz w:val="22"/>
          <w:szCs w:val="22"/>
          <w:color w:val="auto"/>
        </w:rPr>
      </w:pPr>
      <w:r>
        <w:rPr>
          <w:rFonts w:ascii="Arial" w:cs="Arial" w:eastAsia="Arial" w:hAnsi="Arial"/>
          <w:sz w:val="21"/>
          <w:szCs w:val="21"/>
          <w:color w:val="auto"/>
        </w:rPr>
        <w:t>Wellington Management, in its capacity as investment adviser, may be deemed to beneficially own 4,135,570 shares of the Issuer which are held of record by clients of Wellington Management.</w:t>
      </w:r>
    </w:p>
    <w:p>
      <w:pPr>
        <w:spacing w:after="0" w:line="69" w:lineRule="exact"/>
        <w:rPr>
          <w:rFonts w:ascii="Arial" w:cs="Arial" w:eastAsia="Arial" w:hAnsi="Arial"/>
          <w:sz w:val="22"/>
          <w:szCs w:val="22"/>
          <w:color w:val="auto"/>
        </w:rPr>
      </w:pPr>
    </w:p>
    <w:p>
      <w:pPr>
        <w:ind w:left="1780" w:hanging="407"/>
        <w:spacing w:after="0"/>
        <w:tabs>
          <w:tab w:leader="none" w:pos="1780" w:val="left"/>
        </w:tabs>
        <w:numPr>
          <w:ilvl w:val="0"/>
          <w:numId w:val="5"/>
        </w:numPr>
        <w:rPr>
          <w:rFonts w:ascii="Arial" w:cs="Arial" w:eastAsia="Arial" w:hAnsi="Arial"/>
          <w:sz w:val="22"/>
          <w:szCs w:val="22"/>
          <w:color w:val="auto"/>
        </w:rPr>
      </w:pPr>
      <w:r>
        <w:rPr>
          <w:rFonts w:ascii="Arial" w:cs="Arial" w:eastAsia="Arial" w:hAnsi="Arial"/>
          <w:sz w:val="22"/>
          <w:szCs w:val="22"/>
          <w:color w:val="auto"/>
        </w:rPr>
        <w:t>Percent of Class:</w:t>
      </w:r>
    </w:p>
    <w:p>
      <w:pPr>
        <w:spacing w:after="0" w:line="125" w:lineRule="exact"/>
        <w:rPr>
          <w:rFonts w:ascii="Arial" w:cs="Arial" w:eastAsia="Arial" w:hAnsi="Arial"/>
          <w:sz w:val="22"/>
          <w:szCs w:val="22"/>
          <w:color w:val="auto"/>
        </w:rPr>
      </w:pPr>
    </w:p>
    <w:p>
      <w:pPr>
        <w:ind w:left="1780"/>
        <w:spacing w:after="0"/>
        <w:rPr>
          <w:rFonts w:ascii="Arial" w:cs="Arial" w:eastAsia="Arial" w:hAnsi="Arial"/>
          <w:sz w:val="22"/>
          <w:szCs w:val="22"/>
          <w:color w:val="auto"/>
        </w:rPr>
      </w:pPr>
      <w:r>
        <w:rPr>
          <w:rFonts w:ascii="Arial" w:cs="Arial" w:eastAsia="Arial" w:hAnsi="Arial"/>
          <w:sz w:val="22"/>
          <w:szCs w:val="22"/>
          <w:color w:val="auto"/>
        </w:rPr>
        <w:t>6.59%</w:t>
      </w:r>
    </w:p>
    <w:p>
      <w:pPr>
        <w:spacing w:after="0" w:line="125" w:lineRule="exact"/>
        <w:rPr>
          <w:rFonts w:ascii="Arial" w:cs="Arial" w:eastAsia="Arial" w:hAnsi="Arial"/>
          <w:sz w:val="22"/>
          <w:szCs w:val="22"/>
          <w:color w:val="auto"/>
        </w:rPr>
      </w:pPr>
    </w:p>
    <w:p>
      <w:pPr>
        <w:ind w:left="1780" w:hanging="407"/>
        <w:spacing w:after="0"/>
        <w:tabs>
          <w:tab w:leader="none" w:pos="1780" w:val="left"/>
        </w:tabs>
        <w:numPr>
          <w:ilvl w:val="0"/>
          <w:numId w:val="5"/>
        </w:numPr>
        <w:rPr>
          <w:rFonts w:ascii="Arial" w:cs="Arial" w:eastAsia="Arial" w:hAnsi="Arial"/>
          <w:sz w:val="22"/>
          <w:szCs w:val="22"/>
          <w:color w:val="auto"/>
        </w:rPr>
      </w:pPr>
      <w:r>
        <w:rPr>
          <w:rFonts w:ascii="Arial" w:cs="Arial" w:eastAsia="Arial" w:hAnsi="Arial"/>
          <w:sz w:val="22"/>
          <w:szCs w:val="22"/>
          <w:color w:val="auto"/>
        </w:rPr>
        <w:t>Number of shares as to which such person has:</w:t>
      </w:r>
    </w:p>
    <w:p>
      <w:pPr>
        <w:spacing w:after="0" w:line="125" w:lineRule="exact"/>
        <w:rPr>
          <w:sz w:val="20"/>
          <w:szCs w:val="20"/>
          <w:color w:val="auto"/>
        </w:rPr>
      </w:pPr>
    </w:p>
    <w:tbl>
      <w:tblPr>
        <w:tblLayout w:type="fixed"/>
        <w:tblInd w:w="1780" w:type="dxa"/>
        <w:tblCellMar>
          <w:top w:w="0" w:type="dxa"/>
          <w:left w:w="0" w:type="dxa"/>
          <w:bottom w:w="0" w:type="dxa"/>
          <w:right w:w="0" w:type="dxa"/>
        </w:tblCellMar>
      </w:tblPr>
      <w:tr>
        <w:trPr>
          <w:trHeight w:val="275"/>
        </w:trPr>
        <w:tc>
          <w:tcPr>
            <w:tcW w:w="380" w:type="dxa"/>
            <w:vAlign w:val="bottom"/>
          </w:tcPr>
          <w:p>
            <w:pPr>
              <w:spacing w:after="0"/>
              <w:rPr>
                <w:sz w:val="20"/>
                <w:szCs w:val="20"/>
                <w:color w:val="auto"/>
              </w:rPr>
            </w:pPr>
            <w:r>
              <w:rPr>
                <w:rFonts w:ascii="Arial" w:cs="Arial" w:eastAsia="Arial" w:hAnsi="Arial"/>
                <w:sz w:val="22"/>
                <w:szCs w:val="22"/>
                <w:color w:val="auto"/>
              </w:rPr>
              <w:t>(i)</w:t>
            </w:r>
          </w:p>
        </w:tc>
        <w:tc>
          <w:tcPr>
            <w:tcW w:w="6180" w:type="dxa"/>
            <w:vAlign w:val="bottom"/>
          </w:tcPr>
          <w:p>
            <w:pPr>
              <w:ind w:left="80"/>
              <w:spacing w:after="0"/>
              <w:rPr>
                <w:sz w:val="20"/>
                <w:szCs w:val="20"/>
                <w:color w:val="auto"/>
              </w:rPr>
            </w:pPr>
            <w:r>
              <w:rPr>
                <w:rFonts w:ascii="Arial" w:cs="Arial" w:eastAsia="Arial" w:hAnsi="Arial"/>
                <w:sz w:val="22"/>
                <w:szCs w:val="22"/>
                <w:color w:val="auto"/>
              </w:rPr>
              <w:t>sole power to vote or to direct the vote</w:t>
            </w:r>
          </w:p>
        </w:tc>
        <w:tc>
          <w:tcPr>
            <w:tcW w:w="2340" w:type="dxa"/>
            <w:vAlign w:val="bottom"/>
          </w:tcPr>
          <w:p>
            <w:pPr>
              <w:ind w:left="1480"/>
              <w:spacing w:after="0"/>
              <w:rPr>
                <w:sz w:val="20"/>
                <w:szCs w:val="20"/>
                <w:color w:val="auto"/>
              </w:rPr>
            </w:pPr>
            <w:r>
              <w:rPr>
                <w:rFonts w:ascii="Arial" w:cs="Arial" w:eastAsia="Arial" w:hAnsi="Arial"/>
                <w:sz w:val="22"/>
                <w:szCs w:val="22"/>
                <w:color w:val="auto"/>
              </w:rPr>
              <w:t>0</w:t>
            </w:r>
          </w:p>
        </w:tc>
      </w:tr>
      <w:tr>
        <w:trPr>
          <w:trHeight w:val="378"/>
        </w:trPr>
        <w:tc>
          <w:tcPr>
            <w:tcW w:w="380" w:type="dxa"/>
            <w:vAlign w:val="bottom"/>
          </w:tcPr>
          <w:p>
            <w:pPr>
              <w:spacing w:after="0"/>
              <w:rPr>
                <w:sz w:val="20"/>
                <w:szCs w:val="20"/>
                <w:color w:val="auto"/>
              </w:rPr>
            </w:pPr>
            <w:r>
              <w:rPr>
                <w:rFonts w:ascii="Arial" w:cs="Arial" w:eastAsia="Arial" w:hAnsi="Arial"/>
                <w:sz w:val="22"/>
                <w:szCs w:val="22"/>
                <w:color w:val="auto"/>
              </w:rPr>
              <w:t>(ii)</w:t>
            </w:r>
          </w:p>
        </w:tc>
        <w:tc>
          <w:tcPr>
            <w:tcW w:w="6180" w:type="dxa"/>
            <w:vAlign w:val="bottom"/>
          </w:tcPr>
          <w:p>
            <w:pPr>
              <w:ind w:left="80"/>
              <w:spacing w:after="0"/>
              <w:rPr>
                <w:sz w:val="20"/>
                <w:szCs w:val="20"/>
                <w:color w:val="auto"/>
              </w:rPr>
            </w:pPr>
            <w:r>
              <w:rPr>
                <w:rFonts w:ascii="Arial" w:cs="Arial" w:eastAsia="Arial" w:hAnsi="Arial"/>
                <w:sz w:val="22"/>
                <w:szCs w:val="22"/>
                <w:color w:val="auto"/>
              </w:rPr>
              <w:t>shared power to vote or to direct the vote</w:t>
            </w:r>
          </w:p>
        </w:tc>
        <w:tc>
          <w:tcPr>
            <w:tcW w:w="2340" w:type="dxa"/>
            <w:vAlign w:val="bottom"/>
          </w:tcPr>
          <w:p>
            <w:pPr>
              <w:ind w:left="1480"/>
              <w:spacing w:after="0"/>
              <w:rPr>
                <w:sz w:val="20"/>
                <w:szCs w:val="20"/>
                <w:color w:val="auto"/>
              </w:rPr>
            </w:pPr>
            <w:r>
              <w:rPr>
                <w:rFonts w:ascii="Arial" w:cs="Arial" w:eastAsia="Arial" w:hAnsi="Arial"/>
                <w:sz w:val="22"/>
                <w:szCs w:val="22"/>
                <w:color w:val="auto"/>
                <w:w w:val="85"/>
              </w:rPr>
              <w:t>3,304,010</w:t>
            </w:r>
          </w:p>
        </w:tc>
      </w:tr>
      <w:tr>
        <w:trPr>
          <w:trHeight w:val="378"/>
        </w:trPr>
        <w:tc>
          <w:tcPr>
            <w:tcW w:w="380" w:type="dxa"/>
            <w:vAlign w:val="bottom"/>
          </w:tcPr>
          <w:p>
            <w:pPr>
              <w:spacing w:after="0"/>
              <w:rPr>
                <w:sz w:val="20"/>
                <w:szCs w:val="20"/>
                <w:color w:val="auto"/>
              </w:rPr>
            </w:pPr>
            <w:r>
              <w:rPr>
                <w:rFonts w:ascii="Arial" w:cs="Arial" w:eastAsia="Arial" w:hAnsi="Arial"/>
                <w:sz w:val="22"/>
                <w:szCs w:val="22"/>
                <w:color w:val="auto"/>
              </w:rPr>
              <w:t>(iii)</w:t>
            </w:r>
          </w:p>
        </w:tc>
        <w:tc>
          <w:tcPr>
            <w:tcW w:w="6180" w:type="dxa"/>
            <w:vAlign w:val="bottom"/>
          </w:tcPr>
          <w:p>
            <w:pPr>
              <w:ind w:left="80"/>
              <w:spacing w:after="0"/>
              <w:rPr>
                <w:sz w:val="20"/>
                <w:szCs w:val="20"/>
                <w:color w:val="auto"/>
              </w:rPr>
            </w:pPr>
            <w:r>
              <w:rPr>
                <w:rFonts w:ascii="Arial" w:cs="Arial" w:eastAsia="Arial" w:hAnsi="Arial"/>
                <w:sz w:val="22"/>
                <w:szCs w:val="22"/>
                <w:color w:val="auto"/>
              </w:rPr>
              <w:t>sole power to dispose or to direct the disposition of</w:t>
            </w:r>
          </w:p>
        </w:tc>
        <w:tc>
          <w:tcPr>
            <w:tcW w:w="2340" w:type="dxa"/>
            <w:vAlign w:val="bottom"/>
          </w:tcPr>
          <w:p>
            <w:pPr>
              <w:ind w:left="1480"/>
              <w:spacing w:after="0"/>
              <w:rPr>
                <w:sz w:val="20"/>
                <w:szCs w:val="20"/>
                <w:color w:val="auto"/>
              </w:rPr>
            </w:pPr>
            <w:r>
              <w:rPr>
                <w:rFonts w:ascii="Arial" w:cs="Arial" w:eastAsia="Arial" w:hAnsi="Arial"/>
                <w:sz w:val="22"/>
                <w:szCs w:val="22"/>
                <w:color w:val="auto"/>
              </w:rPr>
              <w:t>0</w:t>
            </w:r>
          </w:p>
        </w:tc>
      </w:tr>
      <w:tr>
        <w:trPr>
          <w:trHeight w:val="378"/>
        </w:trPr>
        <w:tc>
          <w:tcPr>
            <w:tcW w:w="380" w:type="dxa"/>
            <w:vAlign w:val="bottom"/>
          </w:tcPr>
          <w:p>
            <w:pPr>
              <w:spacing w:after="0"/>
              <w:rPr>
                <w:sz w:val="20"/>
                <w:szCs w:val="20"/>
                <w:color w:val="auto"/>
              </w:rPr>
            </w:pPr>
            <w:r>
              <w:rPr>
                <w:rFonts w:ascii="Arial" w:cs="Arial" w:eastAsia="Arial" w:hAnsi="Arial"/>
                <w:sz w:val="22"/>
                <w:szCs w:val="22"/>
                <w:color w:val="auto"/>
              </w:rPr>
              <w:t>(iv)</w:t>
            </w:r>
          </w:p>
        </w:tc>
        <w:tc>
          <w:tcPr>
            <w:tcW w:w="6180" w:type="dxa"/>
            <w:vAlign w:val="bottom"/>
          </w:tcPr>
          <w:p>
            <w:pPr>
              <w:ind w:left="80"/>
              <w:spacing w:after="0"/>
              <w:rPr>
                <w:sz w:val="20"/>
                <w:szCs w:val="20"/>
                <w:color w:val="auto"/>
              </w:rPr>
            </w:pPr>
            <w:r>
              <w:rPr>
                <w:rFonts w:ascii="Arial" w:cs="Arial" w:eastAsia="Arial" w:hAnsi="Arial"/>
                <w:sz w:val="22"/>
                <w:szCs w:val="22"/>
                <w:color w:val="auto"/>
              </w:rPr>
              <w:t>shared power to dispose or to direct the disposition of</w:t>
            </w:r>
          </w:p>
        </w:tc>
        <w:tc>
          <w:tcPr>
            <w:tcW w:w="2340" w:type="dxa"/>
            <w:vAlign w:val="bottom"/>
          </w:tcPr>
          <w:p>
            <w:pPr>
              <w:ind w:left="1480"/>
              <w:spacing w:after="0"/>
              <w:rPr>
                <w:sz w:val="20"/>
                <w:szCs w:val="20"/>
                <w:color w:val="auto"/>
              </w:rPr>
            </w:pPr>
            <w:r>
              <w:rPr>
                <w:rFonts w:ascii="Arial" w:cs="Arial" w:eastAsia="Arial" w:hAnsi="Arial"/>
                <w:sz w:val="22"/>
                <w:szCs w:val="22"/>
                <w:color w:val="auto"/>
                <w:w w:val="85"/>
              </w:rPr>
              <w:t>4,098,070</w:t>
            </w:r>
          </w:p>
        </w:tc>
      </w:tr>
    </w:tbl>
    <w:p>
      <w:pPr>
        <w:spacing w:after="0" w:line="98" w:lineRule="exact"/>
        <w:rPr>
          <w:sz w:val="20"/>
          <w:szCs w:val="20"/>
          <w:color w:val="auto"/>
        </w:rPr>
      </w:pPr>
    </w:p>
    <w:p>
      <w:pPr>
        <w:spacing w:after="0"/>
        <w:tabs>
          <w:tab w:leader="none" w:pos="1360" w:val="left"/>
        </w:tabs>
        <w:rPr>
          <w:sz w:val="20"/>
          <w:szCs w:val="20"/>
          <w:color w:val="auto"/>
        </w:rPr>
      </w:pPr>
      <w:r>
        <w:rPr>
          <w:rFonts w:ascii="Arial" w:cs="Arial" w:eastAsia="Arial" w:hAnsi="Arial"/>
          <w:sz w:val="22"/>
          <w:szCs w:val="22"/>
          <w:b w:val="1"/>
          <w:bCs w:val="1"/>
          <w:color w:val="auto"/>
        </w:rPr>
        <w:t>Item 5.</w:t>
      </w:r>
      <w:r>
        <w:rPr>
          <w:sz w:val="20"/>
          <w:szCs w:val="20"/>
          <w:color w:val="auto"/>
        </w:rPr>
        <w:tab/>
      </w:r>
      <w:r>
        <w:rPr>
          <w:rFonts w:ascii="Arial" w:cs="Arial" w:eastAsia="Arial" w:hAnsi="Arial"/>
          <w:sz w:val="19"/>
          <w:szCs w:val="19"/>
          <w:b w:val="1"/>
          <w:bCs w:val="1"/>
          <w:color w:val="auto"/>
        </w:rPr>
        <w:t>Ownership of Five Percent or Less of Class.</w:t>
      </w:r>
    </w:p>
    <w:p>
      <w:pPr>
        <w:spacing w:after="0" w:line="131" w:lineRule="exact"/>
        <w:rPr>
          <w:sz w:val="20"/>
          <w:szCs w:val="20"/>
          <w:color w:val="auto"/>
        </w:rPr>
      </w:pPr>
    </w:p>
    <w:p>
      <w:pPr>
        <w:ind w:left="1380"/>
        <w:spacing w:after="0"/>
        <w:rPr>
          <w:sz w:val="20"/>
          <w:szCs w:val="20"/>
          <w:color w:val="auto"/>
        </w:rPr>
      </w:pPr>
      <w:r>
        <w:rPr>
          <w:rFonts w:ascii="Arial" w:cs="Arial" w:eastAsia="Arial" w:hAnsi="Arial"/>
          <w:sz w:val="19"/>
          <w:szCs w:val="19"/>
          <w:color w:val="auto"/>
        </w:rPr>
        <w:t>If this statement is being filed to report the fact that as of the date hereof the reporting person has ceased to be the</w:t>
      </w:r>
    </w:p>
    <w:p>
      <w:pPr>
        <w:sectPr>
          <w:pgSz w:w="11900" w:h="16838" w:orient="portrait"/>
          <w:cols w:equalWidth="0" w:num="1">
            <w:col w:w="11260"/>
          </w:cols>
          <w:pgMar w:left="320" w:top="409" w:right="319" w:bottom="0" w:gutter="0" w:footer="0" w:header="0"/>
        </w:sectPr>
      </w:pPr>
    </w:p>
    <w:bookmarkStart w:id="3" w:name="page4"/>
    <w:bookmarkEnd w:id="3"/>
    <w:p>
      <w:pPr>
        <w:ind w:left="1380"/>
        <w:spacing w:after="0"/>
        <w:rPr>
          <w:sz w:val="20"/>
          <w:szCs w:val="20"/>
          <w:color w:val="auto"/>
        </w:rPr>
      </w:pPr>
      <w:r>
        <w:rPr>
          <w:rFonts w:ascii="Arial" w:cs="Arial" w:eastAsia="Arial" w:hAnsi="Arial"/>
          <w:sz w:val="19"/>
          <w:szCs w:val="19"/>
          <w:color w:val="auto"/>
        </w:rPr>
        <w:t>beneficial owner of more than five percent of the class of securities, check the following: [ ]</w:t>
      </w:r>
    </w:p>
    <w:p>
      <w:pPr>
        <w:sectPr>
          <w:pgSz w:w="11900" w:h="16838" w:orient="portrait"/>
          <w:cols w:equalWidth="0" w:num="1">
            <w:col w:w="11240"/>
          </w:cols>
          <w:pgMar w:left="320" w:top="118" w:right="339" w:bottom="1440" w:gutter="0" w:footer="0" w:header="0"/>
        </w:sectPr>
      </w:pPr>
    </w:p>
    <w:p>
      <w:pPr>
        <w:spacing w:after="0" w:line="154"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Item 6.</w:t>
      </w:r>
    </w:p>
    <w:p>
      <w:pPr>
        <w:spacing w:after="0" w:line="20" w:lineRule="exact"/>
        <w:rPr>
          <w:sz w:val="20"/>
          <w:szCs w:val="20"/>
          <w:color w:val="auto"/>
        </w:rPr>
      </w:pPr>
      <w:r>
        <w:rPr>
          <w:sz w:val="20"/>
          <w:szCs w:val="20"/>
          <w:color w:val="auto"/>
        </w:rPr>
        <w:br w:type="column"/>
      </w:r>
    </w:p>
    <w:p>
      <w:pPr>
        <w:spacing w:after="0" w:line="134"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Ownership of More than Five Percent on Behalf of Another Person.</w:t>
      </w:r>
    </w:p>
    <w:p>
      <w:pPr>
        <w:spacing w:after="0" w:line="166" w:lineRule="exact"/>
        <w:rPr>
          <w:sz w:val="20"/>
          <w:szCs w:val="20"/>
          <w:color w:val="auto"/>
        </w:rPr>
      </w:pPr>
    </w:p>
    <w:p>
      <w:pPr>
        <w:sectPr>
          <w:pgSz w:w="11900" w:h="16838" w:orient="portrait"/>
          <w:cols w:equalWidth="0" w:num="2">
            <w:col w:w="660" w:space="720"/>
            <w:col w:w="9860"/>
          </w:cols>
          <w:pgMar w:left="320" w:top="118" w:right="339" w:bottom="1440" w:gutter="0" w:footer="0" w:header="0"/>
          <w:type w:val="continuous"/>
        </w:sectPr>
      </w:pPr>
    </w:p>
    <w:p>
      <w:pPr>
        <w:ind w:left="1380"/>
        <w:spacing w:after="0" w:line="287" w:lineRule="auto"/>
        <w:rPr>
          <w:sz w:val="20"/>
          <w:szCs w:val="20"/>
          <w:color w:val="auto"/>
        </w:rPr>
      </w:pPr>
      <w:r>
        <w:rPr>
          <w:rFonts w:ascii="Arial" w:cs="Arial" w:eastAsia="Arial" w:hAnsi="Arial"/>
          <w:sz w:val="19"/>
          <w:szCs w:val="19"/>
          <w:color w:val="auto"/>
        </w:rPr>
        <w:t>The securities as to which this Schedule is filed by Wellington Management, in its capacity as investment adviser, are owned of record by clients of Wellington Management. Those clients have the right to receive, or the power to direct the receipt of, dividends from, or the proceeds from the sale of, such securities. No such client is known to have such right or power with respect to more than five percent of this class of securities, except as follows:</w:t>
      </w:r>
    </w:p>
    <w:p>
      <w:pPr>
        <w:spacing w:after="0" w:line="170" w:lineRule="exact"/>
        <w:rPr>
          <w:sz w:val="20"/>
          <w:szCs w:val="20"/>
          <w:color w:val="auto"/>
        </w:rPr>
      </w:pPr>
    </w:p>
    <w:p>
      <w:pPr>
        <w:ind w:left="1380"/>
        <w:spacing w:after="0"/>
        <w:rPr>
          <w:sz w:val="20"/>
          <w:szCs w:val="20"/>
          <w:color w:val="auto"/>
        </w:rPr>
      </w:pPr>
      <w:r>
        <w:rPr>
          <w:rFonts w:ascii="Arial" w:cs="Arial" w:eastAsia="Arial" w:hAnsi="Arial"/>
          <w:sz w:val="22"/>
          <w:szCs w:val="22"/>
          <w:color w:val="auto"/>
        </w:rPr>
        <w:t>Not Applicable.</w:t>
      </w:r>
    </w:p>
    <w:p>
      <w:pPr>
        <w:sectPr>
          <w:pgSz w:w="11900" w:h="16838" w:orient="portrait"/>
          <w:cols w:equalWidth="0" w:num="1">
            <w:col w:w="11240"/>
          </w:cols>
          <w:pgMar w:left="320" w:top="118" w:right="339" w:bottom="1440" w:gutter="0" w:footer="0" w:header="0"/>
          <w:type w:val="continuous"/>
        </w:sectPr>
      </w:pPr>
    </w:p>
    <w:p>
      <w:pPr>
        <w:spacing w:after="0" w:line="119"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Item 7.</w:t>
      </w:r>
    </w:p>
    <w:p>
      <w:pPr>
        <w:spacing w:after="0" w:line="20" w:lineRule="exact"/>
        <w:rPr>
          <w:sz w:val="20"/>
          <w:szCs w:val="20"/>
          <w:color w:val="auto"/>
        </w:rPr>
      </w:pPr>
      <w:r>
        <w:rPr>
          <w:sz w:val="20"/>
          <w:szCs w:val="20"/>
          <w:color w:val="auto"/>
        </w:rPr>
        <w:br w:type="column"/>
      </w:r>
    </w:p>
    <w:p>
      <w:pPr>
        <w:spacing w:after="0" w:line="99" w:lineRule="exact"/>
        <w:rPr>
          <w:sz w:val="20"/>
          <w:szCs w:val="20"/>
          <w:color w:val="auto"/>
        </w:rPr>
      </w:pPr>
    </w:p>
    <w:p>
      <w:pPr>
        <w:ind w:right="140"/>
        <w:spacing w:after="0" w:line="256" w:lineRule="auto"/>
        <w:rPr>
          <w:sz w:val="20"/>
          <w:szCs w:val="20"/>
          <w:color w:val="auto"/>
        </w:rPr>
      </w:pPr>
      <w:r>
        <w:rPr>
          <w:rFonts w:ascii="Arial" w:cs="Arial" w:eastAsia="Arial" w:hAnsi="Arial"/>
          <w:sz w:val="22"/>
          <w:szCs w:val="22"/>
          <w:b w:val="1"/>
          <w:bCs w:val="1"/>
          <w:color w:val="auto"/>
        </w:rPr>
        <w:t>Identification and Classification of the Subsidiary Which Acquired the Security Being Reported on by the Parent Holding Company.</w:t>
      </w:r>
    </w:p>
    <w:p>
      <w:pPr>
        <w:spacing w:after="0" w:line="200" w:lineRule="exact"/>
        <w:rPr>
          <w:sz w:val="20"/>
          <w:szCs w:val="20"/>
          <w:color w:val="auto"/>
        </w:rPr>
      </w:pPr>
    </w:p>
    <w:p>
      <w:pPr>
        <w:sectPr>
          <w:pgSz w:w="11900" w:h="16838" w:orient="portrait"/>
          <w:cols w:equalWidth="0" w:num="2">
            <w:col w:w="660" w:space="720"/>
            <w:col w:w="9860"/>
          </w:cols>
          <w:pgMar w:left="320" w:top="118" w:right="339" w:bottom="1440" w:gutter="0" w:footer="0" w:header="0"/>
          <w:type w:val="continuous"/>
        </w:sectPr>
      </w:pPr>
    </w:p>
    <w:p>
      <w:pPr>
        <w:spacing w:after="0" w:line="131" w:lineRule="exact"/>
        <w:rPr>
          <w:sz w:val="20"/>
          <w:szCs w:val="20"/>
          <w:color w:val="auto"/>
        </w:rPr>
      </w:pPr>
    </w:p>
    <w:p>
      <w:pPr>
        <w:ind w:left="1380"/>
        <w:spacing w:after="0"/>
        <w:rPr>
          <w:sz w:val="20"/>
          <w:szCs w:val="20"/>
          <w:color w:val="auto"/>
        </w:rPr>
      </w:pPr>
      <w:r>
        <w:rPr>
          <w:rFonts w:ascii="Arial" w:cs="Arial" w:eastAsia="Arial" w:hAnsi="Arial"/>
          <w:sz w:val="19"/>
          <w:szCs w:val="19"/>
          <w:color w:val="auto"/>
        </w:rPr>
        <w:t>Not Applicable.</w:t>
      </w:r>
    </w:p>
    <w:p>
      <w:pPr>
        <w:sectPr>
          <w:pgSz w:w="11900" w:h="16838" w:orient="portrait"/>
          <w:cols w:equalWidth="0" w:num="1">
            <w:col w:w="11240"/>
          </w:cols>
          <w:pgMar w:left="320" w:top="118" w:right="339" w:bottom="1440" w:gutter="0" w:footer="0" w:header="0"/>
          <w:type w:val="continuous"/>
        </w:sectPr>
      </w:pPr>
    </w:p>
    <w:p>
      <w:pPr>
        <w:spacing w:after="0" w:line="154"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Item 8.</w:t>
      </w:r>
    </w:p>
    <w:p>
      <w:pPr>
        <w:spacing w:after="0" w:line="20" w:lineRule="exact"/>
        <w:rPr>
          <w:sz w:val="20"/>
          <w:szCs w:val="20"/>
          <w:color w:val="auto"/>
        </w:rPr>
      </w:pPr>
      <w:r>
        <w:rPr>
          <w:sz w:val="20"/>
          <w:szCs w:val="20"/>
          <w:color w:val="auto"/>
        </w:rPr>
        <w:br w:type="column"/>
      </w:r>
    </w:p>
    <w:p>
      <w:pPr>
        <w:spacing w:after="0" w:line="134"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Identification and Classification of Members of the Group.</w:t>
      </w:r>
    </w:p>
    <w:p>
      <w:pPr>
        <w:spacing w:after="0" w:line="200" w:lineRule="exact"/>
        <w:rPr>
          <w:sz w:val="20"/>
          <w:szCs w:val="20"/>
          <w:color w:val="auto"/>
        </w:rPr>
      </w:pPr>
    </w:p>
    <w:p>
      <w:pPr>
        <w:sectPr>
          <w:pgSz w:w="11900" w:h="16838" w:orient="portrait"/>
          <w:cols w:equalWidth="0" w:num="2">
            <w:col w:w="660" w:space="720"/>
            <w:col w:w="9860"/>
          </w:cols>
          <w:pgMar w:left="320" w:top="118" w:right="339" w:bottom="1440" w:gutter="0" w:footer="0" w:header="0"/>
          <w:type w:val="continuous"/>
        </w:sectPr>
      </w:pPr>
    </w:p>
    <w:p>
      <w:pPr>
        <w:spacing w:after="0" w:line="74" w:lineRule="exact"/>
        <w:rPr>
          <w:sz w:val="20"/>
          <w:szCs w:val="20"/>
          <w:color w:val="auto"/>
        </w:rPr>
      </w:pPr>
    </w:p>
    <w:p>
      <w:pPr>
        <w:ind w:left="1380"/>
        <w:spacing w:after="0"/>
        <w:rPr>
          <w:sz w:val="20"/>
          <w:szCs w:val="20"/>
          <w:color w:val="auto"/>
        </w:rPr>
      </w:pPr>
      <w:r>
        <w:rPr>
          <w:rFonts w:ascii="Arial" w:cs="Arial" w:eastAsia="Arial" w:hAnsi="Arial"/>
          <w:sz w:val="19"/>
          <w:szCs w:val="19"/>
          <w:color w:val="auto"/>
        </w:rPr>
        <w:t>Not Applicable.</w:t>
      </w:r>
    </w:p>
    <w:p>
      <w:pPr>
        <w:sectPr>
          <w:pgSz w:w="11900" w:h="16838" w:orient="portrait"/>
          <w:cols w:equalWidth="0" w:num="1">
            <w:col w:w="11240"/>
          </w:cols>
          <w:pgMar w:left="320" w:top="118" w:right="339" w:bottom="1440" w:gutter="0" w:footer="0" w:header="0"/>
          <w:type w:val="continuous"/>
        </w:sectPr>
      </w:pPr>
    </w:p>
    <w:p>
      <w:pPr>
        <w:spacing w:after="0" w:line="154"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Item 9.</w:t>
      </w:r>
    </w:p>
    <w:p>
      <w:pPr>
        <w:spacing w:after="0" w:line="20" w:lineRule="exact"/>
        <w:rPr>
          <w:sz w:val="20"/>
          <w:szCs w:val="20"/>
          <w:color w:val="auto"/>
        </w:rPr>
      </w:pPr>
      <w:r>
        <w:rPr>
          <w:sz w:val="20"/>
          <w:szCs w:val="20"/>
          <w:color w:val="auto"/>
        </w:rPr>
        <w:br w:type="column"/>
      </w:r>
    </w:p>
    <w:p>
      <w:pPr>
        <w:spacing w:after="0" w:line="134"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Notice of Dissolution of Group.</w:t>
      </w:r>
    </w:p>
    <w:p>
      <w:pPr>
        <w:spacing w:after="0" w:line="200" w:lineRule="exact"/>
        <w:rPr>
          <w:sz w:val="20"/>
          <w:szCs w:val="20"/>
          <w:color w:val="auto"/>
        </w:rPr>
      </w:pPr>
    </w:p>
    <w:p>
      <w:pPr>
        <w:sectPr>
          <w:pgSz w:w="11900" w:h="16838" w:orient="portrait"/>
          <w:cols w:equalWidth="0" w:num="2">
            <w:col w:w="660" w:space="720"/>
            <w:col w:w="9860"/>
          </w:cols>
          <w:pgMar w:left="320" w:top="118" w:right="339" w:bottom="1440" w:gutter="0" w:footer="0" w:header="0"/>
          <w:type w:val="continuous"/>
        </w:sectPr>
      </w:pPr>
    </w:p>
    <w:p>
      <w:pPr>
        <w:spacing w:after="0" w:line="74" w:lineRule="exact"/>
        <w:rPr>
          <w:sz w:val="20"/>
          <w:szCs w:val="20"/>
          <w:color w:val="auto"/>
        </w:rPr>
      </w:pPr>
    </w:p>
    <w:p>
      <w:pPr>
        <w:ind w:left="1380"/>
        <w:spacing w:after="0"/>
        <w:rPr>
          <w:sz w:val="20"/>
          <w:szCs w:val="20"/>
          <w:color w:val="auto"/>
        </w:rPr>
      </w:pPr>
      <w:r>
        <w:rPr>
          <w:rFonts w:ascii="Arial" w:cs="Arial" w:eastAsia="Arial" w:hAnsi="Arial"/>
          <w:sz w:val="19"/>
          <w:szCs w:val="19"/>
          <w:color w:val="auto"/>
        </w:rPr>
        <w:t>Not Applicable.</w:t>
      </w:r>
    </w:p>
    <w:p>
      <w:pPr>
        <w:sectPr>
          <w:pgSz w:w="11900" w:h="16838" w:orient="portrait"/>
          <w:cols w:equalWidth="0" w:num="1">
            <w:col w:w="11240"/>
          </w:cols>
          <w:pgMar w:left="320" w:top="118" w:right="339" w:bottom="1440" w:gutter="0" w:footer="0" w:header="0"/>
          <w:type w:val="continuous"/>
        </w:sectPr>
      </w:pPr>
    </w:p>
    <w:p>
      <w:pPr>
        <w:spacing w:after="0" w:line="154"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Item 10.</w:t>
      </w:r>
    </w:p>
    <w:p>
      <w:pPr>
        <w:spacing w:after="0" w:line="20" w:lineRule="exact"/>
        <w:rPr>
          <w:sz w:val="20"/>
          <w:szCs w:val="20"/>
          <w:color w:val="auto"/>
        </w:rPr>
      </w:pPr>
      <w:r>
        <w:rPr>
          <w:sz w:val="20"/>
          <w:szCs w:val="20"/>
          <w:color w:val="auto"/>
        </w:rPr>
        <w:br w:type="column"/>
      </w:r>
    </w:p>
    <w:p>
      <w:pPr>
        <w:spacing w:after="0" w:line="134"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Certification.</w:t>
      </w:r>
    </w:p>
    <w:p>
      <w:pPr>
        <w:spacing w:after="0" w:line="200" w:lineRule="exact"/>
        <w:rPr>
          <w:sz w:val="20"/>
          <w:szCs w:val="20"/>
          <w:color w:val="auto"/>
        </w:rPr>
      </w:pPr>
    </w:p>
    <w:p>
      <w:pPr>
        <w:sectPr>
          <w:pgSz w:w="11900" w:h="16838" w:orient="portrait"/>
          <w:cols w:equalWidth="0" w:num="2">
            <w:col w:w="760" w:space="620"/>
            <w:col w:w="9860"/>
          </w:cols>
          <w:pgMar w:left="320" w:top="118" w:right="339" w:bottom="1440" w:gutter="0" w:footer="0" w:header="0"/>
          <w:type w:val="continuous"/>
        </w:sectPr>
      </w:pPr>
    </w:p>
    <w:p>
      <w:pPr>
        <w:spacing w:after="0" w:line="74" w:lineRule="exact"/>
        <w:rPr>
          <w:sz w:val="20"/>
          <w:szCs w:val="20"/>
          <w:color w:val="auto"/>
        </w:rPr>
      </w:pPr>
    </w:p>
    <w:p>
      <w:pPr>
        <w:ind w:left="1380" w:right="40"/>
        <w:spacing w:after="0" w:line="287" w:lineRule="auto"/>
        <w:rPr>
          <w:sz w:val="20"/>
          <w:szCs w:val="20"/>
          <w:color w:val="auto"/>
        </w:rPr>
      </w:pPr>
      <w:r>
        <w:rPr>
          <w:rFonts w:ascii="Arial" w:cs="Arial" w:eastAsia="Arial" w:hAnsi="Arial"/>
          <w:sz w:val="19"/>
          <w:szCs w:val="19"/>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286" w:lineRule="exact"/>
        <w:rPr>
          <w:sz w:val="20"/>
          <w:szCs w:val="20"/>
          <w:color w:val="auto"/>
        </w:rPr>
      </w:pPr>
    </w:p>
    <w:p>
      <w:pPr>
        <w:jc w:val="center"/>
        <w:ind w:right="-39"/>
        <w:spacing w:after="0"/>
        <w:rPr>
          <w:sz w:val="20"/>
          <w:szCs w:val="20"/>
          <w:color w:val="auto"/>
        </w:rPr>
      </w:pPr>
      <w:r>
        <w:rPr>
          <w:rFonts w:ascii="Arial" w:cs="Arial" w:eastAsia="Arial" w:hAnsi="Arial"/>
          <w:sz w:val="22"/>
          <w:szCs w:val="22"/>
          <w:b w:val="1"/>
          <w:bCs w:val="1"/>
          <w:color w:val="auto"/>
        </w:rPr>
        <w:t>SIGNATURE</w:t>
      </w:r>
    </w:p>
    <w:p>
      <w:pPr>
        <w:spacing w:after="0" w:line="334" w:lineRule="exact"/>
        <w:rPr>
          <w:sz w:val="20"/>
          <w:szCs w:val="20"/>
          <w:color w:val="auto"/>
        </w:rPr>
      </w:pPr>
    </w:p>
    <w:p>
      <w:pPr>
        <w:ind w:left="1120" w:right="1360"/>
        <w:spacing w:after="0" w:line="251" w:lineRule="auto"/>
        <w:rPr>
          <w:sz w:val="20"/>
          <w:szCs w:val="20"/>
          <w:color w:val="auto"/>
        </w:rPr>
      </w:pPr>
      <w:r>
        <w:rPr>
          <w:rFonts w:ascii="Arial" w:cs="Arial" w:eastAsia="Arial" w:hAnsi="Arial"/>
          <w:sz w:val="22"/>
          <w:szCs w:val="22"/>
          <w:color w:val="auto"/>
        </w:rPr>
        <w:t>After reasonable inquiry and to the best of my knowledge and belief, I certify that the information set forth in this statement is true, complete and correct.</w:t>
      </w:r>
    </w:p>
    <w:p>
      <w:pPr>
        <w:spacing w:after="0" w:line="254" w:lineRule="exact"/>
        <w:rPr>
          <w:sz w:val="20"/>
          <w:szCs w:val="20"/>
          <w:color w:val="auto"/>
        </w:rPr>
      </w:pPr>
    </w:p>
    <w:p>
      <w:pPr>
        <w:ind w:left="4140"/>
        <w:spacing w:after="0"/>
        <w:rPr>
          <w:sz w:val="20"/>
          <w:szCs w:val="20"/>
          <w:color w:val="auto"/>
        </w:rPr>
      </w:pPr>
      <w:r>
        <w:rPr>
          <w:rFonts w:ascii="Arial" w:cs="Arial" w:eastAsia="Arial" w:hAnsi="Arial"/>
          <w:sz w:val="22"/>
          <w:szCs w:val="22"/>
          <w:color w:val="auto"/>
        </w:rPr>
        <w:t>By: /s/ Robert J. Toner</w:t>
      </w:r>
    </w:p>
    <w:p>
      <w:pPr>
        <w:spacing w:after="0" w:line="44" w:lineRule="exact"/>
        <w:rPr>
          <w:sz w:val="20"/>
          <w:szCs w:val="20"/>
          <w:color w:val="auto"/>
        </w:rPr>
      </w:pPr>
    </w:p>
    <w:p>
      <w:pPr>
        <w:ind w:left="4140"/>
        <w:spacing w:after="0"/>
        <w:rPr>
          <w:sz w:val="20"/>
          <w:szCs w:val="20"/>
          <w:color w:val="auto"/>
        </w:rPr>
      </w:pPr>
      <w:r>
        <w:rPr>
          <w:rFonts w:ascii="Arial" w:cs="Arial" w:eastAsia="Arial" w:hAnsi="Arial"/>
          <w:sz w:val="22"/>
          <w:szCs w:val="22"/>
          <w:color w:val="auto"/>
        </w:rPr>
        <w:t>--------------------------------------</w:t>
      </w:r>
    </w:p>
    <w:p>
      <w:pPr>
        <w:spacing w:after="0" w:line="44" w:lineRule="exact"/>
        <w:rPr>
          <w:sz w:val="20"/>
          <w:szCs w:val="20"/>
          <w:color w:val="auto"/>
        </w:rPr>
      </w:pPr>
    </w:p>
    <w:p>
      <w:pPr>
        <w:ind w:left="4140"/>
        <w:spacing w:after="0"/>
        <w:rPr>
          <w:sz w:val="20"/>
          <w:szCs w:val="20"/>
          <w:color w:val="auto"/>
        </w:rPr>
      </w:pPr>
      <w:r>
        <w:rPr>
          <w:rFonts w:ascii="Arial" w:cs="Arial" w:eastAsia="Arial" w:hAnsi="Arial"/>
          <w:sz w:val="22"/>
          <w:szCs w:val="22"/>
          <w:color w:val="auto"/>
        </w:rPr>
        <w:t>Name: Robert J. Toner</w:t>
      </w:r>
    </w:p>
    <w:p>
      <w:pPr>
        <w:spacing w:after="0" w:line="44" w:lineRule="exact"/>
        <w:rPr>
          <w:sz w:val="20"/>
          <w:szCs w:val="20"/>
          <w:color w:val="auto"/>
        </w:rPr>
      </w:pPr>
    </w:p>
    <w:p>
      <w:pPr>
        <w:ind w:left="4140"/>
        <w:spacing w:after="0"/>
        <w:rPr>
          <w:sz w:val="20"/>
          <w:szCs w:val="20"/>
          <w:color w:val="auto"/>
        </w:rPr>
      </w:pPr>
      <w:r>
        <w:rPr>
          <w:rFonts w:ascii="Arial" w:cs="Arial" w:eastAsia="Arial" w:hAnsi="Arial"/>
          <w:sz w:val="22"/>
          <w:szCs w:val="22"/>
          <w:color w:val="auto"/>
        </w:rPr>
        <w:t>Title: Vice President</w:t>
      </w:r>
    </w:p>
    <w:p>
      <w:pPr>
        <w:spacing w:after="0" w:line="44" w:lineRule="exact"/>
        <w:rPr>
          <w:sz w:val="20"/>
          <w:szCs w:val="20"/>
          <w:color w:val="auto"/>
        </w:rPr>
      </w:pPr>
    </w:p>
    <w:p>
      <w:pPr>
        <w:ind w:left="4140"/>
        <w:spacing w:after="0"/>
        <w:rPr>
          <w:sz w:val="20"/>
          <w:szCs w:val="20"/>
          <w:color w:val="auto"/>
        </w:rPr>
      </w:pPr>
      <w:r>
        <w:rPr>
          <w:rFonts w:ascii="Arial" w:cs="Arial" w:eastAsia="Arial" w:hAnsi="Arial"/>
          <w:sz w:val="22"/>
          <w:szCs w:val="22"/>
          <w:color w:val="auto"/>
        </w:rPr>
        <w:t>Date: February 14, 2007</w:t>
      </w:r>
    </w:p>
    <w:sectPr>
      <w:pgSz w:w="11900" w:h="16838" w:orient="portrait"/>
      <w:cols w:equalWidth="0" w:num="1">
        <w:col w:w="11240"/>
      </w:cols>
      <w:pgMar w:left="320" w:top="118"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9495CFF"/>
    <w:multiLevelType w:val="hybridMultilevel"/>
    <w:lvl w:ilvl="0">
      <w:lvlJc w:val="left"/>
      <w:lvlText w:val="*"/>
      <w:numFmt w:val="bullet"/>
      <w:start w:val="1"/>
    </w:lvl>
    <w:lvl w:ilvl="1">
      <w:lvlJc w:val="left"/>
      <w:lvlText w:val="[%2]"/>
      <w:numFmt w:val="upperLetter"/>
      <w:start w:val="24"/>
    </w:lvl>
  </w:abstractNum>
  <w:abstractNum w:abstractNumId="1">
    <w:nsid w:val="2AE8944A"/>
    <w:multiLevelType w:val="hybridMultilevel"/>
    <w:lvl w:ilvl="0">
      <w:lvlJc w:val="left"/>
      <w:lvlText w:val="(%1)"/>
      <w:numFmt w:val="lowerLetter"/>
      <w:start w:val="1"/>
    </w:lvl>
  </w:abstractNum>
  <w:abstractNum w:abstractNumId="2">
    <w:nsid w:val="625558EC"/>
    <w:multiLevelType w:val="hybridMultilevel"/>
    <w:lvl w:ilvl="0">
      <w:lvlJc w:val="left"/>
      <w:lvlText w:val="(%1)"/>
      <w:numFmt w:val="lowerLetter"/>
      <w:start w:val="1"/>
    </w:lvl>
  </w:abstractNum>
  <w:abstractNum w:abstractNumId="3">
    <w:nsid w:val="238E1F29"/>
    <w:multiLevelType w:val="hybridMultilevel"/>
    <w:lvl w:ilvl="0">
      <w:lvlJc w:val="left"/>
      <w:lvlText w:val="(%1)"/>
      <w:numFmt w:val="lowerLetter"/>
      <w:start w:val="1"/>
    </w:lvl>
  </w:abstractNum>
  <w:abstractNum w:abstractNumId="4">
    <w:nsid w:val="46E87CCD"/>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2019-12-20T00:08:18Z</dcterms:created>
  <dcterms:modified xsi:type="dcterms:W3CDTF">2019-12-20T00:08:18Z</dcterms:modified>
</cp:coreProperties>
</file>