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No.5</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REGENERON PHARMACEUTICALS INC</w:t>
      </w:r>
    </w:p>
    <w:p>
      <w:pPr>
        <w:spacing w:after="0" w:line="238" w:lineRule="auto"/>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Cusip #75886F107</w:t>
      </w: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jc w:val="both"/>
        <w:ind w:right="8339" w:firstLine="8"/>
        <w:spacing w:after="0" w:line="323"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4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#75886F107</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 Reporting Person - FMR LLC</w:t>
      </w:r>
    </w:p>
    <w:p>
      <w:pPr>
        <w:spacing w:after="0"/>
        <w:tabs>
          <w:tab w:leader="none" w:pos="1360" w:val="left"/>
        </w:tabs>
        <w:rPr>
          <w:sz w:val="20"/>
          <w:szCs w:val="20"/>
          <w:color w:val="auto"/>
        </w:rPr>
      </w:pPr>
      <w:r>
        <w:rPr>
          <w:rFonts w:ascii="Courier New" w:cs="Courier New" w:eastAsia="Courier New" w:hAnsi="Courier New"/>
          <w:sz w:val="18"/>
          <w:szCs w:val="18"/>
          <w:color w:val="auto"/>
        </w:rPr>
        <w:t>Item 2: (a)</w:t>
      </w:r>
      <w:r>
        <w:rPr>
          <w:sz w:val="20"/>
          <w:szCs w:val="20"/>
          <w:color w:val="auto"/>
        </w:rPr>
        <w:tab/>
      </w:r>
      <w:r>
        <w:rPr>
          <w:rFonts w:ascii="Courier New" w:cs="Courier New" w:eastAsia="Courier New" w:hAnsi="Courier New"/>
          <w:sz w:val="16"/>
          <w:szCs w:val="16"/>
          <w:color w:val="auto"/>
        </w:rPr>
        <w:t>[ ]</w:t>
      </w:r>
    </w:p>
    <w:p>
      <w:pPr>
        <w:jc w:val="both"/>
        <w:ind w:right="8339" w:firstLine="850"/>
        <w:spacing w:after="0" w:line="268" w:lineRule="auto"/>
        <w:tabs>
          <w:tab w:leader="none" w:pos="1369"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Item 4: Delaware Item 5: 9,968,323 Item 6: 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7: 10,317,407</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8: 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9: 10,317,407</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11: 9.630%</w:t>
      </w: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12: HC</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#75886F107</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 Reporting Person - Abigail P. Johnson</w:t>
      </w:r>
    </w:p>
    <w:p>
      <w:pPr>
        <w:spacing w:after="0"/>
        <w:tabs>
          <w:tab w:leader="none" w:pos="1360" w:val="left"/>
        </w:tabs>
        <w:rPr>
          <w:sz w:val="20"/>
          <w:szCs w:val="20"/>
          <w:color w:val="auto"/>
        </w:rPr>
      </w:pPr>
      <w:r>
        <w:rPr>
          <w:rFonts w:ascii="Courier New" w:cs="Courier New" w:eastAsia="Courier New" w:hAnsi="Courier New"/>
          <w:sz w:val="18"/>
          <w:szCs w:val="18"/>
          <w:color w:val="auto"/>
        </w:rPr>
        <w:t>Item 2: (a)</w:t>
      </w:r>
      <w:r>
        <w:rPr>
          <w:sz w:val="20"/>
          <w:szCs w:val="20"/>
          <w:color w:val="auto"/>
        </w:rPr>
        <w:tab/>
      </w:r>
      <w:r>
        <w:rPr>
          <w:rFonts w:ascii="Courier New" w:cs="Courier New" w:eastAsia="Courier New" w:hAnsi="Courier New"/>
          <w:sz w:val="16"/>
          <w:szCs w:val="16"/>
          <w:color w:val="auto"/>
        </w:rPr>
        <w:t>[ ]</w:t>
      </w:r>
    </w:p>
    <w:p>
      <w:pPr>
        <w:ind w:left="1380" w:hanging="530"/>
        <w:spacing w:after="0" w:line="238" w:lineRule="auto"/>
        <w:tabs>
          <w:tab w:leader="none" w:pos="138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rPr>
          <w:sz w:val="20"/>
          <w:szCs w:val="20"/>
          <w:color w:val="auto"/>
        </w:rPr>
      </w:pPr>
      <w:r>
        <w:rPr>
          <w:rFonts w:ascii="Courier New" w:cs="Courier New" w:eastAsia="Courier New" w:hAnsi="Courier New"/>
          <w:sz w:val="18"/>
          <w:szCs w:val="18"/>
          <w:color w:val="auto"/>
        </w:rPr>
        <w:t>Item 4: United States of America</w:t>
      </w:r>
    </w:p>
    <w:p>
      <w:pPr>
        <w:spacing w:after="0" w:line="238" w:lineRule="auto"/>
        <w:rPr>
          <w:sz w:val="20"/>
          <w:szCs w:val="20"/>
          <w:color w:val="auto"/>
        </w:rPr>
      </w:pPr>
      <w:r>
        <w:rPr>
          <w:rFonts w:ascii="Courier New" w:cs="Courier New" w:eastAsia="Courier New" w:hAnsi="Courier New"/>
          <w:sz w:val="18"/>
          <w:szCs w:val="18"/>
          <w:color w:val="auto"/>
        </w:rPr>
        <w:t>Item 5: 0</w:t>
      </w:r>
    </w:p>
    <w:p>
      <w:pPr>
        <w:spacing w:after="0" w:line="238" w:lineRule="auto"/>
        <w:rPr>
          <w:sz w:val="20"/>
          <w:szCs w:val="20"/>
          <w:color w:val="auto"/>
        </w:rPr>
      </w:pPr>
      <w:r>
        <w:rPr>
          <w:rFonts w:ascii="Courier New" w:cs="Courier New" w:eastAsia="Courier New" w:hAnsi="Courier New"/>
          <w:sz w:val="18"/>
          <w:szCs w:val="18"/>
          <w:color w:val="auto"/>
        </w:rPr>
        <w:t>Item 6: 0</w:t>
      </w:r>
    </w:p>
    <w:p>
      <w:pPr>
        <w:spacing w:after="0"/>
        <w:rPr>
          <w:sz w:val="20"/>
          <w:szCs w:val="20"/>
          <w:color w:val="auto"/>
        </w:rPr>
      </w:pPr>
      <w:r>
        <w:rPr>
          <w:rFonts w:ascii="Courier New" w:cs="Courier New" w:eastAsia="Courier New" w:hAnsi="Courier New"/>
          <w:sz w:val="18"/>
          <w:szCs w:val="18"/>
          <w:color w:val="auto"/>
        </w:rPr>
        <w:t>Item 7: 10,317,407</w:t>
      </w:r>
    </w:p>
    <w:p>
      <w:pPr>
        <w:spacing w:after="0" w:line="238" w:lineRule="auto"/>
        <w:rPr>
          <w:sz w:val="20"/>
          <w:szCs w:val="20"/>
          <w:color w:val="auto"/>
        </w:rPr>
      </w:pPr>
      <w:r>
        <w:rPr>
          <w:rFonts w:ascii="Courier New" w:cs="Courier New" w:eastAsia="Courier New" w:hAnsi="Courier New"/>
          <w:sz w:val="18"/>
          <w:szCs w:val="18"/>
          <w:color w:val="auto"/>
        </w:rPr>
        <w:t>Item 8: 0</w:t>
      </w:r>
    </w:p>
    <w:p>
      <w:pPr>
        <w:spacing w:after="0" w:line="238" w:lineRule="auto"/>
        <w:rPr>
          <w:sz w:val="20"/>
          <w:szCs w:val="20"/>
          <w:color w:val="auto"/>
        </w:rPr>
      </w:pPr>
      <w:r>
        <w:rPr>
          <w:rFonts w:ascii="Courier New" w:cs="Courier New" w:eastAsia="Courier New" w:hAnsi="Courier New"/>
          <w:sz w:val="18"/>
          <w:szCs w:val="18"/>
          <w:color w:val="auto"/>
        </w:rPr>
        <w:t>Item 9: 10,317,407</w:t>
      </w:r>
    </w:p>
    <w:p>
      <w:pPr>
        <w:spacing w:after="0"/>
        <w:rPr>
          <w:sz w:val="20"/>
          <w:szCs w:val="20"/>
          <w:color w:val="auto"/>
        </w:rPr>
      </w:pPr>
      <w:r>
        <w:rPr>
          <w:rFonts w:ascii="Courier New" w:cs="Courier New" w:eastAsia="Courier New" w:hAnsi="Courier New"/>
          <w:sz w:val="18"/>
          <w:szCs w:val="18"/>
          <w:color w:val="auto"/>
        </w:rPr>
        <w:t>Item 11: 9.630%</w:t>
      </w:r>
    </w:p>
    <w:p>
      <w:pPr>
        <w:spacing w:after="0"/>
        <w:rPr>
          <w:sz w:val="20"/>
          <w:szCs w:val="20"/>
          <w:color w:val="auto"/>
        </w:rPr>
      </w:pPr>
      <w:r>
        <w:rPr>
          <w:rFonts w:ascii="Courier New" w:cs="Courier New" w:eastAsia="Courier New" w:hAnsi="Courier New"/>
          <w:sz w:val="18"/>
          <w:szCs w:val="18"/>
          <w:color w:val="auto"/>
        </w:rPr>
        <w:t>Item 12: IN</w:t>
      </w:r>
    </w:p>
    <w:p>
      <w:pPr>
        <w:spacing w:after="0" w:line="200" w:lineRule="exact"/>
        <w:rPr>
          <w:sz w:val="24"/>
          <w:szCs w:val="24"/>
          <w:color w:val="auto"/>
        </w:rPr>
      </w:pPr>
    </w:p>
    <w:p>
      <w:pPr>
        <w:spacing w:after="0" w:line="37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REGENERON PHARMACEUTICALS INC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777 Old Saw Mill River Road</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Tarrytown, NY 10591-6707</w:t>
      </w:r>
    </w:p>
    <w:p>
      <w:pPr>
        <w:spacing w:after="0" w:line="37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2(a). Name of Person Filing: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2(b). Address or Principal Business Office or, if None, Residence: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245 Summer Street, Boston, Massachusetts 02210</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2(c). Citizenship:</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2(e). CUSIP Number: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75886F107</w:t>
      </w:r>
    </w:p>
    <w:p>
      <w:pPr>
        <w:spacing w:after="0" w:line="201" w:lineRule="exact"/>
        <w:rPr>
          <w:sz w:val="24"/>
          <w:szCs w:val="24"/>
          <w:color w:val="auto"/>
        </w:rPr>
      </w:pPr>
    </w:p>
    <w:p>
      <w:pPr>
        <w:ind w:right="1919"/>
        <w:spacing w:after="0" w:line="292" w:lineRule="auto"/>
        <w:rPr>
          <w:sz w:val="20"/>
          <w:szCs w:val="20"/>
          <w:color w:val="auto"/>
        </w:rPr>
      </w:pPr>
      <w:r>
        <w:rPr>
          <w:rFonts w:ascii="Courier New" w:cs="Courier New" w:eastAsia="Courier New" w:hAnsi="Courier New"/>
          <w:sz w:val="18"/>
          <w:szCs w:val="18"/>
          <w:color w:val="auto"/>
        </w:rPr>
        <w:t>Item 3. This statement is filed pursuant to Rule 13d-1(b) or 13d-2(b) or (c) and the person filing, FMR LLC, is a parent holding company in accordance with Section 240.13d-1(b)(1)(ii)(G). (Note: See Exhibit A).</w:t>
      </w:r>
    </w:p>
    <w:p>
      <w:pPr>
        <w:spacing w:after="0" w:line="6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4"/>
          <w:szCs w:val="24"/>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10,317,407</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9.630%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ectPr>
          <w:pgSz w:w="11900" w:h="16838" w:orient="portrait"/>
          <w:cols w:equalWidth="0" w:num="1">
            <w:col w:w="10139"/>
          </w:cols>
          <w:pgMar w:left="320" w:top="218" w:right="1440" w:bottom="0" w:gutter="0" w:footer="0" w:header="0"/>
        </w:sectPr>
      </w:pPr>
    </w:p>
    <w:bookmarkStart w:id="1" w:name="page2"/>
    <w:bookmarkEnd w:id="1"/>
    <w:p>
      <w:pPr>
        <w:ind w:right="2439" w:firstLine="8"/>
        <w:spacing w:after="0" w:line="346" w:lineRule="auto"/>
        <w:tabs>
          <w:tab w:leader="none" w:pos="421"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Please see the responses to Items 5 and 6 on the cover page</w:t>
      </w:r>
    </w:p>
    <w:p>
      <w:pPr>
        <w:spacing w:after="0" w:line="19"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0</w:t>
      </w:r>
    </w:p>
    <w:p>
      <w:pPr>
        <w:spacing w:after="0" w:line="201"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10,317,407</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0</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1" w:lineRule="exact"/>
        <w:rPr>
          <w:sz w:val="20"/>
          <w:szCs w:val="20"/>
          <w:color w:val="auto"/>
        </w:rPr>
      </w:pPr>
    </w:p>
    <w:p>
      <w:pPr>
        <w:ind w:right="1919"/>
        <w:spacing w:after="0" w:line="265" w:lineRule="auto"/>
        <w:rPr>
          <w:sz w:val="20"/>
          <w:szCs w:val="20"/>
          <w:color w:val="auto"/>
        </w:rPr>
      </w:pPr>
      <w:r>
        <w:rPr>
          <w:rFonts w:ascii="Courier New" w:cs="Courier New" w:eastAsia="Courier New" w:hAnsi="Courier New"/>
          <w:sz w:val="18"/>
          <w:szCs w:val="18"/>
          <w:color w:val="auto"/>
        </w:rPr>
        <w:t>One or more other persons are known to have the right to receive or the power to direct the receipt of dividends from, or the proceeds from the sale of, the COMMON STOCK of REGENERON PHARMACEUTICALS INC. No one other person's interest in the COMMON STOCK of REGENERON PHARMACEUTICALS INC is more than five percent of the total outstanding COMMON STOCK.</w:t>
      </w:r>
    </w:p>
    <w:p>
      <w:pPr>
        <w:spacing w:after="0" w:line="292" w:lineRule="exact"/>
        <w:rPr>
          <w:sz w:val="20"/>
          <w:szCs w:val="20"/>
          <w:color w:val="auto"/>
        </w:rPr>
      </w:pPr>
    </w:p>
    <w:p>
      <w:pPr>
        <w:ind w:right="1919"/>
        <w:spacing w:after="0" w:line="34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attached 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201" w:lineRule="exact"/>
        <w:rPr>
          <w:sz w:val="20"/>
          <w:szCs w:val="20"/>
          <w:color w:val="auto"/>
        </w:rPr>
      </w:pPr>
    </w:p>
    <w:p>
      <w:pPr>
        <w:ind w:right="1919"/>
        <w:spacing w:after="0" w:line="260"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9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191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6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February 8, 2024</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Stephanie J. Brown</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Stephanie J. Brown</w:t>
      </w:r>
    </w:p>
    <w:p>
      <w:pPr>
        <w:spacing w:after="0" w:line="31" w:lineRule="exact"/>
        <w:rPr>
          <w:sz w:val="20"/>
          <w:szCs w:val="20"/>
          <w:color w:val="auto"/>
        </w:rPr>
      </w:pPr>
    </w:p>
    <w:p>
      <w:pPr>
        <w:ind w:right="223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January 3, 2023, by and on behalf of FMR LLC and its direct and indirect subsidiaries*</w:t>
      </w:r>
    </w:p>
    <w:p>
      <w:pPr>
        <w:spacing w:after="0" w:line="50" w:lineRule="exact"/>
        <w:rPr>
          <w:sz w:val="20"/>
          <w:szCs w:val="20"/>
          <w:color w:val="auto"/>
        </w:rPr>
      </w:pPr>
    </w:p>
    <w:p>
      <w:pPr>
        <w:ind w:right="2019" w:firstLine="8"/>
        <w:spacing w:after="0" w:line="292"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January 10, 2023, accession number: 0000315066-23-000003.</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4" w:lineRule="exact"/>
        <w:rPr>
          <w:sz w:val="20"/>
          <w:szCs w:val="20"/>
          <w:color w:val="auto"/>
        </w:rPr>
      </w:pPr>
    </w:p>
    <w:p>
      <w:pPr>
        <w:ind w:right="2019"/>
        <w:spacing w:after="0" w:line="274" w:lineRule="auto"/>
        <w:rPr>
          <w:sz w:val="20"/>
          <w:szCs w:val="20"/>
          <w:color w:val="auto"/>
        </w:rPr>
      </w:pPr>
      <w:r>
        <w:rPr>
          <w:rFonts w:ascii="Courier New" w:cs="Courier New" w:eastAsia="Courier New" w:hAnsi="Courier New"/>
          <w:sz w:val="18"/>
          <w:szCs w:val="18"/>
          <w:color w:val="auto"/>
        </w:rPr>
        <w:t>Pursuant to the instructions in Item 7 of Schedule 13G, the following table lists the identity and Item 3 classification, if applicable, of each relevant entity that beneficially owns shares of the security class being reported on this Schedule 13G.</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900" w:type="dxa"/>
            <w:vAlign w:val="bottom"/>
          </w:tcPr>
          <w:p>
            <w:pPr>
              <w:spacing w:after="0"/>
              <w:rPr>
                <w:sz w:val="20"/>
                <w:szCs w:val="20"/>
                <w:color w:val="auto"/>
              </w:rPr>
            </w:pPr>
            <w:r>
              <w:rPr>
                <w:rFonts w:ascii="Courier New" w:cs="Courier New" w:eastAsia="Courier New" w:hAnsi="Courier New"/>
                <w:sz w:val="18"/>
                <w:szCs w:val="18"/>
                <w:color w:val="auto"/>
              </w:rPr>
              <w:t>Entity</w:t>
            </w:r>
          </w:p>
        </w:tc>
        <w:tc>
          <w:tcPr>
            <w:tcW w:w="512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ITEM 3 Classification</w:t>
            </w:r>
          </w:p>
        </w:tc>
        <w:tc>
          <w:tcPr>
            <w:tcW w:w="0" w:type="dxa"/>
            <w:vAlign w:val="bottom"/>
          </w:tcPr>
          <w:p>
            <w:pPr>
              <w:spacing w:after="0"/>
              <w:rPr>
                <w:sz w:val="1"/>
                <w:szCs w:val="1"/>
                <w:color w:val="auto"/>
              </w:rPr>
            </w:pPr>
          </w:p>
        </w:tc>
      </w:tr>
      <w:tr>
        <w:trPr>
          <w:trHeight w:val="311"/>
        </w:trPr>
        <w:tc>
          <w:tcPr>
            <w:tcW w:w="900" w:type="dxa"/>
            <w:vAlign w:val="bottom"/>
          </w:tcPr>
          <w:p>
            <w:pPr>
              <w:spacing w:after="0"/>
              <w:rPr>
                <w:sz w:val="20"/>
                <w:szCs w:val="20"/>
                <w:color w:val="auto"/>
              </w:rPr>
            </w:pPr>
            <w:r>
              <w:rPr>
                <w:rFonts w:ascii="Courier New" w:cs="Courier New" w:eastAsia="Courier New" w:hAnsi="Courier New"/>
                <w:sz w:val="18"/>
                <w:szCs w:val="18"/>
                <w:color w:val="auto"/>
              </w:rPr>
              <w:t>FIAM LLC</w:t>
            </w:r>
          </w:p>
        </w:tc>
        <w:tc>
          <w:tcPr>
            <w:tcW w:w="1380" w:type="dxa"/>
            <w:vAlign w:val="bottom"/>
          </w:tcPr>
          <w:p>
            <w:pPr>
              <w:ind w:left="160"/>
              <w:spacing w:after="0"/>
              <w:rPr>
                <w:sz w:val="20"/>
                <w:szCs w:val="20"/>
                <w:color w:val="auto"/>
              </w:rPr>
            </w:pPr>
            <w:r>
              <w:rPr>
                <w:rFonts w:ascii="Courier New" w:cs="Courier New" w:eastAsia="Courier New" w:hAnsi="Courier New"/>
                <w:sz w:val="18"/>
                <w:szCs w:val="18"/>
                <w:color w:val="auto"/>
              </w:rPr>
              <w:t>IA</w:t>
            </w:r>
          </w:p>
        </w:tc>
        <w:tc>
          <w:tcPr>
            <w:tcW w:w="3740" w:type="dxa"/>
            <w:vAlign w:val="bottom"/>
            <w:vMerge w:val="restart"/>
          </w:tcPr>
          <w:p>
            <w:pPr>
              <w:ind w:left="40"/>
              <w:spacing w:after="0"/>
              <w:rPr>
                <w:sz w:val="20"/>
                <w:szCs w:val="20"/>
                <w:color w:val="auto"/>
              </w:rPr>
            </w:pPr>
            <w:r>
              <w:rPr>
                <w:rFonts w:ascii="Courier New" w:cs="Courier New" w:eastAsia="Courier New" w:hAnsi="Courier New"/>
                <w:sz w:val="18"/>
                <w:szCs w:val="18"/>
                <w:color w:val="auto"/>
              </w:rPr>
              <w:t>Solutions LLC  IA</w:t>
            </w:r>
          </w:p>
        </w:tc>
        <w:tc>
          <w:tcPr>
            <w:tcW w:w="0" w:type="dxa"/>
            <w:vAlign w:val="bottom"/>
          </w:tcPr>
          <w:p>
            <w:pPr>
              <w:spacing w:after="0"/>
              <w:rPr>
                <w:sz w:val="1"/>
                <w:szCs w:val="1"/>
                <w:color w:val="auto"/>
              </w:rPr>
            </w:pP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Fidelity</w:t>
            </w:r>
          </w:p>
        </w:tc>
        <w:tc>
          <w:tcPr>
            <w:tcW w:w="1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Diversifying</w:t>
            </w:r>
          </w:p>
        </w:tc>
        <w:tc>
          <w:tcPr>
            <w:tcW w:w="37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Fidelity</w:t>
            </w:r>
          </w:p>
        </w:tc>
        <w:tc>
          <w:tcPr>
            <w:tcW w:w="51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7"/>
              </w:rPr>
              <w:t>Institutional Asset Management Trust Company  BK</w:t>
            </w:r>
          </w:p>
        </w:tc>
        <w:tc>
          <w:tcPr>
            <w:tcW w:w="0" w:type="dxa"/>
            <w:vAlign w:val="bottom"/>
          </w:tcPr>
          <w:p>
            <w:pPr>
              <w:spacing w:after="0"/>
              <w:rPr>
                <w:sz w:val="1"/>
                <w:szCs w:val="1"/>
                <w:color w:val="auto"/>
              </w:rPr>
            </w:pPr>
          </w:p>
        </w:tc>
      </w:tr>
      <w:tr>
        <w:trPr>
          <w:trHeight w:val="296"/>
        </w:trPr>
        <w:tc>
          <w:tcPr>
            <w:tcW w:w="900" w:type="dxa"/>
            <w:vAlign w:val="bottom"/>
          </w:tcPr>
          <w:p>
            <w:pPr>
              <w:spacing w:after="0"/>
              <w:rPr>
                <w:sz w:val="20"/>
                <w:szCs w:val="20"/>
                <w:color w:val="auto"/>
              </w:rPr>
            </w:pPr>
            <w:r>
              <w:rPr>
                <w:rFonts w:ascii="Courier New" w:cs="Courier New" w:eastAsia="Courier New" w:hAnsi="Courier New"/>
                <w:sz w:val="18"/>
                <w:szCs w:val="18"/>
                <w:color w:val="auto"/>
              </w:rPr>
              <w:t>Fidelity</w:t>
            </w:r>
          </w:p>
        </w:tc>
        <w:tc>
          <w:tcPr>
            <w:tcW w:w="1380" w:type="dxa"/>
            <w:vAlign w:val="bottom"/>
          </w:tcPr>
          <w:p>
            <w:pPr>
              <w:ind w:left="60"/>
              <w:spacing w:after="0"/>
              <w:rPr>
                <w:sz w:val="20"/>
                <w:szCs w:val="20"/>
                <w:color w:val="auto"/>
              </w:rPr>
            </w:pPr>
            <w:r>
              <w:rPr>
                <w:rFonts w:ascii="Courier New" w:cs="Courier New" w:eastAsia="Courier New" w:hAnsi="Courier New"/>
                <w:sz w:val="18"/>
                <w:szCs w:val="18"/>
                <w:color w:val="auto"/>
              </w:rPr>
              <w:t>Management &amp;</w:t>
            </w:r>
          </w:p>
        </w:tc>
        <w:tc>
          <w:tcPr>
            <w:tcW w:w="3740" w:type="dxa"/>
            <w:vAlign w:val="bottom"/>
          </w:tcPr>
          <w:p>
            <w:pPr>
              <w:ind w:left="40"/>
              <w:spacing w:after="0"/>
              <w:rPr>
                <w:sz w:val="20"/>
                <w:szCs w:val="20"/>
                <w:color w:val="auto"/>
              </w:rPr>
            </w:pPr>
            <w:r>
              <w:rPr>
                <w:rFonts w:ascii="Courier New" w:cs="Courier New" w:eastAsia="Courier New" w:hAnsi="Courier New"/>
                <w:sz w:val="18"/>
                <w:szCs w:val="18"/>
                <w:color w:val="auto"/>
              </w:rPr>
              <w:t>Research Company LLC * IA</w:t>
            </w:r>
          </w:p>
        </w:tc>
        <w:tc>
          <w:tcPr>
            <w:tcW w:w="0" w:type="dxa"/>
            <w:vAlign w:val="bottom"/>
          </w:tcPr>
          <w:p>
            <w:pPr>
              <w:spacing w:after="0"/>
              <w:rPr>
                <w:sz w:val="1"/>
                <w:szCs w:val="1"/>
                <w:color w:val="auto"/>
              </w:rPr>
            </w:pPr>
          </w:p>
        </w:tc>
      </w:tr>
    </w:tbl>
    <w:p>
      <w:pPr>
        <w:sectPr>
          <w:pgSz w:w="11900" w:h="16838" w:orient="portrait"/>
          <w:cols w:equalWidth="0" w:num="1">
            <w:col w:w="10139"/>
          </w:cols>
          <w:pgMar w:left="320" w:top="312" w:right="1440" w:bottom="0" w:gutter="0" w:footer="0" w:header="0"/>
        </w:sectPr>
      </w:pPr>
    </w:p>
    <w:bookmarkStart w:id="2" w:name="page3"/>
    <w:bookmarkEnd w:id="2"/>
    <w:p>
      <w:pPr>
        <w:spacing w:after="0"/>
        <w:tabs>
          <w:tab w:leader="none" w:pos="3680" w:val="left"/>
        </w:tabs>
        <w:rPr>
          <w:sz w:val="20"/>
          <w:szCs w:val="20"/>
          <w:color w:val="auto"/>
        </w:rPr>
      </w:pPr>
      <w:r>
        <w:rPr>
          <w:rFonts w:ascii="Courier New" w:cs="Courier New" w:eastAsia="Courier New" w:hAnsi="Courier New"/>
          <w:sz w:val="18"/>
          <w:szCs w:val="18"/>
          <w:color w:val="auto"/>
        </w:rPr>
        <w:t>Fidelity Management Trust Company</w:t>
      </w:r>
      <w:r>
        <w:rPr>
          <w:sz w:val="20"/>
          <w:szCs w:val="20"/>
          <w:color w:val="auto"/>
        </w:rPr>
        <w:tab/>
      </w:r>
      <w:r>
        <w:rPr>
          <w:rFonts w:ascii="Courier New" w:cs="Courier New" w:eastAsia="Courier New" w:hAnsi="Courier New"/>
          <w:sz w:val="16"/>
          <w:szCs w:val="16"/>
          <w:color w:val="auto"/>
        </w:rPr>
        <w:t>BK</w:t>
      </w:r>
    </w:p>
    <w:p>
      <w:pPr>
        <w:spacing w:after="0" w:line="31" w:lineRule="exact"/>
        <w:rPr>
          <w:sz w:val="20"/>
          <w:szCs w:val="20"/>
          <w:color w:val="auto"/>
        </w:rPr>
      </w:pPr>
    </w:p>
    <w:p>
      <w:pPr>
        <w:spacing w:after="0"/>
        <w:tabs>
          <w:tab w:leader="none" w:pos="2520" w:val="left"/>
        </w:tabs>
        <w:rPr>
          <w:sz w:val="20"/>
          <w:szCs w:val="20"/>
          <w:color w:val="auto"/>
        </w:rPr>
      </w:pPr>
      <w:r>
        <w:rPr>
          <w:rFonts w:ascii="Courier New" w:cs="Courier New" w:eastAsia="Courier New" w:hAnsi="Courier New"/>
          <w:sz w:val="18"/>
          <w:szCs w:val="18"/>
          <w:color w:val="auto"/>
        </w:rPr>
        <w:t>Strategic Advisers LLC</w:t>
      </w:r>
      <w:r>
        <w:rPr>
          <w:sz w:val="20"/>
          <w:szCs w:val="20"/>
          <w:color w:val="auto"/>
        </w:rPr>
        <w:tab/>
      </w:r>
      <w:r>
        <w:rPr>
          <w:rFonts w:ascii="Courier New" w:cs="Courier New" w:eastAsia="Courier New" w:hAnsi="Courier New"/>
          <w:sz w:val="16"/>
          <w:szCs w:val="16"/>
          <w:color w:val="auto"/>
        </w:rPr>
        <w:t>IA</w:t>
      </w:r>
    </w:p>
    <w:p>
      <w:pPr>
        <w:spacing w:after="0" w:line="200" w:lineRule="exact"/>
        <w:rPr>
          <w:sz w:val="20"/>
          <w:szCs w:val="20"/>
          <w:color w:val="auto"/>
        </w:rPr>
      </w:pPr>
    </w:p>
    <w:p>
      <w:pPr>
        <w:spacing w:after="0" w:line="374" w:lineRule="exact"/>
        <w:rPr>
          <w:sz w:val="20"/>
          <w:szCs w:val="20"/>
          <w:color w:val="auto"/>
        </w:rPr>
      </w:pPr>
    </w:p>
    <w:p>
      <w:pPr>
        <w:ind w:right="2439" w:firstLine="8"/>
        <w:spacing w:after="0" w:line="346" w:lineRule="auto"/>
        <w:tabs>
          <w:tab w:leader="none" w:pos="211"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p>
      <w:pPr>
        <w:spacing w:after="0" w:line="222" w:lineRule="exact"/>
        <w:rPr>
          <w:sz w:val="20"/>
          <w:szCs w:val="20"/>
          <w:color w:val="auto"/>
        </w:rPr>
      </w:pPr>
    </w:p>
    <w:p>
      <w:pPr>
        <w:ind w:right="1919"/>
        <w:spacing w:after="0" w:line="346" w:lineRule="auto"/>
        <w:rPr>
          <w:sz w:val="20"/>
          <w:szCs w:val="20"/>
          <w:color w:val="auto"/>
        </w:rPr>
      </w:pPr>
      <w:r>
        <w:rPr>
          <w:rFonts w:ascii="Courier New" w:cs="Courier New" w:eastAsia="Courier New" w:hAnsi="Courier New"/>
          <w:sz w:val="18"/>
          <w:szCs w:val="18"/>
          <w:color w:val="auto"/>
        </w:rPr>
        <w:t>Abigail P. Johnson is a Director, the Chairman and the Chief Executive Officer of FMR LLC.</w:t>
      </w:r>
    </w:p>
    <w:p>
      <w:pPr>
        <w:spacing w:after="0" w:line="20" w:lineRule="exact"/>
        <w:rPr>
          <w:sz w:val="20"/>
          <w:szCs w:val="20"/>
          <w:color w:val="auto"/>
        </w:rPr>
      </w:pPr>
    </w:p>
    <w:p>
      <w:pPr>
        <w:ind w:right="1919"/>
        <w:spacing w:after="0" w:line="250" w:lineRule="auto"/>
        <w:rPr>
          <w:sz w:val="20"/>
          <w:szCs w:val="20"/>
          <w:color w:val="auto"/>
        </w:rPr>
      </w:pPr>
      <w:r>
        <w:rPr>
          <w:rFonts w:ascii="Courier New" w:cs="Courier New" w:eastAsia="Courier New" w:hAnsi="Courier New"/>
          <w:sz w:val="18"/>
          <w:szCs w:val="18"/>
          <w:color w:val="auto"/>
        </w:rPr>
        <w:t>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103" w:lineRule="exact"/>
        <w:rPr>
          <w:sz w:val="20"/>
          <w:szCs w:val="20"/>
          <w:color w:val="auto"/>
        </w:rPr>
      </w:pPr>
    </w:p>
    <w:p>
      <w:pPr>
        <w:ind w:right="1919"/>
        <w:spacing w:after="0" w:line="256" w:lineRule="auto"/>
        <w:rPr>
          <w:sz w:val="20"/>
          <w:szCs w:val="20"/>
          <w:color w:val="auto"/>
        </w:rPr>
      </w:pPr>
      <w:r>
        <w:rPr>
          <w:rFonts w:ascii="Courier New" w:cs="Courier New" w:eastAsia="Courier New" w:hAnsi="Courier New"/>
          <w:sz w:val="18"/>
          <w:szCs w:val="18"/>
          <w:color w:val="auto"/>
        </w:rPr>
        <w:t>This filing reflects the securities beneficially owned, or that may be deemed to be beneficially owned, by FMR LLC, certain of its subsidiaries and affiliates, and other companies (collectively, the "FMR Reporters"). This filing does not reflect securities, if any, beneficially owned by certain other companies whose beneficial ownership of securities is disaggregated from that of the FMR Reporters in accordance with Securities and Exchange Commission Release No. 34-39538 (January 12, 1998).</w:t>
      </w:r>
    </w:p>
    <w:p>
      <w:pPr>
        <w:spacing w:after="0" w:line="3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13d-1(k)(1) AGREEMENT</w:t>
      </w:r>
    </w:p>
    <w:p>
      <w:pPr>
        <w:spacing w:after="0" w:line="201" w:lineRule="exact"/>
        <w:rPr>
          <w:sz w:val="20"/>
          <w:szCs w:val="20"/>
          <w:color w:val="auto"/>
        </w:rPr>
      </w:pPr>
    </w:p>
    <w:p>
      <w:pPr>
        <w:ind w:right="2119"/>
        <w:spacing w:after="0" w:line="274" w:lineRule="auto"/>
        <w:rPr>
          <w:sz w:val="20"/>
          <w:szCs w:val="20"/>
          <w:color w:val="auto"/>
        </w:rPr>
      </w:pPr>
      <w:r>
        <w:rPr>
          <w:rFonts w:ascii="Courier New" w:cs="Courier New" w:eastAsia="Courier New" w:hAnsi="Courier New"/>
          <w:sz w:val="18"/>
          <w:szCs w:val="18"/>
          <w:color w:val="auto"/>
        </w:rPr>
        <w:t>The undersigned persons, on February 8, 2024, agree and consent to the joint filing on their behalf of this Schedule 13G in connection with their beneficial ownership of the COMMON STOCK of REGENERON PHARMACEUTICALS INC at December 29, 2023.</w:t>
      </w:r>
    </w:p>
    <w:p>
      <w:pPr>
        <w:spacing w:after="0" w:line="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Stephanie J. Brown</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Stephanie J. Brown</w:t>
      </w:r>
    </w:p>
    <w:p>
      <w:pPr>
        <w:ind w:right="223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January 3, 2023, by and on behalf of FMR LLC and its direct and indirect subsidiaries*</w:t>
      </w:r>
    </w:p>
    <w:p>
      <w:pPr>
        <w:spacing w:after="0" w:line="5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Stephanie J. Brown</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Stephanie J. Brown</w:t>
      </w:r>
    </w:p>
    <w:p>
      <w:pPr>
        <w:ind w:right="211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January 26, 2023, by and on behalf of Abigail P. Johnson**</w:t>
      </w:r>
    </w:p>
    <w:p>
      <w:pPr>
        <w:spacing w:after="0" w:line="253" w:lineRule="exact"/>
        <w:rPr>
          <w:sz w:val="20"/>
          <w:szCs w:val="20"/>
          <w:color w:val="auto"/>
        </w:rPr>
      </w:pPr>
    </w:p>
    <w:p>
      <w:pPr>
        <w:ind w:right="2019" w:firstLine="8"/>
        <w:spacing w:after="0" w:line="292" w:lineRule="auto"/>
        <w:tabs>
          <w:tab w:leader="none" w:pos="211"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January 10, 2023, accession number: 0000315066-23-000003.</w:t>
      </w:r>
    </w:p>
    <w:p>
      <w:pPr>
        <w:spacing w:after="0" w:line="66" w:lineRule="exact"/>
        <w:rPr>
          <w:sz w:val="20"/>
          <w:szCs w:val="20"/>
          <w:color w:val="auto"/>
        </w:rPr>
      </w:pPr>
    </w:p>
    <w:p>
      <w:pPr>
        <w:ind w:right="1919" w:firstLine="8"/>
        <w:spacing w:after="0" w:line="292" w:lineRule="auto"/>
        <w:tabs>
          <w:tab w:leader="none" w:pos="316"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January 31, 2023, accession number: 0000315066-23-000038.</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lowerRoman"/>
      <w:start w:val="10"/>
    </w:lvl>
  </w:abstractNum>
  <w:abstractNum w:abstractNumId="1">
    <w:nsid w:val="3D1B58BA"/>
    <w:multiLevelType w:val="hybridMultilevel"/>
    <w:lvl w:ilvl="0">
      <w:lvlJc w:val="left"/>
      <w:lvlText w:val="(%1)"/>
      <w:numFmt w:val="lowerLetter"/>
      <w:start w:val="2"/>
    </w:lvl>
  </w:abstractNum>
  <w:abstractNum w:abstractNumId="2">
    <w:nsid w:val="507ED7AB"/>
    <w:multiLevelType w:val="hybridMultilevel"/>
    <w:lvl w:ilvl="0">
      <w:lvlJc w:val="left"/>
      <w:lvlText w:val="(%1)"/>
      <w:numFmt w:val="lowerLetter"/>
      <w:start w:val="2"/>
    </w:lvl>
  </w:abstractNum>
  <w:abstractNum w:abstractNumId="3">
    <w:nsid w:val="2EB141F2"/>
    <w:multiLevelType w:val="hybridMultilevel"/>
    <w:lvl w:ilvl="0">
      <w:lvlJc w:val="left"/>
      <w:lvlText w:val="(%1)"/>
      <w:numFmt w:val="lowerLetter"/>
      <w:start w:val="1"/>
    </w:lvl>
  </w:abstractNum>
  <w:abstractNum w:abstractNumId="4">
    <w:nsid w:val="41B71EFB"/>
    <w:multiLevelType w:val="hybridMultilevel"/>
    <w:lvl w:ilvl="0">
      <w:lvlJc w:val="left"/>
      <w:lvlText w:val="(%1)"/>
      <w:numFmt w:val="lowerRoman"/>
      <w:start w:val="1"/>
    </w:lvl>
  </w:abstractNum>
  <w:abstractNum w:abstractNumId="5">
    <w:nsid w:val="79E2A9E3"/>
    <w:multiLevelType w:val="hybridMultilevel"/>
    <w:lvl w:ilvl="0">
      <w:lvlJc w:val="left"/>
      <w:lvlText w:val="*"/>
      <w:numFmt w:val="bullet"/>
      <w:start w:val="1"/>
    </w:lvl>
  </w:abstractNum>
  <w:abstractNum w:abstractNumId="6">
    <w:nsid w:val="7545E146"/>
    <w:multiLevelType w:val="hybridMultilevel"/>
    <w:lvl w:ilvl="0">
      <w:lvlJc w:val="left"/>
      <w:lvlText w:val="*"/>
      <w:numFmt w:val="bullet"/>
      <w:start w:val="1"/>
    </w:lvl>
  </w:abstractNum>
  <w:abstractNum w:abstractNumId="7">
    <w:nsid w:val="515F007C"/>
    <w:multiLevelType w:val="hybridMultilevel"/>
    <w:lvl w:ilvl="0">
      <w:lvlJc w:val="left"/>
      <w:lvlText w:val="*"/>
      <w:numFmt w:val="bullet"/>
      <w:start w:val="1"/>
    </w:lvl>
  </w:abstractNum>
  <w:abstractNum w:abstractNumId="8">
    <w:nsid w:val="5BD062C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2024-02-09T08:58:36Z</dcterms:created>
  <dcterms:modified xsi:type="dcterms:W3CDTF">2024-02-09T08:58:36Z</dcterms:modified>
</cp:coreProperties>
</file>