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30, 2016 (December 30,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87" w:lineRule="auto"/>
        <w:rPr>
          <w:sz w:val="20"/>
          <w:szCs w:val="20"/>
          <w:color w:val="auto"/>
        </w:rPr>
      </w:pPr>
      <w:r>
        <w:rPr>
          <w:rFonts w:ascii="Arial" w:cs="Arial" w:eastAsia="Arial" w:hAnsi="Arial"/>
          <w:sz w:val="16"/>
          <w:szCs w:val="16"/>
          <w:color w:val="auto"/>
        </w:rPr>
        <w:t>On December 30, 2016,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Purchase Agreement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BMR-Landmark at Eastview LLC and BMR-Landmark at Eastview IV LLC (collectively, the “</w:t>
      </w:r>
      <w:r>
        <w:rPr>
          <w:rFonts w:ascii="Arial" w:cs="Arial" w:eastAsia="Arial" w:hAnsi="Arial"/>
          <w:sz w:val="16"/>
          <w:szCs w:val="16"/>
          <w:u w:val="single" w:color="auto"/>
          <w:color w:val="auto"/>
        </w:rPr>
        <w:t>Sellers</w:t>
      </w:r>
      <w:r>
        <w:rPr>
          <w:rFonts w:ascii="Arial" w:cs="Arial" w:eastAsia="Arial" w:hAnsi="Arial"/>
          <w:sz w:val="16"/>
          <w:szCs w:val="16"/>
          <w:color w:val="auto"/>
        </w:rPr>
        <w:t>”), affiliates of Biomed Realty, L.P., pursuant to which the Company has agreed to purchase from the Sellers the Company’s existing corporate headquarters consisting of approximately 150 acres of predominately office buildings and laboratory space located in the towns of Mount Pleasant and Greenburgh, NY (the “</w:t>
      </w:r>
      <w:r>
        <w:rPr>
          <w:rFonts w:ascii="Arial" w:cs="Arial" w:eastAsia="Arial" w:hAnsi="Arial"/>
          <w:sz w:val="16"/>
          <w:szCs w:val="16"/>
          <w:u w:val="single" w:color="auto"/>
          <w:color w:val="auto"/>
        </w:rPr>
        <w:t>Facility</w:t>
      </w:r>
      <w:r>
        <w:rPr>
          <w:rFonts w:ascii="Arial" w:cs="Arial" w:eastAsia="Arial" w:hAnsi="Arial"/>
          <w:sz w:val="16"/>
          <w:szCs w:val="16"/>
          <w:color w:val="auto"/>
        </w:rPr>
        <w:t>”). Regeneron has been a tenant at the Facility for over 25 years. Approximately 80% of the Facility (or approximately 1.2 million square feet) is currently occupied by Regeneron as the primary tenant with approximately 20% of the remaining rentable area of the Facility under leases to third-party tenants. The Facility can be further developed under existing development rights which, subject to obtaining further governmental approvals, would allow for the construction of more than 500,000 square feet of additional office and laboratory space. The Purchase Agreement was entered into after performance by the Company of customary due diligence investigations, including environmental and property condition assessments, and provides for an “as-is” sale of the Facility for a gross purchase price of $720 million, subject to certain customary adjustments. There is no financing condition to the Company’s obligations under the Purchase Agreement. The Purchase Agreement contains customary representations, warranties, and covenants of the Sellers and the Company, respectively. Closing of the transactions contemplated by the Purchase Agreement is currently scheduled for the first quarter of 2017.</w:t>
      </w:r>
    </w:p>
    <w:p>
      <w:pPr>
        <w:spacing w:after="0" w:line="169" w:lineRule="exact"/>
        <w:rPr>
          <w:sz w:val="24"/>
          <w:szCs w:val="24"/>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intends to fund the acquisition contemplated by the Purchase Agreement with a new financing. In furtherance thereof, the Company has entered into an engagement letter (the “</w:t>
      </w:r>
      <w:r>
        <w:rPr>
          <w:rFonts w:ascii="Arial" w:cs="Arial" w:eastAsia="Arial" w:hAnsi="Arial"/>
          <w:sz w:val="17"/>
          <w:szCs w:val="17"/>
          <w:u w:val="single" w:color="auto"/>
          <w:color w:val="auto"/>
        </w:rPr>
        <w:t>Engagement Letter</w:t>
      </w:r>
      <w:r>
        <w:rPr>
          <w:rFonts w:ascii="Arial" w:cs="Arial" w:eastAsia="Arial" w:hAnsi="Arial"/>
          <w:sz w:val="17"/>
          <w:szCs w:val="17"/>
          <w:color w:val="auto"/>
        </w:rPr>
        <w:t>”) with Banc of America Leasing &amp; Capital, LLC (“</w:t>
      </w:r>
      <w:r>
        <w:rPr>
          <w:rFonts w:ascii="Arial" w:cs="Arial" w:eastAsia="Arial" w:hAnsi="Arial"/>
          <w:sz w:val="17"/>
          <w:szCs w:val="17"/>
          <w:u w:val="single" w:color="auto"/>
          <w:color w:val="auto"/>
        </w:rPr>
        <w:t>BAL</w:t>
      </w:r>
      <w:r>
        <w:rPr>
          <w:rFonts w:ascii="Arial" w:cs="Arial" w:eastAsia="Arial" w:hAnsi="Arial"/>
          <w:sz w:val="17"/>
          <w:szCs w:val="17"/>
          <w:color w:val="auto"/>
        </w:rPr>
        <w:t>”), pursuant to which the Company has engaged BAL to use its best efforts to arrange a $720 million lease financing in connection with the acquisition contemplated by the Purchase Agreement. As part of the contemplated financing, the Company intends to assign some or all of its rights under the Purchase Agreement (including the right to take title to the Facility) to an affiliate of BAL at the closing of the financing, as a result of which such affiliate will become the legal owner of the Facility (the “</w:t>
      </w:r>
      <w:r>
        <w:rPr>
          <w:rFonts w:ascii="Arial" w:cs="Arial" w:eastAsia="Arial" w:hAnsi="Arial"/>
          <w:sz w:val="17"/>
          <w:szCs w:val="17"/>
          <w:u w:val="single" w:color="auto"/>
          <w:color w:val="auto"/>
        </w:rPr>
        <w:t>Lessor</w:t>
      </w:r>
      <w:r>
        <w:rPr>
          <w:rFonts w:ascii="Arial" w:cs="Arial" w:eastAsia="Arial" w:hAnsi="Arial"/>
          <w:sz w:val="17"/>
          <w:szCs w:val="17"/>
          <w:color w:val="auto"/>
        </w:rPr>
        <w:t>”). Immediately thereafter, the Company plans to lease the Facility from the Lessor for a term of five years with rental payments that are expected to be lower than those under the Company’s existing lease for its corporate headquarters and immediately accretive upon signing the lease. At the end of the lease term, the Company expects to have an option to extend the term of the lease (subject to the consent of the financing providers), purchase the Facility at a predetermined amount, or sell the Facility to a third party on behalf of the Lessor. There can be no guarantee that the Company will be able to obtain the financing contemplated by the Engagement Letter on the terms described above or at all. In the event the Company is unable to obtain the financing contemplated by the Engagement Letter, the Company expects cash on hand, together with proceeds from other potential financing sources (including its existing $750 million senior unsecured revolving credit facility), to be sufficient to provide the financing necessary to consummate the acquisition contemplated by the Purchase Agreement.</w:t>
      </w:r>
    </w:p>
    <w:p>
      <w:pPr>
        <w:sectPr>
          <w:pgSz w:w="11900" w:h="16838" w:orient="portrait"/>
          <w:cols w:equalWidth="0" w:num="1">
            <w:col w:w="11420"/>
          </w:cols>
          <w:pgMar w:left="240" w:top="544" w:right="239" w:bottom="0" w:gutter="0" w:footer="0" w:header="0"/>
        </w:sectPr>
      </w:pPr>
    </w:p>
    <w:bookmarkStart w:id="1" w:name="page2"/>
    <w:bookmarkEnd w:id="1"/>
    <w:p>
      <w:pPr>
        <w:jc w:val="both"/>
        <w:ind w:right="240" w:firstLine="648"/>
        <w:spacing w:after="0" w:line="264" w:lineRule="auto"/>
        <w:rPr>
          <w:sz w:val="20"/>
          <w:szCs w:val="20"/>
          <w:color w:val="auto"/>
        </w:rPr>
      </w:pPr>
      <w:r>
        <w:rPr>
          <w:rFonts w:ascii="Arial" w:cs="Arial" w:eastAsia="Arial" w:hAnsi="Arial"/>
          <w:sz w:val="18"/>
          <w:szCs w:val="18"/>
          <w:color w:val="auto"/>
        </w:rPr>
        <w:t>The foregoing description of the Purchase Agreement is qualified in its entirety by reference to the full text of the Purchase Agreement, a copy of which will be filed with the United States Securities and Exchange Commission as an exhibit to the Annual Report on Form 10-K to be filed by Regeneron for the year ending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r>
      <w:tr>
        <w:trPr>
          <w:trHeight w:val="230"/>
        </w:trPr>
        <w:tc>
          <w:tcPr>
            <w:tcW w:w="7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30,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2019-12-06T00:02:49Z</dcterms:created>
  <dcterms:modified xsi:type="dcterms:W3CDTF">2019-12-06T00:02:49Z</dcterms:modified>
</cp:coreProperties>
</file>