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8-K</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CURRENT REPORT</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91"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Date of Report (date of earliest event reported): March 29, 2000</w:t>
      </w:r>
    </w:p>
    <w:p>
      <w:pPr>
        <w:spacing w:after="0" w:line="378"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Regeneron Pharmaceuticals, Inc.</w:t>
      </w:r>
    </w:p>
    <w:p>
      <w:pPr>
        <w:spacing w:after="0" w:line="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1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(Exact name of registrant as specified</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in its charter)</w:t>
            </w:r>
          </w:p>
        </w:tc>
      </w:tr>
      <w:tr>
        <w:trPr>
          <w:trHeight w:val="373"/>
        </w:trPr>
        <w:tc>
          <w:tcPr>
            <w:tcW w:w="1880" w:type="dxa"/>
            <w:vAlign w:val="bottom"/>
          </w:tcPr>
          <w:p>
            <w:pPr>
              <w:ind w:left="380"/>
              <w:spacing w:after="0"/>
              <w:rPr>
                <w:sz w:val="20"/>
                <w:szCs w:val="20"/>
                <w:color w:val="auto"/>
              </w:rPr>
            </w:pPr>
            <w:r>
              <w:rPr>
                <w:rFonts w:ascii="Courier New" w:cs="Courier New" w:eastAsia="Courier New" w:hAnsi="Courier New"/>
                <w:sz w:val="16"/>
                <w:szCs w:val="16"/>
                <w:color w:val="auto"/>
              </w:rPr>
              <w:t>New York</w:t>
            </w:r>
          </w:p>
        </w:tc>
        <w:tc>
          <w:tcPr>
            <w:tcW w:w="22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333-31764</w:t>
            </w:r>
          </w:p>
        </w:tc>
        <w:tc>
          <w:tcPr>
            <w:tcW w:w="1800" w:type="dxa"/>
            <w:vAlign w:val="bottom"/>
          </w:tcPr>
          <w:p>
            <w:pPr>
              <w:ind w:left="260"/>
              <w:spacing w:after="0"/>
              <w:rPr>
                <w:sz w:val="20"/>
                <w:szCs w:val="20"/>
                <w:color w:val="auto"/>
              </w:rPr>
            </w:pPr>
            <w:r>
              <w:rPr>
                <w:rFonts w:ascii="Courier New" w:cs="Courier New" w:eastAsia="Courier New" w:hAnsi="Courier New"/>
                <w:sz w:val="16"/>
                <w:szCs w:val="16"/>
                <w:color w:val="auto"/>
              </w:rPr>
              <w:t>133444607</w:t>
            </w:r>
          </w:p>
        </w:tc>
      </w:tr>
      <w:tr>
        <w:trPr>
          <w:trHeight w:val="186"/>
        </w:trPr>
        <w:tc>
          <w:tcPr>
            <w:tcW w:w="18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r>
      <w:tr>
        <w:trPr>
          <w:trHeight w:val="186"/>
        </w:trPr>
        <w:tc>
          <w:tcPr>
            <w:tcW w:w="1880" w:type="dxa"/>
            <w:vAlign w:val="bottom"/>
          </w:tcPr>
          <w:p>
            <w:pPr>
              <w:spacing w:after="0"/>
              <w:rPr>
                <w:sz w:val="20"/>
                <w:szCs w:val="20"/>
                <w:color w:val="auto"/>
              </w:rPr>
            </w:pPr>
            <w:r>
              <w:rPr>
                <w:rFonts w:ascii="Courier New" w:cs="Courier New" w:eastAsia="Courier New" w:hAnsi="Courier New"/>
                <w:sz w:val="16"/>
                <w:szCs w:val="16"/>
                <w:color w:val="auto"/>
              </w:rPr>
              <w:t>(State or other</w:t>
            </w:r>
          </w:p>
        </w:tc>
        <w:tc>
          <w:tcPr>
            <w:tcW w:w="2220" w:type="dxa"/>
            <w:vAlign w:val="bottom"/>
          </w:tcPr>
          <w:p>
            <w:pPr>
              <w:ind w:left="440"/>
              <w:spacing w:after="0"/>
              <w:rPr>
                <w:sz w:val="20"/>
                <w:szCs w:val="20"/>
                <w:color w:val="auto"/>
              </w:rPr>
            </w:pPr>
            <w:r>
              <w:rPr>
                <w:rFonts w:ascii="Courier New" w:cs="Courier New" w:eastAsia="Courier New" w:hAnsi="Courier New"/>
                <w:sz w:val="16"/>
                <w:szCs w:val="16"/>
                <w:color w:val="auto"/>
              </w:rPr>
              <w:t>(Commission</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(IRS Employer</w:t>
            </w:r>
          </w:p>
        </w:tc>
      </w:tr>
      <w:tr>
        <w:trPr>
          <w:trHeight w:val="186"/>
        </w:trPr>
        <w:tc>
          <w:tcPr>
            <w:tcW w:w="1880" w:type="dxa"/>
            <w:vAlign w:val="bottom"/>
          </w:tcPr>
          <w:p>
            <w:pPr>
              <w:spacing w:after="0"/>
              <w:rPr>
                <w:sz w:val="20"/>
                <w:szCs w:val="20"/>
                <w:color w:val="auto"/>
              </w:rPr>
            </w:pPr>
            <w:r>
              <w:rPr>
                <w:rFonts w:ascii="Courier New" w:cs="Courier New" w:eastAsia="Courier New" w:hAnsi="Courier New"/>
                <w:sz w:val="16"/>
                <w:szCs w:val="16"/>
                <w:color w:val="auto"/>
              </w:rPr>
              <w:t>jurisdiction of</w:t>
            </w:r>
          </w:p>
        </w:tc>
        <w:tc>
          <w:tcPr>
            <w:tcW w:w="2220" w:type="dxa"/>
            <w:vAlign w:val="bottom"/>
          </w:tcPr>
          <w:p>
            <w:pPr>
              <w:ind w:left="440"/>
              <w:spacing w:after="0"/>
              <w:rPr>
                <w:sz w:val="20"/>
                <w:szCs w:val="20"/>
                <w:color w:val="auto"/>
              </w:rPr>
            </w:pPr>
            <w:r>
              <w:rPr>
                <w:rFonts w:ascii="Courier New" w:cs="Courier New" w:eastAsia="Courier New" w:hAnsi="Courier New"/>
                <w:sz w:val="16"/>
                <w:szCs w:val="16"/>
                <w:color w:val="auto"/>
              </w:rPr>
              <w:t>File Number)</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w w:val="99"/>
              </w:rPr>
              <w:t>Identification No.</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w:t>
      </w:r>
    </w:p>
    <w:p>
      <w:pPr>
        <w:spacing w:after="0" w:line="191"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777 Old Saw Mill River Rd, Tarrytown NY, 10591-6707</w:t>
      </w:r>
    </w:p>
    <w:p>
      <w:pPr>
        <w:spacing w:after="0" w:line="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9143477000</w:t>
      </w:r>
    </w:p>
    <w:p>
      <w:pPr>
        <w:spacing w:after="0" w:line="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9919"/>
          </w:cols>
          <w:pgMar w:left="540" w:top="800" w:right="1440" w:bottom="1440" w:gutter="0" w:footer="0" w:header="0"/>
        </w:sectPr>
      </w:pPr>
    </w:p>
    <w:bookmarkStart w:id="1" w:name="page2"/>
    <w:bookmarkEnd w:id="1"/>
    <w:p>
      <w:pPr>
        <w:ind w:left="2420"/>
        <w:spacing w:after="0"/>
        <w:rPr>
          <w:sz w:val="20"/>
          <w:szCs w:val="20"/>
          <w:color w:val="auto"/>
        </w:rPr>
      </w:pPr>
      <w:r>
        <w:rPr>
          <w:rFonts w:ascii="Courier New" w:cs="Courier New" w:eastAsia="Courier New" w:hAnsi="Courier New"/>
          <w:sz w:val="16"/>
          <w:szCs w:val="16"/>
          <w:color w:val="auto"/>
        </w:rPr>
        <w:t>Regeneron Pharmaceuticals, Inc.</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Current Report on Form 8-K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Items 1-4. Not applicable.</w:t>
      </w:r>
    </w:p>
    <w:p>
      <w:pPr>
        <w:spacing w:after="0" w:line="19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On March 29, 2000, the registrant entered into a purchase agreement with Amgen Inc., Merrill Lynch &amp; Co., Merrill Lynch, Pierce, Fenner &amp; Smith Incorporated, Lehman Brothers Inc., J.P. Morgan Securities Inc. and FleetBoston Robertson Stephens Inc., in connection with the issuance and sale by the registrant of 2,600,000 shares of the registrant's common stock, par value $.001 per share (the "Common Stock"). Amgen Inc. granted the underwriters an option, exercisable for 30 days after March 29, 2000, to purchase up to 390,000 additional shares of Common Stock, solely to cover over-allotments. The issuance and sale of the Common Stock was consummated on April 4, 2000, with the total gross proceeds to the registrant being approximately $73,502,000. Expenses payable by the registrant in connection with the offering of the Common Stock are estimated at approximately $550,000. The over-allotment option has not been exercised.</w:t>
      </w:r>
    </w:p>
    <w:p>
      <w:pPr>
        <w:spacing w:after="0" w:line="19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Not Applicable.</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191"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The following exhibits are furnished in accordance with the provisions of Item 601 of Regulation S-K:</w:t>
      </w:r>
    </w:p>
    <w:p>
      <w:pPr>
        <w:sectPr>
          <w:pgSz w:w="11900" w:h="16838" w:orient="portrait"/>
          <w:cols w:equalWidth="0" w:num="1">
            <w:col w:w="10219"/>
          </w:cols>
          <w:pgMar w:left="240" w:top="862" w:right="1440" w:bottom="1440" w:gutter="0" w:footer="0" w:header="0"/>
        </w:sectPr>
      </w:pPr>
    </w:p>
    <w:p>
      <w:pPr>
        <w:spacing w:after="0" w:line="37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Exhibit No.</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Agreement, dated March 29, 2000, among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 Amgen Inc., Merrill Lynch &amp; Co., Merrill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Pierce, Fenner &amp; Smith Incorporated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of the other underwriters named therein.</w:t>
      </w:r>
    </w:p>
    <w:p>
      <w:pPr>
        <w:spacing w:after="0" w:line="200" w:lineRule="exact"/>
        <w:rPr>
          <w:sz w:val="20"/>
          <w:szCs w:val="20"/>
          <w:color w:val="auto"/>
        </w:rPr>
      </w:pPr>
    </w:p>
    <w:p>
      <w:pPr>
        <w:sectPr>
          <w:pgSz w:w="11900" w:h="16838" w:orient="portrait"/>
          <w:cols w:equalWidth="0" w:num="2">
            <w:col w:w="2040" w:space="580"/>
            <w:col w:w="7599"/>
          </w:cols>
          <w:pgMar w:left="240" w:top="862"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202" w:lineRule="exact"/>
        <w:rPr>
          <w:sz w:val="20"/>
          <w:szCs w:val="20"/>
          <w:color w:val="auto"/>
        </w:rPr>
      </w:pPr>
    </w:p>
    <w:p>
      <w:pPr>
        <w:sectPr>
          <w:pgSz w:w="11900" w:h="16838" w:orient="portrait"/>
          <w:cols w:equalWidth="0" w:num="2">
            <w:col w:w="680" w:space="200"/>
            <w:col w:w="9339"/>
          </w:cols>
          <w:pgMar w:left="240" w:top="862" w:right="1440" w:bottom="1440" w:gutter="0" w:footer="0" w:header="0"/>
          <w:type w:val="continuous"/>
        </w:sect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2"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jc w:val="both"/>
        <w:ind w:right="2759"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undersigned's duly authorized signatory.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April 4, 2000</w:t>
      </w:r>
    </w:p>
    <w:p>
      <w:pPr>
        <w:spacing w:after="0" w:line="19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pacing w:after="0" w:line="364" w:lineRule="exact"/>
        <w:rPr>
          <w:sz w:val="20"/>
          <w:szCs w:val="20"/>
          <w:color w:val="auto"/>
        </w:rPr>
      </w:pPr>
    </w:p>
    <w:p>
      <w:pPr>
        <w:ind w:left="3480"/>
        <w:spacing w:after="0"/>
        <w:tabs>
          <w:tab w:leader="none" w:pos="3960" w:val="left"/>
        </w:tabs>
        <w:rPr>
          <w:sz w:val="20"/>
          <w:szCs w:val="20"/>
          <w:color w:val="auto"/>
        </w:rPr>
      </w:pPr>
      <w:r>
        <w:rPr>
          <w:rFonts w:ascii="Courier New" w:cs="Courier New" w:eastAsia="Courier New" w:hAnsi="Courier New"/>
          <w:sz w:val="16"/>
          <w:szCs w:val="16"/>
          <w:color w:val="auto"/>
        </w:rPr>
        <w:t>By:</w:t>
        <w:tab/>
        <w:t>/s/ Murray A. Goldberg</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980"/>
        <w:spacing w:after="0"/>
        <w:tabs>
          <w:tab w:leader="none" w:pos="4640" w:val="left"/>
        </w:tabs>
        <w:rPr>
          <w:sz w:val="20"/>
          <w:szCs w:val="20"/>
          <w:color w:val="auto"/>
        </w:rPr>
      </w:pPr>
      <w:r>
        <w:rPr>
          <w:rFonts w:ascii="Courier New" w:cs="Courier New" w:eastAsia="Courier New" w:hAnsi="Courier New"/>
          <w:sz w:val="16"/>
          <w:szCs w:val="16"/>
          <w:color w:val="auto"/>
        </w:rPr>
        <w:t>Name:</w:t>
        <w:tab/>
        <w:t>Murray A. Goldberg</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 Vice President, Finance &amp;</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Administration, Chief Financial</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Officer, Treasurer and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Assistant Secretary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3" w:name="page4"/>
    <w:bookmarkEnd w:id="3"/>
    <w:p>
      <w:pPr>
        <w:ind w:left="234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259"/>
          </w:cols>
          <w:pgMar w:left="1200" w:top="676"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1800" w:space="720"/>
            <w:col w:w="6739"/>
          </w:cols>
          <w:pgMar w:left="1200" w:top="676" w:right="1440" w:bottom="1440" w:gutter="0" w:footer="0" w:header="0"/>
          <w:type w:val="continuous"/>
        </w:sectPr>
      </w:pPr>
    </w:p>
    <w:tbl>
      <w:tblPr>
        <w:tblLayout w:type="fixed"/>
        <w:tblInd w:w="200" w:type="dxa"/>
        <w:tblCellMar>
          <w:top w:w="0" w:type="dxa"/>
          <w:left w:w="0" w:type="dxa"/>
          <w:bottom w:w="0" w:type="dxa"/>
          <w:right w:w="0" w:type="dxa"/>
        </w:tblCellMar>
      </w:tblPr>
      <w:tr>
        <w:trPr>
          <w:trHeight w:val="183"/>
        </w:trPr>
        <w:tc>
          <w:tcPr>
            <w:tcW w:w="88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7"/>
              </w:rPr>
              <w:t>1.0</w:t>
            </w:r>
          </w:p>
        </w:tc>
        <w:tc>
          <w:tcPr>
            <w:tcW w:w="1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Purchase</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Agreement, dated March</w:t>
            </w:r>
          </w:p>
        </w:tc>
        <w:tc>
          <w:tcPr>
            <w:tcW w:w="2000" w:type="dxa"/>
            <w:vAlign w:val="bottom"/>
          </w:tcPr>
          <w:p>
            <w:pPr>
              <w:ind w:left="60"/>
              <w:spacing w:after="0"/>
              <w:rPr>
                <w:sz w:val="20"/>
                <w:szCs w:val="20"/>
                <w:color w:val="auto"/>
              </w:rPr>
            </w:pPr>
            <w:r>
              <w:rPr>
                <w:rFonts w:ascii="Courier New" w:cs="Courier New" w:eastAsia="Courier New" w:hAnsi="Courier New"/>
                <w:sz w:val="16"/>
                <w:szCs w:val="16"/>
                <w:color w:val="auto"/>
              </w:rPr>
              <w:t>29, 2000, among the</w:t>
            </w:r>
          </w:p>
        </w:tc>
      </w:tr>
      <w:tr>
        <w:trPr>
          <w:trHeight w:val="186"/>
        </w:trPr>
        <w:tc>
          <w:tcPr>
            <w:tcW w:w="880" w:type="dxa"/>
            <w:vAlign w:val="bottom"/>
          </w:tcPr>
          <w:p>
            <w:pPr>
              <w:spacing w:after="0"/>
              <w:rPr>
                <w:sz w:val="16"/>
                <w:szCs w:val="16"/>
                <w:color w:val="auto"/>
              </w:rPr>
            </w:pPr>
          </w:p>
        </w:tc>
        <w:tc>
          <w:tcPr>
            <w:tcW w:w="5620" w:type="dxa"/>
            <w:vAlign w:val="bottom"/>
            <w:gridSpan w:val="4"/>
          </w:tcPr>
          <w:p>
            <w:pPr>
              <w:ind w:left="580"/>
              <w:spacing w:after="0"/>
              <w:rPr>
                <w:sz w:val="20"/>
                <w:szCs w:val="20"/>
                <w:color w:val="auto"/>
              </w:rPr>
            </w:pPr>
            <w:r>
              <w:rPr>
                <w:rFonts w:ascii="Courier New" w:cs="Courier New" w:eastAsia="Courier New" w:hAnsi="Courier New"/>
                <w:sz w:val="16"/>
                <w:szCs w:val="16"/>
                <w:color w:val="auto"/>
              </w:rPr>
              <w:t>registrant, Amgen Inc., Merrill Lynch &amp; Co., Merrill</w:t>
            </w:r>
          </w:p>
        </w:tc>
      </w:tr>
      <w:tr>
        <w:trPr>
          <w:trHeight w:val="186"/>
        </w:trPr>
        <w:tc>
          <w:tcPr>
            <w:tcW w:w="880" w:type="dxa"/>
            <w:vAlign w:val="bottom"/>
          </w:tcPr>
          <w:p>
            <w:pPr>
              <w:spacing w:after="0"/>
              <w:rPr>
                <w:sz w:val="16"/>
                <w:szCs w:val="16"/>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6"/>
                <w:szCs w:val="16"/>
                <w:color w:val="auto"/>
              </w:rPr>
              <w:t>Lynch,</w:t>
            </w:r>
          </w:p>
        </w:tc>
        <w:tc>
          <w:tcPr>
            <w:tcW w:w="44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Pierce, Fenner &amp; Smith Incorporated and each</w:t>
            </w:r>
          </w:p>
        </w:tc>
      </w:tr>
      <w:tr>
        <w:trPr>
          <w:trHeight w:val="186"/>
        </w:trPr>
        <w:tc>
          <w:tcPr>
            <w:tcW w:w="880" w:type="dxa"/>
            <w:vAlign w:val="bottom"/>
          </w:tcPr>
          <w:p>
            <w:pPr>
              <w:spacing w:after="0"/>
              <w:rPr>
                <w:sz w:val="16"/>
                <w:szCs w:val="16"/>
                <w:color w:val="auto"/>
              </w:rPr>
            </w:pPr>
          </w:p>
        </w:tc>
        <w:tc>
          <w:tcPr>
            <w:tcW w:w="1200" w:type="dxa"/>
            <w:vAlign w:val="bottom"/>
          </w:tcPr>
          <w:p>
            <w:pPr>
              <w:ind w:left="580"/>
              <w:spacing w:after="0"/>
              <w:rPr>
                <w:sz w:val="20"/>
                <w:szCs w:val="20"/>
                <w:color w:val="auto"/>
              </w:rPr>
            </w:pPr>
            <w:r>
              <w:rPr>
                <w:rFonts w:ascii="Courier New" w:cs="Courier New" w:eastAsia="Courier New" w:hAnsi="Courier New"/>
                <w:sz w:val="16"/>
                <w:szCs w:val="16"/>
                <w:color w:val="auto"/>
              </w:rPr>
              <w:t>of the</w:t>
            </w:r>
          </w:p>
        </w:tc>
        <w:tc>
          <w:tcPr>
            <w:tcW w:w="44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other underwriters named in Schedule A to the</w:t>
            </w:r>
          </w:p>
        </w:tc>
      </w:tr>
      <w:tr>
        <w:trPr>
          <w:trHeight w:val="186"/>
        </w:trPr>
        <w:tc>
          <w:tcPr>
            <w:tcW w:w="880" w:type="dxa"/>
            <w:vAlign w:val="bottom"/>
          </w:tcPr>
          <w:p>
            <w:pPr>
              <w:spacing w:after="0"/>
              <w:rPr>
                <w:sz w:val="16"/>
                <w:szCs w:val="16"/>
                <w:color w:val="auto"/>
              </w:rPr>
            </w:pPr>
          </w:p>
        </w:tc>
        <w:tc>
          <w:tcPr>
            <w:tcW w:w="14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Purchase</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Agreement.</w:t>
            </w:r>
          </w:p>
        </w:tc>
        <w:tc>
          <w:tcPr>
            <w:tcW w:w="2000" w:type="dxa"/>
            <w:vAlign w:val="bottom"/>
          </w:tcPr>
          <w:p>
            <w:pPr>
              <w:spacing w:after="0"/>
              <w:rPr>
                <w:sz w:val="16"/>
                <w:szCs w:val="16"/>
                <w:color w:val="auto"/>
              </w:rPr>
            </w:pPr>
          </w:p>
        </w:tc>
      </w:tr>
    </w:tbl>
    <w:p>
      <w:pPr>
        <w:sectPr>
          <w:pgSz w:w="11900" w:h="16838" w:orient="portrait"/>
          <w:cols w:equalWidth="0" w:num="1">
            <w:col w:w="9259"/>
          </w:cols>
          <w:pgMar w:left="1200" w:top="676"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REGENERON PHARMACEUTICALS, INC.</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 New York corporation)</w:t>
      </w:r>
    </w:p>
    <w:p>
      <w:pPr>
        <w:spacing w:after="0" w:line="200" w:lineRule="exact"/>
        <w:rPr>
          <w:sz w:val="20"/>
          <w:szCs w:val="20"/>
          <w:color w:val="auto"/>
        </w:rPr>
      </w:pPr>
    </w:p>
    <w:p>
      <w:pPr>
        <w:spacing w:after="0" w:line="36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2,600,000 Shares of Common Stock</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29,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01" w:right="1440" w:bottom="1440" w:gutter="0" w:footer="0" w:header="0"/>
        </w:sectPr>
      </w:pPr>
    </w:p>
    <w:bookmarkStart w:id="5" w:name="page6"/>
    <w:bookmarkEnd w:id="5"/>
    <w:p>
      <w:pPr>
        <w:ind w:left="2420"/>
        <w:spacing w:after="0"/>
        <w:rPr>
          <w:sz w:val="20"/>
          <w:szCs w:val="20"/>
          <w:color w:val="auto"/>
        </w:rPr>
      </w:pPr>
      <w:r>
        <w:rPr>
          <w:rFonts w:ascii="Courier New" w:cs="Courier New" w:eastAsia="Courier New" w:hAnsi="Courier New"/>
          <w:sz w:val="16"/>
          <w:szCs w:val="16"/>
          <w:color w:val="auto"/>
        </w:rPr>
        <w:t>REGENERON PHARMACEUTICALS, INC.</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 New York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2,600,000 Shares of Common Stock</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(Par Value $0.001 Per Share)</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PURCHASE AGREEMENT</w:t>
      </w:r>
    </w:p>
    <w:p>
      <w:pPr>
        <w:spacing w:after="0" w:line="191"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March 29,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FLEETBOSTON ROBERTSON STEPHENS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Representative of the several Underwriters</w:t>
      </w:r>
    </w:p>
    <w:p>
      <w:pPr>
        <w:spacing w:after="0" w:line="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c/o</w:t>
        <w:tab/>
        <w:t>Merrill Lynch &amp; Co.</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Incorporated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Tower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Financial Center</w:t>
      </w:r>
    </w:p>
    <w:p>
      <w:pPr>
        <w:spacing w:after="0" w:line="5"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6"/>
          <w:szCs w:val="16"/>
          <w:color w:val="auto"/>
        </w:rPr>
        <w:t>New York, New York</w:t>
        <w:tab/>
        <w:t>10281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Regeneron Pharmaceuticals, Inc., a New York corporation (the "Company"), and Amgen Inc., a Delaware corporation (the "Selling Shareholder"), confirm their respective agreements with Merrill Lynch &amp; Co., Merrill Lynch, Pierce, Fenner &amp; Smith Incorporated ("Merrill Lynch") and each of the other Underwriters named in Schedule A hereto (collectively, the "Underwriters", which term shall also include any underwriter substituted as hereinafter provided in Section 10 hereof), for whom Merrill Lynch is acting as representative (in such capacity, the "Representative"), with respect to (i) the issue and sale by the Company and the purchase by the Underwriters, acting severally and not jointly, of the respective numbers of shares of Common Stock, par value $0.001 per share, of the Company ("Common Stock") set forth in said Schedule A, and (ii) the grant by the Selling Shareholder to the Underwriters, acting severally and not jointly, of the option described in Section 2(b) hereof to purchase all or any part of 390,000 additional shares of Common Stock to cover over-allotments, if any. The aforesaid 2,600,000 shares of Common Stock (the "Initial Securities") to be purchased by the Underwriters and all or any part of the 390,000 shares of Common Stock subject to the option described in Section 2(b) hereof (the "Option Securities") are hereinafter called, collectively, the "Securities". The Company acknowledges and agrees that the</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235" w:right="1440" w:bottom="1440" w:gutter="0" w:footer="0" w:header="0"/>
        </w:sectPr>
      </w:pPr>
    </w:p>
    <w:bookmarkStart w:id="6" w:name="page7"/>
    <w:bookmarkEnd w:id="6"/>
    <w:p>
      <w:pPr>
        <w:ind w:right="2459"/>
        <w:spacing w:after="0" w:line="247" w:lineRule="auto"/>
        <w:rPr>
          <w:sz w:val="20"/>
          <w:szCs w:val="20"/>
          <w:color w:val="auto"/>
        </w:rPr>
      </w:pPr>
      <w:r>
        <w:rPr>
          <w:rFonts w:ascii="Courier New" w:cs="Courier New" w:eastAsia="Courier New" w:hAnsi="Courier New"/>
          <w:sz w:val="16"/>
          <w:szCs w:val="16"/>
          <w:color w:val="auto"/>
        </w:rPr>
        <w:t>Option Securities are "Registrable Shares" as defined in the Class D Convertible Preferred Stock Purchase Agreement dated as of August 31, 1990 (the "Stock Purchase Agreement") between the Company and the Selling Shareholder, that the Option Securities are being registered pursuant to Section 8.4 of the Stock Purchase Agreement and that such Selling Shareholder is entitled to the benefits of the Stock Purchase Agreement with respect to such Option Securities and the registration of the Option Securities.</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Company and the Selling Shareholder understand that the Underwriters propose to make a public offering of the Securities as soon as the Representative deems advisable after this Agreement has been executed and delivered.</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on Form S-3 (No. 333-31764) covering the registration of the Securities under the Securities Act of 1933, as amended (the "1933 Act"), including the related preliminary prospectus or prospectuses. Promptly after execution and delivery of this Agreement, the Company will prepare and file a prospectus in accordance with the provisions of Rule 430A ("Rule 430A") of the rules and regulations of the Commission under the 1933 Act (the "1933 Act Regulations") and paragraph (b) of Rule 424 ("Rule 424(b)") of the 1933 Act Regulations. The information included in such prospectus, that was omitted from such registration statement at the time it became effective but that is deemed to be part of such registration statement at the time it became effective pursuant to paragraph (b) of Rule 430A is referred to as "Rule 430A Information". Each prospectus used before such registration statement became effective, and any prospectus that omitted, as applicable, the Rule 430A Information, that was used after such effectiveness and prior to the execution and delivery of this Agreement, is herein called a "preliminary prospectus." Such registration statement, including the exhibits thereto, schedules thereto, if any, and the documents incorporated by reference therein pursuant to Item 12 of Form S-3 under the 1933 Act, at the time it became effective and including the Rule 430A Information, as applicable, is herein called the "Registration Statement". Any registration statement filed pursuant to Rule 462(b) of the 1933 Act Regulations is herein referred to as the "Rule 462(b) Registration Statement", and after such filing the term "Registration Statement" shall include the Rule 462(b) Registration Statement. The final prospectus, including the documents incorporated by reference therein pursuant to Item 12 of Form S-3 under the 1933 Act,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20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All references in this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the Registration Statement, any preliminary prospectus or the Prospectus, as the case may be; and all references in this Agreement to amendments or supplements to the Registration Statement, any preliminary prospectus or the Prospectus shall be deemed to mean and include the filing of any</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7" w:name="page8"/>
    <w:bookmarkEnd w:id="7"/>
    <w:p>
      <w:pPr>
        <w:ind w:right="2859"/>
        <w:spacing w:after="0" w:line="247" w:lineRule="auto"/>
        <w:rPr>
          <w:sz w:val="20"/>
          <w:szCs w:val="20"/>
          <w:color w:val="auto"/>
        </w:rPr>
      </w:pPr>
      <w:r>
        <w:rPr>
          <w:rFonts w:ascii="Courier New" w:cs="Courier New" w:eastAsia="Courier New" w:hAnsi="Courier New"/>
          <w:sz w:val="16"/>
          <w:szCs w:val="16"/>
          <w:color w:val="auto"/>
        </w:rPr>
        <w:t>document under the Securities Exchange Act of 1934 (the "1934 Act") which is incorporated by reference in the Registration Statement, such preliminary prospectus or the Prospectus, as the case may be.</w:t>
      </w:r>
    </w:p>
    <w:p>
      <w:pPr>
        <w:spacing w:after="0" w:line="186"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Representations and Warranties.</w:t>
      </w:r>
    </w:p>
    <w:p>
      <w:pPr>
        <w:spacing w:after="0" w:line="191" w:lineRule="exact"/>
        <w:rPr>
          <w:sz w:val="20"/>
          <w:szCs w:val="20"/>
          <w:color w:val="auto"/>
        </w:rPr>
      </w:pPr>
    </w:p>
    <w:p>
      <w:pPr>
        <w:ind w:right="2559" w:firstLine="871"/>
        <w:spacing w:after="0" w:line="247" w:lineRule="auto"/>
        <w:tabs>
          <w:tab w:leader="none" w:pos="12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by the Company. The Company represents and warrants to each Underwriter and the Selling Shareholder as of the date hereof, as of the Closing Time referred to in Section 2(c) hereof, and as of each Date of Delivery (if any) referred to in Section 2(b) hereof, and agrees with each Underwriter and the Selling Shareholder, as follows:</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1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Registration Requirements. The Company meets the requirements for use of Form S-3 under the 1933 Act. Each of the Registration Statement and any Rule 462(b) Registration Statement has become effective under the 1933 Act and no stop order suspending the effectiveness of the Registration Statement or any Rule 462(b)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92" w:lineRule="exact"/>
        <w:rPr>
          <w:sz w:val="20"/>
          <w:szCs w:val="20"/>
          <w:color w:val="auto"/>
        </w:rPr>
      </w:pPr>
    </w:p>
    <w:p>
      <w:pPr>
        <w:ind w:left="880" w:right="2459" w:firstLine="872"/>
        <w:spacing w:after="0" w:line="246" w:lineRule="auto"/>
        <w:rPr>
          <w:sz w:val="20"/>
          <w:szCs w:val="20"/>
          <w:color w:val="auto"/>
        </w:rPr>
      </w:pPr>
      <w:r>
        <w:rPr>
          <w:rFonts w:ascii="Courier New" w:cs="Courier New" w:eastAsia="Courier New" w:hAnsi="Courier New"/>
          <w:sz w:val="16"/>
          <w:szCs w:val="16"/>
          <w:color w:val="auto"/>
        </w:rPr>
        <w:t>At the respective times the Registration Statement, any Rule 462(b) Registration Statement and any post-effective amendments thereto became effective and at the Closing Time (and, if any Option Securities are purchased, at the Date of Delivery), the Registration Statement, the Rule 462(b) Registration Statement and any amendments and supplements thereto complied and will comply in all material respects with the requirements of the 1933 Act and the 1933 Act Regulations and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Time (and, if any Option Securities are purchased, at the Date of Delivery), included or will include an untrue statement of a material fact or omitted or will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or Prospectus made in reliance upon and in conformity with information furnished to the Company in writing by any Underwriter through Merrill Lynch expressly for use in the Registration Statement or Prospectus.</w:t>
      </w:r>
    </w:p>
    <w:p>
      <w:pPr>
        <w:spacing w:after="0" w:line="199" w:lineRule="exact"/>
        <w:rPr>
          <w:sz w:val="20"/>
          <w:szCs w:val="20"/>
          <w:color w:val="auto"/>
        </w:rPr>
      </w:pPr>
    </w:p>
    <w:p>
      <w:pPr>
        <w:ind w:left="880" w:right="2659" w:firstLine="872"/>
        <w:spacing w:after="0" w:line="246" w:lineRule="auto"/>
        <w:rPr>
          <w:sz w:val="20"/>
          <w:szCs w:val="20"/>
          <w:color w:val="auto"/>
        </w:rPr>
      </w:pPr>
      <w:r>
        <w:rPr>
          <w:rFonts w:ascii="Courier New" w:cs="Courier New" w:eastAsia="Courier New" w:hAnsi="Courier New"/>
          <w:sz w:val="16"/>
          <w:szCs w:val="16"/>
          <w:color w:val="auto"/>
        </w:rPr>
        <w:t>Each preliminary prospectus and the prospectus filed as part of the Registration Statement as originally filed or as part of any amendment thereto, or filed pursuant to Rule 424 under the 1933 Act, complied when so filed in all material respects with the 1933</w:t>
      </w:r>
    </w:p>
    <w:p>
      <w:pPr>
        <w:spacing w:after="0" w:line="2" w:lineRule="exact"/>
        <w:rPr>
          <w:sz w:val="20"/>
          <w:szCs w:val="20"/>
          <w:color w:val="auto"/>
        </w:rPr>
      </w:pPr>
    </w:p>
    <w:p>
      <w:pPr>
        <w:ind w:left="880" w:right="2559"/>
        <w:spacing w:after="0" w:line="247" w:lineRule="auto"/>
        <w:rPr>
          <w:sz w:val="20"/>
          <w:szCs w:val="20"/>
          <w:color w:val="auto"/>
        </w:rPr>
      </w:pPr>
      <w:r>
        <w:rPr>
          <w:rFonts w:ascii="Courier New" w:cs="Courier New" w:eastAsia="Courier New" w:hAnsi="Courier New"/>
          <w:sz w:val="16"/>
          <w:szCs w:val="16"/>
          <w:color w:val="auto"/>
        </w:rPr>
        <w:t>Act Regulations and each preliminary prospectus and the Prospectus delivered to the Underwriters for use in connection with this offering was identical to the electronically</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1440" w:gutter="0" w:footer="0" w:header="0"/>
        </w:sectPr>
      </w:pPr>
    </w:p>
    <w:bookmarkStart w:id="8" w:name="page9"/>
    <w:bookmarkEnd w:id="8"/>
    <w:p>
      <w:pPr>
        <w:ind w:right="2459"/>
        <w:spacing w:after="0" w:line="248" w:lineRule="auto"/>
        <w:rPr>
          <w:sz w:val="20"/>
          <w:szCs w:val="20"/>
          <w:color w:val="auto"/>
        </w:rPr>
      </w:pPr>
      <w:r>
        <w:rPr>
          <w:rFonts w:ascii="Courier New" w:cs="Courier New" w:eastAsia="Courier New" w:hAnsi="Courier New"/>
          <w:sz w:val="16"/>
          <w:szCs w:val="16"/>
          <w:color w:val="auto"/>
        </w:rPr>
        <w:t>transmitted copies thereof filed with the Commission pursuant to EDGAR, except to the extent permitted by Regulation S-T.</w:t>
      </w:r>
    </w:p>
    <w:p>
      <w:pPr>
        <w:spacing w:after="0" w:line="184" w:lineRule="exact"/>
        <w:rPr>
          <w:sz w:val="20"/>
          <w:szCs w:val="20"/>
          <w:color w:val="auto"/>
        </w:rPr>
      </w:pPr>
    </w:p>
    <w:p>
      <w:pPr>
        <w:ind w:right="2459" w:firstLine="864"/>
        <w:spacing w:after="0" w:line="246" w:lineRule="auto"/>
        <w:tabs>
          <w:tab w:leader="none" w:pos="13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Documents. The documents incorporated or deemed to be incorporated by reference in the Registration Statement and the Prospectus, at the time they were or hereafter are filed with the Commission (for so long as a prospectus is required to be delivered in connection with the sale of the Securities), complied and will comply in all material respects with the requirements of the 1934 Act and the rules and regulations of the Commission thereunder (the "1934 Act Regulations"), and, when read together with the other information in the Prospectus, at the time the Registration Statement became effective, at the time the Prospectus was issued and at the Closing Time (and if any Option Securities are purchased, at the Date of Delivery), did not and will not contain an untrue statement of a material fact or omit to state a material fact required to be stated therein or necessary to make the statements therein not misleading.</w:t>
      </w:r>
    </w:p>
    <w:p>
      <w:pPr>
        <w:spacing w:after="0" w:line="194" w:lineRule="exact"/>
        <w:rPr>
          <w:rFonts w:ascii="Courier New" w:cs="Courier New" w:eastAsia="Courier New" w:hAnsi="Courier New"/>
          <w:sz w:val="16"/>
          <w:szCs w:val="16"/>
          <w:color w:val="auto"/>
        </w:rPr>
      </w:pPr>
    </w:p>
    <w:p>
      <w:pPr>
        <w:ind w:right="2659" w:firstLine="864"/>
        <w:spacing w:after="0" w:line="247" w:lineRule="auto"/>
        <w:tabs>
          <w:tab w:leader="none" w:pos="145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Accountants. The accountants who certified the financial statements and supporting schedules included in the Registration Statement are independent public accountants as required by the 1933 Act and the 1933 Act Regulations.</w:t>
      </w:r>
    </w:p>
    <w:p>
      <w:pPr>
        <w:spacing w:after="0" w:line="185" w:lineRule="exact"/>
        <w:rPr>
          <w:rFonts w:ascii="Courier New" w:cs="Courier New" w:eastAsia="Courier New" w:hAnsi="Courier New"/>
          <w:sz w:val="16"/>
          <w:szCs w:val="16"/>
          <w:color w:val="auto"/>
        </w:rPr>
      </w:pPr>
    </w:p>
    <w:p>
      <w:pPr>
        <w:ind w:right="2459" w:firstLine="864"/>
        <w:spacing w:after="0" w:line="246" w:lineRule="auto"/>
        <w:tabs>
          <w:tab w:leader="none" w:pos="135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financial statements included in the Registration Statement and the Prospectus, together with the related schedules and notes, present fairly the respective financial positions of the Company and Amgen--Regeneron Partners (as defined below) at the dates indicated and the statement of operations, stockholders' equity (or statement of changes in partners' capital, in the case of Amgen--Regeneron Partners) and cash flows of the Company and Amgen--Regeneron Partners for the periods specified; said financial statements have been prepared in conformity with generally accepted accounting principles ("GAAP") applied on a consistent basis throughout the periods involved. The supporting schedules, if any, included in the Registration Statement present fairly in accordance with GAAP the information required to be stated therein. The selected financial data and the summary financial information included in the Prospectus present fairly the information shown therein and have been compiled on a basis consistent with that of the audited financial statements included in the Registration Statement.</w:t>
      </w:r>
    </w:p>
    <w:p>
      <w:pPr>
        <w:spacing w:after="0" w:line="195" w:lineRule="exact"/>
        <w:rPr>
          <w:rFonts w:ascii="Courier New" w:cs="Courier New" w:eastAsia="Courier New" w:hAnsi="Courier New"/>
          <w:sz w:val="16"/>
          <w:szCs w:val="16"/>
          <w:color w:val="auto"/>
        </w:rPr>
      </w:pPr>
    </w:p>
    <w:p>
      <w:pPr>
        <w:ind w:right="2459" w:firstLine="864"/>
        <w:spacing w:after="0" w:line="246" w:lineRule="auto"/>
        <w:tabs>
          <w:tab w:leader="none" w:pos="12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Change in Business. Since the respective dates as of which information is given in the Registration Statement and the Prospectus, 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"Material Adverse Effect"), (B) there have been no transactions entered into by the Company or Amgen--Regeneron Partners, other than those in the ordinary course of business, which are material with respect to the Company and Amgen--Regeneron Partners considered as one enterprise, and (C) there has been no dividend or distribution of any kind declared, paid or made by the Company on any class of its capital stock.</w:t>
      </w:r>
    </w:p>
    <w:p>
      <w:pPr>
        <w:spacing w:after="0" w:line="194"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339"/>
          </w:cols>
          <w:pgMar w:left="1120" w:top="862" w:right="1440" w:bottom="1440" w:gutter="0" w:footer="0" w:header="0"/>
        </w:sectPr>
      </w:pPr>
    </w:p>
    <w:bookmarkStart w:id="9" w:name="page10"/>
    <w:bookmarkEnd w:id="9"/>
    <w:p>
      <w:pPr>
        <w:ind w:left="-320" w:right="2459" w:firstLine="864"/>
        <w:spacing w:after="0" w:line="246" w:lineRule="auto"/>
        <w:tabs>
          <w:tab w:leader="none" w:pos="103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of the Company. The Company has been duly organized and is validly existing as a corporation in good standing under the laws of the State of New York and has corporate power and authority to own, lease and operate its properties and to conduct its business as described in the Prospectus and to enter into and perform its obligations under this Agreement. The Company is not required by any state laws to qualify as a foreign corporation to transact business whether by reason of the ownership or leasing of property or the conduct of business.</w:t>
      </w:r>
    </w:p>
    <w:p>
      <w:pPr>
        <w:spacing w:after="0" w:line="191" w:lineRule="exact"/>
        <w:rPr>
          <w:rFonts w:ascii="Courier New" w:cs="Courier New" w:eastAsia="Courier New" w:hAnsi="Courier New"/>
          <w:sz w:val="16"/>
          <w:szCs w:val="16"/>
          <w:color w:val="auto"/>
        </w:rPr>
      </w:pPr>
    </w:p>
    <w:p>
      <w:pPr>
        <w:ind w:left="-320" w:right="2459" w:firstLine="864"/>
        <w:spacing w:after="0" w:line="246" w:lineRule="auto"/>
        <w:tabs>
          <w:tab w:leader="none" w:pos="113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of Subsidiaries. The Company has no corporate subsidiaries. Amgen--Regeneron Partners, a Delaware general partnership ("Amgen--Regeneron Partners") formed by the Company and Amgen Inc., has been duly formed, is validly existing as a general partnership under the laws of the jurisdiction of its formation, has the legal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w:t>
      </w:r>
    </w:p>
    <w:p>
      <w:pPr>
        <w:spacing w:after="0" w:line="193" w:lineRule="exact"/>
        <w:rPr>
          <w:rFonts w:ascii="Courier New" w:cs="Courier New" w:eastAsia="Courier New" w:hAnsi="Courier New"/>
          <w:sz w:val="16"/>
          <w:szCs w:val="16"/>
          <w:color w:val="auto"/>
        </w:rPr>
      </w:pPr>
    </w:p>
    <w:p>
      <w:pPr>
        <w:ind w:left="-320" w:right="2459" w:firstLine="864"/>
        <w:spacing w:after="0" w:line="246" w:lineRule="auto"/>
        <w:tabs>
          <w:tab w:leader="none" w:pos="123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Capitalization. The authorized, issued and outstanding capital 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The shares of issued and outstanding capital stock of the Company, including the Option Securities to be purchased by the Underwriters from the Selling Shareholder, have been duly authorized and validly issued and are fully paid and non-assessable; none of the outstanding shares of capital stock of the Company, including the Option Securities to be purchased by the Underwriters from the Selling Shareholder, was issued in violation of the preemptive or other similar rights of any securityholder of the Company.</w:t>
      </w:r>
    </w:p>
    <w:p>
      <w:pPr>
        <w:spacing w:after="0" w:line="194" w:lineRule="exact"/>
        <w:rPr>
          <w:rFonts w:ascii="Courier New" w:cs="Courier New" w:eastAsia="Courier New" w:hAnsi="Courier New"/>
          <w:sz w:val="16"/>
          <w:szCs w:val="16"/>
          <w:color w:val="auto"/>
        </w:rPr>
      </w:pPr>
    </w:p>
    <w:p>
      <w:pPr>
        <w:ind w:left="-320" w:right="2559" w:firstLine="864"/>
        <w:spacing w:after="0" w:line="248" w:lineRule="auto"/>
        <w:tabs>
          <w:tab w:leader="none" w:pos="103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of Agreement. This Agreement has been duly authorized, executed and delivered by the Company.</w:t>
      </w:r>
    </w:p>
    <w:p>
      <w:pPr>
        <w:spacing w:after="0" w:line="184" w:lineRule="exact"/>
        <w:rPr>
          <w:rFonts w:ascii="Courier New" w:cs="Courier New" w:eastAsia="Courier New" w:hAnsi="Courier New"/>
          <w:sz w:val="16"/>
          <w:szCs w:val="16"/>
          <w:color w:val="auto"/>
        </w:rPr>
      </w:pPr>
    </w:p>
    <w:p>
      <w:pPr>
        <w:ind w:left="-320" w:right="2459" w:firstLine="864"/>
        <w:spacing w:after="0" w:line="246"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and Description of Securities. The Initial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fully paid and non-assessable; the Common Stock conforms to all statements relating thereto contained in the Prospectus and such description conforms to the rights set forth in the instruments defining the same; and no holder of the Initial Securities will be subject to personal liability by reason of being such a holder; and the issuance of the Initial Securities is not subject to the preemptive or other similar rights of any securityholder of the Company.</w:t>
      </w:r>
    </w:p>
    <w:p>
      <w:pPr>
        <w:spacing w:after="0" w:line="19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676" w:right="1440" w:bottom="1440" w:gutter="0" w:footer="0" w:header="0"/>
        </w:sectPr>
      </w:pPr>
    </w:p>
    <w:bookmarkStart w:id="10" w:name="page11"/>
    <w:bookmarkEnd w:id="10"/>
    <w:p>
      <w:pPr>
        <w:ind w:left="-320" w:right="2459" w:firstLine="767"/>
        <w:spacing w:after="0" w:line="246" w:lineRule="auto"/>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Defaults and Conflicts. Neither the Company nor Amgen--Regeneron Partners is in violation of its charter or by-laws or the partnership agreement, as the case may be, or in default in the performance or observance of any obligation, agreement, covenant or condition contained in any contract, indenture, mortgage, deed of trust, loan or credit agreement, note, lease or other agreement or instrument to which the Company or Amgen--Regeneron Partners is a party or by which it or any of them may be bound, or to which any of the property or assets of the Company or Amgen--Regeneron Partners is subject (collectively, "Agreements and Instruments") except for such defaults that would not result in a Material Adverse Effect; and the execution, delivery and performance of this Agreement by the Company and the consummation of the transactions contemplated herein and in the Registration Statement (including the issuance and sale of the Initial Securities and the use of the proceeds from the sale of the Initial Securities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Amgen--Regeneron Partners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the partnership agreement of Amgen--Regeneron Partners, or any applicable law, statute, rule, regulation, judgment, order, writ or decree of any government, government instrumentality or court, domestic or foreign, having jurisdiction over the Company or Amgen--Regeneron Partners or any of their assets, properties or operations except that could not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Amgen--Regeneron Partners.</w:t>
      </w:r>
    </w:p>
    <w:p>
      <w:pPr>
        <w:spacing w:after="0" w:line="207" w:lineRule="exact"/>
        <w:rPr>
          <w:rFonts w:ascii="Courier New" w:cs="Courier New" w:eastAsia="Courier New" w:hAnsi="Courier New"/>
          <w:sz w:val="16"/>
          <w:szCs w:val="16"/>
          <w:color w:val="auto"/>
        </w:rPr>
      </w:pPr>
    </w:p>
    <w:p>
      <w:pPr>
        <w:ind w:left="-320" w:right="2459" w:firstLine="864"/>
        <w:spacing w:after="0" w:line="247" w:lineRule="auto"/>
        <w:tabs>
          <w:tab w:leader="none" w:pos="113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Labor Dispute. No labor dispute with the employees of the Company or Amgen--Regeneron Partners exists or, to the knowledge of the Company, is imminent, and the Company is not aware of any existing or imminent labor disturbance by the employees of any of its or Amgen--Regeneron Partners' principal suppliers, manufacturers, customers or contractors, which, in either case, may reasonably be expected to result in a Material Adverse Effect.</w:t>
      </w:r>
    </w:p>
    <w:p>
      <w:pPr>
        <w:spacing w:after="0" w:line="185" w:lineRule="exact"/>
        <w:rPr>
          <w:rFonts w:ascii="Courier New" w:cs="Courier New" w:eastAsia="Courier New" w:hAnsi="Courier New"/>
          <w:sz w:val="16"/>
          <w:szCs w:val="16"/>
          <w:color w:val="auto"/>
        </w:rPr>
      </w:pPr>
    </w:p>
    <w:p>
      <w:pPr>
        <w:ind w:left="-320" w:right="2459" w:firstLine="864"/>
        <w:spacing w:after="0" w:line="246" w:lineRule="auto"/>
        <w:tabs>
          <w:tab w:leader="none" w:pos="123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Proceedings. There is no action, suit, proceeding, inquiry or investigation before or brought by any court or governmental agency or body, domestic or foreign, now pending, or, to the knowledge of the Company, threatened, against or affecting the Company or Amgen--Regeneron Partners, which is required to be disclosed in the Registration Statement (other than as disclosed therein), or which might reasonably be expected to result in a Material Adverse Effect, or which might reasonably be expected to</w:t>
      </w:r>
    </w:p>
    <w:p>
      <w:pPr>
        <w:spacing w:after="0" w:line="191"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676" w:right="1440" w:bottom="1440" w:gutter="0" w:footer="0" w:header="0"/>
        </w:sectPr>
      </w:pPr>
    </w:p>
    <w:bookmarkStart w:id="11" w:name="page12"/>
    <w:bookmarkEnd w:id="11"/>
    <w:p>
      <w:pPr>
        <w:ind w:right="2459"/>
        <w:spacing w:after="0" w:line="246" w:lineRule="auto"/>
        <w:rPr>
          <w:sz w:val="20"/>
          <w:szCs w:val="20"/>
          <w:color w:val="auto"/>
        </w:rPr>
      </w:pPr>
      <w:r>
        <w:rPr>
          <w:rFonts w:ascii="Courier New" w:cs="Courier New" w:eastAsia="Courier New" w:hAnsi="Courier New"/>
          <w:sz w:val="16"/>
          <w:szCs w:val="16"/>
          <w:color w:val="auto"/>
        </w:rPr>
        <w:t>materially and adversely affect the properties or assets thereof or the consummation of the transactions contemplated in this Agreement or the performance by the Company of its obligations hereunder; the aggregate of all pending legal or governmental proceedings to which the Company or Amgen--Regeneron Partners is a party or of which any of their respective property or assets is the subject which are not described in the Registration Statement, including ordinary routine litigation incidental to the business, could not reasonably be expected to result in a Material Adverse Effect.</w:t>
      </w:r>
    </w:p>
    <w:p>
      <w:pPr>
        <w:spacing w:after="0" w:line="191" w:lineRule="exact"/>
        <w:rPr>
          <w:sz w:val="20"/>
          <w:szCs w:val="20"/>
          <w:color w:val="auto"/>
        </w:rPr>
      </w:pPr>
    </w:p>
    <w:p>
      <w:pPr>
        <w:ind w:right="2759" w:firstLine="864"/>
        <w:spacing w:after="0" w:line="247" w:lineRule="auto"/>
        <w:tabs>
          <w:tab w:leader="none" w:pos="145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Accuracy of Exhibits. There are no contracts or documents which are required to be described in the Registration Statement, the Prospectus or the documents incorporated by reference therein or to be filed as exhibits thereto which have not been so described and filed as required.</w:t>
      </w:r>
    </w:p>
    <w:p>
      <w:pPr>
        <w:spacing w:after="0" w:line="185" w:lineRule="exact"/>
        <w:rPr>
          <w:rFonts w:ascii="Courier New" w:cs="Courier New" w:eastAsia="Courier New" w:hAnsi="Courier New"/>
          <w:sz w:val="16"/>
          <w:szCs w:val="16"/>
          <w:color w:val="auto"/>
        </w:rPr>
      </w:pPr>
    </w:p>
    <w:p>
      <w:pPr>
        <w:ind w:right="2459" w:firstLine="864"/>
        <w:spacing w:after="0" w:line="246" w:lineRule="auto"/>
        <w:tabs>
          <w:tab w:leader="none" w:pos="135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of Intellectual Property. The Company and Amgen--Regeneron Partners owns or possesses, or will use their best efforts to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Except as disclosed in the Prospectus, there is no litigation or other proceeding pending or, to the best of the Company's knowledge, threatened and no claims are presently being asserted by any third party challenging or questioning the ownership, validity, enforceability of the Company's or Amgen--Regeneron Partners' right to use or own any Intellectual Property or asserting that the use of any Intellectual Property by the Company or Amgen--Regeneron Partners or the operation of the business of the Company or Amgen--Regeneron Partners infringes upon or misappropriates the Intellectual Property of any third party, other than infringements which would not be reasonably likely to have a Material Adverse Effect on the Company and neither the Company nor Amgen--Regeneron Partners is otherwise aware of any infringement of or conflict with asserted rights of others with respect to any Intellectual Property or of any facts or circumstances which would render any Intellectual Property invalid or inadequate to protect the interest of the Company or Amgen--Regeneron Partners therein, and which infringement or conflict (if the subject of any unfavorable decision, ruling or finding) or invalidity or inadequacy, singly or in the aggregate, would result in a Material Adverse Effect.</w:t>
      </w:r>
    </w:p>
    <w:p>
      <w:pPr>
        <w:spacing w:after="0" w:line="201" w:lineRule="exact"/>
        <w:rPr>
          <w:rFonts w:ascii="Courier New" w:cs="Courier New" w:eastAsia="Courier New" w:hAnsi="Courier New"/>
          <w:sz w:val="16"/>
          <w:szCs w:val="16"/>
          <w:color w:val="auto"/>
        </w:rPr>
      </w:pPr>
    </w:p>
    <w:p>
      <w:pPr>
        <w:ind w:right="2859" w:firstLine="864"/>
        <w:spacing w:after="0" w:line="246" w:lineRule="auto"/>
        <w:tabs>
          <w:tab w:leader="none" w:pos="145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Further Requirements. No filing with, or authorization, approval, consent, license, order, registration, qualification or decree of, any court or governmental</w:t>
      </w:r>
    </w:p>
    <w:p>
      <w:pPr>
        <w:spacing w:after="0" w:line="1"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or agency is necessary or required for the performance by the Company of its obligations hereunder, in connection with the offering, issuance or sale of the Securities hereunder or the consummation of the transactions contemplated by this Agreement.</w:t>
      </w:r>
    </w:p>
    <w:p>
      <w:pPr>
        <w:spacing w:after="0" w:line="185" w:lineRule="exact"/>
        <w:rPr>
          <w:rFonts w:ascii="Courier New" w:cs="Courier New" w:eastAsia="Courier New" w:hAnsi="Courier New"/>
          <w:sz w:val="16"/>
          <w:szCs w:val="16"/>
          <w:color w:val="auto"/>
        </w:rPr>
      </w:pPr>
    </w:p>
    <w:p>
      <w:pPr>
        <w:ind w:right="2559" w:firstLine="864"/>
        <w:spacing w:after="0" w:line="247" w:lineRule="auto"/>
        <w:tabs>
          <w:tab w:leader="none" w:pos="155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of Licenses and Permits. The Company and Amgen--Regeneron Partners possesses such permits, licenses, approvals, consents and other authorizations (collectively, "Governmental Licenses") issued by the appropriate federal, state, local or</w:t>
      </w:r>
    </w:p>
    <w:p>
      <w:pPr>
        <w:spacing w:after="0" w:line="186"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339"/>
          </w:cols>
          <w:pgMar w:left="1120" w:top="676" w:right="1440" w:bottom="1440" w:gutter="0" w:footer="0" w:header="0"/>
        </w:sectPr>
      </w:pPr>
    </w:p>
    <w:bookmarkStart w:id="12" w:name="page13"/>
    <w:bookmarkEnd w:id="12"/>
    <w:p>
      <w:pPr>
        <w:ind w:right="2459"/>
        <w:spacing w:after="0" w:line="246" w:lineRule="auto"/>
        <w:rPr>
          <w:sz w:val="20"/>
          <w:szCs w:val="20"/>
          <w:color w:val="auto"/>
        </w:rPr>
      </w:pPr>
      <w:r>
        <w:rPr>
          <w:rFonts w:ascii="Courier New" w:cs="Courier New" w:eastAsia="Courier New" w:hAnsi="Courier New"/>
          <w:sz w:val="16"/>
          <w:szCs w:val="16"/>
          <w:color w:val="auto"/>
        </w:rPr>
        <w:t>foreign regulatory agencies or bodies necessary to conduct the business now operated by them; the Company and Amgen--Regeneron Partners are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neither the Company nor Amgen--Regeneron Partners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94" w:lineRule="exact"/>
        <w:rPr>
          <w:sz w:val="20"/>
          <w:szCs w:val="20"/>
          <w:color w:val="auto"/>
        </w:rPr>
      </w:pPr>
    </w:p>
    <w:p>
      <w:pPr>
        <w:ind w:right="2459" w:firstLine="864"/>
        <w:spacing w:after="0" w:line="246" w:lineRule="auto"/>
        <w:tabs>
          <w:tab w:leader="none" w:pos="164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Property. The Company and Amgen--Regeneron Partners have good and marketable title to all real property owned by the Company and Amgen--Regeneron Partners and good title to all other properties owned by them, in each case, free and clear of all mortgages, pledges, liens, security interests, claims, restrictions or encumbrances of any kind except such as (a) are described in the Prospectus or (b) do not, singly or in the aggregate, materially affect the value of such property and do not interfere with the use made and proposed to be made of such property by the Company or Amgen--Regeneron Partners; and all of the leases and subleases material to the business of the Company and Amgen--Regeneron Partners, considered as one enterprise, and under which the Company or Amgen--Regeneron Partners holds properties described in the Prospectus, are in full force and effect, and neither the Company nor Amgen--Regeneron Partners has any notice of any material claim of any sort that has been asserted by anyone adverse to the rights of the Company or Amgen--Regeneron Partners under any of the leases or subleases mentioned above, or affecting or questioning the rights of the Company or Amgen--Regeneron Partners to the continued possession of the leased or subleased premises under any such lease or sublease.</w:t>
      </w:r>
    </w:p>
    <w:p>
      <w:pPr>
        <w:spacing w:after="0" w:line="197" w:lineRule="exact"/>
        <w:rPr>
          <w:rFonts w:ascii="Courier New" w:cs="Courier New" w:eastAsia="Courier New" w:hAnsi="Courier New"/>
          <w:sz w:val="16"/>
          <w:szCs w:val="16"/>
          <w:color w:val="auto"/>
        </w:rPr>
      </w:pPr>
    </w:p>
    <w:p>
      <w:pPr>
        <w:ind w:right="2459" w:firstLine="864"/>
        <w:spacing w:after="0" w:line="246" w:lineRule="auto"/>
        <w:tabs>
          <w:tab w:leader="none" w:pos="145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Except as described in the Registration Statement and except as would not, singly or in the aggregate, result in a Material Adverse Effect, (A) neither the Company nor Amgen--Regeneron Partners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Amgen--Regeneron Partners have all permits, authorizations and approvals required under any applicable Environmental Laws and are each in compliance with their requirements, (C) there are no pending or</w:t>
      </w:r>
    </w:p>
    <w:p>
      <w:pPr>
        <w:spacing w:after="0" w:line="19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339"/>
          </w:cols>
          <w:pgMar w:left="1120" w:top="862" w:right="1440" w:bottom="1440" w:gutter="0" w:footer="0" w:header="0"/>
        </w:sectPr>
      </w:pPr>
    </w:p>
    <w:bookmarkStart w:id="13" w:name="page14"/>
    <w:bookmarkEnd w:id="13"/>
    <w:p>
      <w:pPr>
        <w:ind w:left="9" w:right="2559"/>
        <w:spacing w:after="0" w:line="246" w:lineRule="auto"/>
        <w:rPr>
          <w:sz w:val="20"/>
          <w:szCs w:val="20"/>
          <w:color w:val="auto"/>
        </w:rPr>
      </w:pPr>
      <w:r>
        <w:rPr>
          <w:rFonts w:ascii="Courier New" w:cs="Courier New" w:eastAsia="Courier New" w:hAnsi="Courier New"/>
          <w:sz w:val="16"/>
          <w:szCs w:val="16"/>
          <w:color w:val="auto"/>
        </w:rPr>
        <w:t>threatened administrative, regulatory or judicial actions, suits, demands, demand letters, claims, liens, notices of noncompliance or violation, investigation or proceedings relating to any Environmental Law against the Company or Amgen--Regeneron Partners and (D) there are no events or circumstances that might reasonably be expected to form the basis of an order for clean-up or remediation, or an action, suit or proceeding by any private party or governmental body or agency, against or affecting the Company or Amgen--Regeneron Partners relating to Hazardous Materials or any Environmental Laws.</w:t>
      </w:r>
    </w:p>
    <w:p>
      <w:pPr>
        <w:spacing w:after="0" w:line="191" w:lineRule="exact"/>
        <w:rPr>
          <w:sz w:val="20"/>
          <w:szCs w:val="20"/>
          <w:color w:val="auto"/>
        </w:rPr>
      </w:pPr>
    </w:p>
    <w:p>
      <w:pPr>
        <w:ind w:left="9" w:right="2459" w:firstLine="864"/>
        <w:spacing w:after="0" w:line="247" w:lineRule="auto"/>
        <w:tabs>
          <w:tab w:leader="none" w:pos="1365"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Act. The Company is not, and upon the issuance and sale of the Securities as herein contemplated and the application of the net proceeds therefrom as described in the Prospectus will not be, an "investment company" or an entity controlled by an "investment company" as such terms are defined in The Investment Company Act of 1940, as amended (the "1940 Act").</w:t>
      </w:r>
    </w:p>
    <w:p>
      <w:pPr>
        <w:spacing w:after="0" w:line="185" w:lineRule="exact"/>
        <w:rPr>
          <w:rFonts w:ascii="Courier New" w:cs="Courier New" w:eastAsia="Courier New" w:hAnsi="Courier New"/>
          <w:sz w:val="16"/>
          <w:szCs w:val="16"/>
          <w:color w:val="auto"/>
        </w:rPr>
      </w:pPr>
    </w:p>
    <w:p>
      <w:pPr>
        <w:ind w:left="9" w:right="2559" w:firstLine="864"/>
        <w:spacing w:after="0" w:line="246" w:lineRule="auto"/>
        <w:tabs>
          <w:tab w:leader="none" w:pos="146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FDA and PTO Proceedings. To the best of the Company's knowledge, except as disclosed in the Prospectus, there are no rulemaking or similar proceedings before the U.S. Food and Drug Administration or the U.S. Patent and Trademark Office which affect or involve the Company or Amgen--Regeneron Partners or any of the processes or products which the Prospectus discloses the Company or Amgen--Regeneron Partners has developed, is developing or proposes to develop or uses or proposes to use which, if the subject of an action unfavorable to the Company or Amgen--Regeneron Partners, could have a Material Adverse Effect on the Company.</w:t>
      </w:r>
    </w:p>
    <w:p>
      <w:pPr>
        <w:spacing w:after="0" w:line="191" w:lineRule="exact"/>
        <w:rPr>
          <w:rFonts w:ascii="Courier New" w:cs="Courier New" w:eastAsia="Courier New" w:hAnsi="Courier New"/>
          <w:sz w:val="16"/>
          <w:szCs w:val="16"/>
          <w:color w:val="auto"/>
        </w:rPr>
      </w:pPr>
    </w:p>
    <w:p>
      <w:pPr>
        <w:ind w:left="9" w:right="2459" w:firstLine="864"/>
        <w:spacing w:after="0" w:line="247" w:lineRule="auto"/>
        <w:tabs>
          <w:tab w:leader="none" w:pos="1559"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Cuba Act. The Company has complied with, and is and will be in compliance with, the provisions of that certain Florida act relating to disclosure of doing business with Cuba, codified as Section 517.075 of the Florida statutes, and the rules and regulations thereunder, or is exempt therefrom.</w:t>
      </w:r>
    </w:p>
    <w:p>
      <w:pPr>
        <w:spacing w:after="0" w:line="185" w:lineRule="exact"/>
        <w:rPr>
          <w:rFonts w:ascii="Courier New" w:cs="Courier New" w:eastAsia="Courier New" w:hAnsi="Courier New"/>
          <w:sz w:val="16"/>
          <w:szCs w:val="16"/>
          <w:color w:val="auto"/>
        </w:rPr>
      </w:pPr>
    </w:p>
    <w:p>
      <w:pPr>
        <w:ind w:left="-871" w:right="2659" w:firstLine="871"/>
        <w:spacing w:after="0" w:line="247" w:lineRule="auto"/>
        <w:tabs>
          <w:tab w:leader="none" w:pos="38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by the Selling Shareholder. The Selling Shareholder represents and warrants to each Underwriter as of the date hereof, as of the Closing time, and, if the Selling Shareholder is selling Option Securities on a Date of Delivery, as of each such Date of Delivery, and agrees with each Underwriter, as follows:</w:t>
      </w:r>
    </w:p>
    <w:p>
      <w:pPr>
        <w:spacing w:after="0" w:line="185" w:lineRule="exact"/>
        <w:rPr>
          <w:rFonts w:ascii="Courier New" w:cs="Courier New" w:eastAsia="Courier New" w:hAnsi="Courier New"/>
          <w:sz w:val="16"/>
          <w:szCs w:val="16"/>
          <w:color w:val="auto"/>
        </w:rPr>
      </w:pPr>
    </w:p>
    <w:p>
      <w:pPr>
        <w:ind w:left="9" w:right="3239" w:firstLine="864"/>
        <w:spacing w:after="0" w:line="248" w:lineRule="auto"/>
        <w:tabs>
          <w:tab w:leader="none" w:pos="126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Accurate Disclosure. The information set forth in Exhibit E is true and accurate.</w:t>
      </w:r>
    </w:p>
    <w:p>
      <w:pPr>
        <w:spacing w:after="0" w:line="184" w:lineRule="exact"/>
        <w:rPr>
          <w:rFonts w:ascii="Courier New" w:cs="Courier New" w:eastAsia="Courier New" w:hAnsi="Courier New"/>
          <w:sz w:val="16"/>
          <w:szCs w:val="16"/>
          <w:color w:val="auto"/>
        </w:rPr>
      </w:pPr>
    </w:p>
    <w:p>
      <w:pPr>
        <w:ind w:left="9" w:right="2459" w:firstLine="864"/>
        <w:spacing w:after="0" w:line="246" w:lineRule="auto"/>
        <w:tabs>
          <w:tab w:leader="none" w:pos="1365"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of Agreements. The Selling Shareholder has the full right, power and authority to enter into this Agreement and to sell, transfer and deliver the Option Securities to be sold by the Selling Shareholder hereunder. The execution and delivery of this Agreement and the sale and delivery of the Option Securities to be sold by the Selling Shareholder and the consummation of the transactions contemplated herein and compliance by the Selling Shareholder with its obligations hereunder have been duly authorized by the Selling Shareholder and do not and will not, whether with or without the giving of notice or passage of time or both, conflict with or constitute a breach of, or default under, or result in the creation or imposition of any tax, lien, charge or encumbrance upon the Option Securities</w:t>
      </w:r>
    </w:p>
    <w:p>
      <w:pPr>
        <w:spacing w:after="0" w:line="193"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348"/>
          </w:cols>
          <w:pgMar w:left="1111" w:top="676" w:right="1440" w:bottom="1440" w:gutter="0" w:footer="0" w:header="0"/>
        </w:sectPr>
      </w:pPr>
    </w:p>
    <w:bookmarkStart w:id="14" w:name="page15"/>
    <w:bookmarkEnd w:id="14"/>
    <w:p>
      <w:pPr>
        <w:ind w:right="2459"/>
        <w:spacing w:after="0" w:line="246" w:lineRule="auto"/>
        <w:rPr>
          <w:sz w:val="20"/>
          <w:szCs w:val="20"/>
          <w:color w:val="auto"/>
        </w:rPr>
      </w:pPr>
      <w:r>
        <w:rPr>
          <w:rFonts w:ascii="Courier New" w:cs="Courier New" w:eastAsia="Courier New" w:hAnsi="Courier New"/>
          <w:sz w:val="16"/>
          <w:szCs w:val="16"/>
          <w:color w:val="auto"/>
        </w:rPr>
        <w:t>to be sold by the Selling Shareholder or any property or assets of the Selling Shareholder pursuant to any contract, indenture, mortgage, deed of trust, loan or credit agreement, note, license, lease or other agreement or instrument to which the Selling Shareholder is a party and which has been filed as an exhibit to the Selling Shareholder's Form</w:t>
      </w:r>
    </w:p>
    <w:p>
      <w:pPr>
        <w:spacing w:after="0" w:line="3"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10-K for the fiscal year ended December 31, 1999, nor will such action result in any violation of the provisions of the charter or by-laws of the Selling Shareholder, or any applicable treaty, law, statute, rule, regulation, judgment, order, writ or decree of any government, government instrumentality or court, domestic or foreign, having jurisdiction over the Selling Shareholder or any of its properties except to the extent that such action does not result in a material adverse change in the financial condition of the Selling Shareholder.</w:t>
      </w:r>
    </w:p>
    <w:p>
      <w:pPr>
        <w:spacing w:after="0" w:line="191" w:lineRule="exact"/>
        <w:rPr>
          <w:sz w:val="20"/>
          <w:szCs w:val="20"/>
          <w:color w:val="auto"/>
        </w:rPr>
      </w:pPr>
    </w:p>
    <w:p>
      <w:pPr>
        <w:ind w:right="2459" w:firstLine="864"/>
        <w:spacing w:after="0" w:line="246" w:lineRule="auto"/>
        <w:tabs>
          <w:tab w:leader="none" w:pos="145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Holder of Securities; Title to Option Securities. The Option Securities to be sold by the Selling Shareholder pursuant to this Agreement are certificated securities in registered form with a 1933 Act restrictive legend and are not held in any securities account or by or through any securities intermediary within the meaning of the Uniform Commercial Code as in effect in the State of New York ("NYUCC"). The Selling Shareholder, on the Date of Delivery, will have full right, power and authority to hold, sell, transfer and deliver the Option Securities to be sold by the Selling Shareholder pursuant to this Agreement; and upon the Underwriters' acquiring possession of such Option Securities (or an agent's acquiring possession of such Option Securities on the Underwriters' behalf) in the State of New York and paying the purchase price therefor as herein contemplated, the Underwriters will acquire their respective interests in such Option Securities (including, without limitation, all rights that the Selling Shareholder had or has the power to transfer in such Option Securities) free of any "adverse claim" (as defined in Section 8-102(a) of the NYUCC), assuming that the Underwriters do not have notice of any adverse claim to the Option Securities.</w:t>
      </w:r>
    </w:p>
    <w:p>
      <w:pPr>
        <w:spacing w:after="0" w:line="197" w:lineRule="exact"/>
        <w:rPr>
          <w:rFonts w:ascii="Courier New" w:cs="Courier New" w:eastAsia="Courier New" w:hAnsi="Courier New"/>
          <w:sz w:val="16"/>
          <w:szCs w:val="16"/>
          <w:color w:val="auto"/>
        </w:rPr>
      </w:pPr>
    </w:p>
    <w:p>
      <w:pPr>
        <w:ind w:right="2559" w:firstLine="864"/>
        <w:spacing w:after="0" w:line="247" w:lineRule="auto"/>
        <w:tabs>
          <w:tab w:leader="none" w:pos="13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Manipulation. The Selling Shareholder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Option Securities.</w:t>
      </w:r>
    </w:p>
    <w:p>
      <w:pPr>
        <w:spacing w:after="0" w:line="185" w:lineRule="exact"/>
        <w:rPr>
          <w:rFonts w:ascii="Courier New" w:cs="Courier New" w:eastAsia="Courier New" w:hAnsi="Courier New"/>
          <w:sz w:val="16"/>
          <w:szCs w:val="16"/>
          <w:color w:val="auto"/>
        </w:rPr>
      </w:pPr>
    </w:p>
    <w:p>
      <w:pPr>
        <w:ind w:left="1260" w:hanging="396"/>
        <w:spacing w:after="0"/>
        <w:tabs>
          <w:tab w:leader="none" w:pos="12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Further Requirements.  No filing with</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(other than filings made pursuant to the 1934 Act), or consent, approval, authorization, order, registration, qualification or decree of, any court or governmental authority or agency of the United States or the States of California or New York, is necessary or required for the performance by the Selling Shareholder of its obligations hereunder, or in connection with the sale and delivery of the Option Securities hereunder or the consummation of the transactions contemplated by this Agreement, except such as may have previously been made or obtained or as may be required under the 1933 Act or the 1933 Act Regulations or state securities laws.</w:t>
      </w:r>
    </w:p>
    <w:p>
      <w:pPr>
        <w:spacing w:after="0" w:line="192" w:lineRule="exact"/>
        <w:rPr>
          <w:sz w:val="20"/>
          <w:szCs w:val="20"/>
          <w:color w:val="auto"/>
        </w:rPr>
      </w:pPr>
    </w:p>
    <w:p>
      <w:pPr>
        <w:ind w:right="2459" w:firstLine="864"/>
        <w:spacing w:after="0" w:line="247" w:lineRule="auto"/>
        <w:tabs>
          <w:tab w:leader="none" w:pos="13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on Sale of Securities. During a period of 90 days from the effective date of the Registration Statement, the Selling Shareholder agrees with the Underwriters that it will not, without the prior written consent of Merrill Lynch, (i) offer,</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339"/>
          </w:cols>
          <w:pgMar w:left="1120" w:top="676" w:right="1440" w:bottom="1440" w:gutter="0" w:footer="0" w:header="0"/>
        </w:sectPr>
      </w:pPr>
    </w:p>
    <w:bookmarkStart w:id="15" w:name="page16"/>
    <w:bookmarkEnd w:id="15"/>
    <w:p>
      <w:pPr>
        <w:ind w:left="9" w:right="2559"/>
        <w:spacing w:after="0" w:line="246" w:lineRule="auto"/>
        <w:rPr>
          <w:sz w:val="20"/>
          <w:szCs w:val="20"/>
          <w:color w:val="auto"/>
        </w:rPr>
      </w:pPr>
      <w:r>
        <w:rPr>
          <w:rFonts w:ascii="Courier New" w:cs="Courier New" w:eastAsia="Courier New" w:hAnsi="Courier New"/>
          <w:sz w:val="16"/>
          <w:szCs w:val="16"/>
          <w:color w:val="auto"/>
        </w:rPr>
        <w:t>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the Option Securities to be sold hereunder.</w:t>
      </w:r>
    </w:p>
    <w:p>
      <w:pPr>
        <w:spacing w:after="0" w:line="194" w:lineRule="exact"/>
        <w:rPr>
          <w:sz w:val="20"/>
          <w:szCs w:val="20"/>
          <w:color w:val="auto"/>
        </w:rPr>
      </w:pPr>
    </w:p>
    <w:p>
      <w:pPr>
        <w:ind w:left="9" w:right="2459" w:firstLine="864"/>
        <w:spacing w:after="0" w:line="247" w:lineRule="auto"/>
        <w:tabs>
          <w:tab w:leader="none" w:pos="146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Suitable for Transfer. Certificates for all of the Option Securities to be sold by the Selling Shareholder pursuant to this Agreement, in suitable form for transfer by delivery or accompanied by duly executed instruments of transfer or assignment in blank, will, prior to the Date of Delivery, have been placed in custody with counsel for the Selling Shareholder with instructions to deliver such Securities to the Underwriters pursuant to this Agreement.</w:t>
      </w:r>
    </w:p>
    <w:p>
      <w:pPr>
        <w:spacing w:after="0" w:line="185" w:lineRule="exact"/>
        <w:rPr>
          <w:rFonts w:ascii="Courier New" w:cs="Courier New" w:eastAsia="Courier New" w:hAnsi="Courier New"/>
          <w:sz w:val="16"/>
          <w:szCs w:val="16"/>
          <w:color w:val="auto"/>
        </w:rPr>
      </w:pPr>
    </w:p>
    <w:p>
      <w:pPr>
        <w:ind w:left="9" w:right="2559" w:firstLine="864"/>
        <w:spacing w:after="0" w:line="247" w:lineRule="auto"/>
        <w:tabs>
          <w:tab w:leader="none" w:pos="155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Association with NASD. Neither the Selling Shareholder nor any of its affiliates directly, or indirectly through one or more intermediaries, controls, or is controlled by, or is under common control with, or has any other association with (within the meaning of Article I, Section 1(m) of the By-laws of the National Association of Securities Dealers, Inc.), any member firm of the National Association of Securities Dealers, Inc.</w:t>
      </w:r>
    </w:p>
    <w:p>
      <w:pPr>
        <w:spacing w:after="0" w:line="185" w:lineRule="exact"/>
        <w:rPr>
          <w:sz w:val="20"/>
          <w:szCs w:val="20"/>
          <w:color w:val="auto"/>
        </w:rPr>
      </w:pPr>
    </w:p>
    <w:p>
      <w:pPr>
        <w:ind w:left="-871" w:right="2459" w:firstLine="1744"/>
        <w:spacing w:after="0" w:line="246" w:lineRule="auto"/>
        <w:tabs>
          <w:tab w:leader="none" w:pos="12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Certificates. Any certificate signed by any officer of the Company delivered to the Representative, the Selling Shareholder or to counsel for the Underwriters shall be deemed a representation and warranty by the Company to each Underwriter and the Selling Shareholder as to the matters covered thereby; and any certificate signed by or on behalf of the Selling Shareholder as such and delivered to the Representative pursuant to the terms of this Agreement shall be deemed a representation and warranty by the Selling Shareholder to the Underwriters as to the matters covered thereby.</w:t>
      </w:r>
    </w:p>
    <w:p>
      <w:pPr>
        <w:spacing w:after="0" w:line="191" w:lineRule="exact"/>
        <w:rPr>
          <w:sz w:val="20"/>
          <w:szCs w:val="20"/>
          <w:color w:val="auto"/>
        </w:rPr>
      </w:pPr>
    </w:p>
    <w:p>
      <w:pPr>
        <w:ind w:left="9"/>
        <w:spacing w:after="0"/>
        <w:tabs>
          <w:tab w:leader="none" w:pos="1728"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Sale and Delivery to Underwriters; Closing.</w:t>
      </w:r>
    </w:p>
    <w:p>
      <w:pPr>
        <w:spacing w:after="0" w:line="191" w:lineRule="exact"/>
        <w:rPr>
          <w:sz w:val="20"/>
          <w:szCs w:val="20"/>
          <w:color w:val="auto"/>
        </w:rPr>
      </w:pPr>
    </w:p>
    <w:p>
      <w:pPr>
        <w:ind w:left="-871" w:right="2559" w:firstLine="871"/>
        <w:spacing w:after="0" w:line="246" w:lineRule="auto"/>
        <w:tabs>
          <w:tab w:leader="none" w:pos="38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Securities.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per share set forth in Schedule C, the number of Initial Securities set forth in Schedule A opposite the name of such Underwriter, plus any additional number of Initial Securities which such Underwriter may become obligated to purchase pursuant to the provisions of Section 10 hereof.</w:t>
      </w:r>
    </w:p>
    <w:p>
      <w:pPr>
        <w:spacing w:after="0" w:line="191" w:lineRule="exact"/>
        <w:rPr>
          <w:rFonts w:ascii="Courier New" w:cs="Courier New" w:eastAsia="Courier New" w:hAnsi="Courier New"/>
          <w:sz w:val="16"/>
          <w:szCs w:val="16"/>
          <w:color w:val="auto"/>
        </w:rPr>
      </w:pPr>
    </w:p>
    <w:p>
      <w:pPr>
        <w:ind w:left="-871" w:right="2459" w:firstLine="871"/>
        <w:spacing w:after="0" w:line="247" w:lineRule="auto"/>
        <w:tabs>
          <w:tab w:leader="none" w:pos="38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Securities. In addition, on the basis of the representations and warranties herein contained and subject to the terms and conditions herein set forth, the Selling Shareholder</w:t>
      </w:r>
    </w:p>
    <w:p>
      <w:pPr>
        <w:spacing w:after="0" w:line="186"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48"/>
          </w:cols>
          <w:pgMar w:left="1111" w:top="862" w:right="1440" w:bottom="1440" w:gutter="0" w:footer="0" w:header="0"/>
        </w:sectPr>
      </w:pPr>
    </w:p>
    <w:bookmarkStart w:id="16" w:name="page17"/>
    <w:bookmarkEnd w:id="16"/>
    <w:p>
      <w:pPr>
        <w:ind w:right="2459"/>
        <w:spacing w:after="0" w:line="246" w:lineRule="auto"/>
        <w:rPr>
          <w:sz w:val="20"/>
          <w:szCs w:val="20"/>
          <w:color w:val="auto"/>
        </w:rPr>
      </w:pPr>
      <w:r>
        <w:rPr>
          <w:rFonts w:ascii="Courier New" w:cs="Courier New" w:eastAsia="Courier New" w:hAnsi="Courier New"/>
          <w:sz w:val="16"/>
          <w:szCs w:val="16"/>
          <w:color w:val="auto"/>
        </w:rPr>
        <w:t>hereby grants an option to the Underwriters, severally and not jointly, to purchase up to 390,000 additional shares of Common Stock as set forth in Schedule B, at the price per share set forth in Schedule C, less an amount per share equal to any dividends or distributions declared by the Company and payable on the Initial Securities but not payable on the Option Securities. The option hereby granted will expire 30 days after the date hereof and may be exercised in whole or in part from time to time only for the purpose of covering over-allotments which may be made in connection with the offering and distribution of the Initial Securities upon notice by the Representative to the Selling Shareholder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 but shall not be earlier than three full business days prior to or later than seven full business days after the exercise of said option, nor in any event prior to the Closing Time, as hereinafter defined, provided, however, if the option hereby granted is exercised at least one business day prior to the Closing Time, the Date of Delivery shall be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 in its discretion shall make to eliminate any sales or purchases of fractional shares.</w:t>
      </w:r>
    </w:p>
    <w:p>
      <w:pPr>
        <w:spacing w:after="0" w:line="200" w:lineRule="exact"/>
        <w:rPr>
          <w:sz w:val="20"/>
          <w:szCs w:val="20"/>
          <w:color w:val="auto"/>
        </w:rPr>
      </w:pPr>
    </w:p>
    <w:p>
      <w:pPr>
        <w:ind w:right="2459" w:firstLine="871"/>
        <w:spacing w:after="0" w:line="246" w:lineRule="auto"/>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Payment of the purchase price for, and delivery of certificates for, the Initial Securities shall be made at the offices of Shearman and Sterling, 599 Lexington Avenue, New York, NY 10022, or at such other place as shall be agreed upon by the Representative and the Company,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 and the Company (such time and date of payment and delivery being herein called "Closing Time").</w:t>
      </w:r>
    </w:p>
    <w:p>
      <w:pPr>
        <w:spacing w:after="0" w:line="192"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addition, in the event that any or all of the Option Securities are purchased by the Underwriters, payment of the purchase price for, and delivery of certificates for, such Option Securities shall be made at the above-mentioned offices, or at such other place as shall be agreed upon by the Representative and the Company and the Selling Shareholder, on each Date of Delivery as specified in the notice from the Representative to the Company and the Selling Shareholder.</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Payment shall be made to the Company and the Selling Shareholder by wire transfer of immediately available funds to bank accounts designated by the Company and the Selling Shareholder as the case may be, against delivery to the Representative for the respective accounts of the Underwriters of certificates for the Securities to be purchased by them. It is understood that each Underwriter has authorized the Representative, for its account, to accept delivery of, receipt for, and make payment of the purchase price for, the Initial Securities and the Option Securities, if any, which it has agreed to purchase. Merrill Lynch, individually and not as representative of the Underwriters, may (but shall not be obligated to) make payment of the purchase price for the Initial Securities or</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7" w:name="page18"/>
    <w:bookmarkEnd w:id="17"/>
    <w:p>
      <w:pPr>
        <w:ind w:right="2559"/>
        <w:spacing w:after="0" w:line="247" w:lineRule="auto"/>
        <w:rPr>
          <w:sz w:val="20"/>
          <w:szCs w:val="20"/>
          <w:color w:val="auto"/>
        </w:rPr>
      </w:pPr>
      <w:r>
        <w:rPr>
          <w:rFonts w:ascii="Courier New" w:cs="Courier New" w:eastAsia="Courier New" w:hAnsi="Courier New"/>
          <w:sz w:val="16"/>
          <w:szCs w:val="16"/>
          <w:color w:val="auto"/>
        </w:rPr>
        <w:t>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86" w:lineRule="exact"/>
        <w:rPr>
          <w:sz w:val="20"/>
          <w:szCs w:val="20"/>
          <w:color w:val="auto"/>
        </w:rPr>
      </w:pPr>
    </w:p>
    <w:p>
      <w:pPr>
        <w:ind w:right="2459" w:firstLine="871"/>
        <w:spacing w:after="0" w:line="246" w:lineRule="auto"/>
        <w:tabs>
          <w:tab w:leader="none" w:pos="12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 Registration. Certificates for the Initial Securities and the Option Securities, if any, shall be in such denominations and registered in such names as the Representative may request in writing at least one full business day before the Closing Time or the relevant Date of Delivery, as the case may be. The certificates for the Initial Securities and the Option Securities, if any, will be made available for examination and packaging by the Representative in The City of New York not later than 10:00 A.M. (Eastern time) on the business day prior to the Closing Time or the relevant Date of Delivery, as the case may be.</w:t>
      </w:r>
    </w:p>
    <w:p>
      <w:pPr>
        <w:spacing w:after="0" w:line="191"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SECTION 3. Covenants of the Company. The Company covenants with each Underwriter as follows:</w:t>
      </w:r>
    </w:p>
    <w:p>
      <w:pPr>
        <w:spacing w:after="0" w:line="184" w:lineRule="exact"/>
        <w:rPr>
          <w:sz w:val="20"/>
          <w:szCs w:val="20"/>
          <w:color w:val="auto"/>
        </w:rPr>
      </w:pPr>
    </w:p>
    <w:p>
      <w:pPr>
        <w:ind w:left="880" w:right="2459" w:firstLine="864"/>
        <w:spacing w:after="0" w:line="246" w:lineRule="auto"/>
        <w:tabs>
          <w:tab w:leader="none" w:pos="21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Securities Regulations and Commission Requests. The Company, subject to Section 3(b), will comply with the requirements of Rule 430A, and will (for so long as a prospectus is required to be delivered in connection with the sale of the Securities) notify the Representative immediately, and confirm the notice in writing, (i) when any post-effective amendment to the Registration Statement shall become effective, or any supplement to the Prospectus or any amended Prospectus shall have been filed, (ii) of the receipt of any comments from the Commission regarding the Registration Statement or the Prospectus, (iii) of any request by the Commission for any amendment to the Registration Statement or any amendment or supplement to the Prospectus or for additional information, and (iv) of the issuance by the Commission of any stop order suspending the effectiveness of the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The Company will promptly effect the filings necessary pursuant to Rule 424(b)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201" w:lineRule="exact"/>
        <w:rPr>
          <w:rFonts w:ascii="Courier New" w:cs="Courier New" w:eastAsia="Courier New" w:hAnsi="Courier New"/>
          <w:sz w:val="16"/>
          <w:szCs w:val="16"/>
          <w:color w:val="auto"/>
        </w:rPr>
      </w:pPr>
    </w:p>
    <w:p>
      <w:pPr>
        <w:ind w:left="880" w:right="2459" w:firstLine="864"/>
        <w:spacing w:after="0" w:line="246" w:lineRule="auto"/>
        <w:tabs>
          <w:tab w:leader="none" w:pos="21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of Amendments. For so long as a prospectus is required to be delivered in connection with the sale of the Securities, the Company will give the Representative notice of its intention to file or prepare any amendment to the Registration Statement (including any filing under Rule 462(b)), or any amendment, supplement or revision to either the prospectus included in the Registration Statement at the time it became effective or to the Prospectus, whether pursuant to the 1933 Act, the 1934 Act or otherwise, will furnish the Representative with copies of any such documents a reasonable amount of time prior to such proposed filing or use, as the case may be, and will not file or use any such document to which the Representative or counsel for the Underwriters shall reasonably object.</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8" w:name="page19"/>
    <w:bookmarkEnd w:id="18"/>
    <w:p>
      <w:pPr>
        <w:ind w:right="2459" w:firstLine="864"/>
        <w:spacing w:after="0" w:line="246" w:lineRule="auto"/>
        <w:tabs>
          <w:tab w:leader="none" w:pos="12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Registration Statements. The Company has furnished or will deliver to the Representative and counsel for the Underwriters, without charge, one copy of the manually signed and as many conformed copies as the Underwriters may reasonably request,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 without charge, a conformed copy of the Registration Statement as originally filed and of each amendment thereto (without exhibits) for each of the Underwriters. The copies of the Registration Statement and each amendment thereto furnished to the Underwriters will be identical in text to the electronically transmitted copies thereof filed with the Commission pursuant to EDGAR, except to the extent permitted by Regulation S-T.</w:t>
      </w:r>
    </w:p>
    <w:p>
      <w:pPr>
        <w:spacing w:after="0" w:line="195" w:lineRule="exact"/>
        <w:rPr>
          <w:rFonts w:ascii="Courier New" w:cs="Courier New" w:eastAsia="Courier New" w:hAnsi="Courier New"/>
          <w:sz w:val="16"/>
          <w:szCs w:val="16"/>
          <w:color w:val="auto"/>
        </w:rPr>
      </w:pPr>
    </w:p>
    <w:p>
      <w:pPr>
        <w:ind w:right="2459" w:firstLine="864"/>
        <w:spacing w:after="0" w:line="246" w:lineRule="auto"/>
        <w:tabs>
          <w:tab w:leader="none" w:pos="12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Prospectuses.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the Prospectus is required to be delivered under the 1933 Act or the 1934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93" w:lineRule="exact"/>
        <w:rPr>
          <w:rFonts w:ascii="Courier New" w:cs="Courier New" w:eastAsia="Courier New" w:hAnsi="Courier New"/>
          <w:sz w:val="16"/>
          <w:szCs w:val="16"/>
          <w:color w:val="auto"/>
        </w:rPr>
      </w:pPr>
    </w:p>
    <w:p>
      <w:pPr>
        <w:ind w:left="1260" w:hanging="396"/>
        <w:spacing w:after="0"/>
        <w:tabs>
          <w:tab w:leader="none" w:pos="12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Compliance with Securities Laws.  The</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Company will comply with the 1933 Act and the 1933 Act Regulations and the 1934 Act and the 1934 Act Regulations so as to permit the completion of the distribution of the Securities as contemplated in this Agreement and in the Prospectus. If at any time when a prospectus is required by the 1933 Act to be delivered in connection with sales of the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1933 Act or the 1933 Act Regulations, the Company will promptly prepare and file with the Commission, subject to Section 3(b), such amendment or supplement as may be necessary to correct such statement or omission or to make the Registration Statement or the Prospectus comply with such requirements, and the Company will furnish to the Underwriters such number of copies of such amendment or supplement as the Underwriters may reasonably request.</w:t>
      </w:r>
    </w:p>
    <w:p>
      <w:pPr>
        <w:spacing w:after="0" w:line="38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339"/>
          </w:cols>
          <w:pgMar w:left="1120" w:top="676" w:right="1440" w:bottom="1440" w:gutter="0" w:footer="0" w:header="0"/>
        </w:sectPr>
      </w:pPr>
    </w:p>
    <w:bookmarkStart w:id="19" w:name="page20"/>
    <w:bookmarkEnd w:id="19"/>
    <w:p>
      <w:pPr>
        <w:ind w:right="2459" w:firstLine="670"/>
        <w:spacing w:after="0" w:line="246" w:lineRule="auto"/>
        <w:tabs>
          <w:tab w:leader="none" w:pos="106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Blue Sky Qualifications. The Company will cooperate with the Underwriters, to qualify the Securities for offering and sale under the applicable securities laws of such states and other jurisdictions as the Representative may designate and to maintain such qualifications in effect for a period of not less than one year from the later of the effective date of the Registration Statement and any Rule 462(b) Registration Statement;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for a period as required by the relevant jurisdiction of the Registration Statement and any Rule 462(b) Registration Statement.</w:t>
      </w:r>
    </w:p>
    <w:p>
      <w:pPr>
        <w:spacing w:after="0" w:line="195" w:lineRule="exact"/>
        <w:rPr>
          <w:rFonts w:ascii="Courier New" w:cs="Courier New" w:eastAsia="Courier New" w:hAnsi="Courier New"/>
          <w:sz w:val="16"/>
          <w:szCs w:val="16"/>
          <w:color w:val="auto"/>
        </w:rPr>
      </w:pPr>
    </w:p>
    <w:p>
      <w:pPr>
        <w:ind w:right="2459" w:firstLine="864"/>
        <w:spacing w:after="0" w:line="247" w:lineRule="auto"/>
        <w:tabs>
          <w:tab w:leader="none" w:pos="12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158. The Company will timely file such reports pursuant to the 1934 Act as are necessary in order to make generally available to its securityholders as soon as practicable an earnings statement for the purposes of, and to provide the benefits contemplated by, the last paragraph of Section 11(a) of the 1933 Act.</w:t>
      </w:r>
    </w:p>
    <w:p>
      <w:pPr>
        <w:spacing w:after="0" w:line="185" w:lineRule="exact"/>
        <w:rPr>
          <w:rFonts w:ascii="Courier New" w:cs="Courier New" w:eastAsia="Courier New" w:hAnsi="Courier New"/>
          <w:sz w:val="16"/>
          <w:szCs w:val="16"/>
          <w:color w:val="auto"/>
        </w:rPr>
      </w:pPr>
    </w:p>
    <w:p>
      <w:pPr>
        <w:ind w:left="1260" w:hanging="396"/>
        <w:spacing w:after="0"/>
        <w:tabs>
          <w:tab w:leader="none" w:pos="12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Proceeds.  The Company will use the net</w:t>
      </w:r>
    </w:p>
    <w:p>
      <w:pPr>
        <w:spacing w:after="0" w:line="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proceeds received by it from the sale of the Securities in the manner specified in the Prospectus under "Use of Proceeds".</w:t>
      </w:r>
    </w:p>
    <w:p>
      <w:pPr>
        <w:spacing w:after="0" w:line="184" w:lineRule="exact"/>
        <w:rPr>
          <w:sz w:val="20"/>
          <w:szCs w:val="20"/>
          <w:color w:val="auto"/>
        </w:rPr>
      </w:pPr>
    </w:p>
    <w:p>
      <w:pPr>
        <w:ind w:right="2559" w:firstLine="864"/>
        <w:spacing w:after="0" w:line="247" w:lineRule="auto"/>
        <w:tabs>
          <w:tab w:leader="none" w:pos="12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The Company will use its best efforts to effect and maintain the quotation of the Securities on the Nasdaq National Market and will file with the Nasdaq National Market all documents and notices required by the Nasdaq National Market of companies that have securities that are traded in the over-the-counter market and quotations for which are reported by the Nasdaq National Market.</w:t>
      </w:r>
    </w:p>
    <w:p>
      <w:pPr>
        <w:spacing w:after="0" w:line="185" w:lineRule="exact"/>
        <w:rPr>
          <w:rFonts w:ascii="Courier New" w:cs="Courier New" w:eastAsia="Courier New" w:hAnsi="Courier New"/>
          <w:sz w:val="16"/>
          <w:szCs w:val="16"/>
          <w:color w:val="auto"/>
        </w:rPr>
      </w:pPr>
    </w:p>
    <w:p>
      <w:pPr>
        <w:ind w:right="2459" w:firstLine="864"/>
        <w:spacing w:after="0" w:line="246" w:lineRule="auto"/>
        <w:tabs>
          <w:tab w:leader="none" w:pos="12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on Sale of Securities. During a period of 90 days from the date of the Prospectus, the Company will not, without the prior written consent of Merrill Lynch, (i) directly or indirectly, offer, pledge, sell, contract to sell, sell any option or contract to purchase, purchase any option or contract to sell, grant any option, right or warrant to purchase or otherwise transfer or dispose of any share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(A) the Securities to be sold hereunder, (B) any shares of Common Stock issued by the Company upon the exercise of an option or warrant or the conversion of a security outstanding on the date hereof and referred to in the Prospectus, (C) any shares of Common Stock issued or options to purchase Common Stock granted pursuant to existing and future employee benefit plans of the Company or (D) any shares of Common Stock issued pursuant to any non-employee director stock plan or dividend reinvestment plan.</w:t>
      </w:r>
    </w:p>
    <w:p>
      <w:pPr>
        <w:spacing w:after="0" w:line="38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39"/>
          </w:cols>
          <w:pgMar w:left="1120" w:top="676" w:right="1440" w:bottom="1440" w:gutter="0" w:footer="0" w:header="0"/>
        </w:sectPr>
      </w:pPr>
    </w:p>
    <w:bookmarkStart w:id="20" w:name="page21"/>
    <w:bookmarkEnd w:id="20"/>
    <w:p>
      <w:pPr>
        <w:ind w:left="880" w:right="2459" w:firstLine="864"/>
        <w:spacing w:after="0" w:line="247" w:lineRule="auto"/>
        <w:tabs>
          <w:tab w:leader="none" w:pos="21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 Requirements.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4. Payment of Expenses. (a) Expenses. The Company will pay or cause to be paid all expenses incident to the performance of its obligations under this Agreement, including (i) the preparation, printing and filing of the Registration Statement (including financial statements and exhibits) as originally filed and of each amendment thereto, (ii) the preparation, printing and delivery to the Underwriters of this Agreement, any Agreement among Underwriters and such other documents as may be required in connection with the offering, purchase, sale, issuance or delivery of the Securities,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counsel, the Selling Shareholder's counsel, accountants and other advisors, (v) the filing fees incident to any necessary filings under state securities laws and the reasonable fees and disbursements of counsel for the Underwriters in connection therewith and in connection with the preparation of the Blue Sky Survey and any supplement thereto, (vi) the printing and delivery to the Underwriters of copies of each preliminary prospectus, and of the Prospectus and any amendments or supplements thereto, (vii) the fees and expenses of the transfer agent or registrar for the Securities, (viii) the filing fees incident to, and the reasonable fees and disbursements of counsel to the Underwriters in connection with, the review by the National Association of Securities Dealers, Inc. (the "NASD") of the terms of the sale of the Securities and (ix) the fees and expenses incurred in connection with the inclusion of the Securities in the Nasdaq National Market.</w:t>
      </w:r>
    </w:p>
    <w:p>
      <w:pPr>
        <w:spacing w:after="0" w:line="387" w:lineRule="exact"/>
        <w:rPr>
          <w:sz w:val="20"/>
          <w:szCs w:val="20"/>
          <w:color w:val="auto"/>
        </w:rPr>
      </w:pPr>
    </w:p>
    <w:p>
      <w:pPr>
        <w:ind w:right="2559" w:firstLine="871"/>
        <w:spacing w:after="0" w:line="247" w:lineRule="auto"/>
        <w:tabs>
          <w:tab w:leader="none" w:pos="174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of the Selling Shareholder. The Selling Shareholder will pay all discounts, and commissions of the Underwriters relating to the distribution of the Option Securities.</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2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Agreement. If this Agreement is terminated by the Representative in accordance with the provisions of Section 5 or Section 9(a)(i) hereof, the Company shall reimburse the Underwriters for all of their out-of-pocket expenses, including the reasonable fees and disbursements of counsel for the Underwriters incurred in connection with the Initial Securities and Option Securities respectively as advised by the Underwriters.</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2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Expenses. The provisions of this Section shall not affect the agreement between the Company and the Selling Shareholder for the sharing of such costs and expenses as provided in the Stock Purchase Agreement.</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5. Conditions of Underwriters' Obligations. The obligations of the several Underwriters hereunder are subject to the accuracy of the representations and warranties of the Company and the Selling Shareholder contained in Section 1 hereof or in certificates of any officer of the Company delivered pursuant to the provisions hereof, to the performance by the Company and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1" w:name="page22"/>
    <w:bookmarkEnd w:id="21"/>
    <w:p>
      <w:pPr>
        <w:ind w:right="2959"/>
        <w:spacing w:after="0" w:line="248" w:lineRule="auto"/>
        <w:rPr>
          <w:sz w:val="20"/>
          <w:szCs w:val="20"/>
          <w:color w:val="auto"/>
        </w:rPr>
      </w:pPr>
      <w:r>
        <w:rPr>
          <w:rFonts w:ascii="Courier New" w:cs="Courier New" w:eastAsia="Courier New" w:hAnsi="Courier New"/>
          <w:sz w:val="16"/>
          <w:szCs w:val="16"/>
          <w:color w:val="auto"/>
        </w:rPr>
        <w:t>the Selling Shareholder of their respective covenants and other obligations hereunder, and to the following further conditions:</w:t>
      </w:r>
    </w:p>
    <w:p>
      <w:pPr>
        <w:spacing w:after="0" w:line="184" w:lineRule="exact"/>
        <w:rPr>
          <w:sz w:val="20"/>
          <w:szCs w:val="20"/>
          <w:color w:val="auto"/>
        </w:rPr>
      </w:pPr>
    </w:p>
    <w:p>
      <w:pPr>
        <w:ind w:left="880" w:right="2459" w:firstLine="864"/>
        <w:spacing w:after="0" w:line="246" w:lineRule="auto"/>
        <w:tabs>
          <w:tab w:leader="none" w:pos="2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Registration Statement. The Registration Statement, including any Rule 462(b) Registration Statement, has become effective and 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containing the Rule 430A Information shall have been filed with the Commission in accordance with Rule 424(b) (or a post-effective amendment providing such information shall have been filed and declared effective in accordance with the requirements of Rule 430A).</w:t>
      </w:r>
    </w:p>
    <w:p>
      <w:pPr>
        <w:spacing w:after="0" w:line="193" w:lineRule="exact"/>
        <w:rPr>
          <w:rFonts w:ascii="Courier New" w:cs="Courier New" w:eastAsia="Courier New" w:hAnsi="Courier New"/>
          <w:sz w:val="16"/>
          <w:szCs w:val="16"/>
          <w:color w:val="auto"/>
        </w:rPr>
      </w:pPr>
    </w:p>
    <w:p>
      <w:pPr>
        <w:ind w:left="880" w:right="2459" w:firstLine="864"/>
        <w:spacing w:after="0" w:line="246" w:lineRule="auto"/>
        <w:tabs>
          <w:tab w:leader="none" w:pos="2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Company. At Closing Time, the Representative shall have received the favorable opinion, dated as of Closing Time, of Skadden, Arps, Slate, Meagher &amp; Flom LLP, counsel for the Company, together with the favorable opinion of Joseph M. Sorrentino, in-house intellectual property counsel for the Company, each in form and substance satisfactory to counsel for the Underwriters, together with signed or reproduced copies of such letter for each of the other Underwriters to the effect set forth in Exhibit A and Exhibit B, respectively, hereto and to such further effect as counsel to the Underwriters may reasonably request.</w:t>
      </w:r>
    </w:p>
    <w:p>
      <w:pPr>
        <w:spacing w:after="0" w:line="191" w:lineRule="exact"/>
        <w:rPr>
          <w:rFonts w:ascii="Courier New" w:cs="Courier New" w:eastAsia="Courier New" w:hAnsi="Courier New"/>
          <w:sz w:val="16"/>
          <w:szCs w:val="16"/>
          <w:color w:val="auto"/>
        </w:rPr>
      </w:pPr>
    </w:p>
    <w:p>
      <w:pPr>
        <w:ind w:left="880" w:right="2459" w:firstLine="864"/>
        <w:spacing w:after="0" w:line="246" w:lineRule="auto"/>
        <w:tabs>
          <w:tab w:leader="none" w:pos="262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Underwriters. At Closing Time, the Representative shall have received the favorable opinion, dated as of Closing Time, of Shearman &amp; Sterling, counsel for the Underwriters. In giving such opinion such counsel may rely, as to all matters governed by the laws of jurisdictions other than the law of the State of New York and the federal law of the United States, upon the opinions of counsel satisfactory to the Representative. Such counsel may also state that, insofar as such opinion involves factual matters, they have relied, to the extent they deem proper, upon certificates of officers of the Company and certificates of public officials.</w:t>
      </w:r>
    </w:p>
    <w:p>
      <w:pPr>
        <w:spacing w:after="0" w:line="191" w:lineRule="exact"/>
        <w:rPr>
          <w:rFonts w:ascii="Courier New" w:cs="Courier New" w:eastAsia="Courier New" w:hAnsi="Courier New"/>
          <w:sz w:val="16"/>
          <w:szCs w:val="16"/>
          <w:color w:val="auto"/>
        </w:rPr>
      </w:pPr>
    </w:p>
    <w:p>
      <w:pPr>
        <w:ind w:left="880" w:right="2459" w:firstLine="864"/>
        <w:spacing w:after="0" w:line="246" w:lineRule="auto"/>
        <w:tabs>
          <w:tab w:leader="none" w:pos="214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 At Closing Time, there shall not have been, since the date hereof or since the respective dates as of which information is given in the Prospectus, any material adverse change or a development known to the Company involving a prospective material adverse change in the condition, financial or otherwise, or in the earnings or business affairs of the Company, whether or not arising in the ordinary course of business, and the Representative shall have received a certificate of the President or a Vice President of the Company and of the chief financial or chief accounting officer of the Company, dated as of Closing Time, to the effect that (i) there has been no such material adverse change, (ii) the representations and warranties in Section 1(a) hereof are true and correct with the same force and effect as though expressly made at and as of Closing Time,</w:t>
      </w:r>
    </w:p>
    <w:p>
      <w:pPr>
        <w:spacing w:after="0" w:line="7" w:lineRule="exact"/>
        <w:rPr>
          <w:rFonts w:ascii="Courier New" w:cs="Courier New" w:eastAsia="Courier New" w:hAnsi="Courier New"/>
          <w:sz w:val="16"/>
          <w:szCs w:val="16"/>
          <w:color w:val="auto"/>
        </w:rPr>
      </w:pPr>
    </w:p>
    <w:p>
      <w:pPr>
        <w:ind w:left="880" w:right="2759" w:hanging="9"/>
        <w:spacing w:after="0" w:line="247" w:lineRule="auto"/>
        <w:tabs>
          <w:tab w:leader="none" w:pos="14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complied with all agreements and satisfied all conditions on its part to be performed or satisfied at or prior to Closing Time, and (iv) no stop order suspending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2" w:name="page23"/>
    <w:bookmarkEnd w:id="22"/>
    <w:p>
      <w:pPr>
        <w:ind w:right="2459"/>
        <w:spacing w:after="0" w:line="247" w:lineRule="auto"/>
        <w:rPr>
          <w:sz w:val="20"/>
          <w:szCs w:val="20"/>
          <w:color w:val="auto"/>
        </w:rPr>
      </w:pPr>
      <w:r>
        <w:rPr>
          <w:rFonts w:ascii="Courier New" w:cs="Courier New" w:eastAsia="Courier New" w:hAnsi="Courier New"/>
          <w:sz w:val="16"/>
          <w:szCs w:val="16"/>
          <w:color w:val="auto"/>
        </w:rPr>
        <w:t>effectiveness of the Registration Statement has been issued and no proceedings for that purpose have been instituted or are pending or are contemplated by the Commission.</w:t>
      </w:r>
    </w:p>
    <w:p>
      <w:pPr>
        <w:spacing w:after="0" w:line="186" w:lineRule="exact"/>
        <w:rPr>
          <w:sz w:val="20"/>
          <w:szCs w:val="20"/>
          <w:color w:val="auto"/>
        </w:rPr>
      </w:pPr>
    </w:p>
    <w:p>
      <w:pPr>
        <w:ind w:right="2459" w:firstLine="864"/>
        <w:spacing w:after="0" w:line="246" w:lineRule="auto"/>
        <w:tabs>
          <w:tab w:leader="none" w:pos="12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Accountants' Comfort Letter. At the time of the execution of this Agreement, the Representative shall have received from each of PricewaterhouseCoopers LLP and Ernst &amp; Young,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91" w:lineRule="exact"/>
        <w:rPr>
          <w:rFonts w:ascii="Courier New" w:cs="Courier New" w:eastAsia="Courier New" w:hAnsi="Courier New"/>
          <w:sz w:val="16"/>
          <w:szCs w:val="16"/>
          <w:color w:val="auto"/>
        </w:rPr>
      </w:pPr>
    </w:p>
    <w:p>
      <w:pPr>
        <w:ind w:right="2459" w:firstLine="864"/>
        <w:spacing w:after="0" w:line="247" w:lineRule="auto"/>
        <w:tabs>
          <w:tab w:leader="none" w:pos="12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Bring-down Comfort Letter. At Closing Time, the Representative shall have received from each of PricewaterhouseCoopers and Ernst &amp; Young a letter, dated as of Closing Time, to the effect that they reaffirm the statements made in the letter furnished pursuant to subsection (e) of this Section, except that the specified date referred to shall be a date not more than three business days prior to Closing Time.</w:t>
      </w:r>
    </w:p>
    <w:p>
      <w:pPr>
        <w:spacing w:after="0" w:line="185" w:lineRule="exact"/>
        <w:rPr>
          <w:rFonts w:ascii="Courier New" w:cs="Courier New" w:eastAsia="Courier New" w:hAnsi="Courier New"/>
          <w:sz w:val="16"/>
          <w:szCs w:val="16"/>
          <w:color w:val="auto"/>
        </w:rPr>
      </w:pPr>
    </w:p>
    <w:p>
      <w:pPr>
        <w:jc w:val="both"/>
        <w:ind w:right="2459" w:firstLine="864"/>
        <w:spacing w:after="0" w:line="247" w:lineRule="auto"/>
        <w:tabs>
          <w:tab w:leader="none" w:pos="12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Listing. At Closing Time, the Securities shall have been approved for inclusion in the Nasdaq National Market, subject only to official notice of issuance.</w:t>
      </w:r>
    </w:p>
    <w:p>
      <w:pPr>
        <w:spacing w:after="0" w:line="185" w:lineRule="exact"/>
        <w:rPr>
          <w:rFonts w:ascii="Courier New" w:cs="Courier New" w:eastAsia="Courier New" w:hAnsi="Courier New"/>
          <w:sz w:val="16"/>
          <w:szCs w:val="16"/>
          <w:color w:val="auto"/>
        </w:rPr>
      </w:pPr>
    </w:p>
    <w:p>
      <w:pPr>
        <w:ind w:right="2859" w:firstLine="864"/>
        <w:spacing w:after="0" w:line="247" w:lineRule="auto"/>
        <w:tabs>
          <w:tab w:leader="none" w:pos="174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Objection. The NASD has confirmed that it has not raised any objection with respect to the fairness and reasonableness of the underwriting terms and arrangements.</w:t>
      </w:r>
    </w:p>
    <w:p>
      <w:pPr>
        <w:spacing w:after="0" w:line="372" w:lineRule="exact"/>
        <w:rPr>
          <w:rFonts w:ascii="Courier New" w:cs="Courier New" w:eastAsia="Courier New" w:hAnsi="Courier New"/>
          <w:sz w:val="16"/>
          <w:szCs w:val="16"/>
          <w:color w:val="auto"/>
        </w:rPr>
      </w:pPr>
    </w:p>
    <w:p>
      <w:pPr>
        <w:ind w:right="2459" w:firstLine="864"/>
        <w:spacing w:after="0" w:line="247" w:lineRule="auto"/>
        <w:tabs>
          <w:tab w:leader="none" w:pos="174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Lock-up Agreements. At the date of this Agreement, the Representative shall have received an agreement substantially in the form of Exhibit D hereto signed by the persons listed on Schedule D hereto.</w:t>
      </w:r>
    </w:p>
    <w:p>
      <w:pPr>
        <w:spacing w:after="0" w:line="185" w:lineRule="exact"/>
        <w:rPr>
          <w:rFonts w:ascii="Courier New" w:cs="Courier New" w:eastAsia="Courier New" w:hAnsi="Courier New"/>
          <w:sz w:val="16"/>
          <w:szCs w:val="16"/>
          <w:color w:val="auto"/>
        </w:rPr>
      </w:pPr>
    </w:p>
    <w:p>
      <w:pPr>
        <w:ind w:right="2459" w:firstLine="864"/>
        <w:spacing w:after="0" w:line="246" w:lineRule="auto"/>
        <w:tabs>
          <w:tab w:leader="none" w:pos="12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Purchase of Option Securities. In the event that the Underwriters exercise their option provided in Section 2(b) hereof to purchase all or any portion of the Option Securities, the representations and warranties of the Company and the Selling Shareholder contained herein and the statements in any certificates furnished by the Company and the Selling Shareholder hereunder shall be true and correct as of each Date of Delivery and, at the relevant Date of Delivery, the Representative shall have received:</w:t>
      </w:r>
    </w:p>
    <w:p>
      <w:pPr>
        <w:spacing w:after="0" w:line="190" w:lineRule="exact"/>
        <w:rPr>
          <w:rFonts w:ascii="Courier New" w:cs="Courier New" w:eastAsia="Courier New" w:hAnsi="Courier New"/>
          <w:sz w:val="16"/>
          <w:szCs w:val="16"/>
          <w:color w:val="auto"/>
        </w:rPr>
      </w:pPr>
    </w:p>
    <w:p>
      <w:pPr>
        <w:ind w:left="860" w:right="2459" w:firstLine="876"/>
        <w:spacing w:after="0" w:line="247" w:lineRule="auto"/>
        <w:tabs>
          <w:tab w:leader="none" w:pos="212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 A certificate, dated such Date of Delivery, of the President or a Vice President of the Company and of the chief financial or chief accounting officer of the Company confirming that the certificate delivered at Closing Time pursuant to Section 5(d) hereof remains true and correct as of such Date of Delivery. The Officers' Certificate shall also be received by the Selling Shareholder.</w:t>
      </w:r>
    </w:p>
    <w:p>
      <w:pPr>
        <w:spacing w:after="0" w:line="185" w:lineRule="exact"/>
        <w:rPr>
          <w:rFonts w:ascii="Courier New" w:cs="Courier New" w:eastAsia="Courier New" w:hAnsi="Courier New"/>
          <w:sz w:val="16"/>
          <w:szCs w:val="16"/>
          <w:color w:val="auto"/>
        </w:rPr>
      </w:pPr>
    </w:p>
    <w:p>
      <w:pPr>
        <w:ind w:left="860" w:right="2559" w:firstLine="876"/>
        <w:spacing w:after="0" w:line="247" w:lineRule="auto"/>
        <w:tabs>
          <w:tab w:leader="none" w:pos="2217"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Selling Shareholder. On the Date of Delivery, the Representative shall have received a certificate of the Selling Shareholder, dated as of</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339"/>
          </w:cols>
          <w:pgMar w:left="1120" w:top="676" w:right="1440" w:bottom="1440" w:gutter="0" w:footer="0" w:header="0"/>
        </w:sectPr>
      </w:pPr>
    </w:p>
    <w:bookmarkStart w:id="23" w:name="page24"/>
    <w:bookmarkEnd w:id="23"/>
    <w:p>
      <w:pPr>
        <w:ind w:left="540" w:right="2659"/>
        <w:spacing w:after="0" w:line="246" w:lineRule="auto"/>
        <w:rPr>
          <w:sz w:val="20"/>
          <w:szCs w:val="20"/>
          <w:color w:val="auto"/>
        </w:rPr>
      </w:pPr>
      <w:r>
        <w:rPr>
          <w:rFonts w:ascii="Courier New" w:cs="Courier New" w:eastAsia="Courier New" w:hAnsi="Courier New"/>
          <w:sz w:val="16"/>
          <w:szCs w:val="16"/>
          <w:color w:val="auto"/>
        </w:rPr>
        <w:t>the Date of Delivery, to the effect that (A) the representations and warranties of the Selling Shareholder contained in Section 1(b) hereof are true and correct in all respects with the same force and effect as though expressly made at and as of the Date of Delivery and (B) the Selling Shareholder has complied in all material respects with all agreements and all conditions on its part to be performed under this Agreement at or prior to the Date of Delivery.</w:t>
      </w:r>
    </w:p>
    <w:p>
      <w:pPr>
        <w:spacing w:after="0" w:line="191" w:lineRule="exact"/>
        <w:rPr>
          <w:sz w:val="20"/>
          <w:szCs w:val="20"/>
          <w:color w:val="auto"/>
        </w:rPr>
      </w:pPr>
    </w:p>
    <w:p>
      <w:pPr>
        <w:ind w:left="540" w:right="2459" w:firstLine="876"/>
        <w:spacing w:after="0" w:line="246" w:lineRule="auto"/>
        <w:tabs>
          <w:tab w:leader="none" w:pos="199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Company. The favorable opinion of Skadden, Arps, Slate, Meagher &amp; Flom LLP, counsel for the Company, together with the favorable opinion of Joseph M. Sorrentino, in-house intellectual property counsel for the Company, each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91" w:lineRule="exact"/>
        <w:rPr>
          <w:rFonts w:ascii="Courier New" w:cs="Courier New" w:eastAsia="Courier New" w:hAnsi="Courier New"/>
          <w:sz w:val="16"/>
          <w:szCs w:val="16"/>
          <w:color w:val="auto"/>
        </w:rPr>
      </w:pPr>
    </w:p>
    <w:p>
      <w:pPr>
        <w:ind w:left="540" w:right="2459" w:firstLine="876"/>
        <w:spacing w:after="0" w:line="246" w:lineRule="auto"/>
        <w:tabs>
          <w:tab w:leader="none" w:pos="189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the Selling Shareholder. On the Date of Delivery, the Representative shall have received the favorable opinions, dated as of the Date of Delivery, of Latham &amp; Watkins, counsel for the Selling Shareholder and the General Counsel of the Selling Shareholder, together with signed or reproduced copies of such opinion for each of the other Underwriters, to the effect set forth in Exhibits C-1 and C-2 hereto.</w:t>
      </w:r>
    </w:p>
    <w:p>
      <w:pPr>
        <w:spacing w:after="0" w:line="190" w:lineRule="exact"/>
        <w:rPr>
          <w:rFonts w:ascii="Courier New" w:cs="Courier New" w:eastAsia="Courier New" w:hAnsi="Courier New"/>
          <w:sz w:val="16"/>
          <w:szCs w:val="16"/>
          <w:color w:val="auto"/>
        </w:rPr>
      </w:pPr>
    </w:p>
    <w:p>
      <w:pPr>
        <w:ind w:left="540" w:right="2459" w:firstLine="876"/>
        <w:spacing w:after="0" w:line="247" w:lineRule="auto"/>
        <w:tabs>
          <w:tab w:leader="none" w:pos="18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Underwriters. The favorable opinion of Shearman &amp; Sterling, counsel for the Underwriters, dated such Date of Delivery, relating to the Option Securities to be purchased on such Date of Delivery and otherwise to the same effect as the opinion required by Section 5(c) hereof.</w:t>
      </w:r>
    </w:p>
    <w:p>
      <w:pPr>
        <w:spacing w:after="0" w:line="185" w:lineRule="exact"/>
        <w:rPr>
          <w:rFonts w:ascii="Courier New" w:cs="Courier New" w:eastAsia="Courier New" w:hAnsi="Courier New"/>
          <w:sz w:val="16"/>
          <w:szCs w:val="16"/>
          <w:color w:val="auto"/>
        </w:rPr>
      </w:pPr>
    </w:p>
    <w:p>
      <w:pPr>
        <w:ind w:left="540" w:right="2459" w:firstLine="876"/>
        <w:spacing w:after="0" w:line="246" w:lineRule="auto"/>
        <w:tabs>
          <w:tab w:leader="none" w:pos="189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Bring-down Comfort Letter. A letter from each of PricewaterhouseCoopers LLP and Ernst &amp; Young, in form and substance satisfactory to the Representative(s) and dated such Date of Delivery, substantially in the same form and substance as the letter furnished to the Representative pursuant to Section 5(f) hereof, except that the "specified date" in the letter furnished pursuant to this paragraph shall be a date not more than five days prior to such Date of Delivery.</w:t>
      </w:r>
    </w:p>
    <w:p>
      <w:pPr>
        <w:spacing w:after="0" w:line="191" w:lineRule="exact"/>
        <w:rPr>
          <w:sz w:val="20"/>
          <w:szCs w:val="20"/>
          <w:color w:val="auto"/>
        </w:rPr>
      </w:pPr>
    </w:p>
    <w:p>
      <w:pPr>
        <w:ind w:left="-320" w:right="2459" w:firstLine="864"/>
        <w:spacing w:after="0" w:line="246" w:lineRule="auto"/>
        <w:tabs>
          <w:tab w:leader="none" w:pos="9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Documents. At Closing Time and at each Date of Delivery, counsel for the Underwriters shall have been furnished with such documents and opinions as they reasonably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Selling Shareholder in connection with the issuance and sale of the Securities as herein contemplated shall be reasonably satisfactory in form and substance to the Representative(s) and counsel for the Underwriters.</w:t>
      </w:r>
    </w:p>
    <w:p>
      <w:pPr>
        <w:spacing w:after="0" w:line="19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019"/>
          </w:cols>
          <w:pgMar w:left="1440" w:top="676" w:right="1440" w:bottom="1440" w:gutter="0" w:footer="0" w:header="0"/>
        </w:sectPr>
      </w:pPr>
    </w:p>
    <w:bookmarkStart w:id="24" w:name="page25"/>
    <w:bookmarkEnd w:id="24"/>
    <w:p>
      <w:pPr>
        <w:ind w:left="880" w:right="2459" w:firstLine="670"/>
        <w:spacing w:after="0" w:line="246" w:lineRule="auto"/>
        <w:tabs>
          <w:tab w:leader="none" w:pos="194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Agreement.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6, 7 and 8 shall survive any such termination and remain in full force and effect.</w:t>
      </w:r>
    </w:p>
    <w:p>
      <w:pPr>
        <w:sectPr>
          <w:pgSz w:w="11900" w:h="16838" w:orient="portrait"/>
          <w:cols w:equalWidth="0" w:num="1">
            <w:col w:w="10219"/>
          </w:cols>
          <w:pgMar w:left="240" w:top="676" w:right="1440" w:bottom="1440" w:gutter="0" w:footer="0" w:header="0"/>
        </w:sectPr>
      </w:pPr>
    </w:p>
    <w:p>
      <w:pPr>
        <w:spacing w:after="0" w:line="19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SECTION 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1900" w:space="720"/>
            <w:col w:w="7599"/>
          </w:cols>
          <w:pgMar w:left="240" w:top="676" w:right="1440" w:bottom="1440" w:gutter="0" w:footer="0" w:header="0"/>
          <w:type w:val="continuous"/>
        </w:sectPr>
      </w:pPr>
    </w:p>
    <w:p>
      <w:pPr>
        <w:ind w:right="2859" w:firstLine="871"/>
        <w:spacing w:after="0" w:line="247" w:lineRule="auto"/>
        <w:tabs>
          <w:tab w:leader="none" w:pos="12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Underwriters. (1) The Company agrees to indemnify and hold harmless each Underwriter and each person, if any, who controls any Underwriter within the meaning of Section 15 of the 1933 Act or Section 20 of the 1934 Act as follows:</w:t>
      </w:r>
    </w:p>
    <w:p>
      <w:pPr>
        <w:spacing w:after="0" w:line="185" w:lineRule="exact"/>
        <w:rPr>
          <w:rFonts w:ascii="Courier New" w:cs="Courier New" w:eastAsia="Courier New" w:hAnsi="Courier New"/>
          <w:sz w:val="16"/>
          <w:szCs w:val="16"/>
          <w:color w:val="auto"/>
        </w:rPr>
      </w:pPr>
    </w:p>
    <w:p>
      <w:pPr>
        <w:ind w:left="880" w:right="2459" w:firstLine="864"/>
        <w:spacing w:after="0" w:line="246" w:lineRule="auto"/>
        <w:tabs>
          <w:tab w:leader="none" w:pos="21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93" w:lineRule="exact"/>
        <w:rPr>
          <w:rFonts w:ascii="Courier New" w:cs="Courier New" w:eastAsia="Courier New" w:hAnsi="Courier New"/>
          <w:sz w:val="16"/>
          <w:szCs w:val="16"/>
          <w:color w:val="auto"/>
        </w:rPr>
      </w:pPr>
    </w:p>
    <w:p>
      <w:pPr>
        <w:ind w:left="880" w:right="2459" w:firstLine="864"/>
        <w:spacing w:after="0" w:line="246" w:lineRule="auto"/>
        <w:tabs>
          <w:tab w:leader="none" w:pos="2237"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190" w:lineRule="exact"/>
        <w:rPr>
          <w:rFonts w:ascii="Courier New" w:cs="Courier New" w:eastAsia="Courier New" w:hAnsi="Courier New"/>
          <w:sz w:val="16"/>
          <w:szCs w:val="16"/>
          <w:color w:val="auto"/>
        </w:rPr>
      </w:pPr>
    </w:p>
    <w:p>
      <w:pPr>
        <w:ind w:left="880" w:right="2559" w:firstLine="864"/>
        <w:spacing w:after="0" w:line="246" w:lineRule="auto"/>
        <w:tabs>
          <w:tab w:leader="none" w:pos="233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expense whatsoever, as incurred (including the fees and disbursements of counsel chosen by Merrill Lynch),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provided, HOWEVER, that this indemnity agreement shall not apply to any loss, liability, claim, damage or expense to the extent arising out of any untrue statement or omission or alleged untrue statement or omission made in reliance upon and in conformity with written information furnished to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type w:val="continuous"/>
        </w:sectPr>
      </w:pPr>
    </w:p>
    <w:bookmarkStart w:id="25" w:name="page26"/>
    <w:bookmarkEnd w:id="25"/>
    <w:p>
      <w:pPr>
        <w:ind w:right="2459"/>
        <w:spacing w:after="0" w:line="246" w:lineRule="auto"/>
        <w:rPr>
          <w:sz w:val="20"/>
          <w:szCs w:val="20"/>
          <w:color w:val="auto"/>
        </w:rPr>
      </w:pPr>
      <w:r>
        <w:rPr>
          <w:rFonts w:ascii="Courier New" w:cs="Courier New" w:eastAsia="Courier New" w:hAnsi="Courier New"/>
          <w:sz w:val="16"/>
          <w:szCs w:val="16"/>
          <w:color w:val="auto"/>
        </w:rPr>
        <w:t>Company by any Underwriter through Merrill Lynch expressly for use in the Registration Statement (or any amendment thereto), including the Rule 430A Information, or any preliminary prospectus or the Prospectus (or any amendment or supplement thereto); and provided, further, that the Company will not be liable to any Underwriter with respect to any Prospectus to the extent that any such loss, liability, claim, damage or expense resulted from the fact that such Underwriter, in contravention of a requirement of this Agreement or applicable law, sold Securities to a person to whom such Underwriter failed to send or give, at or prior to the Closing Time, a copy of the final Prospectus, as then amended or supplemented if the Company has previously furnished copies thereof to the Underwriter and the loss, liability, claim, damage or expense of such Underwriter resulted from an untrue statement or omission of a material fact contained or omitted from the preliminary Prospectus which was corrected in the final Prospectus, if applicable, as amended or supplemented prior to the Closing Time, and such final Prospectus was required by law to be delivered at or prior to the written confirmation of sale to such person.</w:t>
      </w:r>
    </w:p>
    <w:p>
      <w:pPr>
        <w:spacing w:after="0" w:line="195" w:lineRule="exact"/>
        <w:rPr>
          <w:sz w:val="20"/>
          <w:szCs w:val="20"/>
          <w:color w:val="auto"/>
        </w:rPr>
      </w:pPr>
    </w:p>
    <w:p>
      <w:pPr>
        <w:ind w:right="2459" w:firstLine="871"/>
        <w:spacing w:after="0" w:line="246" w:lineRule="auto"/>
        <w:tabs>
          <w:tab w:leader="none" w:pos="12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Shareholder agrees to indemnify and hold harmless each Underwriter and each person, if any, who controls any Underwriter within the meaning of Section 15 of the 1933 Act or Section 20 of the 1934 Act, to the same extent as the foregoing indemnity from the Company to each Underwriter; provided, however, that such indemnification shall be only with respect to information regarding the Selling Shareholder furnished in writing to the Company by or on behalf of the Selling Shareholder expressly for use in the Registration Statement (or any amendment thereto), including Rule 430A Information, if applicable, or any preliminary prospectus or Prospectus (or any amendment or supplement thereto); and provided further, that the aggregate liability of the Selling Shareholder pursuant to this paragraph shall be limited to the total net proceeds received by the Selling Shareholder from the Securities purchased by the Underwriters from the Selling Shareholder pursuant to this Agreement. The Underwriters agree that the information furnished to the Company specifically for use in the Registration Statement (or any amendment thereto), including Rule 430A Information, if applicable, or any preliminary prospectus or Prospectus (or any amendment or supplement thereto) includes only the information relating to the Selling Shareholder set forth in Exhibit E hereto; and provided further that the Selling Shareholder will not be liable to any Underwriter with respect to any Prospectus to the extent that any such loss, liability, claim, damage or expense resulted from the fact that such Underwriter, in contravention of a requirement of this Agreement or applicable law, sold Securities to a person to whom such Underwriter failed to send or give, at or prior to the Date of Delivery, a copy of the final Prospectus, as then amended or supplemented if the Company has previously furnished copies thereof to the Underwriter and the loss, liability, claim, damage or expense of such Underwriter resulted from an untrue statement or omission of a material fact contained in or omitted from the preliminary Prospectus which was corrected in the final Prospectus, if applicable, as amended or supplemented prior to the Date of Delivery, and such final Prospectus was required by law to be delivered at or prior to the written confirmation of sale to such person.</w:t>
      </w:r>
    </w:p>
    <w:p>
      <w:pPr>
        <w:spacing w:after="0" w:line="204" w:lineRule="exact"/>
        <w:rPr>
          <w:sz w:val="20"/>
          <w:szCs w:val="20"/>
          <w:color w:val="auto"/>
        </w:rPr>
      </w:pPr>
    </w:p>
    <w:p>
      <w:pPr>
        <w:ind w:right="2559" w:firstLine="871"/>
        <w:spacing w:after="0" w:line="247" w:lineRule="auto"/>
        <w:tabs>
          <w:tab w:leader="none" w:pos="12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Company, Directors and Officers and Selling Shareholder. Each Underwriter severally agrees to indemnify and hold harmless the Company, its directors, each of its officers who signed the Registration Statement, and each person, if any, who controls the Company within the meaning of Section 15 of the 1933 Act or Section 20 of the 1934 Act and the Selling</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26" w:name="page27"/>
    <w:bookmarkEnd w:id="26"/>
    <w:p>
      <w:pPr>
        <w:ind w:left="1" w:right="2459"/>
        <w:spacing w:after="0" w:line="246" w:lineRule="auto"/>
        <w:rPr>
          <w:sz w:val="20"/>
          <w:szCs w:val="20"/>
          <w:color w:val="auto"/>
        </w:rPr>
      </w:pPr>
      <w:r>
        <w:rPr>
          <w:rFonts w:ascii="Courier New" w:cs="Courier New" w:eastAsia="Courier New" w:hAnsi="Courier New"/>
          <w:sz w:val="16"/>
          <w:szCs w:val="16"/>
          <w:color w:val="auto"/>
        </w:rPr>
        <w:t>Shareholder and each person, if any, who controls the Selling Shareholder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or any preliminary prospectus or the Prospectus (or any amendment or supplement thereto) in reliance upon and in conformity with written information furnished to the Company by such Underwriter through Merrill Lynch expressly for use in the Registration Statement (or any amendment thereto) or such preliminary prospectus or the Prospectus (or any amendment or supplement thereto).</w:t>
      </w:r>
    </w:p>
    <w:p>
      <w:pPr>
        <w:spacing w:after="0" w:line="193" w:lineRule="exact"/>
        <w:rPr>
          <w:sz w:val="20"/>
          <w:szCs w:val="20"/>
          <w:color w:val="auto"/>
        </w:rPr>
      </w:pPr>
    </w:p>
    <w:p>
      <w:pPr>
        <w:ind w:left="1" w:right="2459" w:firstLine="871"/>
        <w:spacing w:after="0" w:line="246" w:lineRule="auto"/>
        <w:tabs>
          <w:tab w:leader="none" w:pos="12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against Parties; Notification.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Merrill Lynch, and, in the case of parties indemnified pursuant to Section 6(b) above, counsel to the indemnified parties shall be selected by the Company or Selling Shareholder, as the case may be.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w:t>
      </w:r>
    </w:p>
    <w:p>
      <w:pPr>
        <w:spacing w:after="0" w:line="15" w:lineRule="exact"/>
        <w:rPr>
          <w:rFonts w:ascii="Courier New" w:cs="Courier New" w:eastAsia="Courier New" w:hAnsi="Courier New"/>
          <w:sz w:val="16"/>
          <w:szCs w:val="16"/>
          <w:color w:val="auto"/>
        </w:rPr>
      </w:pPr>
    </w:p>
    <w:p>
      <w:pPr>
        <w:ind w:left="1" w:right="2459" w:hanging="1"/>
        <w:spacing w:after="0" w:line="248" w:lineRule="auto"/>
        <w:tabs>
          <w:tab w:leader="none" w:pos="48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a statement as to or an admission of fault, culpability or a failure to act by or on behalf of any indemnified party.</w:t>
      </w:r>
    </w:p>
    <w:p>
      <w:pPr>
        <w:spacing w:after="0" w:line="184" w:lineRule="exact"/>
        <w:rPr>
          <w:rFonts w:ascii="Courier New" w:cs="Courier New" w:eastAsia="Courier New" w:hAnsi="Courier New"/>
          <w:sz w:val="16"/>
          <w:szCs w:val="16"/>
          <w:color w:val="auto"/>
        </w:rPr>
      </w:pPr>
    </w:p>
    <w:p>
      <w:pPr>
        <w:ind w:left="1" w:right="2459" w:firstLine="871"/>
        <w:spacing w:after="0" w:line="246" w:lineRule="auto"/>
        <w:tabs>
          <w:tab w:leader="none" w:pos="12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without Consent if Failure to Reimburse. If at any time an indemnified party shall have requested an indemnifying party to reimburse the indemnified party for fees and expenses of counsel, such indemnifying party agrees that it shall be liable for any settlement of the nature contemplated by Section 6(a)(1)(ii)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0"/>
          </w:cols>
          <w:pgMar w:left="239" w:top="676" w:right="1440" w:bottom="1440" w:gutter="0" w:footer="0" w:header="0"/>
        </w:sectPr>
      </w:pPr>
    </w:p>
    <w:bookmarkStart w:id="27" w:name="page28"/>
    <w:bookmarkEnd w:id="27"/>
    <w:p>
      <w:pPr>
        <w:ind w:right="2659"/>
        <w:spacing w:after="0" w:line="248" w:lineRule="auto"/>
        <w:rPr>
          <w:sz w:val="20"/>
          <w:szCs w:val="20"/>
          <w:color w:val="auto"/>
        </w:rPr>
      </w:pPr>
      <w:r>
        <w:rPr>
          <w:rFonts w:ascii="Courier New" w:cs="Courier New" w:eastAsia="Courier New" w:hAnsi="Courier New"/>
          <w:sz w:val="16"/>
          <w:szCs w:val="16"/>
          <w:color w:val="auto"/>
        </w:rPr>
        <w:t>reimbursed such indemnified party in accordance with such request prior to the date of such settlement.</w:t>
      </w:r>
    </w:p>
    <w:p>
      <w:pPr>
        <w:spacing w:after="0" w:line="184" w:lineRule="exact"/>
        <w:rPr>
          <w:sz w:val="20"/>
          <w:szCs w:val="20"/>
          <w:color w:val="auto"/>
        </w:rPr>
      </w:pPr>
    </w:p>
    <w:p>
      <w:pPr>
        <w:ind w:right="2459" w:firstLine="871"/>
        <w:spacing w:after="0" w:line="247" w:lineRule="auto"/>
        <w:tabs>
          <w:tab w:leader="none" w:pos="12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with Respect to Indemnification. The provisions of this Section shall not affect the agreement between the Company and the Selling Shareholder with respect to indemnification as provided in the Registration Rights Agreement.</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7. Contribution.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(if the option described in Section 2(b) hereof is exercised) the Selling Shareholder,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(if the option described in Section 2(b) hereof is exercised) the Selling Shareholder, on the one hand, and of the Underwriters on the other hand, in connection with the statements or omissions which resulted in such losses, liabilities, claims, damages or expenses, as well as any other relevant equitable considerations.</w:t>
      </w:r>
    </w:p>
    <w:p>
      <w:pPr>
        <w:spacing w:after="0" w:line="19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relative benefits received by the Company and (if the option described in Section 2(b) hereof is exercised) the Selling Shareholder,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received by the Company and (if the option described in Section 2(b) hereof is exercised) the Selling Shareholder and the total underwriting discount received by the Underwriters, in each case as set forth on the cover of the Prospectus bear to the aggregate initial public offering price of the Securities as set forth on such cover.</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relative fault of the Company and (if the option described in Section 2(b) hereof is exercised) the Selling Shareholder,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and (if the option described in Section 2(b) hereof is exercised) the Selling Shareholder or by the Underwriters and the parties' relative intent, knowledge, access to information and opportunity to correct or prevent such statement or omission.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Company, the Selling Shareholder and the Underwriters agree that it would not be just and equitable if contribution pursuant to this Section were determined by pro rata allocation (even if the Underwriters were treated as one entity for such purpose) or by any other method of allocation which does not take account of the equitable considerations referred to above in this Section. The aggregate amount of losses, liabilities, claims, damages and expenses incurred by an indemnified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62" w:right="1440" w:bottom="1440" w:gutter="0" w:footer="0" w:header="0"/>
        </w:sectPr>
      </w:pPr>
    </w:p>
    <w:bookmarkStart w:id="28" w:name="page29"/>
    <w:bookmarkEnd w:id="28"/>
    <w:p>
      <w:pPr>
        <w:ind w:right="2459"/>
        <w:spacing w:after="0" w:line="247" w:lineRule="auto"/>
        <w:rPr>
          <w:sz w:val="20"/>
          <w:szCs w:val="20"/>
          <w:color w:val="auto"/>
        </w:rPr>
      </w:pPr>
      <w:r>
        <w:rPr>
          <w:rFonts w:ascii="Courier New" w:cs="Courier New" w:eastAsia="Courier New" w:hAnsi="Courier New"/>
          <w:sz w:val="16"/>
          <w:szCs w:val="16"/>
          <w:color w:val="auto"/>
        </w:rPr>
        <w:t>party and referred to above in this Section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Notwithstanding the provisions of this Section,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any such untrue or alleged untrue statement or omission or alleged omission.</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Notwithstanding the provisions of this Section, the Selling Shareholder shall not be required to contribute any amount in excess of the total net proceeds received by the Selling Shareholder from the Option Securities purchased by the Underwriters from the Selling Shareholder pursuant to this Agreement.</w:t>
      </w:r>
    </w:p>
    <w:p>
      <w:pPr>
        <w:spacing w:after="0" w:line="185" w:lineRule="exact"/>
        <w:rPr>
          <w:sz w:val="20"/>
          <w:szCs w:val="20"/>
          <w:color w:val="auto"/>
        </w:rPr>
      </w:pPr>
    </w:p>
    <w:p>
      <w:pPr>
        <w:jc w:val="both"/>
        <w:ind w:right="2459" w:firstLine="872"/>
        <w:spacing w:after="0" w:line="247" w:lineRule="auto"/>
        <w:rPr>
          <w:sz w:val="20"/>
          <w:szCs w:val="20"/>
          <w:color w:val="auto"/>
        </w:rPr>
      </w:pPr>
      <w:r>
        <w:rPr>
          <w:rFonts w:ascii="Courier New" w:cs="Courier New" w:eastAsia="Courier New" w:hAnsi="Courier New"/>
          <w:sz w:val="16"/>
          <w:szCs w:val="16"/>
          <w:color w:val="auto"/>
        </w:rPr>
        <w:t>No person guilty of fraudulent misrepresentation (within the meaning of Section 11(f) of the 1933 Act) shall be entitled to contribution from any person who was not guilty of such fraudulent misrepresentation.</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For purposes of this Section,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or the Selling Shareholder within the meaning of Section 15 of the 1933 Act or Section 20 of the 1934 Act shall have the same rights to contribution as the Company or the Selling Shareholder, as the case may be. The Underwriters' respective obligations to contribute pursuant to this Section are several in proportion to the number of Securities set forth opposite their respective names in Schedule A hereto and not joint.</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provisions of this Section shall not affect the agreement between the Company and the Selling Shareholder with respect to contribution as provided in the Stock Purchase Agreement.</w:t>
      </w:r>
    </w:p>
    <w:p>
      <w:pPr>
        <w:spacing w:after="0" w:line="186" w:lineRule="exact"/>
        <w:rPr>
          <w:sz w:val="20"/>
          <w:szCs w:val="20"/>
          <w:color w:val="auto"/>
        </w:rPr>
      </w:pPr>
    </w:p>
    <w:p>
      <w:pPr>
        <w:ind w:right="2659" w:firstLine="872"/>
        <w:spacing w:after="0" w:line="246" w:lineRule="auto"/>
        <w:rPr>
          <w:sz w:val="20"/>
          <w:szCs w:val="20"/>
          <w:color w:val="auto"/>
        </w:rPr>
      </w:pPr>
      <w:r>
        <w:rPr>
          <w:rFonts w:ascii="Courier New" w:cs="Courier New" w:eastAsia="Courier New" w:hAnsi="Courier New"/>
          <w:sz w:val="16"/>
          <w:szCs w:val="16"/>
          <w:color w:val="auto"/>
        </w:rPr>
        <w:t>SECTION 8. Representations, Warranties and Agreements to Survive Delivery. All representations, warranties and agreements contained in this Agreement or in certificates of officers of the Company or the Selling Shareholder submitted pursuant hereto shall remain operative and in full force and effect, regardless of any investigation made by or on behalf of any Underwriter or controlling person, or by or on behalf of the Company or the Selling Shareholder, and shall survive delivery of the Securities to the Underwriters.</w:t>
      </w:r>
    </w:p>
    <w:p>
      <w:pPr>
        <w:spacing w:after="0" w:line="191" w:lineRule="exact"/>
        <w:rPr>
          <w:sz w:val="20"/>
          <w:szCs w:val="20"/>
          <w:color w:val="auto"/>
        </w:rPr>
      </w:pPr>
    </w:p>
    <w:p>
      <w:pPr>
        <w:ind w:left="880"/>
        <w:spacing w:after="0"/>
        <w:tabs>
          <w:tab w:leader="none" w:pos="260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Termination of Agreement.</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29" w:name="page30"/>
    <w:bookmarkEnd w:id="29"/>
    <w:p>
      <w:pPr>
        <w:ind w:left="1" w:right="2459" w:firstLine="871"/>
        <w:spacing w:after="0" w:line="246" w:lineRule="auto"/>
        <w:tabs>
          <w:tab w:leader="none" w:pos="12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General. The Representative may terminate this Agreement, by notice to the Company and the Selling Shareholder, at any time at or prior to Closing Time (i) if there has been, since the time of execution of this Agreement or since the respective dates as of which information is given in the Prospectus, any material adverse change in the condition, financial or otherwise, or in the earnings, business affairs or business prospects of the Company,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 impracticable to market the Securities or to enforce contracts for the sale of the Securities, or</w:t>
      </w:r>
    </w:p>
    <w:p>
      <w:pPr>
        <w:spacing w:after="0" w:line="7" w:lineRule="exact"/>
        <w:rPr>
          <w:rFonts w:ascii="Courier New" w:cs="Courier New" w:eastAsia="Courier New" w:hAnsi="Courier New"/>
          <w:sz w:val="16"/>
          <w:szCs w:val="16"/>
          <w:color w:val="auto"/>
        </w:rPr>
      </w:pPr>
    </w:p>
    <w:p>
      <w:pPr>
        <w:ind w:left="1" w:right="2459" w:hanging="1"/>
        <w:spacing w:after="0" w:line="246" w:lineRule="auto"/>
        <w:tabs>
          <w:tab w:leader="none" w:pos="58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trading in any securities of the Company has been suspended or materially limited by the Commission or the Nasdaq National Market, or if trading generally on the 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order of the Commission, the National Association of Securities Dealers, Inc. or any other governmental authority, or (iv) if a banking moratorium has been declared by either Federal or New York authorities.</w:t>
      </w:r>
    </w:p>
    <w:p>
      <w:pPr>
        <w:spacing w:after="0" w:line="191" w:lineRule="exact"/>
        <w:rPr>
          <w:rFonts w:ascii="Courier New" w:cs="Courier New" w:eastAsia="Courier New" w:hAnsi="Courier New"/>
          <w:sz w:val="16"/>
          <w:szCs w:val="16"/>
          <w:color w:val="auto"/>
        </w:rPr>
      </w:pPr>
    </w:p>
    <w:p>
      <w:pPr>
        <w:ind w:left="1" w:right="2459" w:firstLine="871"/>
        <w:spacing w:after="0" w:line="247" w:lineRule="auto"/>
        <w:tabs>
          <w:tab w:leader="none" w:pos="12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If this Agreement is terminated pursuant to this Section, such termination shall be without liability of any party to any other party except as provided in Section 4 hereof, and provided further that Sections 1, 6, 7 and 8 shall survive such termination and remain in full force and effect.</w:t>
      </w:r>
    </w:p>
    <w:p>
      <w:pPr>
        <w:spacing w:after="0" w:line="185"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SECTION 10. Default by One or More of the Underwriters. If one or more of the Underwriters shall fail at Closing Time or a Date of Delivery to purchase the Securities which it or they are obligated to purchase under this Agreement (the "Defaulted Securities"), the Representative(s) shall have the right, but not the obligation, within 24 hours thereafter, to make arrangements for one or more of the non-defaulting Underwriters, or any other underwriters, to purchase, each severally and not jointly, all, but not less than all, of the Defaulted Securities in such amounts as may be agreed upon and upon the terms herein set forth; if, however, the Representative(s) shall not have completed such arrangements within such 24-hour period, then this Agreement shall terminate without liability on the part of any non-defaulting Underwriter.</w:t>
      </w:r>
    </w:p>
    <w:p>
      <w:pPr>
        <w:spacing w:after="0" w:line="193" w:lineRule="exact"/>
        <w:rPr>
          <w:sz w:val="20"/>
          <w:szCs w:val="20"/>
          <w:color w:val="auto"/>
        </w:rPr>
      </w:pPr>
    </w:p>
    <w:p>
      <w:pPr>
        <w:ind w:left="1" w:right="3239" w:firstLine="872"/>
        <w:spacing w:after="0" w:line="248" w:lineRule="auto"/>
        <w:rPr>
          <w:sz w:val="20"/>
          <w:szCs w:val="20"/>
          <w:color w:val="auto"/>
        </w:rPr>
      </w:pPr>
      <w:r>
        <w:rPr>
          <w:rFonts w:ascii="Courier New" w:cs="Courier New" w:eastAsia="Courier New" w:hAnsi="Courier New"/>
          <w:sz w:val="16"/>
          <w:szCs w:val="16"/>
          <w:color w:val="auto"/>
        </w:rPr>
        <w:t>No action pursuant to this Section shall relieve any defaulting Underwriter from liability in respect of its default.</w:t>
      </w:r>
    </w:p>
    <w:p>
      <w:pPr>
        <w:spacing w:after="0" w:line="184"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In the event of any such default which does not result in a termination of this Agreement, either the Representative or the Company shall have the right to postpone the Closing Time or the Representative or the Selling Shareholder shall have the right to postpone the relevant Date of Delivery for a period not exceeding seven days in order to effect any required changes in the Registration Statement or Prospectus or in any other documents or arrangements.</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0"/>
          </w:cols>
          <w:pgMar w:left="239" w:top="676" w:right="1440" w:bottom="1440" w:gutter="0" w:footer="0" w:header="0"/>
        </w:sectPr>
      </w:pPr>
    </w:p>
    <w:bookmarkStart w:id="30" w:name="page31"/>
    <w:bookmarkEnd w:id="30"/>
    <w:p>
      <w:pPr>
        <w:ind w:right="2459" w:firstLine="872"/>
        <w:spacing w:after="0" w:line="246" w:lineRule="auto"/>
        <w:rPr>
          <w:sz w:val="20"/>
          <w:szCs w:val="20"/>
          <w:color w:val="auto"/>
        </w:rPr>
      </w:pPr>
      <w:r>
        <w:rPr>
          <w:rFonts w:ascii="Courier New" w:cs="Courier New" w:eastAsia="Courier New" w:hAnsi="Courier New"/>
          <w:sz w:val="16"/>
          <w:szCs w:val="16"/>
          <w:color w:val="auto"/>
        </w:rPr>
        <w:t>SECTION 11. Notices. All notices and other communications hereunder shall be in writing and shall be deemed to have been duly given if mailed or transmitted by any standard form of telecommunication. Notices to the Underwriters shall be directed to the Representative(s) at North Tower, World Financial Center, 250 Vesey Street, New York, New York 10281, attention of Equity Capital Markets and notices to the Company shall be directed to it at 777 Old Saw Mill River Road, Tarrytown, New York 10591-6707, attention of Murray Goldberg, Chief Financial Officer; and notices to the Selling Shareholder shall be directed to Amgen Inc., One Amgen Center Drive, Thousand Oaks, California 91320-1789, attention of Corporate Secretary.</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12. Parties. This Agreement shall inure to the benefit of and be binding upon the Underwriters, the Company and the Selling Shareholder and their respective successors. Nothing expressed or mentioned in this Agreement is intended or shall be construed to give any person, firm or corporation, other than the Underwriters, the Company and the Selling Shareholder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Shareholder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13. GOVERNING LAW AND TIME. THIS AGREEMENT SHALL BE GOVERNED BY AND CONSTRUED IN ACCORDANCE WITH THE LAWS OF THE STATE OF NEW YORK. SPECIFIED TIMES OF DAY REFER TO NEW YORK CITY TIME.</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SECTION 14. Effect of Headings. The Article and Section headings herein and the Table of Contents are for convenience only and shall not affect the construction hereof.</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1" w:name="page32"/>
    <w:bookmarkEnd w:id="31"/>
    <w:p>
      <w:pPr>
        <w:ind w:right="2459" w:firstLine="872"/>
        <w:spacing w:after="0" w:line="247" w:lineRule="auto"/>
        <w:rPr>
          <w:sz w:val="20"/>
          <w:szCs w:val="20"/>
          <w:color w:val="auto"/>
        </w:rPr>
      </w:pPr>
      <w:r>
        <w:rPr>
          <w:rFonts w:ascii="Courier New" w:cs="Courier New" w:eastAsia="Courier New" w:hAnsi="Courier New"/>
          <w:sz w:val="16"/>
          <w:szCs w:val="16"/>
          <w:color w:val="auto"/>
        </w:rPr>
        <w:t>If the foregoing is in accordance with your understanding of our agreement, please sign and return to the Company and the Selling Shareholder a counterpart hereof, whereupon this instrument, along with all counterparts, will become a binding agreement among the Underwriters, the Company and the Selling Shareholder in accordance with its terms.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REGENERON PHARMACEUTICALS, INC.</w:t>
      </w:r>
    </w:p>
    <w:p>
      <w:pPr>
        <w:spacing w:after="0" w:line="191"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By /s/ Murray A. Goldberg</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Title: Senior Vice President and C.F.O.</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AMGEN INC.</w:t>
      </w:r>
    </w:p>
    <w:p>
      <w:pPr>
        <w:spacing w:after="0" w:line="200" w:lineRule="exact"/>
        <w:rPr>
          <w:sz w:val="20"/>
          <w:szCs w:val="20"/>
          <w:color w:val="auto"/>
        </w:rPr>
      </w:pPr>
    </w:p>
    <w:p>
      <w:pPr>
        <w:spacing w:after="0" w:line="36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By /s/ Kathryn E. Falberg</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 Senior Vice President, Finance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and C.F.O.</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AND ACCEPTED,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as of the date first above written: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FLEETBOSTON ROBERTSON STEPHENS INC.</w:t>
      </w:r>
    </w:p>
    <w:p>
      <w:pPr>
        <w:spacing w:after="0" w:line="19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MERRILL LYNCH, PIERCE, FENNER &amp; SMITH</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INCORPORATED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Elaine Sun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Authorized Signatory</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For itself and as Representative of the other Underwriters named in Schedule A hereto.</w:t>
      </w:r>
    </w:p>
    <w:p>
      <w:pPr>
        <w:sectPr>
          <w:pgSz w:w="11900" w:h="16838" w:orient="portrait"/>
          <w:cols w:equalWidth="0" w:num="1">
            <w:col w:w="10219"/>
          </w:cols>
          <w:pgMar w:left="240" w:top="676" w:right="1440" w:bottom="1440" w:gutter="0" w:footer="0" w:header="0"/>
        </w:sectPr>
      </w:pPr>
    </w:p>
    <w:bookmarkStart w:id="32" w:name="page33"/>
    <w:bookmarkEnd w:id="32"/>
    <w:p>
      <w:pPr>
        <w:ind w:left="3400"/>
        <w:spacing w:after="0"/>
        <w:rPr>
          <w:sz w:val="20"/>
          <w:szCs w:val="20"/>
          <w:color w:val="auto"/>
        </w:rPr>
      </w:pPr>
      <w:r>
        <w:rPr>
          <w:rFonts w:ascii="Courier New" w:cs="Courier New" w:eastAsia="Courier New" w:hAnsi="Courier New"/>
          <w:sz w:val="16"/>
          <w:szCs w:val="16"/>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Pr>
          <w:p>
            <w:pPr>
              <w:spacing w:after="0"/>
              <w:rPr>
                <w:sz w:val="15"/>
                <w:szCs w:val="15"/>
                <w:color w:val="auto"/>
              </w:rPr>
            </w:pP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Maximum</w:t>
            </w:r>
          </w:p>
        </w:tc>
        <w:tc>
          <w:tcPr>
            <w:tcW w:w="1400" w:type="dxa"/>
            <w:vAlign w:val="bottom"/>
          </w:tcPr>
          <w:p>
            <w:pPr>
              <w:ind w:left="620"/>
              <w:spacing w:after="0"/>
              <w:rPr>
                <w:sz w:val="20"/>
                <w:szCs w:val="20"/>
                <w:color w:val="auto"/>
              </w:rPr>
            </w:pPr>
            <w:r>
              <w:rPr>
                <w:rFonts w:ascii="Courier New" w:cs="Courier New" w:eastAsia="Courier New" w:hAnsi="Courier New"/>
                <w:sz w:val="16"/>
                <w:szCs w:val="16"/>
                <w:color w:val="auto"/>
              </w:rPr>
              <w:t>Maximum</w:t>
            </w:r>
          </w:p>
        </w:tc>
      </w:tr>
      <w:tr>
        <w:trPr>
          <w:trHeight w:val="186"/>
        </w:trPr>
        <w:tc>
          <w:tcPr>
            <w:tcW w:w="75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Number of</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Number of</w:t>
            </w:r>
          </w:p>
        </w:tc>
      </w:tr>
      <w:tr>
        <w:trPr>
          <w:trHeight w:val="186"/>
        </w:trPr>
        <w:tc>
          <w:tcPr>
            <w:tcW w:w="75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Initial</w:t>
            </w:r>
          </w:p>
        </w:tc>
        <w:tc>
          <w:tcPr>
            <w:tcW w:w="1400" w:type="dxa"/>
            <w:vAlign w:val="bottom"/>
          </w:tcPr>
          <w:p>
            <w:pPr>
              <w:ind w:left="620"/>
              <w:spacing w:after="0"/>
              <w:rPr>
                <w:sz w:val="20"/>
                <w:szCs w:val="20"/>
                <w:color w:val="auto"/>
              </w:rPr>
            </w:pPr>
            <w:r>
              <w:rPr>
                <w:rFonts w:ascii="Courier New" w:cs="Courier New" w:eastAsia="Courier New" w:hAnsi="Courier New"/>
                <w:sz w:val="16"/>
                <w:szCs w:val="16"/>
                <w:color w:val="auto"/>
              </w:rPr>
              <w:t>Option</w:t>
            </w:r>
          </w:p>
        </w:tc>
      </w:tr>
      <w:tr>
        <w:trPr>
          <w:trHeight w:val="186"/>
        </w:trPr>
        <w:tc>
          <w:tcPr>
            <w:tcW w:w="7500" w:type="dxa"/>
            <w:vAlign w:val="bottom"/>
          </w:tcPr>
          <w:p>
            <w:pPr>
              <w:jc w:val="center"/>
              <w:ind w:right="3819"/>
              <w:spacing w:after="0"/>
              <w:rPr>
                <w:sz w:val="20"/>
                <w:szCs w:val="20"/>
                <w:color w:val="auto"/>
              </w:rPr>
            </w:pPr>
            <w:r>
              <w:rPr>
                <w:rFonts w:ascii="Courier New" w:cs="Courier New" w:eastAsia="Courier New" w:hAnsi="Courier New"/>
                <w:sz w:val="16"/>
                <w:szCs w:val="16"/>
                <w:color w:val="auto"/>
              </w:rPr>
              <w:t>Name of Underwriter</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Securities</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r>
      <w:tr>
        <w:trPr>
          <w:trHeight w:val="186"/>
        </w:trPr>
        <w:tc>
          <w:tcPr>
            <w:tcW w:w="7500" w:type="dxa"/>
            <w:vAlign w:val="bottom"/>
          </w:tcPr>
          <w:p>
            <w:pPr>
              <w:jc w:val="center"/>
              <w:ind w:right="38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7500" w:type="dxa"/>
            <w:vAlign w:val="bottom"/>
          </w:tcPr>
          <w:p>
            <w:pPr>
              <w:jc w:val="center"/>
              <w:ind w:right="3839"/>
              <w:spacing w:after="0"/>
              <w:rPr>
                <w:sz w:val="20"/>
                <w:szCs w:val="20"/>
                <w:color w:val="auto"/>
              </w:rPr>
            </w:pPr>
            <w:r>
              <w:rPr>
                <w:rFonts w:ascii="Courier New" w:cs="Courier New" w:eastAsia="Courier New" w:hAnsi="Courier New"/>
                <w:sz w:val="16"/>
                <w:szCs w:val="16"/>
                <w:color w:val="auto"/>
              </w:rPr>
              <w:t>Merrill Lynch, Pierce, Fenner &amp; Smith</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7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Incorporated.......................................................</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1,040,000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156,000</w:t>
            </w:r>
          </w:p>
        </w:tc>
      </w:tr>
      <w:tr>
        <w:trPr>
          <w:trHeight w:val="186"/>
        </w:trPr>
        <w:tc>
          <w:tcPr>
            <w:tcW w:w="7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Lehman Brothers Inc. ......................................................</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78,000</w:t>
            </w:r>
          </w:p>
        </w:tc>
      </w:tr>
      <w:tr>
        <w:trPr>
          <w:trHeight w:val="186"/>
        </w:trPr>
        <w:tc>
          <w:tcPr>
            <w:tcW w:w="7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J.P. Morgan Securities Inc.................................................</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78,000</w:t>
            </w:r>
          </w:p>
        </w:tc>
      </w:tr>
      <w:tr>
        <w:trPr>
          <w:trHeight w:val="186"/>
        </w:trPr>
        <w:tc>
          <w:tcPr>
            <w:tcW w:w="7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FleetBoston Robertson Stephens Inc.........................................</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78,000</w:t>
            </w:r>
          </w:p>
        </w:tc>
      </w:tr>
      <w:tr>
        <w:trPr>
          <w:trHeight w:val="559"/>
        </w:trPr>
        <w:tc>
          <w:tcPr>
            <w:tcW w:w="7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2,600,000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390,000</w:t>
            </w:r>
          </w:p>
        </w:tc>
      </w:tr>
      <w:tr>
        <w:trPr>
          <w:trHeight w:val="186"/>
        </w:trPr>
        <w:tc>
          <w:tcPr>
            <w:tcW w:w="7500" w:type="dxa"/>
            <w:vAlign w:val="bottom"/>
          </w:tcPr>
          <w:p>
            <w:pPr>
              <w:spacing w:after="0"/>
              <w:rPr>
                <w:sz w:val="16"/>
                <w:szCs w:val="16"/>
                <w:color w:val="auto"/>
              </w:rPr>
            </w:pP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7500" w:type="dxa"/>
            <w:vAlign w:val="bottom"/>
          </w:tcPr>
          <w:p>
            <w:pPr>
              <w:jc w:val="right"/>
              <w:ind w:right="3059"/>
              <w:spacing w:after="0"/>
              <w:rPr>
                <w:sz w:val="20"/>
                <w:szCs w:val="20"/>
                <w:color w:val="auto"/>
              </w:rPr>
            </w:pPr>
            <w:r>
              <w:rPr>
                <w:rFonts w:ascii="Courier New" w:cs="Courier New" w:eastAsia="Courier New" w:hAnsi="Courier New"/>
                <w:sz w:val="16"/>
                <w:szCs w:val="16"/>
                <w:color w:val="auto"/>
              </w:rPr>
              <w:t>Sch A - 1</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560"/>
          </w:cols>
          <w:pgMar w:left="240" w:top="1049" w:right="1099" w:bottom="1440" w:gutter="0" w:footer="0" w:header="0"/>
        </w:sectPr>
      </w:pPr>
    </w:p>
    <w:bookmarkStart w:id="33" w:name="page34"/>
    <w:bookmarkEnd w:id="33"/>
    <w:p>
      <w:pPr>
        <w:ind w:left="3400"/>
        <w:spacing w:after="0"/>
        <w:rPr>
          <w:sz w:val="20"/>
          <w:szCs w:val="20"/>
          <w:color w:val="auto"/>
        </w:rPr>
      </w:pPr>
      <w:r>
        <w:rPr>
          <w:rFonts w:ascii="Courier New" w:cs="Courier New" w:eastAsia="Courier New" w:hAnsi="Courier New"/>
          <w:sz w:val="16"/>
          <w:szCs w:val="16"/>
          <w:color w:val="auto"/>
        </w:rPr>
        <w:t>SCHEDULE B</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List of Sellers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6540" w:type="dxa"/>
            <w:vAlign w:val="bottom"/>
          </w:tcPr>
          <w:p>
            <w:pPr>
              <w:jc w:val="center"/>
              <w:ind w:left="4347"/>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Number of</w:t>
            </w:r>
          </w:p>
        </w:tc>
      </w:tr>
      <w:tr>
        <w:trPr>
          <w:trHeight w:val="186"/>
        </w:trPr>
        <w:tc>
          <w:tcPr>
            <w:tcW w:w="2900" w:type="dxa"/>
            <w:vAlign w:val="bottom"/>
          </w:tcPr>
          <w:p>
            <w:pPr>
              <w:spacing w:after="0"/>
              <w:rPr>
                <w:sz w:val="16"/>
                <w:szCs w:val="16"/>
                <w:color w:val="auto"/>
              </w:rPr>
            </w:pPr>
          </w:p>
        </w:tc>
        <w:tc>
          <w:tcPr>
            <w:tcW w:w="6540" w:type="dxa"/>
            <w:vAlign w:val="bottom"/>
          </w:tcPr>
          <w:p>
            <w:pPr>
              <w:jc w:val="center"/>
              <w:ind w:left="4347"/>
              <w:spacing w:after="0"/>
              <w:rPr>
                <w:sz w:val="20"/>
                <w:szCs w:val="20"/>
                <w:color w:val="auto"/>
              </w:rPr>
            </w:pPr>
            <w:r>
              <w:rPr>
                <w:rFonts w:ascii="Courier New" w:cs="Courier New" w:eastAsia="Courier New" w:hAnsi="Courier New"/>
                <w:sz w:val="16"/>
                <w:szCs w:val="16"/>
                <w:color w:val="auto"/>
              </w:rPr>
              <w:t>Initial</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Option</w:t>
            </w:r>
          </w:p>
        </w:tc>
      </w:tr>
      <w:tr>
        <w:trPr>
          <w:trHeight w:val="186"/>
        </w:trPr>
        <w:tc>
          <w:tcPr>
            <w:tcW w:w="2900" w:type="dxa"/>
            <w:vAlign w:val="bottom"/>
          </w:tcPr>
          <w:p>
            <w:pPr>
              <w:ind w:left="880"/>
              <w:spacing w:after="0"/>
              <w:rPr>
                <w:sz w:val="20"/>
                <w:szCs w:val="20"/>
                <w:color w:val="auto"/>
              </w:rPr>
            </w:pPr>
            <w:r>
              <w:rPr>
                <w:rFonts w:ascii="Courier New" w:cs="Courier New" w:eastAsia="Courier New" w:hAnsi="Courier New"/>
                <w:sz w:val="16"/>
                <w:szCs w:val="16"/>
                <w:color w:val="auto"/>
              </w:rPr>
              <w:t>Name of Seller</w:t>
            </w:r>
          </w:p>
        </w:tc>
        <w:tc>
          <w:tcPr>
            <w:tcW w:w="6540" w:type="dxa"/>
            <w:vAlign w:val="bottom"/>
          </w:tcPr>
          <w:p>
            <w:pPr>
              <w:jc w:val="right"/>
              <w:ind w:right="547"/>
              <w:spacing w:after="0"/>
              <w:rPr>
                <w:sz w:val="20"/>
                <w:szCs w:val="20"/>
                <w:color w:val="auto"/>
              </w:rPr>
            </w:pPr>
            <w:r>
              <w:rPr>
                <w:rFonts w:ascii="Courier New" w:cs="Courier New" w:eastAsia="Courier New" w:hAnsi="Courier New"/>
                <w:sz w:val="16"/>
                <w:szCs w:val="16"/>
                <w:color w:val="auto"/>
              </w:rPr>
              <w:t>Securities</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Securities</w:t>
            </w:r>
          </w:p>
        </w:tc>
      </w:tr>
      <w:tr>
        <w:trPr>
          <w:trHeight w:val="186"/>
        </w:trPr>
        <w:tc>
          <w:tcPr>
            <w:tcW w:w="290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6540" w:type="dxa"/>
            <w:vAlign w:val="bottom"/>
          </w:tcPr>
          <w:p>
            <w:pPr>
              <w:jc w:val="center"/>
              <w:ind w:left="4347"/>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900" w:type="dxa"/>
            <w:vAlign w:val="bottom"/>
          </w:tcPr>
          <w:p>
            <w:pPr>
              <w:spacing w:after="0"/>
              <w:rPr>
                <w:sz w:val="20"/>
                <w:szCs w:val="20"/>
                <w:color w:val="auto"/>
              </w:rPr>
            </w:pPr>
            <w:r>
              <w:rPr>
                <w:rFonts w:ascii="Courier New" w:cs="Courier New" w:eastAsia="Courier New" w:hAnsi="Courier New"/>
                <w:sz w:val="16"/>
                <w:szCs w:val="16"/>
                <w:color w:val="auto"/>
                <w:w w:val="99"/>
              </w:rPr>
              <w:t>Regeneron Pharmaceuticals, Inc</w:t>
            </w:r>
          </w:p>
        </w:tc>
        <w:tc>
          <w:tcPr>
            <w:tcW w:w="6540" w:type="dxa"/>
            <w:vAlign w:val="bottom"/>
          </w:tcPr>
          <w:p>
            <w:pPr>
              <w:jc w:val="right"/>
              <w:ind w:right="547"/>
              <w:spacing w:after="0"/>
              <w:rPr>
                <w:sz w:val="20"/>
                <w:szCs w:val="20"/>
                <w:color w:val="auto"/>
              </w:rPr>
            </w:pPr>
            <w:r>
              <w:rPr>
                <w:rFonts w:ascii="Courier New" w:cs="Courier New" w:eastAsia="Courier New" w:hAnsi="Courier New"/>
                <w:sz w:val="16"/>
                <w:szCs w:val="16"/>
                <w:color w:val="auto"/>
              </w:rPr>
              <w:t>.............................................2,600,000</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9"/>
                <w:szCs w:val="9"/>
                <w:color w:val="auto"/>
                <w:w w:val="71"/>
              </w:rPr>
              <w:t>Amgen Inc. ................................................................</w:t>
            </w:r>
          </w:p>
        </w:tc>
        <w:tc>
          <w:tcPr>
            <w:tcW w:w="6540" w:type="dxa"/>
            <w:vAlign w:val="bottom"/>
          </w:tcPr>
          <w:p>
            <w:pPr>
              <w:jc w:val="right"/>
              <w:ind w:right="547"/>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390,000</w:t>
            </w:r>
          </w:p>
        </w:tc>
      </w:tr>
      <w:tr>
        <w:trPr>
          <w:trHeight w:val="559"/>
        </w:trPr>
        <w:tc>
          <w:tcPr>
            <w:tcW w:w="2900" w:type="dxa"/>
            <w:vAlign w:val="bottom"/>
          </w:tcPr>
          <w:p>
            <w:pPr>
              <w:spacing w:after="0"/>
              <w:rPr>
                <w:sz w:val="20"/>
                <w:szCs w:val="20"/>
                <w:color w:val="auto"/>
              </w:rPr>
            </w:pPr>
            <w:r>
              <w:rPr>
                <w:rFonts w:ascii="Courier New" w:cs="Courier New" w:eastAsia="Courier New" w:hAnsi="Courier New"/>
                <w:sz w:val="9"/>
                <w:szCs w:val="9"/>
                <w:color w:val="auto"/>
                <w:w w:val="71"/>
              </w:rPr>
              <w:t>Total......................................................................</w:t>
            </w:r>
          </w:p>
        </w:tc>
        <w:tc>
          <w:tcPr>
            <w:tcW w:w="6540" w:type="dxa"/>
            <w:vAlign w:val="bottom"/>
          </w:tcPr>
          <w:p>
            <w:pPr>
              <w:jc w:val="right"/>
              <w:ind w:right="547"/>
              <w:spacing w:after="0"/>
              <w:rPr>
                <w:sz w:val="20"/>
                <w:szCs w:val="20"/>
                <w:color w:val="auto"/>
              </w:rPr>
            </w:pPr>
            <w:r>
              <w:rPr>
                <w:rFonts w:ascii="Courier New" w:cs="Courier New" w:eastAsia="Courier New" w:hAnsi="Courier New"/>
                <w:sz w:val="16"/>
                <w:szCs w:val="16"/>
                <w:color w:val="auto"/>
              </w:rPr>
              <w:t>2,600,000</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390,000</w:t>
            </w:r>
          </w:p>
        </w:tc>
      </w:tr>
      <w:tr>
        <w:trPr>
          <w:trHeight w:val="186"/>
        </w:trPr>
        <w:tc>
          <w:tcPr>
            <w:tcW w:w="2900" w:type="dxa"/>
            <w:vAlign w:val="bottom"/>
          </w:tcPr>
          <w:p>
            <w:pPr>
              <w:spacing w:after="0"/>
              <w:rPr>
                <w:sz w:val="16"/>
                <w:szCs w:val="16"/>
                <w:color w:val="auto"/>
              </w:rPr>
            </w:pPr>
          </w:p>
        </w:tc>
        <w:tc>
          <w:tcPr>
            <w:tcW w:w="6540" w:type="dxa"/>
            <w:vAlign w:val="bottom"/>
          </w:tcPr>
          <w:p>
            <w:pPr>
              <w:jc w:val="right"/>
              <w:ind w:right="547"/>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559"/>
        </w:trPr>
        <w:tc>
          <w:tcPr>
            <w:tcW w:w="2900" w:type="dxa"/>
            <w:vAlign w:val="bottom"/>
          </w:tcPr>
          <w:p>
            <w:pPr>
              <w:spacing w:after="0"/>
              <w:rPr>
                <w:sz w:val="24"/>
                <w:szCs w:val="24"/>
                <w:color w:val="auto"/>
              </w:rPr>
            </w:pPr>
          </w:p>
        </w:tc>
        <w:tc>
          <w:tcPr>
            <w:tcW w:w="6540" w:type="dxa"/>
            <w:vAlign w:val="bottom"/>
          </w:tcPr>
          <w:p>
            <w:pPr>
              <w:jc w:val="right"/>
              <w:ind w:right="5007"/>
              <w:spacing w:after="0"/>
              <w:rPr>
                <w:sz w:val="20"/>
                <w:szCs w:val="20"/>
                <w:color w:val="auto"/>
              </w:rPr>
            </w:pPr>
            <w:r>
              <w:rPr>
                <w:rFonts w:ascii="Courier New" w:cs="Courier New" w:eastAsia="Courier New" w:hAnsi="Courier New"/>
                <w:sz w:val="16"/>
                <w:szCs w:val="16"/>
                <w:color w:val="auto"/>
              </w:rPr>
              <w:t>Sch B - 1</w:t>
            </w:r>
          </w:p>
        </w:tc>
        <w:tc>
          <w:tcPr>
            <w:tcW w:w="1600" w:type="dxa"/>
            <w:vAlign w:val="bottom"/>
          </w:tcPr>
          <w:p>
            <w:pPr>
              <w:spacing w:after="0"/>
              <w:rPr>
                <w:sz w:val="24"/>
                <w:szCs w:val="24"/>
                <w:color w:val="auto"/>
              </w:rPr>
            </w:pPr>
          </w:p>
        </w:tc>
      </w:tr>
    </w:tbl>
    <w:p>
      <w:pPr>
        <w:sectPr>
          <w:pgSz w:w="11900" w:h="16838" w:orient="portrait"/>
          <w:cols w:equalWidth="0" w:num="1">
            <w:col w:w="11040"/>
          </w:cols>
          <w:pgMar w:left="240" w:top="1049" w:right="619" w:bottom="1440" w:gutter="0" w:footer="0" w:header="0"/>
        </w:sectPr>
      </w:pPr>
    </w:p>
    <w:bookmarkStart w:id="34" w:name="page35"/>
    <w:bookmarkEnd w:id="34"/>
    <w:p>
      <w:pPr>
        <w:jc w:val="center"/>
        <w:ind w:right="3339"/>
        <w:spacing w:after="0"/>
        <w:rPr>
          <w:sz w:val="20"/>
          <w:szCs w:val="20"/>
          <w:color w:val="auto"/>
        </w:rPr>
      </w:pPr>
      <w:r>
        <w:rPr>
          <w:rFonts w:ascii="Courier New" w:cs="Courier New" w:eastAsia="Courier New" w:hAnsi="Courier New"/>
          <w:sz w:val="16"/>
          <w:szCs w:val="16"/>
          <w:color w:val="auto"/>
        </w:rPr>
        <w:t>SCHEDULE C</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REGENERON PHARMACEUTICALS, INC.</w:t>
      </w:r>
    </w:p>
    <w:p>
      <w:pPr>
        <w:spacing w:after="0" w:line="191"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6"/>
          <w:szCs w:val="16"/>
          <w:color w:val="auto"/>
        </w:rPr>
        <w:t>2,600,000 Shares of Common Stock</w:t>
      </w:r>
    </w:p>
    <w:p>
      <w:pPr>
        <w:spacing w:after="0" w:line="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6"/>
          <w:szCs w:val="16"/>
          <w:color w:val="auto"/>
        </w:rPr>
        <w:t>(Par Value $0.001 Per Share)</w:t>
      </w:r>
    </w:p>
    <w:p>
      <w:pPr>
        <w:spacing w:after="0" w:line="200" w:lineRule="exact"/>
        <w:rPr>
          <w:sz w:val="20"/>
          <w:szCs w:val="20"/>
          <w:color w:val="auto"/>
        </w:rPr>
      </w:pPr>
    </w:p>
    <w:p>
      <w:pPr>
        <w:spacing w:after="0" w:line="364" w:lineRule="exact"/>
        <w:rPr>
          <w:sz w:val="20"/>
          <w:szCs w:val="20"/>
          <w:color w:val="auto"/>
        </w:rPr>
      </w:pPr>
    </w:p>
    <w:p>
      <w:pPr>
        <w:ind w:right="2559" w:firstLine="864"/>
        <w:spacing w:after="0" w:line="248" w:lineRule="auto"/>
        <w:tabs>
          <w:tab w:leader="none" w:pos="174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price per share for the Securities, determined as provided in said Section 2, shall be $29.75.</w:t>
      </w:r>
    </w:p>
    <w:p>
      <w:pPr>
        <w:spacing w:after="0" w:line="184" w:lineRule="exact"/>
        <w:rPr>
          <w:rFonts w:ascii="Courier New" w:cs="Courier New" w:eastAsia="Courier New" w:hAnsi="Courier New"/>
          <w:sz w:val="16"/>
          <w:szCs w:val="16"/>
          <w:color w:val="auto"/>
        </w:rPr>
      </w:pPr>
    </w:p>
    <w:p>
      <w:pPr>
        <w:ind w:right="2559" w:firstLine="864"/>
        <w:spacing w:after="0" w:line="246" w:lineRule="auto"/>
        <w:tabs>
          <w:tab w:leader="none" w:pos="116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per share for the Securities to be paid by the several Underwriters shall be $28.27, being an amount equal to the public offering price set forth above less $1.48 per share; provided that the purchase price per share for any Option Securities purchased upon the exercise of the over-allotment option described in Section 2(b) shall be reduced by an amount per share equal to any dividends or distributions declared by the Company and payable on the Initial Securities but not payable on the Option Securities.</w:t>
      </w:r>
    </w:p>
    <w:p>
      <w:pPr>
        <w:spacing w:after="0" w:line="19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Sch C - 1</w:t>
      </w:r>
    </w:p>
    <w:p>
      <w:pPr>
        <w:sectPr>
          <w:pgSz w:w="11900" w:h="16838" w:orient="portrait"/>
          <w:cols w:equalWidth="0" w:num="1">
            <w:col w:w="9339"/>
          </w:cols>
          <w:pgMar w:left="1120" w:top="1049" w:right="1440" w:bottom="1440" w:gutter="0" w:footer="0" w:header="0"/>
        </w:sectPr>
      </w:pPr>
    </w:p>
    <w:bookmarkStart w:id="35" w:name="page36"/>
    <w:bookmarkEnd w:id="35"/>
    <w:p>
      <w:pPr>
        <w:jc w:val="center"/>
        <w:ind w:right="2459"/>
        <w:spacing w:after="0"/>
        <w:rPr>
          <w:sz w:val="20"/>
          <w:szCs w:val="20"/>
          <w:color w:val="auto"/>
        </w:rPr>
      </w:pPr>
      <w:r>
        <w:rPr>
          <w:rFonts w:ascii="Courier New" w:cs="Courier New" w:eastAsia="Courier New" w:hAnsi="Courier New"/>
          <w:sz w:val="16"/>
          <w:szCs w:val="16"/>
          <w:color w:val="auto"/>
        </w:rPr>
        <w:t>SCHEDULE 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List of persons and entities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subject to lock-up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A. Baker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S. Brown,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Jesse M. Cedarbaum,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Beverly C. Dubs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Alfred G. Gilman, M.D.,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Murray A. Goldberg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L. Goldstein,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Hans-Peter Guler,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L. Holst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X. Horne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Douglas S. McCorkle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Fred A. Middleton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Fred Plum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G. Roberts,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Randall G. Rupp,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Leonard S. Schleifer, M.D.,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Eric M. Shooter,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 L. Sing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M. Sorrentino,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Neil Stahl,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Procter &amp; Gamble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 Roy Vagelos, M.D.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M. Valenzuela,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 D. Yancopoulos, M.D., Ph.D.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Glaxo Wellcome, Inc.</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Sch D - 1</w:t>
      </w:r>
    </w:p>
    <w:p>
      <w:pPr>
        <w:sectPr>
          <w:pgSz w:w="11900" w:h="16838" w:orient="portrait"/>
          <w:cols w:equalWidth="0" w:num="1">
            <w:col w:w="10219"/>
          </w:cols>
          <w:pgMar w:left="240" w:top="1049" w:right="1440" w:bottom="1440" w:gutter="0" w:footer="0" w:header="0"/>
        </w:sectPr>
      </w:pPr>
    </w:p>
    <w:bookmarkStart w:id="36" w:name="page37"/>
    <w:bookmarkEnd w:id="36"/>
    <w:p>
      <w:pPr>
        <w:jc w:val="right"/>
        <w:ind w:right="2659"/>
        <w:spacing w:after="0"/>
        <w:rPr>
          <w:sz w:val="20"/>
          <w:szCs w:val="20"/>
          <w:color w:val="auto"/>
        </w:rPr>
      </w:pPr>
      <w:r>
        <w:rPr>
          <w:rFonts w:ascii="Courier New" w:cs="Courier New" w:eastAsia="Courier New" w:hAnsi="Courier New"/>
          <w:sz w:val="16"/>
          <w:szCs w:val="16"/>
          <w:color w:val="auto"/>
        </w:rPr>
        <w:t>Exhibit A</w:t>
      </w:r>
    </w:p>
    <w:p>
      <w:pPr>
        <w:spacing w:after="0" w:line="19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FORM OF OPINION OF COMPANY'S COUNSEL</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TO BE DELIVERED PURSUANT TO</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SECTION 5(b)</w:t>
      </w:r>
    </w:p>
    <w:p>
      <w:pPr>
        <w:spacing w:after="0" w:line="200" w:lineRule="exact"/>
        <w:rPr>
          <w:sz w:val="20"/>
          <w:szCs w:val="20"/>
          <w:color w:val="auto"/>
        </w:rPr>
      </w:pPr>
    </w:p>
    <w:p>
      <w:pPr>
        <w:spacing w:after="0" w:line="36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9019"/>
          </w:cols>
          <w:pgMar w:left="1440" w:top="676" w:right="1440" w:bottom="1440" w:gutter="0" w:footer="0" w:header="0"/>
        </w:sectPr>
      </w:pPr>
    </w:p>
    <w:bookmarkStart w:id="37" w:name="page38"/>
    <w:bookmarkEnd w:id="37"/>
    <w:p>
      <w:pPr>
        <w:jc w:val="right"/>
        <w:ind w:right="2659"/>
        <w:spacing w:after="0"/>
        <w:rPr>
          <w:sz w:val="20"/>
          <w:szCs w:val="20"/>
          <w:color w:val="auto"/>
        </w:rPr>
      </w:pPr>
      <w:r>
        <w:rPr>
          <w:rFonts w:ascii="Courier New" w:cs="Courier New" w:eastAsia="Courier New" w:hAnsi="Courier New"/>
          <w:sz w:val="16"/>
          <w:szCs w:val="16"/>
          <w:color w:val="auto"/>
        </w:rPr>
        <w:t>Exhibit B</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OPINION FOR SPECIAL INTELLECTUAL PROPERTY COUNSEL</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TO BE DELIVERED PURSUANT TO SECTION 5(b)</w:t>
      </w:r>
    </w:p>
    <w:p>
      <w:pPr>
        <w:spacing w:after="0" w:line="200" w:lineRule="exact"/>
        <w:rPr>
          <w:sz w:val="20"/>
          <w:szCs w:val="20"/>
          <w:color w:val="auto"/>
        </w:rPr>
      </w:pPr>
    </w:p>
    <w:p>
      <w:pPr>
        <w:spacing w:after="0" w:line="36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9059"/>
          </w:cols>
          <w:pgMar w:left="1400" w:top="862" w:right="1440" w:bottom="1440" w:gutter="0" w:footer="0" w:header="0"/>
        </w:sectPr>
      </w:pPr>
    </w:p>
    <w:bookmarkStart w:id="38" w:name="page39"/>
    <w:bookmarkEnd w:id="38"/>
    <w:p>
      <w:pPr>
        <w:jc w:val="right"/>
        <w:ind w:right="2659"/>
        <w:spacing w:after="0"/>
        <w:rPr>
          <w:sz w:val="20"/>
          <w:szCs w:val="20"/>
          <w:color w:val="auto"/>
        </w:rPr>
      </w:pPr>
      <w:r>
        <w:rPr>
          <w:rFonts w:ascii="Courier New" w:cs="Courier New" w:eastAsia="Courier New" w:hAnsi="Courier New"/>
          <w:sz w:val="16"/>
          <w:szCs w:val="16"/>
          <w:color w:val="auto"/>
        </w:rPr>
        <w:t>Exhibit C</w:t>
      </w:r>
    </w:p>
    <w:p>
      <w:pPr>
        <w:spacing w:after="0" w:line="19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6"/>
          <w:szCs w:val="16"/>
          <w:color w:val="auto"/>
        </w:rPr>
        <w:t>FORM OF OPINION OF COUNSEL FOR THE SELLING SHAREHOLDER</w:t>
      </w:r>
    </w:p>
    <w:p>
      <w:pPr>
        <w:spacing w:after="0" w:line="5"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6"/>
          <w:szCs w:val="16"/>
          <w:color w:val="auto"/>
        </w:rPr>
        <w:t>TO BE DELIVERED PURSUANT TO SECTION 5(c)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9019"/>
          </w:cols>
          <w:pgMar w:left="1440" w:top="1049" w:right="1440" w:bottom="1440" w:gutter="0" w:footer="0" w:header="0"/>
        </w:sectPr>
      </w:pPr>
    </w:p>
    <w:bookmarkStart w:id="39" w:name="page40"/>
    <w:bookmarkEnd w:id="39"/>
    <w:p>
      <w:pPr>
        <w:ind w:left="3100" w:right="3239" w:hanging="3100"/>
        <w:spacing w:after="0" w:line="248" w:lineRule="auto"/>
        <w:rPr>
          <w:sz w:val="20"/>
          <w:szCs w:val="20"/>
          <w:color w:val="auto"/>
        </w:rPr>
      </w:pPr>
      <w:r>
        <w:rPr>
          <w:rFonts w:ascii="Courier New" w:cs="Courier New" w:eastAsia="Courier New" w:hAnsi="Courier New"/>
          <w:sz w:val="16"/>
          <w:szCs w:val="16"/>
          <w:color w:val="auto"/>
        </w:rPr>
        <w:t>[Form of lock-up from directors, officers or other stockholders pursuant to Section 5(k)]</w:t>
      </w:r>
    </w:p>
    <w:p>
      <w:pPr>
        <w:spacing w:after="0" w:line="18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D</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o,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FLEETBOSTON ROBERTSON STEPHENS INC.</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as Representative(s) of the several</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Underwriters to be named in the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within-mentioned Purchase Agreement</w:t>
      </w:r>
    </w:p>
    <w:p>
      <w:pPr>
        <w:spacing w:after="0" w:line="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c/o</w:t>
        <w:tab/>
        <w:t>Merrill Lynch &amp; Co.</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Incorporated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Tower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Financial Center</w:t>
      </w:r>
    </w:p>
    <w:p>
      <w:pPr>
        <w:spacing w:after="0" w:line="5"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6"/>
          <w:szCs w:val="16"/>
          <w:color w:val="auto"/>
        </w:rPr>
        <w:t>New York, New York</w:t>
        <w:tab/>
        <w:t>10281</w:t>
      </w:r>
    </w:p>
    <w:p>
      <w:pPr>
        <w:sectPr>
          <w:pgSz w:w="11900" w:h="16838" w:orient="portrait"/>
          <w:cols w:equalWidth="0" w:num="1">
            <w:col w:w="10219"/>
          </w:cols>
          <w:pgMar w:left="240" w:top="1049" w:right="1440" w:bottom="1440" w:gutter="0" w:footer="0" w:header="0"/>
        </w:sectPr>
      </w:pP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Proposed Public Offering by Regeneron Pharmaceuticals, Inc. -----------------------------------------------------------</w:t>
      </w:r>
    </w:p>
    <w:p>
      <w:pPr>
        <w:spacing w:after="0" w:line="184" w:lineRule="exact"/>
        <w:rPr>
          <w:sz w:val="20"/>
          <w:szCs w:val="20"/>
          <w:color w:val="auto"/>
        </w:rPr>
      </w:pPr>
    </w:p>
    <w:p>
      <w:pPr>
        <w:sectPr>
          <w:pgSz w:w="11900" w:h="16838" w:orient="portrait"/>
          <w:cols w:equalWidth="0" w:num="2">
            <w:col w:w="1160" w:space="580"/>
            <w:col w:w="8479"/>
          </w:cols>
          <w:pgMar w:left="240" w:top="104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Dear Sirs: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undersigned, a stockholder [and an officer and/or director] of Regeneron Pharmaceuticals, Inc. corporation (the "Company"), understands that Merrill Lynch &amp; Co., Merrill Lynch, Pierce, Fenner &amp; Smith Incorporated ("Merrill Lynch"), Lehman Brothers Inc., J.P. Morgan Securities Inc. and FleetBoston Robertson Stephens proposes to enter into a Purchase Agreement (the "Purchase Agreement") with the Company and the Selling Shareholder providing for the public offering of shares (the "Securities") of the Company's common stock, par value $0.001 per share (the "Common Stock"). In recognition of the benefit that such an offering will confer upon the undersigned as a stockholder [and an officer and/or director] of the Company, and for other good and valuable consideration, the receipt and sufficiency of which are hereby acknowledged, the undersigned agrees with each underwriter to be named in the Purchase Agreement that, during a period of 90 days from the date of the Purchase Agreement, the undersigned will not, without the prior written consent of Merrill Lynch, directly or indirectly, (i) offer, pledge, sell, contract to sell, sell any option or contract to 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undersigned or with 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w:t>
      </w:r>
    </w:p>
    <w:p>
      <w:pPr>
        <w:spacing w:after="0" w:line="20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19"/>
          </w:cols>
          <w:pgMar w:left="240" w:top="1049" w:right="1440" w:bottom="1440" w:gutter="0" w:footer="0" w:header="0"/>
          <w:type w:val="continuous"/>
        </w:sectPr>
      </w:pPr>
    </w:p>
    <w:bookmarkStart w:id="40" w:name="page41"/>
    <w:bookmarkEnd w:id="40"/>
    <w:p>
      <w:pPr>
        <w:ind w:right="3139"/>
        <w:spacing w:after="0" w:line="248" w:lineRule="auto"/>
        <w:rPr>
          <w:sz w:val="20"/>
          <w:szCs w:val="20"/>
          <w:color w:val="auto"/>
        </w:rPr>
      </w:pPr>
      <w:r>
        <w:rPr>
          <w:rFonts w:ascii="Courier New" w:cs="Courier New" w:eastAsia="Courier New" w:hAnsi="Courier New"/>
          <w:sz w:val="16"/>
          <w:szCs w:val="16"/>
          <w:color w:val="auto"/>
        </w:rPr>
        <w:t>swap or transaction is to be settled by delivery of Common Stock or other securities, in cash or otherwise.</w:t>
      </w:r>
    </w:p>
    <w:p>
      <w:pPr>
        <w:spacing w:after="0" w:line="184"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64"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1049" w:right="1440" w:bottom="1440" w:gutter="0" w:footer="0" w:header="0"/>
        </w:sectPr>
      </w:pPr>
    </w:p>
    <w:bookmarkStart w:id="41" w:name="page42"/>
    <w:bookmarkEnd w:id="41"/>
    <w:p>
      <w:pPr>
        <w:ind w:left="6680"/>
        <w:spacing w:after="0"/>
        <w:rPr>
          <w:sz w:val="20"/>
          <w:szCs w:val="20"/>
          <w:color w:val="auto"/>
        </w:rPr>
      </w:pPr>
      <w:r>
        <w:rPr>
          <w:rFonts w:ascii="Courier New" w:cs="Courier New" w:eastAsia="Courier New" w:hAnsi="Courier New"/>
          <w:sz w:val="16"/>
          <w:szCs w:val="16"/>
          <w:color w:val="auto"/>
        </w:rPr>
        <w:t>Exhibit E</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Information Provided by Selling Shareholder</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following information was furnished to the Company specifically for use in the Registration Statement. The name and address and the Shares of Common Stock of the Company beneficially owned by the Selling Shareholder prior to the Offering, which are set forth under the caption "Selling Shareholder."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19"/>
          </w:cols>
          <w:pgMar w:left="240" w:top="1049" w:right="1440" w:bottom="1440" w:gutter="0" w:footer="0" w:header="0"/>
        </w:sectPr>
      </w:pPr>
    </w:p>
    <w:bookmarkStart w:id="42" w:name="page43"/>
    <w:bookmarkEnd w:id="42"/>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dot" w:pos="11420" w:val="left"/>
        </w:tabs>
        <w:rPr>
          <w:sz w:val="20"/>
          <w:szCs w:val="20"/>
          <w:color w:val="auto"/>
        </w:rPr>
      </w:pPr>
      <w:r>
        <w:rPr>
          <w:rFonts w:ascii="Courier New" w:cs="Courier New" w:eastAsia="Courier New" w:hAnsi="Courier New"/>
          <w:sz w:val="16"/>
          <w:szCs w:val="16"/>
          <w:color w:val="auto"/>
        </w:rPr>
        <w:t>PURCHASE AGREEMENT</w:t>
      </w:r>
      <w:r>
        <w:rPr>
          <w:sz w:val="20"/>
          <w:szCs w:val="20"/>
          <w:color w:val="auto"/>
        </w:rPr>
        <w:tab/>
      </w:r>
      <w:r>
        <w:rPr>
          <w:rFonts w:ascii="Courier New" w:cs="Courier New" w:eastAsia="Courier New" w:hAnsi="Courier New"/>
          <w:sz w:val="13"/>
          <w:szCs w:val="13"/>
          <w:color w:val="auto"/>
        </w:rPr>
        <w:t>2</w:t>
      </w:r>
    </w:p>
    <w:p>
      <w:pPr>
        <w:spacing w:after="0" w:line="5" w:lineRule="exact"/>
        <w:rPr>
          <w:sz w:val="20"/>
          <w:szCs w:val="20"/>
          <w:color w:val="auto"/>
        </w:rPr>
      </w:pPr>
    </w:p>
    <w:p>
      <w:pPr>
        <w:ind w:left="880"/>
        <w:spacing w:after="0"/>
        <w:tabs>
          <w:tab w:leader="none" w:pos="2880" w:val="left"/>
          <w:tab w:leader="dot" w:pos="114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Representations and Warranties</w:t>
      </w:r>
      <w:r>
        <w:rPr>
          <w:sz w:val="20"/>
          <w:szCs w:val="20"/>
          <w:color w:val="auto"/>
        </w:rPr>
        <w:tab/>
      </w:r>
      <w:r>
        <w:rPr>
          <w:rFonts w:ascii="Courier New" w:cs="Courier New" w:eastAsia="Courier New" w:hAnsi="Courier New"/>
          <w:sz w:val="13"/>
          <w:szCs w:val="13"/>
          <w:color w:val="auto"/>
        </w:rPr>
        <w:t>4</w:t>
      </w:r>
    </w:p>
    <w:p>
      <w:pPr>
        <w:spacing w:after="0" w:line="5" w:lineRule="exact"/>
        <w:rPr>
          <w:sz w:val="20"/>
          <w:szCs w:val="20"/>
          <w:color w:val="auto"/>
        </w:rPr>
      </w:pPr>
    </w:p>
    <w:p>
      <w:pPr>
        <w:jc w:val="right"/>
        <w:spacing w:after="0"/>
        <w:tabs>
          <w:tab w:leader="none" w:pos="8600" w:val="left"/>
          <w:tab w:leader="dot" w:pos="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Representations and Warranties by the Company</w:t>
      </w:r>
      <w:r>
        <w:rPr>
          <w:sz w:val="20"/>
          <w:szCs w:val="20"/>
          <w:color w:val="auto"/>
        </w:rPr>
        <w:tab/>
      </w:r>
      <w:r>
        <w:rPr>
          <w:rFonts w:ascii="Courier New" w:cs="Courier New" w:eastAsia="Courier New" w:hAnsi="Courier New"/>
          <w:sz w:val="13"/>
          <w:szCs w:val="13"/>
          <w:color w:val="auto"/>
        </w:rPr>
        <w:t>4</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Compliance with Registration Requirements</w:t>
      </w:r>
      <w:r>
        <w:rPr>
          <w:sz w:val="20"/>
          <w:szCs w:val="20"/>
          <w:color w:val="auto"/>
        </w:rPr>
        <w:tab/>
      </w:r>
      <w:r>
        <w:rPr>
          <w:rFonts w:ascii="Courier New" w:cs="Courier New" w:eastAsia="Courier New" w:hAnsi="Courier New"/>
          <w:sz w:val="13"/>
          <w:szCs w:val="13"/>
          <w:color w:val="auto"/>
        </w:rPr>
        <w:t>4</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Incorporated Documents</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Independent Accountants</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(v)</w:t>
      </w:r>
      <w:r>
        <w:rPr>
          <w:sz w:val="20"/>
          <w:szCs w:val="20"/>
          <w:color w:val="auto"/>
        </w:rPr>
        <w:tab/>
      </w:r>
      <w:r>
        <w:rPr>
          <w:rFonts w:ascii="Courier New" w:cs="Courier New" w:eastAsia="Courier New" w:hAnsi="Courier New"/>
          <w:sz w:val="16"/>
          <w:szCs w:val="16"/>
          <w:color w:val="auto"/>
        </w:rPr>
        <w:t>No Material Adverse Change in Business</w:t>
      </w:r>
      <w:r>
        <w:rPr>
          <w:sz w:val="20"/>
          <w:szCs w:val="20"/>
          <w:color w:val="auto"/>
        </w:rPr>
        <w:tab/>
      </w:r>
      <w:r>
        <w:rPr>
          <w:rFonts w:ascii="Courier New" w:cs="Courier New" w:eastAsia="Courier New" w:hAnsi="Courier New"/>
          <w:sz w:val="13"/>
          <w:szCs w:val="13"/>
          <w:color w:val="auto"/>
        </w:rPr>
        <w:t>5</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(vi)</w:t>
      </w:r>
      <w:r>
        <w:rPr>
          <w:sz w:val="20"/>
          <w:szCs w:val="20"/>
          <w:color w:val="auto"/>
        </w:rPr>
        <w:tab/>
      </w:r>
      <w:r>
        <w:rPr>
          <w:rFonts w:ascii="Courier New" w:cs="Courier New" w:eastAsia="Courier New" w:hAnsi="Courier New"/>
          <w:sz w:val="16"/>
          <w:szCs w:val="16"/>
          <w:color w:val="auto"/>
        </w:rPr>
        <w:t>Good Standing of the Company</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(vii)</w:t>
      </w:r>
      <w:r>
        <w:rPr>
          <w:sz w:val="20"/>
          <w:szCs w:val="20"/>
          <w:color w:val="auto"/>
        </w:rPr>
        <w:tab/>
      </w:r>
      <w:r>
        <w:rPr>
          <w:rFonts w:ascii="Courier New" w:cs="Courier New" w:eastAsia="Courier New" w:hAnsi="Courier New"/>
          <w:sz w:val="16"/>
          <w:szCs w:val="16"/>
          <w:color w:val="auto"/>
        </w:rPr>
        <w:t>Good Standing of Subsidiaries</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(viii)</w:t>
      </w:r>
      <w:r>
        <w:rPr>
          <w:sz w:val="20"/>
          <w:szCs w:val="20"/>
          <w:color w:val="auto"/>
        </w:rPr>
        <w:tab/>
      </w: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(ix)</w:t>
      </w:r>
      <w:r>
        <w:rPr>
          <w:sz w:val="20"/>
          <w:szCs w:val="20"/>
          <w:color w:val="auto"/>
        </w:rPr>
        <w:tab/>
      </w:r>
      <w:r>
        <w:rPr>
          <w:rFonts w:ascii="Courier New" w:cs="Courier New" w:eastAsia="Courier New" w:hAnsi="Courier New"/>
          <w:sz w:val="16"/>
          <w:szCs w:val="16"/>
          <w:color w:val="auto"/>
        </w:rPr>
        <w:t>Authorization of Agreement</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Authorization and Description of Securities</w:t>
      </w:r>
      <w:r>
        <w:rPr>
          <w:sz w:val="20"/>
          <w:szCs w:val="20"/>
          <w:color w:val="auto"/>
        </w:rPr>
        <w:tab/>
      </w:r>
      <w:r>
        <w:rPr>
          <w:rFonts w:ascii="Courier New" w:cs="Courier New" w:eastAsia="Courier New" w:hAnsi="Courier New"/>
          <w:sz w:val="13"/>
          <w:szCs w:val="13"/>
          <w:color w:val="auto"/>
        </w:rPr>
        <w:t>6</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(xi)</w:t>
      </w:r>
      <w:r>
        <w:rPr>
          <w:sz w:val="20"/>
          <w:szCs w:val="20"/>
          <w:color w:val="auto"/>
        </w:rPr>
        <w:tab/>
      </w:r>
      <w:r>
        <w:rPr>
          <w:rFonts w:ascii="Courier New" w:cs="Courier New" w:eastAsia="Courier New" w:hAnsi="Courier New"/>
          <w:sz w:val="16"/>
          <w:szCs w:val="16"/>
          <w:color w:val="auto"/>
        </w:rPr>
        <w:t>Absence of Defaults and Conflicts</w:t>
      </w:r>
      <w:r>
        <w:rPr>
          <w:sz w:val="20"/>
          <w:szCs w:val="20"/>
          <w:color w:val="auto"/>
        </w:rPr>
        <w:tab/>
      </w:r>
      <w:r>
        <w:rPr>
          <w:rFonts w:ascii="Courier New" w:cs="Courier New" w:eastAsia="Courier New" w:hAnsi="Courier New"/>
          <w:sz w:val="13"/>
          <w:szCs w:val="13"/>
          <w:color w:val="auto"/>
        </w:rPr>
        <w:t>7</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(xii)</w:t>
      </w:r>
      <w:r>
        <w:rPr>
          <w:sz w:val="20"/>
          <w:szCs w:val="20"/>
          <w:color w:val="auto"/>
        </w:rPr>
        <w:tab/>
      </w:r>
      <w:r>
        <w:rPr>
          <w:rFonts w:ascii="Courier New" w:cs="Courier New" w:eastAsia="Courier New" w:hAnsi="Courier New"/>
          <w:sz w:val="16"/>
          <w:szCs w:val="16"/>
          <w:color w:val="auto"/>
        </w:rPr>
        <w:t>Absence of Labor Dispute</w:t>
      </w:r>
      <w:r>
        <w:rPr>
          <w:sz w:val="20"/>
          <w:szCs w:val="20"/>
          <w:color w:val="auto"/>
        </w:rPr>
        <w:tab/>
      </w:r>
      <w:r>
        <w:rPr>
          <w:rFonts w:ascii="Courier New" w:cs="Courier New" w:eastAsia="Courier New" w:hAnsi="Courier New"/>
          <w:sz w:val="13"/>
          <w:szCs w:val="13"/>
          <w:color w:val="auto"/>
        </w:rPr>
        <w:t>7</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(xiii)</w:t>
      </w:r>
      <w:r>
        <w:rPr>
          <w:sz w:val="20"/>
          <w:szCs w:val="20"/>
          <w:color w:val="auto"/>
        </w:rPr>
        <w:tab/>
      </w:r>
      <w:r>
        <w:rPr>
          <w:rFonts w:ascii="Courier New" w:cs="Courier New" w:eastAsia="Courier New" w:hAnsi="Courier New"/>
          <w:sz w:val="16"/>
          <w:szCs w:val="16"/>
          <w:color w:val="auto"/>
        </w:rPr>
        <w:t>Absence of Proceedings</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(xiv)</w:t>
      </w:r>
      <w:r>
        <w:rPr>
          <w:sz w:val="20"/>
          <w:szCs w:val="20"/>
          <w:color w:val="auto"/>
        </w:rPr>
        <w:tab/>
      </w:r>
      <w:r>
        <w:rPr>
          <w:rFonts w:ascii="Courier New" w:cs="Courier New" w:eastAsia="Courier New" w:hAnsi="Courier New"/>
          <w:sz w:val="16"/>
          <w:szCs w:val="16"/>
          <w:color w:val="auto"/>
        </w:rPr>
        <w:t>Accuracy of Exhibits</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(xv)</w:t>
      </w:r>
      <w:r>
        <w:rPr>
          <w:sz w:val="20"/>
          <w:szCs w:val="20"/>
          <w:color w:val="auto"/>
        </w:rPr>
        <w:tab/>
      </w:r>
      <w:r>
        <w:rPr>
          <w:rFonts w:ascii="Courier New" w:cs="Courier New" w:eastAsia="Courier New" w:hAnsi="Courier New"/>
          <w:sz w:val="16"/>
          <w:szCs w:val="16"/>
          <w:color w:val="auto"/>
        </w:rPr>
        <w:t>Possession of Intellectual Property</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(xvi)</w:t>
      </w:r>
      <w:r>
        <w:rPr>
          <w:sz w:val="20"/>
          <w:szCs w:val="20"/>
          <w:color w:val="auto"/>
        </w:rPr>
        <w:tab/>
      </w:r>
      <w:r>
        <w:rPr>
          <w:rFonts w:ascii="Courier New" w:cs="Courier New" w:eastAsia="Courier New" w:hAnsi="Courier New"/>
          <w:sz w:val="16"/>
          <w:szCs w:val="16"/>
          <w:color w:val="auto"/>
        </w:rPr>
        <w:t>Absence of Further Requirements</w:t>
      </w:r>
      <w:r>
        <w:rPr>
          <w:sz w:val="20"/>
          <w:szCs w:val="20"/>
          <w:color w:val="auto"/>
        </w:rPr>
        <w:tab/>
      </w:r>
      <w:r>
        <w:rPr>
          <w:rFonts w:ascii="Courier New" w:cs="Courier New" w:eastAsia="Courier New" w:hAnsi="Courier New"/>
          <w:sz w:val="13"/>
          <w:szCs w:val="13"/>
          <w:color w:val="auto"/>
        </w:rPr>
        <w:t>8</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(xvii)</w:t>
      </w:r>
      <w:r>
        <w:rPr>
          <w:sz w:val="20"/>
          <w:szCs w:val="20"/>
          <w:color w:val="auto"/>
        </w:rPr>
        <w:tab/>
      </w:r>
      <w:r>
        <w:rPr>
          <w:rFonts w:ascii="Courier New" w:cs="Courier New" w:eastAsia="Courier New" w:hAnsi="Courier New"/>
          <w:sz w:val="16"/>
          <w:szCs w:val="16"/>
          <w:color w:val="auto"/>
        </w:rPr>
        <w:t>Possession of Licenses and Permits</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(xviii)</w:t>
      </w:r>
      <w:r>
        <w:rPr>
          <w:sz w:val="20"/>
          <w:szCs w:val="20"/>
          <w:color w:val="auto"/>
        </w:rPr>
        <w:tab/>
      </w:r>
      <w:r>
        <w:rPr>
          <w:rFonts w:ascii="Courier New" w:cs="Courier New" w:eastAsia="Courier New" w:hAnsi="Courier New"/>
          <w:sz w:val="16"/>
          <w:szCs w:val="16"/>
          <w:color w:val="auto"/>
        </w:rPr>
        <w:t>Title to Property</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jc w:val="right"/>
        <w:spacing w:after="0"/>
        <w:tabs>
          <w:tab w:leader="none" w:pos="7620" w:val="left"/>
          <w:tab w:leader="dot" w:pos="60" w:val="left"/>
        </w:tabs>
        <w:rPr>
          <w:sz w:val="20"/>
          <w:szCs w:val="20"/>
          <w:color w:val="auto"/>
        </w:rPr>
      </w:pPr>
      <w:r>
        <w:rPr>
          <w:rFonts w:ascii="Courier New" w:cs="Courier New" w:eastAsia="Courier New" w:hAnsi="Courier New"/>
          <w:sz w:val="16"/>
          <w:szCs w:val="16"/>
          <w:color w:val="auto"/>
        </w:rPr>
        <w:t>(xix)</w:t>
      </w:r>
      <w:r>
        <w:rPr>
          <w:sz w:val="20"/>
          <w:szCs w:val="20"/>
          <w:color w:val="auto"/>
        </w:rPr>
        <w:tab/>
      </w:r>
      <w:r>
        <w:rPr>
          <w:rFonts w:ascii="Courier New" w:cs="Courier New" w:eastAsia="Courier New" w:hAnsi="Courier New"/>
          <w:sz w:val="16"/>
          <w:szCs w:val="16"/>
          <w:color w:val="auto"/>
        </w:rPr>
        <w:t>Environmental Laws</w:t>
      </w:r>
      <w:r>
        <w:rPr>
          <w:sz w:val="20"/>
          <w:szCs w:val="20"/>
          <w:color w:val="auto"/>
        </w:rPr>
        <w:tab/>
      </w:r>
      <w:r>
        <w:rPr>
          <w:rFonts w:ascii="Courier New" w:cs="Courier New" w:eastAsia="Courier New" w:hAnsi="Courier New"/>
          <w:sz w:val="13"/>
          <w:szCs w:val="13"/>
          <w:color w:val="auto"/>
        </w:rPr>
        <w:t>9</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(xx)</w:t>
      </w:r>
      <w:r>
        <w:rPr>
          <w:sz w:val="20"/>
          <w:szCs w:val="20"/>
          <w:color w:val="auto"/>
        </w:rPr>
        <w:tab/>
      </w:r>
      <w:r>
        <w:rPr>
          <w:rFonts w:ascii="Courier New" w:cs="Courier New" w:eastAsia="Courier New" w:hAnsi="Courier New"/>
          <w:sz w:val="16"/>
          <w:szCs w:val="16"/>
          <w:color w:val="auto"/>
        </w:rPr>
        <w:t>Investment Company Act</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(xxi)</w:t>
      </w:r>
      <w:r>
        <w:rPr>
          <w:sz w:val="20"/>
          <w:szCs w:val="20"/>
          <w:color w:val="auto"/>
        </w:rPr>
        <w:tab/>
      </w:r>
      <w:r>
        <w:rPr>
          <w:rFonts w:ascii="Courier New" w:cs="Courier New" w:eastAsia="Courier New" w:hAnsi="Courier New"/>
          <w:sz w:val="16"/>
          <w:szCs w:val="16"/>
          <w:color w:val="auto"/>
        </w:rPr>
        <w:t>FDA and PTO Proceedings</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(xxii)</w:t>
      </w:r>
      <w:r>
        <w:rPr>
          <w:sz w:val="20"/>
          <w:szCs w:val="20"/>
          <w:color w:val="auto"/>
        </w:rPr>
        <w:tab/>
      </w:r>
      <w:r>
        <w:rPr>
          <w:rFonts w:ascii="Courier New" w:cs="Courier New" w:eastAsia="Courier New" w:hAnsi="Courier New"/>
          <w:sz w:val="16"/>
          <w:szCs w:val="16"/>
          <w:color w:val="auto"/>
        </w:rPr>
        <w:t>Compliance with Cuba Act</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jc w:val="right"/>
        <w:spacing w:after="0"/>
        <w:tabs>
          <w:tab w:leader="none" w:pos="8600" w:val="left"/>
          <w:tab w:leader="dot" w:pos="16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Representations and Warranties by the Selling Shareholder</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Accurate Disclosure</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Authorization of Agreements</w:t>
      </w:r>
      <w:r>
        <w:rPr>
          <w:sz w:val="20"/>
          <w:szCs w:val="20"/>
          <w:color w:val="auto"/>
        </w:rPr>
        <w:tab/>
      </w:r>
      <w:r>
        <w:rPr>
          <w:rFonts w:ascii="Courier New" w:cs="Courier New" w:eastAsia="Courier New" w:hAnsi="Courier New"/>
          <w:sz w:val="15"/>
          <w:szCs w:val="15"/>
          <w:color w:val="auto"/>
        </w:rPr>
        <w:t>11</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Direct Holder of Securities; Title to Option Securities</w:t>
      </w:r>
      <w:r>
        <w:rPr>
          <w:sz w:val="20"/>
          <w:szCs w:val="20"/>
          <w:color w:val="auto"/>
        </w:rPr>
        <w:tab/>
      </w:r>
      <w:r>
        <w:rPr>
          <w:rFonts w:ascii="Courier New" w:cs="Courier New" w:eastAsia="Courier New" w:hAnsi="Courier New"/>
          <w:sz w:val="15"/>
          <w:szCs w:val="15"/>
          <w:color w:val="auto"/>
        </w:rPr>
        <w:t>11</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Absence of Manipulation</w:t>
      </w:r>
      <w:r>
        <w:rPr>
          <w:sz w:val="20"/>
          <w:szCs w:val="20"/>
          <w:color w:val="auto"/>
        </w:rPr>
        <w:tab/>
      </w:r>
      <w:r>
        <w:rPr>
          <w:rFonts w:ascii="Courier New" w:cs="Courier New" w:eastAsia="Courier New" w:hAnsi="Courier New"/>
          <w:sz w:val="15"/>
          <w:szCs w:val="15"/>
          <w:color w:val="auto"/>
        </w:rPr>
        <w:t>11</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(v)</w:t>
      </w:r>
      <w:r>
        <w:rPr>
          <w:sz w:val="20"/>
          <w:szCs w:val="20"/>
          <w:color w:val="auto"/>
        </w:rPr>
        <w:tab/>
      </w:r>
      <w:r>
        <w:rPr>
          <w:rFonts w:ascii="Courier New" w:cs="Courier New" w:eastAsia="Courier New" w:hAnsi="Courier New"/>
          <w:sz w:val="16"/>
          <w:szCs w:val="16"/>
          <w:color w:val="auto"/>
        </w:rPr>
        <w:t>Absence of Further Requirements</w:t>
      </w:r>
      <w:r>
        <w:rPr>
          <w:sz w:val="20"/>
          <w:szCs w:val="20"/>
          <w:color w:val="auto"/>
        </w:rPr>
        <w:tab/>
      </w:r>
      <w:r>
        <w:rPr>
          <w:rFonts w:ascii="Courier New" w:cs="Courier New" w:eastAsia="Courier New" w:hAnsi="Courier New"/>
          <w:sz w:val="15"/>
          <w:szCs w:val="15"/>
          <w:color w:val="auto"/>
        </w:rPr>
        <w:t>11</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(vi)</w:t>
      </w:r>
      <w:r>
        <w:rPr>
          <w:sz w:val="20"/>
          <w:szCs w:val="20"/>
          <w:color w:val="auto"/>
        </w:rPr>
        <w:tab/>
      </w:r>
      <w:r>
        <w:rPr>
          <w:rFonts w:ascii="Courier New" w:cs="Courier New" w:eastAsia="Courier New" w:hAnsi="Courier New"/>
          <w:sz w:val="16"/>
          <w:szCs w:val="16"/>
          <w:color w:val="auto"/>
        </w:rPr>
        <w:t>Restriction on Sale of Securities</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(vii)</w:t>
      </w:r>
      <w:r>
        <w:rPr>
          <w:sz w:val="20"/>
          <w:szCs w:val="20"/>
          <w:color w:val="auto"/>
        </w:rPr>
        <w:tab/>
      </w:r>
      <w:r>
        <w:rPr>
          <w:rFonts w:ascii="Courier New" w:cs="Courier New" w:eastAsia="Courier New" w:hAnsi="Courier New"/>
          <w:sz w:val="16"/>
          <w:szCs w:val="16"/>
          <w:color w:val="auto"/>
        </w:rPr>
        <w:t>Certificates Suitable for Transfer</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(viii)</w:t>
      </w:r>
      <w:r>
        <w:rPr>
          <w:sz w:val="20"/>
          <w:szCs w:val="20"/>
          <w:color w:val="auto"/>
        </w:rPr>
        <w:tab/>
      </w:r>
      <w:r>
        <w:rPr>
          <w:rFonts w:ascii="Courier New" w:cs="Courier New" w:eastAsia="Courier New" w:hAnsi="Courier New"/>
          <w:sz w:val="16"/>
          <w:szCs w:val="16"/>
          <w:color w:val="auto"/>
        </w:rPr>
        <w:t>No Association with NASD</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jc w:val="right"/>
        <w:spacing w:after="0"/>
        <w:tabs>
          <w:tab w:leader="none" w:pos="8600" w:val="left"/>
          <w:tab w:leader="dot" w:pos="16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Officer's Certificates</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ind w:left="880"/>
        <w:spacing w:after="0"/>
        <w:tabs>
          <w:tab w:leader="none" w:pos="2880" w:val="left"/>
          <w:tab w:leader="dot" w:pos="1132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Sale and Delivery to Underwriters; Closing</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jc w:val="right"/>
        <w:spacing w:after="0"/>
        <w:tabs>
          <w:tab w:leader="none" w:pos="8600" w:val="left"/>
          <w:tab w:leader="dot" w:pos="1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Initial Securities</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jc w:val="right"/>
        <w:spacing w:after="0"/>
        <w:tabs>
          <w:tab w:leader="none" w:pos="8600" w:val="left"/>
          <w:tab w:leader="dot" w:pos="16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Option Securities</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jc w:val="right"/>
        <w:spacing w:after="0"/>
        <w:tabs>
          <w:tab w:leader="none" w:pos="8600" w:val="left"/>
          <w:tab w:leader="dot" w:pos="16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Payment</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jc w:val="right"/>
        <w:spacing w:after="0"/>
        <w:tabs>
          <w:tab w:leader="none" w:pos="8600" w:val="left"/>
          <w:tab w:leader="dot" w:pos="16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Denominations; Registration</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ind w:left="880"/>
        <w:spacing w:after="0"/>
        <w:tabs>
          <w:tab w:leader="none" w:pos="2880" w:val="left"/>
          <w:tab w:leader="dot" w:pos="1132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6"/>
          <w:szCs w:val="16"/>
          <w:color w:val="auto"/>
        </w:rPr>
        <w:t>Covenants of the Company</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jc w:val="right"/>
        <w:spacing w:after="0"/>
        <w:tabs>
          <w:tab w:leader="none" w:pos="8600" w:val="left"/>
          <w:tab w:leader="dot" w:pos="1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Compliance with Securities Regulations and Commission Requests</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jc w:val="right"/>
        <w:spacing w:after="0"/>
        <w:tabs>
          <w:tab w:leader="none" w:pos="8600" w:val="left"/>
          <w:tab w:leader="dot" w:pos="16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Filing of Amendments</w:t>
      </w:r>
      <w:r>
        <w:rPr>
          <w:sz w:val="20"/>
          <w:szCs w:val="20"/>
          <w:color w:val="auto"/>
        </w:rPr>
        <w:tab/>
      </w: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520"/>
          </w:cols>
          <w:pgMar w:left="240" w:top="1049" w:right="139" w:bottom="1440" w:gutter="0" w:footer="0" w:header="0"/>
        </w:sectPr>
      </w:pPr>
    </w:p>
    <w:bookmarkStart w:id="43" w:name="page44"/>
    <w:bookmarkEnd w:id="43"/>
    <w:p>
      <w:pPr>
        <w:spacing w:after="0" w:line="168"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Delivery of Registration Statements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Delivery of Prospectuses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Continued Compliance with Securities Laws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Blue Sky Qualifications</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(g)</w:t>
      </w:r>
      <w:r>
        <w:rPr>
          <w:sz w:val="20"/>
          <w:szCs w:val="20"/>
          <w:color w:val="auto"/>
        </w:rPr>
        <w:tab/>
      </w:r>
      <w:r>
        <w:rPr>
          <w:rFonts w:ascii="Courier New" w:cs="Courier New" w:eastAsia="Courier New" w:hAnsi="Courier New"/>
          <w:sz w:val="16"/>
          <w:szCs w:val="16"/>
          <w:color w:val="auto"/>
        </w:rPr>
        <w:t>Rule 158</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(h)</w:t>
      </w:r>
      <w:r>
        <w:rPr>
          <w:sz w:val="20"/>
          <w:szCs w:val="20"/>
          <w:color w:val="auto"/>
        </w:rPr>
        <w:tab/>
      </w: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Listing</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(j)</w:t>
      </w:r>
      <w:r>
        <w:rPr>
          <w:sz w:val="20"/>
          <w:szCs w:val="20"/>
          <w:color w:val="auto"/>
        </w:rPr>
        <w:tab/>
      </w:r>
      <w:r>
        <w:rPr>
          <w:rFonts w:ascii="Courier New" w:cs="Courier New" w:eastAsia="Courier New" w:hAnsi="Courier New"/>
          <w:sz w:val="16"/>
          <w:szCs w:val="16"/>
          <w:color w:val="auto"/>
        </w:rPr>
        <w:t>Restriction on Sale of Securities</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(k)</w:t>
      </w:r>
      <w:r>
        <w:rPr>
          <w:sz w:val="20"/>
          <w:szCs w:val="20"/>
          <w:color w:val="auto"/>
        </w:rPr>
        <w:tab/>
      </w:r>
      <w:r>
        <w:rPr>
          <w:rFonts w:ascii="Courier New" w:cs="Courier New" w:eastAsia="Courier New" w:hAnsi="Courier New"/>
          <w:sz w:val="16"/>
          <w:szCs w:val="16"/>
          <w:color w:val="auto"/>
        </w:rPr>
        <w:t>Reporting Requirements</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Payment of Expenses</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Expenses of the Selling Shareholder</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Termination of Agreement</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Allocation of Expenses</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Conditions of Underwriters' Obligations</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Effectiveness of Registration Statement</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Opinion of Counsel for Company</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Opinion of Counsel for Underwriters</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Officers' Certificate</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Accountants' Comfort Letter</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Bring-down Comfort Letter</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(g)</w:t>
      </w:r>
      <w:r>
        <w:rPr>
          <w:sz w:val="20"/>
          <w:szCs w:val="20"/>
          <w:color w:val="auto"/>
        </w:rPr>
        <w:tab/>
      </w:r>
      <w:r>
        <w:rPr>
          <w:rFonts w:ascii="Courier New" w:cs="Courier New" w:eastAsia="Courier New" w:hAnsi="Courier New"/>
          <w:sz w:val="16"/>
          <w:szCs w:val="16"/>
          <w:color w:val="auto"/>
        </w:rPr>
        <w:t>Approval of Listing</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(h)</w:t>
      </w:r>
      <w:r>
        <w:rPr>
          <w:sz w:val="20"/>
          <w:szCs w:val="20"/>
          <w:color w:val="auto"/>
        </w:rPr>
        <w:tab/>
      </w:r>
      <w:r>
        <w:rPr>
          <w:rFonts w:ascii="Courier New" w:cs="Courier New" w:eastAsia="Courier New" w:hAnsi="Courier New"/>
          <w:sz w:val="16"/>
          <w:szCs w:val="16"/>
          <w:color w:val="auto"/>
        </w:rPr>
        <w:t>No Objection</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Lock-up Agreements</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(j)</w:t>
      </w:r>
      <w:r>
        <w:rPr>
          <w:sz w:val="20"/>
          <w:szCs w:val="20"/>
          <w:color w:val="auto"/>
        </w:rPr>
        <w:tab/>
      </w:r>
      <w:r>
        <w:rPr>
          <w:rFonts w:ascii="Courier New" w:cs="Courier New" w:eastAsia="Courier New" w:hAnsi="Courier New"/>
          <w:sz w:val="16"/>
          <w:szCs w:val="16"/>
          <w:color w:val="auto"/>
        </w:rPr>
        <w:t>Conditions to Purchase of Option Securities</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Officers' Certificate</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Certificate of Selling Shareholder</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Opinion of Counsel for Company</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Opinion of Counsel for the Selling Shareholder</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(v)</w:t>
      </w:r>
      <w:r>
        <w:rPr>
          <w:sz w:val="20"/>
          <w:szCs w:val="20"/>
          <w:color w:val="auto"/>
        </w:rPr>
        <w:tab/>
      </w:r>
      <w:r>
        <w:rPr>
          <w:rFonts w:ascii="Courier New" w:cs="Courier New" w:eastAsia="Courier New" w:hAnsi="Courier New"/>
          <w:sz w:val="16"/>
          <w:szCs w:val="16"/>
          <w:color w:val="auto"/>
        </w:rPr>
        <w:t>Opinion of Counsel for Underwriters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jc w:val="right"/>
        <w:spacing w:after="0"/>
        <w:tabs>
          <w:tab w:leader="none" w:pos="7620" w:val="left"/>
          <w:tab w:leader="dot" w:pos="160" w:val="left"/>
        </w:tabs>
        <w:rPr>
          <w:sz w:val="20"/>
          <w:szCs w:val="20"/>
          <w:color w:val="auto"/>
        </w:rPr>
      </w:pPr>
      <w:r>
        <w:rPr>
          <w:rFonts w:ascii="Courier New" w:cs="Courier New" w:eastAsia="Courier New" w:hAnsi="Courier New"/>
          <w:sz w:val="16"/>
          <w:szCs w:val="16"/>
          <w:color w:val="auto"/>
        </w:rPr>
        <w:t>(vi)</w:t>
      </w:r>
      <w:r>
        <w:rPr>
          <w:sz w:val="20"/>
          <w:szCs w:val="20"/>
          <w:color w:val="auto"/>
        </w:rPr>
        <w:tab/>
      </w:r>
      <w:r>
        <w:rPr>
          <w:rFonts w:ascii="Courier New" w:cs="Courier New" w:eastAsia="Courier New" w:hAnsi="Courier New"/>
          <w:sz w:val="16"/>
          <w:szCs w:val="16"/>
          <w:color w:val="auto"/>
        </w:rPr>
        <w:t>Bring-down Comfort Letter</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(k)</w:t>
      </w:r>
      <w:r>
        <w:rPr>
          <w:sz w:val="20"/>
          <w:szCs w:val="20"/>
          <w:color w:val="auto"/>
        </w:rPr>
        <w:tab/>
      </w:r>
      <w:r>
        <w:rPr>
          <w:rFonts w:ascii="Courier New" w:cs="Courier New" w:eastAsia="Courier New" w:hAnsi="Courier New"/>
          <w:sz w:val="16"/>
          <w:szCs w:val="16"/>
          <w:color w:val="auto"/>
        </w:rPr>
        <w:t>Additional Documents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(l)</w:t>
      </w:r>
      <w:r>
        <w:rPr>
          <w:sz w:val="20"/>
          <w:szCs w:val="20"/>
          <w:color w:val="auto"/>
        </w:rPr>
        <w:tab/>
      </w:r>
      <w:r>
        <w:rPr>
          <w:rFonts w:ascii="Courier New" w:cs="Courier New" w:eastAsia="Courier New" w:hAnsi="Courier New"/>
          <w:sz w:val="16"/>
          <w:szCs w:val="16"/>
          <w:color w:val="auto"/>
        </w:rPr>
        <w:t>Termination of Agreement</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Indemnification of Underwriters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2020" w:hanging="1156"/>
        <w:spacing w:after="0"/>
        <w:tabs>
          <w:tab w:leader="none" w:pos="20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Company, Directors and Officers and Selling</w:t>
      </w:r>
    </w:p>
    <w:p>
      <w:pPr>
        <w:spacing w:after="0" w:line="5" w:lineRule="exact"/>
        <w:rPr>
          <w:sz w:val="20"/>
          <w:szCs w:val="20"/>
          <w:color w:val="auto"/>
        </w:rPr>
      </w:pPr>
    </w:p>
    <w:p>
      <w:pPr>
        <w:jc w:val="right"/>
        <w:spacing w:after="0"/>
        <w:tabs>
          <w:tab w:leader="dot" w:pos="160" w:val="left"/>
        </w:tabs>
        <w:rPr>
          <w:sz w:val="20"/>
          <w:szCs w:val="20"/>
          <w:color w:val="auto"/>
        </w:rPr>
      </w:pPr>
      <w:r>
        <w:rPr>
          <w:rFonts w:ascii="Courier New" w:cs="Courier New" w:eastAsia="Courier New" w:hAnsi="Courier New"/>
          <w:sz w:val="16"/>
          <w:szCs w:val="16"/>
          <w:color w:val="auto"/>
        </w:rPr>
        <w:t>Shareholder</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Actions against Parties; Notification</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Settlement without Consent if Failure to Reimburse</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Other Agreements with Respect to Indemnification</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Contribution</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6"/>
          <w:szCs w:val="16"/>
          <w:color w:val="auto"/>
        </w:rPr>
        <w:t>Representations, Warranties and Agreements to Survive Delivery</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Termination of Agreement</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Termination; General</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ind w:left="860"/>
        <w:spacing w:after="0"/>
        <w:tabs>
          <w:tab w:leader="none" w:pos="2000" w:val="left"/>
          <w:tab w:leader="dot" w:pos="104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Liabilities</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spacing w:after="0"/>
        <w:tabs>
          <w:tab w:leader="none" w:pos="1240" w:val="left"/>
          <w:tab w:leader="dot" w:pos="10440" w:val="left"/>
        </w:tabs>
        <w:rPr>
          <w:sz w:val="20"/>
          <w:szCs w:val="20"/>
          <w:color w:val="auto"/>
        </w:rPr>
      </w:pPr>
      <w:r>
        <w:rPr>
          <w:rFonts w:ascii="Courier New" w:cs="Courier New" w:eastAsia="Courier New" w:hAnsi="Courier New"/>
          <w:sz w:val="16"/>
          <w:szCs w:val="16"/>
          <w:color w:val="auto"/>
        </w:rPr>
        <w:t>SECTION 10.</w:t>
        <w:tab/>
        <w:t>Default by One or More of the Underwriters</w:t>
      </w:r>
      <w:r>
        <w:rPr>
          <w:sz w:val="20"/>
          <w:szCs w:val="20"/>
          <w:color w:val="auto"/>
        </w:rPr>
        <w:tab/>
      </w:r>
      <w:r>
        <w:rPr>
          <w:rFonts w:ascii="Courier New" w:cs="Courier New" w:eastAsia="Courier New" w:hAnsi="Courier New"/>
          <w:sz w:val="15"/>
          <w:szCs w:val="15"/>
          <w:color w:val="auto"/>
        </w:rPr>
        <w:t>27</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640"/>
          </w:cols>
          <w:pgMar w:left="1120" w:top="1440" w:right="139" w:bottom="1440" w:gutter="0" w:footer="0" w:header="0"/>
        </w:sectPr>
      </w:pPr>
    </w:p>
    <w:bookmarkStart w:id="44" w:name="page45"/>
    <w:bookmarkEnd w:id="44"/>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SECTION 11.</w:t>
            </w:r>
          </w:p>
        </w:tc>
        <w:tc>
          <w:tcPr>
            <w:tcW w:w="9300" w:type="dxa"/>
            <w:vAlign w:val="bottom"/>
          </w:tcPr>
          <w:p>
            <w:pPr>
              <w:ind w:left="100"/>
              <w:spacing w:after="0"/>
              <w:rPr>
                <w:sz w:val="20"/>
                <w:szCs w:val="20"/>
                <w:color w:val="auto"/>
              </w:rPr>
            </w:pPr>
            <w:r>
              <w:rPr>
                <w:rFonts w:ascii="Courier New" w:cs="Courier New" w:eastAsia="Courier New" w:hAnsi="Courier New"/>
                <w:sz w:val="16"/>
                <w:szCs w:val="16"/>
                <w:color w:val="auto"/>
              </w:rPr>
              <w:t>Notices........................................................................................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186"/>
        </w:trPr>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SECTION 12.</w:t>
            </w:r>
          </w:p>
        </w:tc>
        <w:tc>
          <w:tcPr>
            <w:tcW w:w="9300" w:type="dxa"/>
            <w:vAlign w:val="bottom"/>
          </w:tcPr>
          <w:p>
            <w:pPr>
              <w:ind w:left="100"/>
              <w:spacing w:after="0"/>
              <w:rPr>
                <w:sz w:val="20"/>
                <w:szCs w:val="20"/>
                <w:color w:val="auto"/>
              </w:rPr>
            </w:pPr>
            <w:r>
              <w:rPr>
                <w:rFonts w:ascii="Courier New" w:cs="Courier New" w:eastAsia="Courier New" w:hAnsi="Courier New"/>
                <w:sz w:val="16"/>
                <w:szCs w:val="16"/>
                <w:color w:val="auto"/>
              </w:rPr>
              <w:t>Parties........................................................................................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r>
        <w:trPr>
          <w:trHeight w:val="186"/>
        </w:trPr>
        <w:tc>
          <w:tcPr>
            <w:tcW w:w="72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w:t>
            </w:r>
          </w:p>
        </w:tc>
        <w:tc>
          <w:tcPr>
            <w:tcW w:w="9300" w:type="dxa"/>
            <w:vAlign w:val="bottom"/>
          </w:tcPr>
          <w:p>
            <w:pPr>
              <w:ind w:left="100"/>
              <w:spacing w:after="0"/>
              <w:rPr>
                <w:sz w:val="20"/>
                <w:szCs w:val="20"/>
                <w:color w:val="auto"/>
              </w:rPr>
            </w:pPr>
            <w:r>
              <w:rPr>
                <w:rFonts w:ascii="Courier New" w:cs="Courier New" w:eastAsia="Courier New" w:hAnsi="Courier New"/>
                <w:sz w:val="16"/>
                <w:szCs w:val="16"/>
                <w:color w:val="auto"/>
              </w:rPr>
              <w:t>GOVERNING LAW AND TIME.........................................................................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28</w:t>
            </w:r>
          </w:p>
        </w:tc>
      </w:tr>
      <w:tr>
        <w:trPr>
          <w:trHeight w:val="186"/>
        </w:trPr>
        <w:tc>
          <w:tcPr>
            <w:tcW w:w="72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w:t>
            </w:r>
          </w:p>
        </w:tc>
        <w:tc>
          <w:tcPr>
            <w:tcW w:w="9300" w:type="dxa"/>
            <w:vAlign w:val="bottom"/>
          </w:tcPr>
          <w:p>
            <w:pPr>
              <w:ind w:left="100"/>
              <w:spacing w:after="0"/>
              <w:rPr>
                <w:sz w:val="20"/>
                <w:szCs w:val="20"/>
                <w:color w:val="auto"/>
              </w:rPr>
            </w:pPr>
            <w:r>
              <w:rPr>
                <w:rFonts w:ascii="Courier New" w:cs="Courier New" w:eastAsia="Courier New" w:hAnsi="Courier New"/>
                <w:sz w:val="16"/>
                <w:szCs w:val="16"/>
                <w:color w:val="auto"/>
              </w:rPr>
              <w:t>Effect of Headings.............................................................................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28</w:t>
            </w:r>
          </w:p>
        </w:tc>
      </w:tr>
    </w:tbl>
    <w:p>
      <w:pPr>
        <w:spacing w:after="0" w:line="377"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640"/>
          </w:cols>
          <w:pgMar w:left="1120" w:top="1440" w:right="1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3"/>
        </w:trPr>
        <w:tc>
          <w:tcPr>
            <w:tcW w:w="1740" w:type="dxa"/>
            <w:vAlign w:val="bottom"/>
          </w:tcPr>
          <w:p>
            <w:pPr>
              <w:spacing w:after="0"/>
              <w:rPr>
                <w:sz w:val="20"/>
                <w:szCs w:val="20"/>
                <w:color w:val="auto"/>
              </w:rPr>
            </w:pPr>
            <w:r>
              <w:rPr>
                <w:rFonts w:ascii="Courier New" w:cs="Courier New" w:eastAsia="Courier New" w:hAnsi="Courier New"/>
                <w:sz w:val="16"/>
                <w:szCs w:val="16"/>
                <w:color w:val="auto"/>
              </w:rPr>
              <w:t>SCHEDULES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559"/>
        </w:trPr>
        <w:tc>
          <w:tcPr>
            <w:tcW w:w="1740" w:type="dxa"/>
            <w:vAlign w:val="bottom"/>
          </w:tcPr>
          <w:p>
            <w:pPr>
              <w:ind w:left="880"/>
              <w:spacing w:after="0"/>
              <w:rPr>
                <w:sz w:val="20"/>
                <w:szCs w:val="20"/>
                <w:color w:val="auto"/>
              </w:rPr>
            </w:pPr>
            <w:r>
              <w:rPr>
                <w:rFonts w:ascii="Courier New" w:cs="Courier New" w:eastAsia="Courier New" w:hAnsi="Courier New"/>
                <w:sz w:val="16"/>
                <w:szCs w:val="16"/>
                <w:color w:val="auto"/>
              </w:rPr>
              <w:t>Schedule</w:t>
            </w:r>
          </w:p>
        </w:tc>
        <w:tc>
          <w:tcPr>
            <w:tcW w:w="12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A - List of</w:t>
            </w:r>
          </w:p>
        </w:tc>
        <w:tc>
          <w:tcPr>
            <w:tcW w:w="7500" w:type="dxa"/>
            <w:vAlign w:val="bottom"/>
          </w:tcPr>
          <w:p>
            <w:pPr>
              <w:ind w:left="40"/>
              <w:spacing w:after="0"/>
              <w:rPr>
                <w:sz w:val="20"/>
                <w:szCs w:val="20"/>
                <w:color w:val="auto"/>
              </w:rPr>
            </w:pPr>
            <w:r>
              <w:rPr>
                <w:rFonts w:ascii="Courier New" w:cs="Courier New" w:eastAsia="Courier New" w:hAnsi="Courier New"/>
                <w:sz w:val="16"/>
                <w:szCs w:val="16"/>
                <w:color w:val="auto"/>
              </w:rPr>
              <w:t>Underwriters.............................................................</w:t>
            </w:r>
          </w:p>
        </w:tc>
        <w:tc>
          <w:tcPr>
            <w:tcW w:w="1060" w:type="dxa"/>
            <w:vAlign w:val="bottom"/>
            <w:gridSpan w:val="2"/>
          </w:tcPr>
          <w:p>
            <w:pPr>
              <w:ind w:left="400"/>
              <w:spacing w:after="0"/>
              <w:rPr>
                <w:sz w:val="20"/>
                <w:szCs w:val="20"/>
                <w:color w:val="auto"/>
              </w:rPr>
            </w:pPr>
            <w:r>
              <w:rPr>
                <w:rFonts w:ascii="Courier New" w:cs="Courier New" w:eastAsia="Courier New" w:hAnsi="Courier New"/>
                <w:sz w:val="16"/>
                <w:szCs w:val="16"/>
                <w:color w:val="auto"/>
                <w:w w:val="95"/>
              </w:rPr>
              <w:t>Sch A-1</w:t>
            </w:r>
          </w:p>
        </w:tc>
      </w:tr>
      <w:tr>
        <w:trPr>
          <w:trHeight w:val="186"/>
        </w:trPr>
        <w:tc>
          <w:tcPr>
            <w:tcW w:w="1740" w:type="dxa"/>
            <w:vAlign w:val="bottom"/>
          </w:tcPr>
          <w:p>
            <w:pPr>
              <w:ind w:left="880"/>
              <w:spacing w:after="0"/>
              <w:rPr>
                <w:sz w:val="20"/>
                <w:szCs w:val="20"/>
                <w:color w:val="auto"/>
              </w:rPr>
            </w:pPr>
            <w:r>
              <w:rPr>
                <w:rFonts w:ascii="Courier New" w:cs="Courier New" w:eastAsia="Courier New" w:hAnsi="Courier New"/>
                <w:sz w:val="16"/>
                <w:szCs w:val="16"/>
                <w:color w:val="auto"/>
              </w:rPr>
              <w:t>Schedule</w:t>
            </w:r>
          </w:p>
        </w:tc>
        <w:tc>
          <w:tcPr>
            <w:tcW w:w="9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B - List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7500" w:type="dxa"/>
            <w:vAlign w:val="bottom"/>
          </w:tcPr>
          <w:p>
            <w:pPr>
              <w:ind w:left="40"/>
              <w:spacing w:after="0"/>
              <w:rPr>
                <w:sz w:val="20"/>
                <w:szCs w:val="20"/>
                <w:color w:val="auto"/>
              </w:rPr>
            </w:pPr>
            <w:r>
              <w:rPr>
                <w:rFonts w:ascii="Courier New" w:cs="Courier New" w:eastAsia="Courier New" w:hAnsi="Courier New"/>
                <w:sz w:val="16"/>
                <w:szCs w:val="16"/>
                <w:color w:val="auto"/>
              </w:rPr>
              <w:t>Sellers..................................................................</w:t>
            </w:r>
          </w:p>
        </w:tc>
        <w:tc>
          <w:tcPr>
            <w:tcW w:w="1060" w:type="dxa"/>
            <w:vAlign w:val="bottom"/>
            <w:gridSpan w:val="2"/>
          </w:tcPr>
          <w:p>
            <w:pPr>
              <w:ind w:left="400"/>
              <w:spacing w:after="0"/>
              <w:rPr>
                <w:sz w:val="20"/>
                <w:szCs w:val="20"/>
                <w:color w:val="auto"/>
              </w:rPr>
            </w:pPr>
            <w:r>
              <w:rPr>
                <w:rFonts w:ascii="Courier New" w:cs="Courier New" w:eastAsia="Courier New" w:hAnsi="Courier New"/>
                <w:sz w:val="16"/>
                <w:szCs w:val="16"/>
                <w:color w:val="auto"/>
                <w:w w:val="95"/>
              </w:rPr>
              <w:t>Sch B-1</w:t>
            </w:r>
          </w:p>
        </w:tc>
      </w:tr>
      <w:tr>
        <w:trPr>
          <w:trHeight w:val="186"/>
        </w:trPr>
        <w:tc>
          <w:tcPr>
            <w:tcW w:w="1740" w:type="dxa"/>
            <w:vAlign w:val="bottom"/>
          </w:tcPr>
          <w:p>
            <w:pPr>
              <w:ind w:left="880"/>
              <w:spacing w:after="0"/>
              <w:rPr>
                <w:sz w:val="20"/>
                <w:szCs w:val="20"/>
                <w:color w:val="auto"/>
              </w:rPr>
            </w:pPr>
            <w:r>
              <w:rPr>
                <w:rFonts w:ascii="Courier New" w:cs="Courier New" w:eastAsia="Courier New" w:hAnsi="Courier New"/>
                <w:sz w:val="16"/>
                <w:szCs w:val="16"/>
                <w:color w:val="auto"/>
              </w:rPr>
              <w:t>Schedule</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C</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Pricing</w:t>
            </w:r>
          </w:p>
        </w:tc>
        <w:tc>
          <w:tcPr>
            <w:tcW w:w="7500" w:type="dxa"/>
            <w:vAlign w:val="bottom"/>
          </w:tcPr>
          <w:p>
            <w:pPr>
              <w:ind w:left="40"/>
              <w:spacing w:after="0"/>
              <w:rPr>
                <w:sz w:val="20"/>
                <w:szCs w:val="20"/>
                <w:color w:val="auto"/>
              </w:rPr>
            </w:pPr>
            <w:r>
              <w:rPr>
                <w:rFonts w:ascii="Courier New" w:cs="Courier New" w:eastAsia="Courier New" w:hAnsi="Courier New"/>
                <w:sz w:val="16"/>
                <w:szCs w:val="16"/>
                <w:color w:val="auto"/>
              </w:rPr>
              <w:t>Information..............................................................</w:t>
            </w:r>
          </w:p>
        </w:tc>
        <w:tc>
          <w:tcPr>
            <w:tcW w:w="740" w:type="dxa"/>
            <w:vAlign w:val="bottom"/>
          </w:tcPr>
          <w:p>
            <w:pPr>
              <w:ind w:left="400"/>
              <w:spacing w:after="0"/>
              <w:rPr>
                <w:sz w:val="20"/>
                <w:szCs w:val="20"/>
                <w:color w:val="auto"/>
              </w:rPr>
            </w:pPr>
            <w:r>
              <w:rPr>
                <w:rFonts w:ascii="Courier New" w:cs="Courier New" w:eastAsia="Courier New" w:hAnsi="Courier New"/>
                <w:sz w:val="16"/>
                <w:szCs w:val="16"/>
                <w:color w:val="auto"/>
              </w:rPr>
              <w:t>Sch</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C-1</w:t>
            </w:r>
          </w:p>
        </w:tc>
      </w:tr>
      <w:tr>
        <w:trPr>
          <w:trHeight w:val="186"/>
        </w:trPr>
        <w:tc>
          <w:tcPr>
            <w:tcW w:w="1740" w:type="dxa"/>
            <w:vAlign w:val="bottom"/>
          </w:tcPr>
          <w:p>
            <w:pPr>
              <w:ind w:left="880"/>
              <w:spacing w:after="0"/>
              <w:rPr>
                <w:sz w:val="20"/>
                <w:szCs w:val="20"/>
                <w:color w:val="auto"/>
              </w:rPr>
            </w:pPr>
            <w:r>
              <w:rPr>
                <w:rFonts w:ascii="Courier New" w:cs="Courier New" w:eastAsia="Courier New" w:hAnsi="Courier New"/>
                <w:sz w:val="16"/>
                <w:szCs w:val="16"/>
                <w:color w:val="auto"/>
              </w:rPr>
              <w:t>Schedule</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List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7500" w:type="dxa"/>
            <w:vAlign w:val="bottom"/>
          </w:tcPr>
          <w:p>
            <w:pPr>
              <w:ind w:left="40"/>
              <w:spacing w:after="0"/>
              <w:rPr>
                <w:sz w:val="20"/>
                <w:szCs w:val="20"/>
                <w:color w:val="auto"/>
              </w:rPr>
            </w:pPr>
            <w:r>
              <w:rPr>
                <w:rFonts w:ascii="Courier New" w:cs="Courier New" w:eastAsia="Courier New" w:hAnsi="Courier New"/>
                <w:sz w:val="16"/>
                <w:szCs w:val="16"/>
                <w:color w:val="auto"/>
              </w:rPr>
              <w:t>Persons and Entities Subject to Lock-up..................................</w:t>
            </w:r>
          </w:p>
        </w:tc>
        <w:tc>
          <w:tcPr>
            <w:tcW w:w="740" w:type="dxa"/>
            <w:vAlign w:val="bottom"/>
          </w:tcPr>
          <w:p>
            <w:pPr>
              <w:ind w:left="400"/>
              <w:spacing w:after="0"/>
              <w:rPr>
                <w:sz w:val="20"/>
                <w:szCs w:val="20"/>
                <w:color w:val="auto"/>
              </w:rPr>
            </w:pPr>
            <w:r>
              <w:rPr>
                <w:rFonts w:ascii="Courier New" w:cs="Courier New" w:eastAsia="Courier New" w:hAnsi="Courier New"/>
                <w:sz w:val="16"/>
                <w:szCs w:val="16"/>
                <w:color w:val="auto"/>
              </w:rPr>
              <w:t>Sch</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w w:val="90"/>
              </w:rPr>
              <w:t>D-1</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9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73"/>
        </w:trPr>
        <w:tc>
          <w:tcPr>
            <w:tcW w:w="1640" w:type="dxa"/>
            <w:vAlign w:val="bottom"/>
          </w:tcPr>
          <w:p>
            <w:pPr>
              <w:ind w:left="880"/>
              <w:spacing w:after="0"/>
              <w:rPr>
                <w:sz w:val="20"/>
                <w:szCs w:val="20"/>
                <w:color w:val="auto"/>
              </w:rPr>
            </w:pPr>
            <w:r>
              <w:rPr>
                <w:rFonts w:ascii="Courier New" w:cs="Courier New" w:eastAsia="Courier New" w:hAnsi="Courier New"/>
                <w:sz w:val="16"/>
                <w:szCs w:val="16"/>
                <w:color w:val="auto"/>
              </w:rPr>
              <w:t>Exhibit</w:t>
            </w:r>
          </w:p>
        </w:tc>
        <w:tc>
          <w:tcPr>
            <w:tcW w:w="9020" w:type="dxa"/>
            <w:vAlign w:val="bottom"/>
          </w:tcPr>
          <w:p>
            <w:pPr>
              <w:ind w:left="100"/>
              <w:spacing w:after="0"/>
              <w:rPr>
                <w:sz w:val="20"/>
                <w:szCs w:val="20"/>
                <w:color w:val="auto"/>
              </w:rPr>
            </w:pPr>
            <w:r>
              <w:rPr>
                <w:rFonts w:ascii="Courier New" w:cs="Courier New" w:eastAsia="Courier New" w:hAnsi="Courier New"/>
                <w:sz w:val="16"/>
                <w:szCs w:val="16"/>
                <w:color w:val="auto"/>
              </w:rPr>
              <w:t>A - Form of Opinion of Company's Counsel..............................................</w:t>
            </w:r>
          </w:p>
        </w:tc>
        <w:tc>
          <w:tcPr>
            <w:tcW w:w="860" w:type="dxa"/>
            <w:vAlign w:val="bottom"/>
          </w:tcPr>
          <w:p>
            <w:pPr>
              <w:ind w:left="580"/>
              <w:spacing w:after="0"/>
              <w:rPr>
                <w:sz w:val="20"/>
                <w:szCs w:val="20"/>
                <w:color w:val="auto"/>
              </w:rPr>
            </w:pPr>
            <w:r>
              <w:rPr>
                <w:rFonts w:ascii="Courier New" w:cs="Courier New" w:eastAsia="Courier New" w:hAnsi="Courier New"/>
                <w:sz w:val="16"/>
                <w:szCs w:val="16"/>
                <w:color w:val="auto"/>
                <w:w w:val="90"/>
              </w:rPr>
              <w:t>A-1</w:t>
            </w:r>
          </w:p>
        </w:tc>
      </w:tr>
      <w:tr>
        <w:trPr>
          <w:trHeight w:val="186"/>
        </w:trPr>
        <w:tc>
          <w:tcPr>
            <w:tcW w:w="1640" w:type="dxa"/>
            <w:vAlign w:val="bottom"/>
          </w:tcPr>
          <w:p>
            <w:pPr>
              <w:ind w:left="880"/>
              <w:spacing w:after="0"/>
              <w:rPr>
                <w:sz w:val="20"/>
                <w:szCs w:val="20"/>
                <w:color w:val="auto"/>
              </w:rPr>
            </w:pPr>
            <w:r>
              <w:rPr>
                <w:rFonts w:ascii="Courier New" w:cs="Courier New" w:eastAsia="Courier New" w:hAnsi="Courier New"/>
                <w:sz w:val="16"/>
                <w:szCs w:val="16"/>
                <w:color w:val="auto"/>
              </w:rPr>
              <w:t>Exhibit</w:t>
            </w:r>
          </w:p>
        </w:tc>
        <w:tc>
          <w:tcPr>
            <w:tcW w:w="9020" w:type="dxa"/>
            <w:vAlign w:val="bottom"/>
          </w:tcPr>
          <w:p>
            <w:pPr>
              <w:ind w:left="100"/>
              <w:spacing w:after="0"/>
              <w:rPr>
                <w:sz w:val="20"/>
                <w:szCs w:val="20"/>
                <w:color w:val="auto"/>
              </w:rPr>
            </w:pPr>
            <w:r>
              <w:rPr>
                <w:rFonts w:ascii="Courier New" w:cs="Courier New" w:eastAsia="Courier New" w:hAnsi="Courier New"/>
                <w:sz w:val="16"/>
                <w:szCs w:val="16"/>
                <w:color w:val="auto"/>
              </w:rPr>
              <w:t>B - Form of Opinion for Special Intellectual Property Counsel.........................</w:t>
            </w:r>
          </w:p>
        </w:tc>
        <w:tc>
          <w:tcPr>
            <w:tcW w:w="860" w:type="dxa"/>
            <w:vAlign w:val="bottom"/>
          </w:tcPr>
          <w:p>
            <w:pPr>
              <w:ind w:left="580"/>
              <w:spacing w:after="0"/>
              <w:rPr>
                <w:sz w:val="20"/>
                <w:szCs w:val="20"/>
                <w:color w:val="auto"/>
              </w:rPr>
            </w:pPr>
            <w:r>
              <w:rPr>
                <w:rFonts w:ascii="Courier New" w:cs="Courier New" w:eastAsia="Courier New" w:hAnsi="Courier New"/>
                <w:sz w:val="16"/>
                <w:szCs w:val="16"/>
                <w:color w:val="auto"/>
                <w:w w:val="90"/>
              </w:rPr>
              <w:t>B-1</w:t>
            </w:r>
          </w:p>
        </w:tc>
      </w:tr>
      <w:tr>
        <w:trPr>
          <w:trHeight w:val="186"/>
        </w:trPr>
        <w:tc>
          <w:tcPr>
            <w:tcW w:w="1640" w:type="dxa"/>
            <w:vAlign w:val="bottom"/>
          </w:tcPr>
          <w:p>
            <w:pPr>
              <w:ind w:left="880"/>
              <w:spacing w:after="0"/>
              <w:rPr>
                <w:sz w:val="20"/>
                <w:szCs w:val="20"/>
                <w:color w:val="auto"/>
              </w:rPr>
            </w:pPr>
            <w:r>
              <w:rPr>
                <w:rFonts w:ascii="Courier New" w:cs="Courier New" w:eastAsia="Courier New" w:hAnsi="Courier New"/>
                <w:sz w:val="16"/>
                <w:szCs w:val="16"/>
                <w:color w:val="auto"/>
              </w:rPr>
              <w:t>Exhibit</w:t>
            </w:r>
          </w:p>
        </w:tc>
        <w:tc>
          <w:tcPr>
            <w:tcW w:w="9020" w:type="dxa"/>
            <w:vAlign w:val="bottom"/>
          </w:tcPr>
          <w:p>
            <w:pPr>
              <w:ind w:left="100"/>
              <w:spacing w:after="0"/>
              <w:rPr>
                <w:sz w:val="20"/>
                <w:szCs w:val="20"/>
                <w:color w:val="auto"/>
              </w:rPr>
            </w:pPr>
            <w:r>
              <w:rPr>
                <w:rFonts w:ascii="Courier New" w:cs="Courier New" w:eastAsia="Courier New" w:hAnsi="Courier New"/>
                <w:sz w:val="16"/>
                <w:szCs w:val="16"/>
                <w:color w:val="auto"/>
              </w:rPr>
              <w:t>C - Form of Opinion of Counsel for the Selling Stockholder............................</w:t>
            </w:r>
          </w:p>
        </w:tc>
        <w:tc>
          <w:tcPr>
            <w:tcW w:w="860" w:type="dxa"/>
            <w:vAlign w:val="bottom"/>
          </w:tcPr>
          <w:p>
            <w:pPr>
              <w:ind w:left="580"/>
              <w:spacing w:after="0"/>
              <w:rPr>
                <w:sz w:val="20"/>
                <w:szCs w:val="20"/>
                <w:color w:val="auto"/>
              </w:rPr>
            </w:pPr>
            <w:r>
              <w:rPr>
                <w:rFonts w:ascii="Courier New" w:cs="Courier New" w:eastAsia="Courier New" w:hAnsi="Courier New"/>
                <w:sz w:val="16"/>
                <w:szCs w:val="16"/>
                <w:color w:val="auto"/>
                <w:w w:val="90"/>
              </w:rPr>
              <w:t>C-1</w:t>
            </w:r>
          </w:p>
        </w:tc>
      </w:tr>
      <w:tr>
        <w:trPr>
          <w:trHeight w:val="186"/>
        </w:trPr>
        <w:tc>
          <w:tcPr>
            <w:tcW w:w="1640" w:type="dxa"/>
            <w:vAlign w:val="bottom"/>
          </w:tcPr>
          <w:p>
            <w:pPr>
              <w:ind w:left="880"/>
              <w:spacing w:after="0"/>
              <w:rPr>
                <w:sz w:val="20"/>
                <w:szCs w:val="20"/>
                <w:color w:val="auto"/>
              </w:rPr>
            </w:pPr>
            <w:r>
              <w:rPr>
                <w:rFonts w:ascii="Courier New" w:cs="Courier New" w:eastAsia="Courier New" w:hAnsi="Courier New"/>
                <w:sz w:val="16"/>
                <w:szCs w:val="16"/>
                <w:color w:val="auto"/>
              </w:rPr>
              <w:t>Exhibit</w:t>
            </w:r>
          </w:p>
        </w:tc>
        <w:tc>
          <w:tcPr>
            <w:tcW w:w="9020" w:type="dxa"/>
            <w:vAlign w:val="bottom"/>
          </w:tcPr>
          <w:p>
            <w:pPr>
              <w:ind w:left="100"/>
              <w:spacing w:after="0"/>
              <w:rPr>
                <w:sz w:val="20"/>
                <w:szCs w:val="20"/>
                <w:color w:val="auto"/>
              </w:rPr>
            </w:pPr>
            <w:r>
              <w:rPr>
                <w:rFonts w:ascii="Courier New" w:cs="Courier New" w:eastAsia="Courier New" w:hAnsi="Courier New"/>
                <w:sz w:val="16"/>
                <w:szCs w:val="16"/>
                <w:color w:val="auto"/>
              </w:rPr>
              <w:t>D - Form of Lock-up Letter............................................................</w:t>
            </w:r>
          </w:p>
        </w:tc>
        <w:tc>
          <w:tcPr>
            <w:tcW w:w="860" w:type="dxa"/>
            <w:vAlign w:val="bottom"/>
          </w:tcPr>
          <w:p>
            <w:pPr>
              <w:ind w:left="580"/>
              <w:spacing w:after="0"/>
              <w:rPr>
                <w:sz w:val="20"/>
                <w:szCs w:val="20"/>
                <w:color w:val="auto"/>
              </w:rPr>
            </w:pPr>
            <w:r>
              <w:rPr>
                <w:rFonts w:ascii="Courier New" w:cs="Courier New" w:eastAsia="Courier New" w:hAnsi="Courier New"/>
                <w:sz w:val="16"/>
                <w:szCs w:val="16"/>
                <w:color w:val="auto"/>
                <w:w w:val="90"/>
              </w:rPr>
              <w:t>D-1</w:t>
            </w:r>
          </w:p>
        </w:tc>
      </w:tr>
      <w:tr>
        <w:trPr>
          <w:trHeight w:val="186"/>
        </w:trPr>
        <w:tc>
          <w:tcPr>
            <w:tcW w:w="1640" w:type="dxa"/>
            <w:vAlign w:val="bottom"/>
          </w:tcPr>
          <w:p>
            <w:pPr>
              <w:ind w:left="880"/>
              <w:spacing w:after="0"/>
              <w:rPr>
                <w:sz w:val="20"/>
                <w:szCs w:val="20"/>
                <w:color w:val="auto"/>
              </w:rPr>
            </w:pPr>
            <w:r>
              <w:rPr>
                <w:rFonts w:ascii="Courier New" w:cs="Courier New" w:eastAsia="Courier New" w:hAnsi="Courier New"/>
                <w:sz w:val="16"/>
                <w:szCs w:val="16"/>
                <w:color w:val="auto"/>
              </w:rPr>
              <w:t>Exhibit</w:t>
            </w:r>
          </w:p>
        </w:tc>
        <w:tc>
          <w:tcPr>
            <w:tcW w:w="9020" w:type="dxa"/>
            <w:vAlign w:val="bottom"/>
          </w:tcPr>
          <w:p>
            <w:pPr>
              <w:ind w:left="100"/>
              <w:spacing w:after="0"/>
              <w:rPr>
                <w:sz w:val="20"/>
                <w:szCs w:val="20"/>
                <w:color w:val="auto"/>
              </w:rPr>
            </w:pPr>
            <w:r>
              <w:rPr>
                <w:rFonts w:ascii="Courier New" w:cs="Courier New" w:eastAsia="Courier New" w:hAnsi="Courier New"/>
                <w:sz w:val="16"/>
                <w:szCs w:val="16"/>
                <w:color w:val="auto"/>
              </w:rPr>
              <w:t>E - Information Provided by Selling Shareholder.......................................</w:t>
            </w:r>
          </w:p>
        </w:tc>
        <w:tc>
          <w:tcPr>
            <w:tcW w:w="860" w:type="dxa"/>
            <w:vAlign w:val="bottom"/>
          </w:tcPr>
          <w:p>
            <w:pPr>
              <w:ind w:left="580"/>
              <w:spacing w:after="0"/>
              <w:rPr>
                <w:sz w:val="20"/>
                <w:szCs w:val="20"/>
                <w:color w:val="auto"/>
              </w:rPr>
            </w:pPr>
            <w:r>
              <w:rPr>
                <w:rFonts w:ascii="Courier New" w:cs="Courier New" w:eastAsia="Courier New" w:hAnsi="Courier New"/>
                <w:sz w:val="16"/>
                <w:szCs w:val="16"/>
                <w:color w:val="auto"/>
                <w:w w:val="90"/>
              </w:rPr>
              <w:t>E-1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v</w:t>
      </w:r>
    </w:p>
    <w:sectPr>
      <w:pgSz w:w="11900" w:h="16838" w:orient="portrait"/>
      <w:cols w:equalWidth="0" w:num="1">
        <w:col w:w="11520"/>
      </w:cols>
      <w:pgMar w:left="240" w:top="123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lowerLetter"/>
      <w:start w:val="1"/>
    </w:lvl>
    <w:lvl w:ilvl="1">
      <w:lvlJc w:val="left"/>
      <w:lvlText w:val="(%2)"/>
      <w:numFmt w:val="lowerLetter"/>
      <w:start w:val="9"/>
    </w:lvl>
  </w:abstractNum>
  <w:abstractNum w:abstractNumId="1">
    <w:nsid w:val="257130A3"/>
    <w:multiLevelType w:val="hybridMultilevel"/>
    <w:lvl w:ilvl="0">
      <w:lvlJc w:val="left"/>
      <w:lvlText w:val="(%1)"/>
      <w:numFmt w:val="lowerRoman"/>
      <w:start w:val="2"/>
    </w:lvl>
  </w:abstractNum>
  <w:abstractNum w:abstractNumId="2">
    <w:nsid w:val="62BBD95A"/>
    <w:multiLevelType w:val="hybridMultilevel"/>
    <w:lvl w:ilvl="0">
      <w:lvlJc w:val="left"/>
      <w:lvlText w:val="(%1)"/>
      <w:numFmt w:val="lowerRoman"/>
      <w:start w:val="6"/>
    </w:lvl>
  </w:abstractNum>
  <w:abstractNum w:abstractNumId="3">
    <w:nsid w:val="436C6125"/>
    <w:multiLevelType w:val="hybridMultilevel"/>
    <w:lvl w:ilvl="0">
      <w:lvlJc w:val="left"/>
      <w:lvlText w:val="(%1)"/>
      <w:numFmt w:val="lowerRoman"/>
      <w:start w:val="11"/>
    </w:lvl>
    <w:lvl w:ilvl="1">
      <w:lvlJc w:val="left"/>
      <w:lvlText w:val="(%2)"/>
      <w:numFmt w:val="lowerRoman"/>
      <w:start w:val="12"/>
    </w:lvl>
  </w:abstractNum>
  <w:abstractNum w:abstractNumId="4">
    <w:nsid w:val="628C895D"/>
    <w:multiLevelType w:val="hybridMultilevel"/>
    <w:lvl w:ilvl="0">
      <w:lvlJc w:val="left"/>
      <w:lvlText w:val="(%1)"/>
      <w:numFmt w:val="lowerRoman"/>
      <w:start w:val="14"/>
    </w:lvl>
  </w:abstractNum>
  <w:abstractNum w:abstractNumId="5">
    <w:nsid w:val="333AB105"/>
    <w:multiLevelType w:val="hybridMultilevel"/>
    <w:lvl w:ilvl="0">
      <w:lvlJc w:val="left"/>
      <w:lvlText w:val="(%1)"/>
      <w:numFmt w:val="lowerRoman"/>
      <w:start w:val="18"/>
    </w:lvl>
  </w:abstractNum>
  <w:abstractNum w:abstractNumId="6">
    <w:nsid w:val="721DA317"/>
    <w:multiLevelType w:val="hybridMultilevel"/>
    <w:lvl w:ilvl="0">
      <w:lvlJc w:val="left"/>
      <w:lvlText w:val="%1"/>
      <w:numFmt w:val="lowerLetter"/>
      <w:start w:val="1"/>
    </w:lvl>
    <w:lvl w:ilvl="1">
      <w:lvlJc w:val="left"/>
      <w:lvlText w:val="(%2)"/>
      <w:numFmt w:val="lowerRoman"/>
      <w:start w:val="20"/>
    </w:lvl>
  </w:abstractNum>
  <w:abstractNum w:abstractNumId="7">
    <w:nsid w:val="2443A858"/>
    <w:multiLevelType w:val="hybridMultilevel"/>
    <w:lvl w:ilvl="0">
      <w:lvlJc w:val="left"/>
      <w:lvlText w:val="(%1)"/>
      <w:numFmt w:val="lowerLetter"/>
      <w:start w:val="2"/>
    </w:lvl>
    <w:lvl w:ilvl="1">
      <w:lvlJc w:val="left"/>
      <w:lvlText w:val="(%2)"/>
      <w:numFmt w:val="lowerRoman"/>
      <w:start w:val="1"/>
    </w:lvl>
  </w:abstractNum>
  <w:abstractNum w:abstractNumId="8">
    <w:nsid w:val="2D1D5AE9"/>
    <w:multiLevelType w:val="hybridMultilevel"/>
    <w:lvl w:ilvl="0">
      <w:lvlJc w:val="left"/>
      <w:lvlText w:val="(%1)"/>
      <w:numFmt w:val="lowerRoman"/>
      <w:start w:val="3"/>
    </w:lvl>
  </w:abstractNum>
  <w:abstractNum w:abstractNumId="9">
    <w:nsid w:val="6763845E"/>
    <w:multiLevelType w:val="hybridMultilevel"/>
    <w:lvl w:ilvl="0">
      <w:lvlJc w:val="left"/>
      <w:lvlText w:val="(%1)"/>
      <w:numFmt w:val="lowerRoman"/>
      <w:start w:val="6"/>
    </w:lvl>
  </w:abstractNum>
  <w:abstractNum w:abstractNumId="10">
    <w:nsid w:val="75A2A8D4"/>
    <w:multiLevelType w:val="hybridMultilevel"/>
    <w:lvl w:ilvl="0">
      <w:lvlJc w:val="left"/>
      <w:lvlText w:val="(%1)"/>
      <w:numFmt w:val="lowerRoman"/>
      <w:start w:val="7"/>
    </w:lvl>
  </w:abstractNum>
  <w:abstractNum w:abstractNumId="11">
    <w:nsid w:val="8EDBDAB"/>
    <w:multiLevelType w:val="hybridMultilevel"/>
    <w:lvl w:ilvl="0">
      <w:lvlJc w:val="left"/>
      <w:lvlText w:val="(%1)"/>
      <w:numFmt w:val="lowerLetter"/>
      <w:start w:val="3"/>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3"/>
    </w:lvl>
  </w:abstractNum>
  <w:abstractNum w:abstractNumId="14">
    <w:nsid w:val="B03E0C6"/>
    <w:multiLevelType w:val="hybridMultilevel"/>
    <w:lvl w:ilvl="0">
      <w:lvlJc w:val="left"/>
      <w:lvlText w:val="(%1)"/>
      <w:numFmt w:val="lowerLetter"/>
      <w:start w:val="4"/>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3"/>
    </w:lvl>
  </w:abstractNum>
  <w:abstractNum w:abstractNumId="17">
    <w:nsid w:val="71F32454"/>
    <w:multiLevelType w:val="hybridMultilevel"/>
    <w:lvl w:ilvl="0">
      <w:lvlJc w:val="left"/>
      <w:lvlText w:val="(%1)"/>
      <w:numFmt w:val="lowerLetter"/>
      <w:start w:val="6"/>
    </w:lvl>
    <w:lvl w:ilvl="1">
      <w:lvlJc w:val="left"/>
      <w:lvlText w:val="(%2)"/>
      <w:numFmt w:val="lowerLetter"/>
      <w:start w:val="7"/>
    </w:lvl>
  </w:abstractNum>
  <w:abstractNum w:abstractNumId="18">
    <w:nsid w:val="2CA88611"/>
    <w:multiLevelType w:val="hybridMultilevel"/>
    <w:lvl w:ilvl="0">
      <w:lvlJc w:val="left"/>
      <w:lvlText w:val="(%1)"/>
      <w:numFmt w:val="lowerLetter"/>
      <w:start w:val="9"/>
    </w:lvl>
  </w:abstractNum>
  <w:abstractNum w:abstractNumId="19">
    <w:nsid w:val="836C40E"/>
    <w:multiLevelType w:val="hybridMultilevel"/>
    <w:lvl w:ilvl="0">
      <w:lvlJc w:val="left"/>
      <w:lvlText w:val="(%1)"/>
      <w:numFmt w:val="lowerLetter"/>
      <w:start w:val="11"/>
    </w:lvl>
  </w:abstractNum>
  <w:abstractNum w:abstractNumId="20">
    <w:nsid w:val="2901D82"/>
    <w:multiLevelType w:val="hybridMultilevel"/>
    <w:lvl w:ilvl="0">
      <w:lvlJc w:val="left"/>
      <w:lvlText w:val="(%1)"/>
      <w:numFmt w:val="lowerLetter"/>
      <w:start w:val="2"/>
    </w:lvl>
  </w:abstractNum>
  <w:abstractNum w:abstractNumId="21">
    <w:nsid w:val="3A95F874"/>
    <w:multiLevelType w:val="hybridMultilevel"/>
    <w:lvl w:ilvl="0">
      <w:lvlJc w:val="left"/>
      <w:lvlText w:val="%1"/>
      <w:numFmt w:val="lowerLetter"/>
      <w:start w:val="1"/>
    </w:lvl>
    <w:lvl w:ilvl="1">
      <w:lvlJc w:val="left"/>
      <w:lvlText w:val="(%2)"/>
      <w:numFmt w:val="lowerLetter"/>
      <w:start w:val="1"/>
    </w:lvl>
  </w:abstractNum>
  <w:abstractNum w:abstractNumId="22">
    <w:nsid w:val="8138641"/>
    <w:multiLevelType w:val="hybridMultilevel"/>
    <w:lvl w:ilvl="0">
      <w:lvlJc w:val="left"/>
      <w:lvlText w:val="(%1)"/>
      <w:numFmt w:val="lowerLetter"/>
      <w:start w:val="61"/>
    </w:lvl>
    <w:lvl w:ilvl="1">
      <w:lvlJc w:val="left"/>
      <w:lvlText w:val="%2"/>
      <w:numFmt w:val="lowerLetter"/>
      <w:start w:val="1"/>
    </w:lvl>
  </w:abstractNum>
  <w:abstractNum w:abstractNumId="23">
    <w:nsid w:val="1E7FF521"/>
    <w:multiLevelType w:val="hybridMultilevel"/>
    <w:lvl w:ilvl="0">
      <w:lvlJc w:val="left"/>
      <w:lvlText w:val="(%1)"/>
      <w:numFmt w:val="lowerLetter"/>
      <w:start w:val="5"/>
    </w:lvl>
    <w:lvl w:ilvl="1">
      <w:lvlJc w:val="left"/>
      <w:lvlText w:val="(%2)"/>
      <w:numFmt w:val="lowerRoman"/>
      <w:start w:val="1"/>
    </w:lvl>
  </w:abstractNum>
  <w:abstractNum w:abstractNumId="24">
    <w:nsid w:val="7C3DBD3D"/>
    <w:multiLevelType w:val="hybridMultilevel"/>
    <w:lvl w:ilvl="0">
      <w:lvlJc w:val="left"/>
      <w:lvlText w:val="%1"/>
      <w:numFmt w:val="upperLetter"/>
      <w:start w:val="1"/>
    </w:lvl>
    <w:lvl w:ilvl="1">
      <w:lvlJc w:val="left"/>
      <w:lvlText w:val="(%2)"/>
      <w:numFmt w:val="lowerRoman"/>
      <w:start w:val="3"/>
    </w:lvl>
  </w:abstractNum>
  <w:abstractNum w:abstractNumId="25">
    <w:nsid w:val="737B8DDC"/>
    <w:multiLevelType w:val="hybridMultilevel"/>
    <w:lvl w:ilvl="0">
      <w:lvlJc w:val="left"/>
      <w:lvlText w:val="(%1)"/>
      <w:numFmt w:val="lowerLetter"/>
      <w:start w:val="11"/>
    </w:lvl>
  </w:abstractNum>
  <w:abstractNum w:abstractNumId="26">
    <w:nsid w:val="6CEAF087"/>
    <w:multiLevelType w:val="hybridMultilevel"/>
    <w:lvl w:ilvl="0">
      <w:lvlJc w:val="left"/>
      <w:lvlText w:val="(%1)"/>
      <w:numFmt w:val="lowerLetter"/>
      <w:start w:val="12"/>
    </w:lvl>
  </w:abstractNum>
  <w:abstractNum w:abstractNumId="27">
    <w:nsid w:val="22221A70"/>
    <w:multiLevelType w:val="hybridMultilevel"/>
    <w:lvl w:ilvl="0">
      <w:lvlJc w:val="left"/>
      <w:lvlText w:val="(%1)"/>
      <w:numFmt w:val="lowerLetter"/>
      <w:start w:val="1"/>
    </w:lvl>
    <w:lvl w:ilvl="1">
      <w:lvlJc w:val="left"/>
      <w:lvlText w:val="(%2)"/>
      <w:numFmt w:val="lowerRoman"/>
      <w:start w:val="1"/>
    </w:lvl>
  </w:abstractNum>
  <w:abstractNum w:abstractNumId="28">
    <w:nsid w:val="4516DDE9"/>
    <w:multiLevelType w:val="hybridMultilevel"/>
    <w:lvl w:ilvl="0">
      <w:lvlJc w:val="left"/>
      <w:lvlText w:val="(%1)"/>
      <w:numFmt w:val="decimal"/>
      <w:start w:val="2"/>
    </w:lvl>
  </w:abstractNum>
  <w:abstractNum w:abstractNumId="29">
    <w:nsid w:val="3006C83E"/>
    <w:multiLevelType w:val="hybridMultilevel"/>
    <w:lvl w:ilvl="0">
      <w:lvlJc w:val="left"/>
      <w:lvlText w:val="(%1)"/>
      <w:numFmt w:val="lowerLetter"/>
      <w:start w:val="2"/>
    </w:lvl>
  </w:abstractNum>
  <w:abstractNum w:abstractNumId="30">
    <w:nsid w:val="614FD4A1"/>
    <w:multiLevelType w:val="hybridMultilevel"/>
    <w:lvl w:ilvl="0">
      <w:lvlJc w:val="left"/>
      <w:lvlText w:val="%1"/>
      <w:numFmt w:val="lowerLetter"/>
      <w:start w:val="1"/>
    </w:lvl>
    <w:lvl w:ilvl="1">
      <w:lvlJc w:val="left"/>
      <w:lvlText w:val="(%2)"/>
      <w:numFmt w:val="lowerLetter"/>
      <w:start w:val="3"/>
    </w:lvl>
  </w:abstractNum>
  <w:abstractNum w:abstractNumId="31">
    <w:nsid w:val="419AC241"/>
    <w:multiLevelType w:val="hybridMultilevel"/>
    <w:lvl w:ilvl="0">
      <w:lvlJc w:val="left"/>
      <w:lvlText w:val="(%1)"/>
      <w:numFmt w:val="lowerLetter"/>
      <w:start w:val="35"/>
    </w:lvl>
    <w:lvl w:ilvl="1">
      <w:lvlJc w:val="left"/>
      <w:lvlText w:val="(%2)"/>
      <w:numFmt w:val="lowerLetter"/>
      <w:start w:val="4"/>
    </w:lvl>
  </w:abstractNum>
  <w:abstractNum w:abstractNumId="32">
    <w:nsid w:val="5577F8E1"/>
    <w:multiLevelType w:val="hybridMultilevel"/>
    <w:lvl w:ilvl="0">
      <w:lvlJc w:val="left"/>
      <w:lvlText w:val="(%1)"/>
      <w:numFmt w:val="lowerLetter"/>
      <w:start w:val="5"/>
    </w:lvl>
  </w:abstractNum>
  <w:abstractNum w:abstractNumId="33">
    <w:nsid w:val="440BADFC"/>
    <w:multiLevelType w:val="hybridMultilevel"/>
    <w:lvl w:ilvl="0">
      <w:lvlJc w:val="left"/>
      <w:lvlText w:val="%1"/>
      <w:numFmt w:val="lowerLetter"/>
      <w:start w:val="1"/>
    </w:lvl>
    <w:lvl w:ilvl="1">
      <w:lvlJc w:val="left"/>
      <w:lvlText w:val="(%2)"/>
      <w:numFmt w:val="lowerLetter"/>
      <w:start w:val="1"/>
    </w:lvl>
  </w:abstractNum>
  <w:abstractNum w:abstractNumId="34">
    <w:nsid w:val="5072367"/>
    <w:multiLevelType w:val="hybridMultilevel"/>
    <w:lvl w:ilvl="0">
      <w:lvlJc w:val="left"/>
      <w:lvlText w:val="(%1)"/>
      <w:numFmt w:val="lowerLetter"/>
      <w:start w:val="61"/>
    </w:lvl>
    <w:lvl w:ilvl="1">
      <w:lvlJc w:val="left"/>
      <w:lvlText w:val="(%2)"/>
      <w:numFmt w:val="lowerLetter"/>
      <w:start w:val="2"/>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2019-12-19T23:15:37Z</dcterms:created>
  <dcterms:modified xsi:type="dcterms:W3CDTF">2019-12-19T23:15:37Z</dcterms:modified>
</cp:coreProperties>
</file>