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0001681643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Zoghbi Huda 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UBS Financial Services, Inc.</w:t>
              <w:br/>
              <w:t>11 Madison Ave</w:t>
              <w:br/>
              <w:t>4th Floor</w:t>
              <w:br/>
              <w:t>New York   NY   10010</w:t>
            </w:r>
          </w:p>
        </w:tc>
        <w:tc>
          <w:tcPr>
            <w:tcW w:w="1171" w:type="dxa"/>
            <w:tcBorders/>
            <w:vAlign w:val="center"/>
          </w:tcPr>
          <w:p>
            <w:pPr>
              <w:pStyle w:val="TableContents"/>
              <w:bidi w:val="0"/>
              <w:spacing w:before="0" w:after="283"/>
              <w:jc w:val="left"/>
              <w:rPr/>
            </w:pPr>
            <w:r>
              <w:rPr/>
              <w:t>1638</w:t>
            </w:r>
          </w:p>
        </w:tc>
        <w:tc>
          <w:tcPr>
            <w:tcW w:w="1465" w:type="dxa"/>
            <w:tcBorders/>
            <w:vAlign w:val="center"/>
          </w:tcPr>
          <w:p>
            <w:pPr>
              <w:pStyle w:val="TableContents"/>
              <w:bidi w:val="0"/>
              <w:spacing w:before="0" w:after="283"/>
              <w:jc w:val="left"/>
              <w:rPr/>
            </w:pPr>
            <w:r>
              <w:rPr/>
              <w:t>1294020.00</w:t>
            </w:r>
          </w:p>
        </w:tc>
        <w:tc>
          <w:tcPr>
            <w:tcW w:w="1555" w:type="dxa"/>
            <w:tcBorders/>
            <w:vAlign w:val="center"/>
          </w:tcPr>
          <w:p>
            <w:pPr>
              <w:pStyle w:val="TableContents"/>
              <w:bidi w:val="0"/>
              <w:spacing w:before="0" w:after="283"/>
              <w:jc w:val="left"/>
              <w:rPr/>
            </w:pPr>
            <w:r>
              <w:rPr/>
              <w:t>103902660</w:t>
            </w:r>
          </w:p>
        </w:tc>
        <w:tc>
          <w:tcPr>
            <w:tcW w:w="1569" w:type="dxa"/>
            <w:tcBorders/>
            <w:vAlign w:val="center"/>
          </w:tcPr>
          <w:p>
            <w:pPr>
              <w:pStyle w:val="TableContents"/>
              <w:bidi w:val="0"/>
              <w:spacing w:before="0" w:after="283"/>
              <w:jc w:val="left"/>
              <w:rPr/>
            </w:pPr>
            <w:r>
              <w:rPr/>
              <w:t>02/19/2026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1638</w:t>
            </w:r>
          </w:p>
        </w:tc>
        <w:tc>
          <w:tcPr>
            <w:tcW w:w="1078" w:type="dxa"/>
            <w:tcBorders/>
            <w:vAlign w:val="center"/>
          </w:tcPr>
          <w:p>
            <w:pPr>
              <w:pStyle w:val="TableContents"/>
              <w:bidi w:val="0"/>
              <w:spacing w:before="0" w:after="283"/>
              <w:jc w:val="left"/>
              <w:rPr/>
            </w:pPr>
            <w:r>
              <w:rPr/>
              <w:t>02/19/2026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15"/>
        <w:gridCol w:w="5090"/>
      </w:tblGrid>
      <w:tr>
        <w:trPr/>
        <w:tc>
          <w:tcPr>
            <w:tcW w:w="5115" w:type="dxa"/>
            <w:tcBorders/>
            <w:vAlign w:val="center"/>
          </w:tcPr>
          <w:p>
            <w:pPr>
              <w:pStyle w:val="TableContents"/>
              <w:bidi w:val="0"/>
              <w:spacing w:before="0" w:after="283"/>
              <w:jc w:val="left"/>
              <w:rPr/>
            </w:pPr>
            <w:r>
              <w:rPr/>
              <w:t>Remarks</w:t>
            </w:r>
          </w:p>
        </w:tc>
        <w:tc>
          <w:tcPr>
            <w:tcW w:w="5090" w:type="dxa"/>
            <w:tcBorders/>
            <w:vAlign w:val="center"/>
          </w:tcPr>
          <w:p>
            <w:pPr>
              <w:pStyle w:val="TableContents"/>
              <w:bidi w:val="0"/>
              <w:spacing w:before="0" w:after="283"/>
              <w:jc w:val="left"/>
              <w:rPr>
                <w:sz w:val="4"/>
                <w:szCs w:val="4"/>
              </w:rPr>
            </w:pPr>
            <w:r>
              <w:rPr>
                <w:sz w:val="4"/>
                <w:szCs w:val="4"/>
              </w:rPr>
            </w:r>
          </w:p>
        </w:tc>
      </w:tr>
      <w:tr>
        <w:trPr/>
        <w:tc>
          <w:tcPr>
            <w:tcW w:w="5115" w:type="dxa"/>
            <w:tcBorders/>
            <w:vAlign w:val="center"/>
          </w:tcPr>
          <w:p>
            <w:pPr>
              <w:pStyle w:val="TableContents"/>
              <w:bidi w:val="0"/>
              <w:spacing w:before="0" w:after="283"/>
              <w:jc w:val="left"/>
              <w:rPr/>
            </w:pPr>
            <w:r>
              <w:rPr/>
              <w:t>Date of Notice</w:t>
            </w:r>
          </w:p>
        </w:tc>
        <w:tc>
          <w:tcPr>
            <w:tcW w:w="5090" w:type="dxa"/>
            <w:tcBorders/>
            <w:vAlign w:val="center"/>
          </w:tcPr>
          <w:p>
            <w:pPr>
              <w:pStyle w:val="TableContents"/>
              <w:bidi w:val="0"/>
              <w:spacing w:before="0" w:after="0"/>
              <w:jc w:val="left"/>
              <w:rPr/>
            </w:pPr>
            <w:r>
              <w:rPr/>
              <w:t>02/19/2026</w:t>
            </w:r>
          </w:p>
        </w:tc>
      </w:tr>
      <w:tr>
        <w:trPr/>
        <w:tc>
          <w:tcPr>
            <w:tcW w:w="5115" w:type="dxa"/>
            <w:tcBorders/>
            <w:vAlign w:val="center"/>
          </w:tcPr>
          <w:p>
            <w:pPr>
              <w:pStyle w:val="TableContents"/>
              <w:bidi w:val="0"/>
              <w:spacing w:before="0" w:after="283"/>
              <w:jc w:val="left"/>
              <w:rPr/>
            </w:pPr>
            <w:r>
              <w:rPr/>
              <w:t>Date of Plan Adoption or Giving of Instruction, If Relying on Rule 10b5-1</w:t>
            </w:r>
          </w:p>
        </w:tc>
        <w:tc>
          <w:tcPr>
            <w:tcW w:w="5090" w:type="dxa"/>
            <w:tcBorders/>
            <w:vAlign w:val="center"/>
          </w:tcPr>
          <w:p>
            <w:pPr>
              <w:pStyle w:val="TableContents"/>
              <w:bidi w:val="0"/>
              <w:spacing w:before="0" w:after="0"/>
              <w:jc w:val="left"/>
              <w:rPr/>
            </w:pPr>
            <w:r>
              <w:rPr/>
              <w:t>11/20/2025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15" w:type="dxa"/>
            <w:tcBorders/>
            <w:vAlign w:val="center"/>
          </w:tcPr>
          <w:p>
            <w:pPr>
              <w:pStyle w:val="TableContents"/>
              <w:bidi w:val="0"/>
              <w:spacing w:before="0" w:after="283"/>
              <w:jc w:val="left"/>
              <w:rPr/>
            </w:pPr>
            <w:r>
              <w:rPr/>
              <w:t>Signature</w:t>
            </w:r>
          </w:p>
        </w:tc>
        <w:tc>
          <w:tcPr>
            <w:tcW w:w="5090" w:type="dxa"/>
            <w:tcBorders/>
            <w:vAlign w:val="center"/>
          </w:tcPr>
          <w:p>
            <w:pPr>
              <w:pStyle w:val="TableContents"/>
              <w:bidi w:val="0"/>
              <w:spacing w:before="0" w:after="0"/>
              <w:jc w:val="left"/>
              <w:rPr/>
            </w:pPr>
            <w:r>
              <w:rPr/>
              <w:t>/s/ UBS Financial Services Inc, as attorney-in-fact for Huda Zoghbi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3002</Characters>
  <CharactersWithSpaces>3544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