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and Exchange Act of 1934</w:t>
      </w:r>
    </w:p>
    <w:p>
      <w:pPr>
        <w:spacing w:after="0" w:line="215" w:lineRule="exact"/>
        <w:rPr>
          <w:sz w:val="20"/>
          <w:szCs w:val="20"/>
          <w:color w:val="auto"/>
        </w:rPr>
      </w:pPr>
    </w:p>
    <w:p>
      <w:pPr>
        <w:ind w:left="880"/>
        <w:spacing w:after="0"/>
        <w:tabs>
          <w:tab w:leader="none" w:pos="7620" w:val="left"/>
        </w:tabs>
        <w:rPr>
          <w:sz w:val="20"/>
          <w:szCs w:val="20"/>
          <w:color w:val="auto"/>
        </w:rPr>
      </w:pPr>
      <w:r>
        <w:rPr>
          <w:rFonts w:ascii="Arial" w:cs="Arial" w:eastAsia="Arial" w:hAnsi="Arial"/>
          <w:sz w:val="18"/>
          <w:szCs w:val="18"/>
          <w:b w:val="1"/>
          <w:bCs w:val="1"/>
          <w:color w:val="auto"/>
        </w:rPr>
        <w:t>Date of Report (Date of earliest event reported):</w:t>
      </w:r>
      <w:r>
        <w:rPr>
          <w:sz w:val="20"/>
          <w:szCs w:val="20"/>
          <w:color w:val="auto"/>
        </w:rPr>
        <w:tab/>
      </w:r>
      <w:r>
        <w:rPr>
          <w:rFonts w:ascii="Arial" w:cs="Arial" w:eastAsia="Arial" w:hAnsi="Arial"/>
          <w:sz w:val="16"/>
          <w:szCs w:val="16"/>
          <w:b w:val="1"/>
          <w:bCs w:val="1"/>
          <w:color w:val="auto"/>
        </w:rPr>
        <w:t>June 1, 2006 (May 31, 2006)</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REGENERON PHARMACEUTICALS,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3"/>
          </w:tcPr>
          <w:p>
            <w:pPr>
              <w:jc w:val="center"/>
              <w:ind w:right="1300"/>
              <w:spacing w:after="0"/>
              <w:rPr>
                <w:sz w:val="20"/>
                <w:szCs w:val="20"/>
                <w:color w:val="auto"/>
              </w:rPr>
            </w:pPr>
            <w:r>
              <w:rPr>
                <w:rFonts w:ascii="Arial" w:cs="Arial" w:eastAsia="Arial" w:hAnsi="Arial"/>
                <w:sz w:val="18"/>
                <w:szCs w:val="18"/>
                <w:b w:val="1"/>
                <w:bCs w:val="1"/>
                <w:color w:val="auto"/>
                <w:w w:val="92"/>
              </w:rPr>
              <w:t>New York</w:t>
            </w:r>
          </w:p>
        </w:tc>
        <w:tc>
          <w:tcPr>
            <w:tcW w:w="2700" w:type="dxa"/>
            <w:vAlign w:val="bottom"/>
          </w:tcPr>
          <w:p>
            <w:pPr>
              <w:jc w:val="right"/>
              <w:ind w:right="1230"/>
              <w:spacing w:after="0"/>
              <w:rPr>
                <w:sz w:val="20"/>
                <w:szCs w:val="20"/>
                <w:color w:val="auto"/>
              </w:rPr>
            </w:pPr>
            <w:r>
              <w:rPr>
                <w:rFonts w:ascii="Arial" w:cs="Arial" w:eastAsia="Arial" w:hAnsi="Arial"/>
                <w:sz w:val="18"/>
                <w:szCs w:val="18"/>
                <w:b w:val="1"/>
                <w:bCs w:val="1"/>
                <w:color w:val="auto"/>
              </w:rPr>
              <w:t>000-19034</w:t>
            </w:r>
          </w:p>
        </w:tc>
        <w:tc>
          <w:tcPr>
            <w:tcW w:w="398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90"/>
              </w:rPr>
              <w:t>133444607</w:t>
            </w:r>
          </w:p>
        </w:tc>
      </w:tr>
      <w:tr>
        <w:trPr>
          <w:trHeight w:val="205"/>
        </w:trPr>
        <w:tc>
          <w:tcPr>
            <w:tcW w:w="34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700" w:type="dxa"/>
            <w:vAlign w:val="bottom"/>
            <w:tcBorders>
              <w:top w:val="single" w:sz="8" w:color="auto"/>
            </w:tcBorders>
          </w:tcPr>
          <w:p>
            <w:pPr>
              <w:jc w:val="center"/>
              <w:ind w:right="630"/>
              <w:spacing w:after="0" w:line="205" w:lineRule="exact"/>
              <w:rPr>
                <w:sz w:val="20"/>
                <w:szCs w:val="20"/>
                <w:color w:val="auto"/>
              </w:rPr>
            </w:pPr>
            <w:r>
              <w:rPr>
                <w:rFonts w:ascii="Arial" w:cs="Arial" w:eastAsia="Arial" w:hAnsi="Arial"/>
                <w:sz w:val="18"/>
                <w:szCs w:val="18"/>
                <w:color w:val="auto"/>
                <w:w w:val="92"/>
              </w:rPr>
              <w:t>(Commission File Number)</w:t>
            </w:r>
          </w:p>
        </w:tc>
        <w:tc>
          <w:tcPr>
            <w:tcW w:w="560" w:type="dxa"/>
            <w:vAlign w:val="bottom"/>
          </w:tcPr>
          <w:p>
            <w:pPr>
              <w:spacing w:after="0"/>
              <w:rPr>
                <w:sz w:val="17"/>
                <w:szCs w:val="17"/>
                <w:color w:val="auto"/>
              </w:rPr>
            </w:pPr>
          </w:p>
        </w:tc>
        <w:tc>
          <w:tcPr>
            <w:tcW w:w="342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740" w:type="dxa"/>
            <w:vAlign w:val="bottom"/>
            <w:gridSpan w:val="3"/>
          </w:tcPr>
          <w:p>
            <w:pPr>
              <w:jc w:val="center"/>
              <w:ind w:right="1300"/>
              <w:spacing w:after="0"/>
              <w:rPr>
                <w:sz w:val="20"/>
                <w:szCs w:val="20"/>
                <w:color w:val="auto"/>
              </w:rPr>
            </w:pPr>
            <w:r>
              <w:rPr>
                <w:rFonts w:ascii="Arial" w:cs="Arial" w:eastAsia="Arial" w:hAnsi="Arial"/>
                <w:sz w:val="18"/>
                <w:szCs w:val="18"/>
                <w:color w:val="auto"/>
                <w:w w:val="94"/>
              </w:rPr>
              <w:t>incorporation)</w:t>
            </w:r>
          </w:p>
        </w:tc>
        <w:tc>
          <w:tcPr>
            <w:tcW w:w="2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Number)</w:t>
            </w:r>
          </w:p>
        </w:tc>
      </w:tr>
      <w:tr>
        <w:trPr>
          <w:trHeight w:val="432"/>
        </w:trPr>
        <w:tc>
          <w:tcPr>
            <w:tcW w:w="474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7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2"/>
          </w:tcPr>
          <w:p>
            <w:pPr>
              <w:ind w:left="840"/>
              <w:spacing w:after="0"/>
              <w:rPr>
                <w:sz w:val="20"/>
                <w:szCs w:val="20"/>
                <w:color w:val="auto"/>
              </w:rPr>
            </w:pPr>
            <w:r>
              <w:rPr>
                <w:rFonts w:ascii="Arial" w:cs="Arial" w:eastAsia="Arial" w:hAnsi="Arial"/>
                <w:sz w:val="18"/>
                <w:szCs w:val="18"/>
                <w:b w:val="1"/>
                <w:bCs w:val="1"/>
                <w:color w:val="auto"/>
              </w:rPr>
              <w:t>10591-6707</w:t>
            </w:r>
          </w:p>
        </w:tc>
      </w:tr>
      <w:tr>
        <w:trPr>
          <w:trHeight w:val="228"/>
        </w:trPr>
        <w:tc>
          <w:tcPr>
            <w:tcW w:w="4740" w:type="dxa"/>
            <w:vAlign w:val="bottom"/>
            <w:gridSpan w:val="3"/>
          </w:tcPr>
          <w:p>
            <w:pPr>
              <w:jc w:val="center"/>
              <w:ind w:left="5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ind w:left="280"/>
              <w:spacing w:after="0"/>
              <w:rPr>
                <w:sz w:val="20"/>
                <w:szCs w:val="20"/>
                <w:color w:val="auto"/>
              </w:rPr>
            </w:pPr>
            <w:r>
              <w:rPr>
                <w:rFonts w:ascii="Arial" w:cs="Arial" w:eastAsia="Arial" w:hAnsi="Arial"/>
                <w:sz w:val="18"/>
                <w:szCs w:val="18"/>
                <w:b w:val="1"/>
                <w:bCs w:val="1"/>
                <w:color w:val="auto"/>
              </w:rPr>
              <w:t>(Zip Code)</w:t>
            </w: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(914) 347-7000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0"/>
          <w:szCs w:val="20"/>
          <w:color w:val="auto"/>
        </w:rPr>
      </w:pPr>
    </w:p>
    <w:p>
      <w:pPr>
        <w:ind w:left="820" w:right="3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registrant under any of the following provisions:</w:t>
      </w:r>
    </w:p>
    <w:p>
      <w:pPr>
        <w:spacing w:after="0" w:line="170" w:lineRule="exact"/>
        <w:rPr>
          <w:sz w:val="20"/>
          <w:szCs w:val="20"/>
          <w:color w:val="auto"/>
        </w:rPr>
      </w:pPr>
    </w:p>
    <w:p>
      <w:pPr>
        <w:ind w:left="820" w:hanging="81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820" w:hanging="81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820" w:hanging="81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820" w:hanging="81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right"/>
        <w:ind w:right="333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8.01 Other Events</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EX-99.A: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left="360"/>
        <w:spacing w:after="0" w:line="264" w:lineRule="auto"/>
        <w:rPr>
          <w:sz w:val="20"/>
          <w:szCs w:val="20"/>
          <w:color w:val="auto"/>
        </w:rPr>
      </w:pPr>
      <w:r>
        <w:rPr>
          <w:rFonts w:ascii="Arial" w:cs="Arial" w:eastAsia="Arial" w:hAnsi="Arial"/>
          <w:sz w:val="18"/>
          <w:szCs w:val="18"/>
          <w:color w:val="auto"/>
        </w:rPr>
        <w:t xml:space="preserve">On May 31, 2006, the Company issued a press release announcing that the U.S. Food and Drug Administration has granted fast-track designation to the IL-1 Trap program for the improvement of chronic inflammation in patients with </w:t>
      </w:r>
      <w:r>
        <w:rPr>
          <w:rFonts w:ascii="Arial" w:cs="Arial" w:eastAsia="Arial" w:hAnsi="Arial"/>
          <w:sz w:val="18"/>
          <w:szCs w:val="18"/>
          <w:i w:val="1"/>
          <w:iCs w:val="1"/>
          <w:color w:val="auto"/>
        </w:rPr>
        <w:t>CIAS1</w:t>
      </w:r>
      <w:r>
        <w:rPr>
          <w:rFonts w:ascii="Arial" w:cs="Arial" w:eastAsia="Arial" w:hAnsi="Arial"/>
          <w:sz w:val="18"/>
          <w:szCs w:val="18"/>
          <w:color w:val="auto"/>
        </w:rPr>
        <w:t>-Associated Periodic Syndromes (CAPS), a spectrum of rare genetic disorders.</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copy of the press release is included as Exhibit 99(a) to this Current Report on Form 8-K.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940" w:hanging="247"/>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99(a) Press Release of Regeneron Pharmaceuticals, Inc. dated May 31, 2006.</w:t>
      </w:r>
    </w:p>
    <w:p>
      <w:pPr>
        <w:spacing w:after="0" w:line="117"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Dated: June 1, 2006</w:t>
      </w:r>
      <w:r>
        <w:rPr>
          <w:sz w:val="20"/>
          <w:szCs w:val="20"/>
          <w:color w:val="auto"/>
        </w:rPr>
        <w:tab/>
      </w:r>
      <w:r>
        <w:rPr>
          <w:rFonts w:ascii="Arial" w:cs="Arial" w:eastAsia="Arial" w:hAnsi="Arial"/>
          <w:sz w:val="16"/>
          <w:szCs w:val="16"/>
          <w:color w:val="auto"/>
        </w:rPr>
        <w:t>By: /s/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Stuart Kolinski</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and General Counsel</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80"/>
        <w:spacing w:after="0"/>
        <w:rPr>
          <w:sz w:val="20"/>
          <w:szCs w:val="20"/>
          <w:color w:val="auto"/>
        </w:rPr>
      </w:pPr>
      <w:r>
        <w:rPr>
          <w:rFonts w:ascii="Arial" w:cs="Arial" w:eastAsia="Arial" w:hAnsi="Arial"/>
          <w:sz w:val="17"/>
          <w:szCs w:val="17"/>
          <w:b w:val="1"/>
          <w:bCs w:val="1"/>
          <w:color w:val="auto"/>
        </w:rPr>
        <w:t>Exhibit Index</w:t>
      </w:r>
    </w:p>
    <w:p>
      <w:pPr>
        <w:spacing w:after="0" w:line="232" w:lineRule="exact"/>
        <w:rPr>
          <w:sz w:val="20"/>
          <w:szCs w:val="20"/>
          <w:color w:val="auto"/>
        </w:rPr>
      </w:pPr>
    </w:p>
    <w:p>
      <w:pPr>
        <w:spacing w:after="0"/>
        <w:tabs>
          <w:tab w:leader="none" w:pos="114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spacing w:after="0"/>
        <w:tabs>
          <w:tab w:leader="none" w:pos="1140" w:val="left"/>
        </w:tabs>
        <w:rPr>
          <w:sz w:val="20"/>
          <w:szCs w:val="20"/>
          <w:color w:val="auto"/>
        </w:rPr>
      </w:pPr>
      <w:r>
        <w:rPr>
          <w:rFonts w:ascii="Arial" w:cs="Arial" w:eastAsia="Arial" w:hAnsi="Arial"/>
          <w:sz w:val="15"/>
          <w:szCs w:val="15"/>
          <w:color w:val="auto"/>
        </w:rPr>
        <w:t>99(a)</w:t>
      </w:r>
      <w:r>
        <w:rPr>
          <w:sz w:val="20"/>
          <w:szCs w:val="20"/>
          <w:color w:val="auto"/>
        </w:rPr>
        <w:tab/>
      </w:r>
      <w:r>
        <w:rPr>
          <w:rFonts w:ascii="Arial" w:cs="Arial" w:eastAsia="Arial" w:hAnsi="Arial"/>
          <w:sz w:val="15"/>
          <w:szCs w:val="15"/>
          <w:color w:val="auto"/>
        </w:rPr>
        <w:t>Press Release of Regeneron Pharmaceuticals, Inc. dated May 31, 2006.</w:t>
      </w:r>
    </w:p>
    <w:p>
      <w:pPr>
        <w:spacing w:after="0" w:line="21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419"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RECEIVES FAST-TRACK DESIGNATION FOR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THE IL-1 TRAP IN </w:t>
      </w:r>
      <w:r>
        <w:rPr>
          <w:rFonts w:ascii="Arial" w:cs="Arial" w:eastAsia="Arial" w:hAnsi="Arial"/>
          <w:sz w:val="18"/>
          <w:szCs w:val="18"/>
          <w:b w:val="1"/>
          <w:bCs w:val="1"/>
          <w:i w:val="1"/>
          <w:iCs w:val="1"/>
          <w:color w:val="auto"/>
        </w:rPr>
        <w:t>CIAS</w:t>
      </w:r>
      <w:r>
        <w:rPr>
          <w:rFonts w:ascii="Arial" w:cs="Arial" w:eastAsia="Arial" w:hAnsi="Arial"/>
          <w:sz w:val="18"/>
          <w:szCs w:val="18"/>
          <w:b w:val="1"/>
          <w:bCs w:val="1"/>
          <w:color w:val="auto"/>
        </w:rPr>
        <w:t>1-ASSOCIATED PERIODIC SYNDROMES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(CAPS)</w:t>
      </w:r>
    </w:p>
    <w:p>
      <w:pPr>
        <w:spacing w:after="0" w:line="9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Data from Pivotal Trial Expected in Second Half of 2006</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Tarrytown, NY (May 31, 2006) — Regeneron Pharmaceuticals, Inc. (Nasdaq: REGN) announced today that the U.S. Food and Drug Administration</w:t>
      </w:r>
    </w:p>
    <w:p>
      <w:pPr>
        <w:spacing w:after="0" w:line="35"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 xml:space="preserve">(FDA) has granted fast-track designation to the IL-1 Trap program for the improvement of chronic inflammation in patients with </w:t>
      </w:r>
      <w:r>
        <w:rPr>
          <w:rFonts w:ascii="Arial" w:cs="Arial" w:eastAsia="Arial" w:hAnsi="Arial"/>
          <w:sz w:val="17"/>
          <w:szCs w:val="17"/>
          <w:i w:val="1"/>
          <w:iCs w:val="1"/>
          <w:color w:val="auto"/>
        </w:rPr>
        <w:t>CIAS1</w:t>
      </w:r>
      <w:r>
        <w:rPr>
          <w:rFonts w:ascii="Arial" w:cs="Arial" w:eastAsia="Arial" w:hAnsi="Arial"/>
          <w:sz w:val="17"/>
          <w:szCs w:val="17"/>
          <w:color w:val="auto"/>
        </w:rPr>
        <w:t>-Associated Periodic Syndromes (CAPS), a spectrum of rare genetic disorders. The fast-track designation is designed to facilitate the development and potentially expedite the review of new therapeutic medicines intended to treat serious conditions for which there is an unmet medical need.</w:t>
      </w:r>
    </w:p>
    <w:p>
      <w:pPr>
        <w:spacing w:after="0" w:line="6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fast track designation is an important step in the regulatory process for the IL-1 Trap, as we come closer to completing the pivotal study,” said George Yancopoulos, M.D., Ph.D., Regeneron’s Executive Vice President, Chief Scientific Officer, and President, Regeneron Research Laboratories. “With no medical treatments approved to treat the chronic inflammation generated in people with these rare conditions, we hope the IL-1 Trap will provide a new option for these patients in the future.”</w:t>
      </w:r>
    </w:p>
    <w:p>
      <w:pPr>
        <w:spacing w:after="0" w:line="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April of this year, Regeneron announced the completion of enrollment in the pivotal study. The Company expects top-line efficacy data from this pivotal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ind w:right="440"/>
        <w:spacing w:after="0" w:line="277" w:lineRule="auto"/>
        <w:rPr>
          <w:sz w:val="20"/>
          <w:szCs w:val="20"/>
          <w:color w:val="auto"/>
        </w:rPr>
      </w:pPr>
      <w:r>
        <w:rPr>
          <w:rFonts w:ascii="Arial" w:cs="Arial" w:eastAsia="Arial" w:hAnsi="Arial"/>
          <w:sz w:val="18"/>
          <w:szCs w:val="18"/>
          <w:color w:val="auto"/>
        </w:rPr>
        <w:t>by the end of 2006. Previously Regeneron received orphan drug designation for the IL-1 Trap in CAPS. This status is given to pharmaceuticals that treat diseases affecting less than 200,000 people in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IL-1 Trap</w:t>
      </w:r>
    </w:p>
    <w:p>
      <w:pPr>
        <w:spacing w:after="0" w:line="121"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Interleukin-1 (IL-1) is a soluble protein secreted by certain cells in the body. In many cases IL-1 acts as a messenger to help regulate immune and inflammatory responses by attaching to cell-surface receptors in cells that participate in the body’s immune system. In excess, it can be harmful and has been linked to a variety of inflammatory diseases. Blocking IL-1 is a proven therapeutic approach in rheumatoid arthritis (RA), as shown by the U.S. Food and Drug Administration (FDA) approval of Amgen’s Kineret</w:t>
      </w:r>
      <w:r>
        <w:rPr>
          <w:rFonts w:ascii="Arial" w:cs="Arial" w:eastAsia="Arial" w:hAnsi="Arial"/>
          <w:sz w:val="25"/>
          <w:szCs w:val="25"/>
          <w:color w:val="auto"/>
          <w:vertAlign w:val="superscript"/>
        </w:rPr>
        <w:t>®</w:t>
      </w:r>
      <w:r>
        <w:rPr>
          <w:rFonts w:ascii="Arial" w:cs="Arial" w:eastAsia="Arial" w:hAnsi="Arial"/>
          <w:sz w:val="17"/>
          <w:szCs w:val="17"/>
          <w:color w:val="auto"/>
        </w:rPr>
        <w:t xml:space="preserve"> for the treatment of RA. Kineret is a human IL-1 receptor antagonist that is administered by daily injection. IL-1 may represent an important target for pharmaceutical development in other inflammatory conditions.</w:t>
      </w:r>
    </w:p>
    <w:p>
      <w:pPr>
        <w:spacing w:after="0" w:line="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IL-1 Trap is designed to attach to and neutralize IL-1 in the blood stream before it can attach to cell-surface receptors and generate signals that can trigger disease in body tissue. Once attached to the Trap, IL-1 cannot bind to the cell surface receptors and, together with the Trap, is eliminated from the body. The IL-1 Trap has a long duration in the blood stream and can be delivered by weekly injection.</w:t>
      </w:r>
    </w:p>
    <w:p>
      <w:pPr>
        <w:spacing w:after="0" w:line="7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IL-1 Trap is also being investigated in clinical trials for Systemic Juvenile Idiopathic Arthritis (SJIA), for which the Company also has been granted orphan drug designation, and is being evaluated in a number of other indications where IL-1 may play a major role.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Regeneron is a biopharmaceutical company that discovers, develops, and intends to commercialize therapeutic medicines for the treatment of serious medical conditions. Regeneron has therapeutic candidates in clinical trials for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the potential treatment of cancer, eye diseases, and inflammatory diseases, and has preclinical programs in other diseases and disorders.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our drug candidates, determinations by regulatory and administrative governmental authorities which delay or restrict our ability to continue to develop or commercialize our drug candidates, competing drugs that are superior to our product candidates, unanticipated expenses, the availability and cost of capital, the costs of developing, producing, and selling products, the potential for any collaboration agreement, including our agreement with the sanofi-aventis Group,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2005. Regeneron does not undertake any obligation to update publicly any forward-looking statement, whether as a result of new information, future events, or otherwise unless required by law.</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96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r>
      <w:tr>
        <w:trPr>
          <w:trHeight w:val="418"/>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10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Investors:</w:t>
            </w:r>
          </w:p>
        </w:tc>
        <w:tc>
          <w:tcPr>
            <w:tcW w:w="2960" w:type="dxa"/>
            <w:vAlign w:val="bottom"/>
            <w:gridSpan w:val="2"/>
          </w:tcPr>
          <w:p>
            <w:pPr>
              <w:ind w:left="1040"/>
              <w:spacing w:after="0"/>
              <w:rPr>
                <w:sz w:val="20"/>
                <w:szCs w:val="20"/>
                <w:color w:val="auto"/>
              </w:rPr>
            </w:pPr>
            <w:r>
              <w:rPr>
                <w:rFonts w:ascii="Arial" w:cs="Arial" w:eastAsia="Arial" w:hAnsi="Arial"/>
                <w:sz w:val="18"/>
                <w:szCs w:val="18"/>
                <w:color w:val="auto"/>
              </w:rPr>
              <w:t>Media:</w:t>
            </w:r>
          </w:p>
        </w:tc>
      </w:tr>
      <w:tr>
        <w:trPr>
          <w:trHeight w:val="216"/>
        </w:trPr>
        <w:tc>
          <w:tcPr>
            <w:tcW w:w="3540" w:type="dxa"/>
            <w:vAlign w:val="bottom"/>
            <w:gridSpan w:val="2"/>
          </w:tcPr>
          <w:p>
            <w:pPr>
              <w:spacing w:after="0"/>
              <w:rPr>
                <w:sz w:val="20"/>
                <w:szCs w:val="20"/>
                <w:color w:val="auto"/>
              </w:rPr>
            </w:pPr>
            <w:r>
              <w:rPr>
                <w:rFonts w:ascii="Arial" w:cs="Arial" w:eastAsia="Arial" w:hAnsi="Arial"/>
                <w:sz w:val="18"/>
                <w:szCs w:val="18"/>
                <w:color w:val="auto"/>
              </w:rPr>
              <w:t>Charles Poole</w:t>
            </w:r>
          </w:p>
        </w:tc>
        <w:tc>
          <w:tcPr>
            <w:tcW w:w="2960" w:type="dxa"/>
            <w:vAlign w:val="bottom"/>
            <w:gridSpan w:val="2"/>
          </w:tcPr>
          <w:p>
            <w:pPr>
              <w:ind w:left="1040"/>
              <w:spacing w:after="0"/>
              <w:rPr>
                <w:sz w:val="20"/>
                <w:szCs w:val="20"/>
                <w:color w:val="auto"/>
              </w:rPr>
            </w:pPr>
            <w:r>
              <w:rPr>
                <w:rFonts w:ascii="Arial" w:cs="Arial" w:eastAsia="Arial" w:hAnsi="Arial"/>
                <w:sz w:val="18"/>
                <w:szCs w:val="18"/>
                <w:color w:val="auto"/>
              </w:rPr>
              <w:t>Lauren Tortorete</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914.345.7640</w:t>
            </w:r>
          </w:p>
        </w:tc>
        <w:tc>
          <w:tcPr>
            <w:tcW w:w="1040" w:type="dxa"/>
            <w:vAlign w:val="bottom"/>
          </w:tcPr>
          <w:p>
            <w:pPr>
              <w:spacing w:after="0"/>
              <w:rPr>
                <w:sz w:val="18"/>
                <w:szCs w:val="18"/>
                <w:color w:val="auto"/>
              </w:rPr>
            </w:pPr>
          </w:p>
        </w:tc>
        <w:tc>
          <w:tcPr>
            <w:tcW w:w="2960" w:type="dxa"/>
            <w:vAlign w:val="bottom"/>
            <w:gridSpan w:val="2"/>
          </w:tcPr>
          <w:p>
            <w:pPr>
              <w:ind w:left="1040"/>
              <w:spacing w:after="0"/>
              <w:rPr>
                <w:sz w:val="20"/>
                <w:szCs w:val="20"/>
                <w:color w:val="auto"/>
              </w:rPr>
            </w:pPr>
            <w:r>
              <w:rPr>
                <w:rFonts w:ascii="Arial" w:cs="Arial" w:eastAsia="Arial" w:hAnsi="Arial"/>
                <w:sz w:val="18"/>
                <w:szCs w:val="18"/>
                <w:color w:val="auto"/>
              </w:rPr>
              <w:t>212.845.5609</w:t>
            </w:r>
          </w:p>
        </w:tc>
      </w:tr>
      <w:tr>
        <w:trPr>
          <w:trHeight w:val="190"/>
        </w:trPr>
        <w:tc>
          <w:tcPr>
            <w:tcW w:w="2500" w:type="dxa"/>
            <w:vAlign w:val="bottom"/>
          </w:tcPr>
          <w:p>
            <w:pPr>
              <w:spacing w:after="0" w:line="190" w:lineRule="exact"/>
              <w:rPr>
                <w:sz w:val="20"/>
                <w:szCs w:val="20"/>
                <w:color w:val="auto"/>
              </w:rPr>
            </w:pPr>
            <w:r>
              <w:rPr>
                <w:rFonts w:ascii="Arial" w:cs="Arial" w:eastAsia="Arial" w:hAnsi="Arial"/>
                <w:sz w:val="18"/>
                <w:szCs w:val="18"/>
                <w:color w:val="auto"/>
                <w:w w:val="89"/>
              </w:rPr>
              <w:t>Investor.relations@regeneron.com</w:t>
            </w:r>
          </w:p>
        </w:tc>
        <w:tc>
          <w:tcPr>
            <w:tcW w:w="1040" w:type="dxa"/>
            <w:vAlign w:val="bottom"/>
          </w:tcPr>
          <w:p>
            <w:pPr>
              <w:spacing w:after="0"/>
              <w:rPr>
                <w:sz w:val="16"/>
                <w:szCs w:val="16"/>
                <w:color w:val="auto"/>
              </w:rPr>
            </w:pPr>
          </w:p>
        </w:tc>
        <w:tc>
          <w:tcPr>
            <w:tcW w:w="2960" w:type="dxa"/>
            <w:vAlign w:val="bottom"/>
            <w:gridSpan w:val="2"/>
          </w:tcPr>
          <w:p>
            <w:pPr>
              <w:ind w:left="1040"/>
              <w:spacing w:after="0" w:line="190" w:lineRule="exact"/>
              <w:rPr>
                <w:sz w:val="20"/>
                <w:szCs w:val="20"/>
                <w:color w:val="auto"/>
              </w:rPr>
            </w:pPr>
            <w:r>
              <w:rPr>
                <w:rFonts w:ascii="Arial" w:cs="Arial" w:eastAsia="Arial" w:hAnsi="Arial"/>
                <w:sz w:val="18"/>
                <w:szCs w:val="18"/>
                <w:color w:val="auto"/>
                <w:w w:val="89"/>
              </w:rPr>
              <w:t>ltortorete@biosector2.com</w:t>
            </w:r>
          </w:p>
        </w:tc>
      </w:tr>
      <w:tr>
        <w:trPr>
          <w:trHeight w:val="426"/>
        </w:trPr>
        <w:tc>
          <w:tcPr>
            <w:tcW w:w="250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92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rPr>
              <w:t>3</w:t>
            </w:r>
          </w:p>
        </w:tc>
      </w:tr>
    </w:tbl>
    <w:p>
      <w:pPr>
        <w:spacing w:after="0" w:line="1" w:lineRule="exact"/>
        <w:rPr>
          <w:sz w:val="20"/>
          <w:szCs w:val="20"/>
          <w:color w:val="auto"/>
        </w:rPr>
      </w:pPr>
    </w:p>
    <w:sectPr>
      <w:pgSz w:w="11900" w:h="16838" w:orient="portrait"/>
      <w:cols w:equalWidth="0" w:num="1">
        <w:col w:w="11300"/>
      </w:cols>
      <w:pgMar w:left="240" w:top="935"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2019-12-20T02:12:42Z</dcterms:created>
  <dcterms:modified xsi:type="dcterms:W3CDTF">2019-12-20T02:12:42Z</dcterms:modified>
</cp:coreProperties>
</file>