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34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-236220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-743585</wp:posOffset>
            </wp:positionV>
            <wp:extent cx="6732905" cy="6237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6237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100" w:space="460"/>
            <w:col w:w="8000"/>
          </w:cols>
          <w:pgMar w:left="660" w:top="576" w:right="680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>VAGELOS P ROY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</w:tcPr>
          <w:p>
            <w:pPr>
              <w:spacing w:after="0" w:line="186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08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9"/>
                  <w:szCs w:val="19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777 OLD SAW MILL RIVER ROAD</w:t>
            </w:r>
          </w:p>
        </w:tc>
        <w:tc>
          <w:tcPr>
            <w:tcW w:w="33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03/23/2023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-8" w:right="580" w:firstLine="8"/>
        <w:spacing w:after="0" w:line="282" w:lineRule="auto"/>
        <w:tabs>
          <w:tab w:leader="none" w:pos="12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491" w:val="left"/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jc w:val="right"/>
        <w:ind w:right="36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512"/>
        <w:spacing w:after="0"/>
        <w:tabs>
          <w:tab w:leader="none" w:pos="199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40" w:orient="portrait"/>
          <w:cols w:equalWidth="0" w:num="2">
            <w:col w:w="7380" w:space="68"/>
            <w:col w:w="3112"/>
          </w:cols>
          <w:pgMar w:left="660" w:top="576" w:right="680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74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TARRYTOWN  NY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10591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EEEEEE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03/23/2023</w:t>
            </w: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25,000</w:t>
            </w: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312,578</w:t>
            </w: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1,963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125,752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23,461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3,609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4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Disposition/acquisition made pursuant to a plan intended to comply with Rule 10b5-1(c) adopted on November 21, 2022.</w:t>
      </w:r>
    </w:p>
    <w:p>
      <w:pPr>
        <w:spacing w:after="0" w:line="6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00" w:firstLine="2"/>
        <w:spacing w:after="0" w:line="28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/s/**P. Roy Vagelos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03/24/2023</w:t>
            </w:r>
          </w:p>
        </w:tc>
      </w:tr>
      <w:tr>
        <w:trPr>
          <w:trHeight w:val="20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85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7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013064" TargetMode="External"/><Relationship Id="rId11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2023-03-27T19:16:14Z</dcterms:created>
  <dcterms:modified xsi:type="dcterms:W3CDTF">2023-03-27T19:16:14Z</dcterms:modified>
</cp:coreProperties>
</file>