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160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160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spacing w:after="0" w:line="24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LAROSA JOSEPH J</w:t>
              </w:r>
            </w:hyperlink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spacing w:after="0" w:line="169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0000EE"/>
            </w:tcBorders>
            <w:gridSpan w:val="4"/>
            <w:vMerge w:val="restart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31,269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492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30,777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771.64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8,981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12/06/2034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8,981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8,981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under the Second Amended and Restated 2014 Long-Term Incentive Plan that vests 50% on December 6, 2026 and 50% on December 6, 2028.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Joseph LaRosa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12/10/2024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3830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2024-12-10T15:09:37Z</dcterms:created>
  <dcterms:modified xsi:type="dcterms:W3CDTF">2024-12-10T15:09:37Z</dcterms:modified>
</cp:coreProperties>
</file>