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13, 2010 (October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19685</wp:posOffset>
            </wp:positionV>
            <wp:extent cx="4973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23495</wp:posOffset>
            </wp:positionV>
            <wp:extent cx="2280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08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b w:val="1"/>
                <w:bCs w:val="1"/>
                <w:color w:val="auto"/>
                <w:w w:val="90"/>
              </w:rPr>
              <w:t>New York</w:t>
            </w:r>
          </w:p>
        </w:tc>
        <w:tc>
          <w:tcPr>
            <w:tcW w:w="620" w:type="dxa"/>
            <w:vAlign w:val="bottom"/>
            <w:tcBorders>
              <w:bottom w:val="single" w:sz="8" w:color="auto"/>
            </w:tcBorders>
            <w:gridSpan w:val="2"/>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tcBorders>
              <w:bottom w:val="single" w:sz="8" w:color="auto"/>
            </w:tcBorders>
          </w:tcPr>
          <w:p>
            <w:pPr>
              <w:jc w:val="right"/>
              <w:ind w:right="1472"/>
              <w:spacing w:after="0"/>
              <w:rPr>
                <w:sz w:val="20"/>
                <w:szCs w:val="20"/>
                <w:color w:val="auto"/>
              </w:rPr>
            </w:pPr>
            <w:r>
              <w:rPr>
                <w:rFonts w:ascii="Arial" w:cs="Arial" w:eastAsia="Arial" w:hAnsi="Arial"/>
                <w:sz w:val="18"/>
                <w:szCs w:val="18"/>
                <w:b w:val="1"/>
                <w:bCs w:val="1"/>
                <w:color w:val="auto"/>
              </w:rPr>
              <w:t>000-19034</w:t>
            </w:r>
          </w:p>
        </w:tc>
        <w:tc>
          <w:tcPr>
            <w:tcW w:w="280" w:type="dxa"/>
            <w:vAlign w:val="bottom"/>
          </w:tcPr>
          <w:p>
            <w:pPr>
              <w:spacing w:after="0"/>
              <w:rPr>
                <w:sz w:val="20"/>
                <w:szCs w:val="20"/>
                <w:color w:val="auto"/>
              </w:rPr>
            </w:pPr>
          </w:p>
        </w:tc>
        <w:tc>
          <w:tcPr>
            <w:tcW w:w="328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3080" w:type="dxa"/>
            <w:vAlign w:val="bottom"/>
          </w:tcPr>
          <w:p>
            <w:pPr>
              <w:jc w:val="center"/>
              <w:ind w:left="552"/>
              <w:spacing w:after="0"/>
              <w:rPr>
                <w:sz w:val="20"/>
                <w:szCs w:val="20"/>
                <w:color w:val="auto"/>
              </w:rPr>
            </w:pPr>
            <w:r>
              <w:rPr>
                <w:rFonts w:ascii="Arial" w:cs="Arial" w:eastAsia="Arial" w:hAnsi="Arial"/>
                <w:sz w:val="18"/>
                <w:szCs w:val="18"/>
                <w:color w:val="auto"/>
                <w:w w:val="90"/>
              </w:rPr>
              <w:t>(State or other jurisdiction of</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(Commission File No.)</w:t>
            </w: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43"/>
        </w:trPr>
        <w:tc>
          <w:tcPr>
            <w:tcW w:w="3080" w:type="dxa"/>
            <w:vAlign w:val="bottom"/>
          </w:tcPr>
          <w:p>
            <w:pPr>
              <w:jc w:val="center"/>
              <w:ind w:left="532"/>
              <w:spacing w:after="0"/>
              <w:rPr>
                <w:sz w:val="20"/>
                <w:szCs w:val="20"/>
                <w:color w:val="auto"/>
              </w:rPr>
            </w:pPr>
            <w:r>
              <w:rPr>
                <w:rFonts w:ascii="Arial" w:cs="Arial" w:eastAsia="Arial" w:hAnsi="Arial"/>
                <w:sz w:val="18"/>
                <w:szCs w:val="18"/>
                <w:color w:val="auto"/>
                <w:w w:val="91"/>
              </w:rPr>
              <w:t>Incorporation)</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495"/>
        </w:trPr>
        <w:tc>
          <w:tcPr>
            <w:tcW w:w="3080" w:type="dxa"/>
            <w:vAlign w:val="bottom"/>
          </w:tcPr>
          <w:p>
            <w:pPr>
              <w:spacing w:after="0"/>
              <w:rPr>
                <w:sz w:val="24"/>
                <w:szCs w:val="24"/>
                <w:color w:val="auto"/>
              </w:rPr>
            </w:pPr>
          </w:p>
        </w:tc>
        <w:tc>
          <w:tcPr>
            <w:tcW w:w="5060" w:type="dxa"/>
            <w:vAlign w:val="bottom"/>
            <w:gridSpan w:val="5"/>
          </w:tcPr>
          <w:p>
            <w:pPr>
              <w:jc w:val="center"/>
              <w:ind w:left="11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28"/>
        </w:trPr>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19"/>
                <w:szCs w:val="19"/>
                <w:color w:val="auto"/>
              </w:rPr>
            </w:pP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23495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jc w:val="both"/>
        <w:ind w:left="2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420" w:hanging="27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27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27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20" w:hanging="27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October 7, 2010, we entered into an underwriting agreement with Citigroup Global Markets Inc. (“Citi”) relating to the sale of 6,325,000 shares of our common stock, $0.001 par value per share, at a price of $27.69 per share. The foregoing description of the underwriting agreement does not purport to be complete and is qualified in its entirety by reference to the full text of the underwriting agreement, which is filed as Exhibit 1.1 hereto and incorporated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 Underwriting Agreement, dated October 7, 2010, by and between Regeneron Pharmaceuticals, Inc. and Citigroup Global Markets,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5.1 Opinion of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October 13,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19685</wp:posOffset>
            </wp:positionV>
            <wp:extent cx="3524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tcPr>
          <w:p>
            <w:pPr>
              <w:ind w:left="438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19"/>
                <w:szCs w:val="19"/>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4"/>
                <w:szCs w:val="24"/>
                <w:color w:val="auto"/>
              </w:rPr>
            </w:pPr>
          </w:p>
        </w:tc>
      </w:tr>
      <w:tr>
        <w:trPr>
          <w:trHeight w:val="21"/>
        </w:trPr>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1.1</w:t>
            </w:r>
          </w:p>
        </w:tc>
        <w:tc>
          <w:tcPr>
            <w:tcW w:w="108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w w:val="99"/>
              </w:rPr>
              <w:t>Underwriting Agreement, dated October 7, 2010, by and between Regeneron Pharmaceuticals, Inc. and Citigroup Global Markets Inc.</w:t>
            </w:r>
          </w:p>
        </w:tc>
        <w:tc>
          <w:tcPr>
            <w:tcW w:w="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5.1</w:t>
            </w:r>
          </w:p>
        </w:tc>
        <w:tc>
          <w:tcPr>
            <w:tcW w:w="108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Opinion of Skadden, Arps, Slate, Meagher &amp; Flom LLP</w:t>
            </w:r>
          </w:p>
        </w:tc>
        <w:tc>
          <w:tcPr>
            <w:tcW w:w="20" w:type="dxa"/>
            <w:vAlign w:val="bottom"/>
          </w:tcPr>
          <w:p>
            <w:pPr>
              <w:spacing w:after="0"/>
              <w:rPr>
                <w:sz w:val="21"/>
                <w:szCs w:val="21"/>
                <w:color w:val="auto"/>
              </w:rPr>
            </w:pPr>
          </w:p>
        </w:tc>
      </w:tr>
      <w:tr>
        <w:trPr>
          <w:trHeight w:val="334"/>
        </w:trPr>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October 7,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ind w:right="60" w:firstLine="220"/>
        <w:spacing w:after="0" w:line="293" w:lineRule="auto"/>
        <w:rPr>
          <w:sz w:val="20"/>
          <w:szCs w:val="20"/>
          <w:color w:val="auto"/>
        </w:rPr>
      </w:pPr>
      <w:r>
        <w:rPr>
          <w:rFonts w:ascii="Arial" w:cs="Arial" w:eastAsia="Arial" w:hAnsi="Arial"/>
          <w:sz w:val="16"/>
          <w:szCs w:val="16"/>
          <w:color w:val="auto"/>
        </w:rPr>
        <w:t>REGENERON PHARMACEUTICALS, INC., a New York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you (the “</w:t>
      </w:r>
      <w:r>
        <w:rPr>
          <w:rFonts w:ascii="Arial" w:cs="Arial" w:eastAsia="Arial" w:hAnsi="Arial"/>
          <w:sz w:val="16"/>
          <w:szCs w:val="16"/>
          <w:b w:val="1"/>
          <w:bCs w:val="1"/>
          <w:color w:val="auto"/>
        </w:rPr>
        <w:t>Underwriter</w:t>
      </w:r>
      <w:r>
        <w:rPr>
          <w:rFonts w:ascii="Arial" w:cs="Arial" w:eastAsia="Arial" w:hAnsi="Arial"/>
          <w:sz w:val="16"/>
          <w:szCs w:val="16"/>
          <w:color w:val="auto"/>
        </w:rPr>
        <w:t>”) the number of shares of its common stock, $0.001 par value per share, set forth in Schedule I hereto (the “</w:t>
      </w:r>
      <w:r>
        <w:rPr>
          <w:rFonts w:ascii="Arial" w:cs="Arial" w:eastAsia="Arial" w:hAnsi="Arial"/>
          <w:sz w:val="16"/>
          <w:szCs w:val="16"/>
          <w:b w:val="1"/>
          <w:bCs w:val="1"/>
          <w:color w:val="auto"/>
        </w:rPr>
        <w:t>Firm Shares</w:t>
      </w:r>
      <w:r>
        <w:rPr>
          <w:rFonts w:ascii="Arial" w:cs="Arial" w:eastAsia="Arial" w:hAnsi="Arial"/>
          <w:sz w:val="16"/>
          <w:szCs w:val="16"/>
          <w:color w:val="auto"/>
        </w:rPr>
        <w:t>”). The Company also proposes to issue and sell to the Underwriter not more than the number of additional shares of its common stock, $0.001 par value per share, set forth in Schedule I hereto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if and to the extent that you, shall have determined to exercise the right to purchase such shares of common stock granted to the Underwriter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$0.001 par value per share, of the Company to be outstanding after giving effect to the sales contemplated hereby are hereinafter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92" w:lineRule="exact"/>
        <w:rPr>
          <w:sz w:val="20"/>
          <w:szCs w:val="20"/>
          <w:color w:val="auto"/>
        </w:rPr>
      </w:pPr>
    </w:p>
    <w:p>
      <w:pPr>
        <w:ind w:right="20" w:firstLine="270"/>
        <w:spacing w:after="0" w:line="285"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on Form S-3 (the file number of which is set forth in Schedule I hereto), relating to the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Shares,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October 6, 2010 in the form first used to confirm sales of the Shares (or in the form first made available to the Underwriter by the Company to meet requests of purchasers pursuant to Rule 173 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specifically relating to the Shares in the form first used to confirm sales of the Shares (or in the form first made available to the Underwriter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 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Basic Prospectus and the preliminary prospectus together with the final term sheet identified in Schedule I 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 available without restriction to</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As used herein, the terms “Registration Statement,” “Basic Prospectu s,” “preliminary prospectus,” “Time of Sale Prospectus” and “Prospectus” shall include the documents, if any, incorporated by reference therein. The terms “</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Basic Prospectus, the Time of Sale Prospectus, any preliminary prospectus or free writing prospectus, if any, shall include all documents subsequently filed by the Co 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6" w:name="page7"/>
    <w:bookmarkEnd w:id="6"/>
    <w:p>
      <w:pPr>
        <w:ind w:left="360" w:hanging="17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the Underwriter that:</w:t>
      </w:r>
    </w:p>
    <w:p>
      <w:pPr>
        <w:spacing w:after="0" w:line="252" w:lineRule="exact"/>
        <w:rPr>
          <w:rFonts w:ascii="Arial" w:cs="Arial" w:eastAsia="Arial" w:hAnsi="Arial"/>
          <w:sz w:val="18"/>
          <w:szCs w:val="18"/>
          <w:color w:val="auto"/>
        </w:rPr>
      </w:pPr>
    </w:p>
    <w:p>
      <w:pPr>
        <w:ind w:left="-40" w:right="120" w:firstLine="278"/>
        <w:spacing w:after="0" w:line="294" w:lineRule="auto"/>
        <w:tabs>
          <w:tab w:leader="none" w:pos="469"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Effective; Eligibility. </w:t>
      </w:r>
      <w:r>
        <w:rPr>
          <w:rFonts w:ascii="Arial" w:cs="Arial" w:eastAsia="Arial" w:hAnsi="Arial"/>
          <w:sz w:val="16"/>
          <w:szCs w:val="16"/>
          <w:color w:val="auto"/>
        </w:rPr>
        <w:t>The Registration Statement has become effective; no stop order suspending the effectiveness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is in effect, and no proceedings for such purpose are pending before or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96" w:lineRule="exact"/>
        <w:rPr>
          <w:rFonts w:ascii="Arial" w:cs="Arial" w:eastAsia="Arial" w:hAnsi="Arial"/>
          <w:sz w:val="16"/>
          <w:szCs w:val="16"/>
          <w:color w:val="auto"/>
        </w:rPr>
      </w:pPr>
    </w:p>
    <w:p>
      <w:pPr>
        <w:ind w:left="-40" w:firstLine="278"/>
        <w:spacing w:after="0" w:line="285" w:lineRule="auto"/>
        <w:tabs>
          <w:tab w:leader="none" w:pos="479"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Form; Disclosure. </w:t>
      </w:r>
      <w:r>
        <w:rPr>
          <w:rFonts w:ascii="Arial" w:cs="Arial" w:eastAsia="Arial" w:hAnsi="Arial"/>
          <w:sz w:val="16"/>
          <w:szCs w:val="16"/>
          <w:color w:val="auto"/>
        </w:rPr>
        <w:t>(i) Each document, if any, filed or to be filed pursuant to the Exchange Act and incorporated by reference in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 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the Time of Sale Prospectus and the Prospectus comply, and as amended or supplemented, if applicable, will comply in all material respects with the Securities Act and the applicable rules and regulations of the Commission thereunder, (v)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the Underwriter furnished to the Company in wr iting by such Underwriter expressly for use therein.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214630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80" w:top="563" w:right="259" w:bottom="1440" w:gutter="0" w:footer="0" w:header="0"/>
        </w:sectPr>
      </w:pPr>
    </w:p>
    <w:bookmarkStart w:id="7" w:name="page8"/>
    <w:bookmarkEnd w:id="7"/>
    <w:p>
      <w:pPr>
        <w:ind w:left="-60" w:right="60" w:firstLine="278"/>
        <w:spacing w:after="0" w:line="289"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Free Writing Prospectuses. </w:t>
      </w:r>
      <w:r>
        <w:rPr>
          <w:rFonts w:ascii="Arial" w:cs="Arial" w:eastAsia="Arial" w:hAnsi="Arial"/>
          <w:sz w:val="16"/>
          <w:szCs w:val="16"/>
          <w:color w:val="auto"/>
        </w:rPr>
        <w:t>The Company is not an “ineligible issuer” pursuant to Rules 164, 405 and 433 under the Securities Act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or referred to by the Company complies or will com 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you before first use, the Company has not prepared, used or referred to, and will not, without your prior consent, prepare, use or refer to, any free writing prospectus.</w:t>
      </w:r>
    </w:p>
    <w:p>
      <w:pPr>
        <w:spacing w:after="0" w:line="226" w:lineRule="exact"/>
        <w:rPr>
          <w:rFonts w:ascii="Arial" w:cs="Arial" w:eastAsia="Arial" w:hAnsi="Arial"/>
          <w:sz w:val="16"/>
          <w:szCs w:val="16"/>
          <w:color w:val="auto"/>
        </w:rPr>
      </w:pPr>
    </w:p>
    <w:p>
      <w:pPr>
        <w:ind w:left="-60" w:firstLine="278"/>
        <w:spacing w:after="0" w:line="289" w:lineRule="auto"/>
        <w:tabs>
          <w:tab w:leader="none" w:pos="45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Incorporated Documents</w:t>
      </w:r>
      <w:r>
        <w:rPr>
          <w:rFonts w:ascii="Arial" w:cs="Arial" w:eastAsia="Arial" w:hAnsi="Arial"/>
          <w:sz w:val="16"/>
          <w:szCs w:val="16"/>
          <w:color w:val="auto"/>
        </w:rPr>
        <w:t>. The documents incorporated or deemed to be incorporated by reference in the Registration Statement, the Time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Prospectus, at the time they were or hereafter are filed with the Commission (or, in the case of the Time of Sale Prospectus, first used, and, in the case of the Prospectus, for so long as a prospectus is required to be delivered in connection with the sale of the Shares), complied and will comply in all material respects with the requirements of the 1934 Act and the rules and regulations of the Commission thereunder (the “1934 Act Regulations”) and, when read together with the other information in (i) the Time of Sale Prospectus, at the time the Registration Statement became effective and at the time of each sale of Shares in the offering when the Prospectus is not yet available to prospective purchasers, and (ii) the Prospectus at the time the Prospectus was issued and at the Closing Time, in each case, did not and will not contain an untrue statement of a material fact or omit to state a material fact required to be stated therein or necessary to make the statements therein not misleading.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8" w:name="page9"/>
    <w:bookmarkEnd w:id="8"/>
    <w:p>
      <w:pPr>
        <w:ind w:right="380" w:firstLine="278"/>
        <w:spacing w:after="0" w:line="259" w:lineRule="auto"/>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public accountants as required by the 1933 Act and the rules and regulations of the Commission under the Securities Act (the “</w:t>
      </w:r>
      <w:r>
        <w:rPr>
          <w:rFonts w:ascii="Arial" w:cs="Arial" w:eastAsia="Arial" w:hAnsi="Arial"/>
          <w:sz w:val="18"/>
          <w:szCs w:val="18"/>
          <w:b w:val="1"/>
          <w:bCs w:val="1"/>
          <w:color w:val="auto"/>
        </w:rPr>
        <w:t>1933 Act</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right="100" w:firstLine="278"/>
        <w:spacing w:after="0" w:line="288"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included in the Registration Statement, the Time of Sale Prospectus and the Prospectus, together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schedules and notes, present fairly the respective financial positions of the Company at the dates indicated and the statement of operations, stockholders’ equity and cash flows of the Company for the periods specified; said financial statements have been prepared in conformity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The supporting schedules, if any, included in the Registration Statement present fairly in accordance with GAAP the information required to be stated therein. The selected financial data included in the Prospectus present fairly the information shown therein and have been compiled on a basis consistent with that of the audited financial statements included in the Registration Statement. All disclosures in the Registration Statement, the Time of Sale Prospectus or the Prospectus regarding “non-GAAP financial measures” (as such term is defined by the rules and regulations of the Commission) comply with Regulation G under the Exchange Act and Item 10(e) of Regulation S-K of the 1933 Act Regulations, to the extent applicable.</w:t>
      </w:r>
    </w:p>
    <w:p>
      <w:pPr>
        <w:spacing w:after="0" w:line="227" w:lineRule="exact"/>
        <w:rPr>
          <w:rFonts w:ascii="Arial" w:cs="Arial" w:eastAsia="Arial" w:hAnsi="Arial"/>
          <w:sz w:val="16"/>
          <w:szCs w:val="16"/>
          <w:color w:val="auto"/>
        </w:rPr>
      </w:pPr>
    </w:p>
    <w:p>
      <w:pPr>
        <w:ind w:right="260" w:firstLine="278"/>
        <w:spacing w:after="0" w:line="302" w:lineRule="auto"/>
        <w:tabs>
          <w:tab w:leader="none" w:pos="519"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No Material Adverse Change in Business</w:t>
      </w:r>
      <w:r>
        <w:rPr>
          <w:rFonts w:ascii="Arial" w:cs="Arial" w:eastAsia="Arial" w:hAnsi="Arial"/>
          <w:sz w:val="15"/>
          <w:szCs w:val="15"/>
          <w:color w:val="auto"/>
        </w:rPr>
        <w:t>. Since the respective dates as of which information is given in the Registration Statement and the Prospectus,</w:t>
      </w:r>
      <w:r>
        <w:rPr>
          <w:rFonts w:ascii="Arial" w:cs="Arial" w:eastAsia="Arial" w:hAnsi="Arial"/>
          <w:sz w:val="15"/>
          <w:szCs w:val="15"/>
          <w:i w:val="1"/>
          <w:iCs w:val="1"/>
          <w:color w:val="auto"/>
        </w:rPr>
        <w:t xml:space="preserve"> </w:t>
      </w:r>
      <w:r>
        <w:rPr>
          <w:rFonts w:ascii="Arial" w:cs="Arial" w:eastAsia="Arial" w:hAnsi="Arial"/>
          <w:sz w:val="15"/>
          <w:szCs w:val="15"/>
          <w:color w:val="auto"/>
        </w:rPr>
        <w:t>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business (a “</w:t>
      </w:r>
      <w:r>
        <w:rPr>
          <w:rFonts w:ascii="Arial" w:cs="Arial" w:eastAsia="Arial" w:hAnsi="Arial"/>
          <w:sz w:val="18"/>
          <w:szCs w:val="18"/>
          <w:b w:val="1"/>
          <w:bCs w:val="1"/>
          <w:color w:val="auto"/>
        </w:rPr>
        <w:t>Material Adverse Effect</w:t>
      </w:r>
      <w:r>
        <w:rPr>
          <w:rFonts w:ascii="Arial" w:cs="Arial" w:eastAsia="Arial" w:hAnsi="Arial"/>
          <w:sz w:val="21"/>
          <w:szCs w:val="21"/>
          <w:color w:val="auto"/>
        </w:rPr>
        <w:t>”), (B) there have been no transactions entered into by the Company, other than those in the ordinary</w:t>
      </w:r>
      <w:r>
        <w:rPr>
          <w:rFonts w:ascii="Arial" w:cs="Arial" w:eastAsia="Arial" w:hAnsi="Arial"/>
          <w:sz w:val="18"/>
          <w:szCs w:val="18"/>
          <w:color w:val="auto"/>
        </w:rPr>
        <w:t xml:space="preserve"> </w:t>
      </w:r>
      <w:r>
        <w:rPr>
          <w:rFonts w:ascii="Arial" w:cs="Arial" w:eastAsia="Arial" w:hAnsi="Arial"/>
          <w:sz w:val="21"/>
          <w:szCs w:val="21"/>
          <w:color w:val="auto"/>
        </w:rPr>
        <w:t>course of business, which are material with respect to the Company, and (C) there has been no dividend or distribution of any kind declared, paid or made by the Company on any class of its capital stock.</w:t>
      </w:r>
    </w:p>
    <w:p>
      <w:pPr>
        <w:spacing w:after="0" w:line="243" w:lineRule="exact"/>
        <w:rPr>
          <w:sz w:val="20"/>
          <w:szCs w:val="20"/>
          <w:color w:val="auto"/>
        </w:rPr>
      </w:pPr>
    </w:p>
    <w:p>
      <w:pPr>
        <w:ind w:right="60" w:firstLine="278"/>
        <w:spacing w:after="0" w:line="294" w:lineRule="auto"/>
        <w:tabs>
          <w:tab w:leader="none" w:pos="51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Good Standing of the Company</w:t>
      </w:r>
      <w:r>
        <w:rPr>
          <w:rFonts w:ascii="Arial" w:cs="Arial" w:eastAsia="Arial" w:hAnsi="Arial"/>
          <w:sz w:val="16"/>
          <w:szCs w:val="16"/>
          <w:color w:val="auto"/>
        </w:rPr>
        <w:t>. The Company has been duly organized and is validly existing as a corporation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New York and has corporate power and authority to own, lease and operate its properties and to conduct its business as described in the Time of Sale Prospectus and the Prospectus and to enter into and perform its obligations under this Agreement; and the Company is duly qualified as a foreign corporation to transact business and is in good standing in each jurisdiction in which such qualification is required, whether by reason of ownership or leasing of property or the conduct of business, except where the failure so to qualify or be in good standing would not result in a Material Adverse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9" w:name="page10"/>
    <w:bookmarkEnd w:id="9"/>
    <w:p>
      <w:pPr>
        <w:ind w:firstLine="278"/>
        <w:spacing w:after="0" w:line="26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Other than Regeneron UK Limited, which has no operations, employees, assets requiring disclosure in the Company’s financial statements,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or liabilities (contingent or otherwise), the Company has no subsidiaries.</w:t>
      </w:r>
    </w:p>
    <w:p>
      <w:pPr>
        <w:spacing w:after="0" w:line="240" w:lineRule="exact"/>
        <w:rPr>
          <w:rFonts w:ascii="Arial" w:cs="Arial" w:eastAsia="Arial" w:hAnsi="Arial"/>
          <w:sz w:val="18"/>
          <w:szCs w:val="18"/>
          <w:color w:val="auto"/>
        </w:rPr>
      </w:pPr>
    </w:p>
    <w:p>
      <w:pPr>
        <w:ind w:right="80" w:firstLine="278"/>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The authorized, issued and outstanding capital stock of the Company is as set forth in the condensed balance sheet at June 30, 2010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included in the Time of Sale Prospectus and the Prospectus (except for subsequent issuances, if any, pursuant to this Agreement, pursuant to reservations, agreements or employee benefit plans referred to in the Time of Sale Prospectus and the Prospectus or pursuant to the exercise of convertible securities or options referred to in the Time of Sale Prospectus and the Prospectus). The shares of issued and outstanding capital stock of the Company have been duly auth orized and validly issued and are fully paid and non-assessable; none of the outstanding shares of capital stock of the Company was issued in violation of the preemptive or other similar rights of any securityholder of the Company.</w:t>
      </w:r>
    </w:p>
    <w:p>
      <w:pPr>
        <w:spacing w:after="0" w:line="228" w:lineRule="exact"/>
        <w:rPr>
          <w:rFonts w:ascii="Arial" w:cs="Arial" w:eastAsia="Arial" w:hAnsi="Arial"/>
          <w:sz w:val="16"/>
          <w:szCs w:val="16"/>
          <w:color w:val="auto"/>
        </w:rPr>
      </w:pPr>
    </w:p>
    <w:p>
      <w:pPr>
        <w:ind w:left="520" w:hanging="24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79" w:lineRule="exact"/>
        <w:rPr>
          <w:rFonts w:ascii="Arial" w:cs="Arial" w:eastAsia="Arial" w:hAnsi="Arial"/>
          <w:sz w:val="18"/>
          <w:szCs w:val="18"/>
          <w:color w:val="auto"/>
        </w:rPr>
      </w:pPr>
    </w:p>
    <w:p>
      <w:pPr>
        <w:ind w:firstLine="278"/>
        <w:spacing w:after="0" w:line="254"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Authorization and Description of Securities</w:t>
      </w:r>
      <w:r>
        <w:rPr>
          <w:rFonts w:ascii="Arial" w:cs="Arial" w:eastAsia="Arial" w:hAnsi="Arial"/>
          <w:sz w:val="18"/>
          <w:szCs w:val="18"/>
          <w:color w:val="auto"/>
        </w:rPr>
        <w:t>. The Shares to be purchased by the Underwriter from the Company have been duly authorized for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to the Underwriter pursuant to this Agreement and, when issued and delivered by the Company pursuant to this Agreement against payment of the consideration set forth herein, will be validly issued, fully paid and non-assessable; the Common Stock conforms to all statements relating thereto contained in the Time of Sale Prospectus and the Prospectus and such description conforms to the rights set forth in the instruments defining the same; and no holder of the Shares will be subject to personal liability by reason of being such a holder; and the issuance of the Shares are not subject to the preemptive or other similar rights of any securityholder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0" w:name="page11"/>
    <w:bookmarkEnd w:id="10"/>
    <w:p>
      <w:pPr>
        <w:ind w:left="-20" w:firstLine="278"/>
        <w:spacing w:after="0" w:line="285" w:lineRule="auto"/>
        <w:tabs>
          <w:tab w:leader="none" w:pos="547"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w:t>
      </w:r>
      <w:r>
        <w:rPr>
          <w:rFonts w:ascii="Arial" w:cs="Arial" w:eastAsia="Arial" w:hAnsi="Arial"/>
          <w:sz w:val="16"/>
          <w:szCs w:val="16"/>
          <w:color w:val="auto"/>
        </w:rPr>
        <w:t>. The Company is not in violation of its charter or by-laws or in default in the performance or observance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(collectively, “</w:t>
      </w:r>
      <w:r>
        <w:rPr>
          <w:rFonts w:ascii="Arial" w:cs="Arial" w:eastAsia="Arial" w:hAnsi="Arial"/>
          <w:sz w:val="16"/>
          <w:szCs w:val="16"/>
          <w:b w:val="1"/>
          <w:bCs w:val="1"/>
          <w:color w:val="auto"/>
        </w:rPr>
        <w:t>Agreements and Instruments</w:t>
      </w:r>
      <w:r>
        <w:rPr>
          <w:rFonts w:ascii="Arial" w:cs="Arial" w:eastAsia="Arial" w:hAnsi="Arial"/>
          <w:sz w:val="16"/>
          <w:szCs w:val="16"/>
          <w:color w:val="auto"/>
        </w:rPr>
        <w:t>”) except for such defaults that would not result in a Material Adverse Effect; and the execution, delivery and performance of this Agreement by the Company and the consummation by the Company of the transactions contemplated herein and in the Prospectus (including the issuance and sale of the Shares and the use of the proceeds from the sale of the Shares as described in the Time of Sale Prospectus and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applicable law, statute, rule, regulation, judgment, order, writ or decree of any government, government instrumentality or court, domestic or foreign, having jurisdiction over the Company or any of its assets, properties or operations except for any such violation that could not be expected to result in a Material Adverse Effect. As used herein, a “</w:t>
      </w:r>
      <w:r>
        <w:rPr>
          <w:rFonts w:ascii="Arial" w:cs="Arial" w:eastAsia="Arial" w:hAnsi="Arial"/>
          <w:sz w:val="16"/>
          <w:szCs w:val="16"/>
          <w:b w:val="1"/>
          <w:b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 he repurchase, redemption or repayment of all or a portion of such indebtedness by the Company.</w:t>
      </w:r>
    </w:p>
    <w:p>
      <w:pPr>
        <w:spacing w:after="0" w:line="234" w:lineRule="exact"/>
        <w:rPr>
          <w:rFonts w:ascii="Arial" w:cs="Arial" w:eastAsia="Arial" w:hAnsi="Arial"/>
          <w:sz w:val="16"/>
          <w:szCs w:val="16"/>
          <w:color w:val="auto"/>
        </w:rPr>
      </w:pPr>
    </w:p>
    <w:p>
      <w:pPr>
        <w:ind w:left="-20" w:right="100" w:firstLine="278"/>
        <w:spacing w:after="0" w:line="259" w:lineRule="auto"/>
        <w:tabs>
          <w:tab w:leader="none" w:pos="49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exists or, to the knowledge of the Company, is imminent,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not aware of any existing or imminent labor disturbance by the employees of any of its principal suppliers, manufacturers, customers or contractors, which, in any case, may reasonably be expected to result in a Material Adverse Effect.</w:t>
      </w:r>
    </w:p>
    <w:p>
      <w:pPr>
        <w:spacing w:after="0" w:line="248" w:lineRule="exact"/>
        <w:rPr>
          <w:rFonts w:ascii="Arial" w:cs="Arial" w:eastAsia="Arial" w:hAnsi="Arial"/>
          <w:sz w:val="18"/>
          <w:szCs w:val="18"/>
          <w:color w:val="auto"/>
        </w:rPr>
      </w:pPr>
    </w:p>
    <w:p>
      <w:pPr>
        <w:ind w:left="-20" w:right="20" w:firstLine="278"/>
        <w:spacing w:after="0" w:line="289" w:lineRule="auto"/>
        <w:tabs>
          <w:tab w:leader="none" w:pos="49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Absence of Proceedings</w:t>
      </w:r>
      <w:r>
        <w:rPr>
          <w:rFonts w:ascii="Arial" w:cs="Arial" w:eastAsia="Arial" w:hAnsi="Arial"/>
          <w:sz w:val="16"/>
          <w:szCs w:val="16"/>
          <w:color w:val="auto"/>
        </w:rPr>
        <w:t>. Other than as disclosed in the Registration Statement, the Time of Sale Prospectus and the Prospectus, there is no action, suit,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inquiry or investigation before or brought by any court or governmental agency or body, domestic or foreign, now pending, or, to the knowledge of the Company, threatened, against or affecting the Company, which is required to be disclosed in the Registration Statement, the Time of Sale Prospectus and the Prospectus, or which might reasonably be expected to result in a Material Adverse Effect, or which mi ght reasonably be expected to materially and adversely affect the properties or assets thereof or the consummation of the transactions contemplated in this Agreement or the performance by the Company of its obligations hereunder; the aggregate of all pending legal or governmental proceedings to which the Company is a party or of which any of its property or assets is the subject which are not described in the Registration Statement, the Time of Sale Prospectus and the Prospectus including ordinary routine litigation incidental to the business, could not reasonably be expected to result in a Material Adverse Effect.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644" w:right="259" w:bottom="1440" w:gutter="0" w:footer="0" w:header="0"/>
        </w:sectPr>
      </w:pPr>
    </w:p>
    <w:bookmarkStart w:id="11" w:name="page12"/>
    <w:bookmarkEnd w:id="11"/>
    <w:p>
      <w:pPr>
        <w:ind w:left="-60" w:firstLine="278"/>
        <w:spacing w:after="0" w:line="253" w:lineRule="auto"/>
        <w:tabs>
          <w:tab w:leader="none" w:pos="45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Neither the Company nor any of its affiliates, nor any director, officer, or employee, nor any agent or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of any of its affiliates, in each case, to the Company’s knowledge,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 y of the foregoing, or any political party or party official or candidate for political office) to influence official action or secure an improper advantage; and, to the Company’s knowledge, the Company and its affiliates have conducted their businesses in compliance with applicable anti-corruption laws.</w:t>
      </w:r>
    </w:p>
    <w:p>
      <w:pPr>
        <w:spacing w:after="0" w:line="255" w:lineRule="exact"/>
        <w:rPr>
          <w:rFonts w:ascii="Arial" w:cs="Arial" w:eastAsia="Arial" w:hAnsi="Arial"/>
          <w:sz w:val="18"/>
          <w:szCs w:val="18"/>
          <w:color w:val="auto"/>
        </w:rPr>
      </w:pPr>
    </w:p>
    <w:p>
      <w:pPr>
        <w:ind w:left="-60" w:firstLine="278"/>
        <w:spacing w:after="0" w:line="253" w:lineRule="auto"/>
        <w:tabs>
          <w:tab w:leader="none" w:pos="45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Anti-Money Laundering Laws</w:t>
      </w:r>
      <w:r>
        <w:rPr>
          <w:rFonts w:ascii="Arial" w:cs="Arial" w:eastAsia="Arial" w:hAnsi="Arial"/>
          <w:sz w:val="18"/>
          <w:szCs w:val="18"/>
          <w:color w:val="auto"/>
        </w:rPr>
        <w:t>. The operations of the Company are and have been conducted at all times in material compliance with all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 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255" w:lineRule="exact"/>
        <w:rPr>
          <w:rFonts w:ascii="Arial" w:cs="Arial" w:eastAsia="Arial" w:hAnsi="Arial"/>
          <w:sz w:val="18"/>
          <w:szCs w:val="18"/>
          <w:color w:val="auto"/>
        </w:rPr>
      </w:pPr>
    </w:p>
    <w:p>
      <w:pPr>
        <w:ind w:left="-60" w:right="340" w:firstLine="278"/>
        <w:spacing w:after="0" w:line="332" w:lineRule="auto"/>
        <w:tabs>
          <w:tab w:leader="none" w:pos="429"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Foreign Asset Control Compliance</w:t>
      </w:r>
      <w:r>
        <w:rPr>
          <w:rFonts w:ascii="Arial" w:cs="Arial" w:eastAsia="Arial" w:hAnsi="Arial"/>
          <w:sz w:val="16"/>
          <w:szCs w:val="16"/>
          <w:color w:val="auto"/>
        </w:rPr>
        <w:t>. (i) The Company represents that neither the Company nor, to the Company’s knowledge, any director,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agent, affiliate or representative of the Company, is an individual or entity (each, a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a Person that is:</w:t>
      </w:r>
    </w:p>
    <w:p>
      <w:pPr>
        <w:spacing w:after="0" w:line="187" w:lineRule="exact"/>
        <w:rPr>
          <w:rFonts w:ascii="Arial" w:cs="Arial" w:eastAsia="Arial" w:hAnsi="Arial"/>
          <w:sz w:val="16"/>
          <w:szCs w:val="16"/>
          <w:color w:val="auto"/>
        </w:rPr>
      </w:pPr>
    </w:p>
    <w:p>
      <w:pPr>
        <w:ind w:left="220" w:right="160" w:firstLine="268"/>
        <w:spacing w:after="0" w:line="262" w:lineRule="auto"/>
        <w:tabs>
          <w:tab w:leader="none" w:pos="778"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 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246" w:lineRule="exact"/>
        <w:rPr>
          <w:rFonts w:ascii="Arial" w:cs="Arial" w:eastAsia="Arial" w:hAnsi="Arial"/>
          <w:sz w:val="18"/>
          <w:szCs w:val="18"/>
          <w:color w:val="auto"/>
        </w:rPr>
      </w:pPr>
    </w:p>
    <w:p>
      <w:pPr>
        <w:ind w:left="220" w:right="320" w:firstLine="268"/>
        <w:spacing w:after="0" w:line="268" w:lineRule="auto"/>
        <w:tabs>
          <w:tab w:leader="none" w:pos="768" w:val="left"/>
        </w:tabs>
        <w:numPr>
          <w:ilvl w:val="1"/>
          <w:numId w:val="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300" w:top="644" w:right="279" w:bottom="1440" w:gutter="0" w:footer="0" w:header="0"/>
        </w:sectPr>
      </w:pPr>
    </w:p>
    <w:bookmarkStart w:id="12" w:name="page13"/>
    <w:bookmarkEnd w:id="12"/>
    <w:p>
      <w:pPr>
        <w:ind w:left="-40" w:right="20" w:firstLine="548"/>
        <w:spacing w:after="0" w:line="268" w:lineRule="auto"/>
        <w:tabs>
          <w:tab w:leader="none" w:pos="759"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represents that it will use the proceeds from the sale of the Shares as described in the Time of Sale Prospectus and the Prospectus under the caption “Use of Proceeds.”</w:t>
      </w:r>
    </w:p>
    <w:p>
      <w:pPr>
        <w:spacing w:after="0" w:line="240" w:lineRule="exact"/>
        <w:rPr>
          <w:rFonts w:ascii="Arial" w:cs="Arial" w:eastAsia="Arial" w:hAnsi="Arial"/>
          <w:sz w:val="18"/>
          <w:szCs w:val="18"/>
          <w:color w:val="auto"/>
        </w:rPr>
      </w:pPr>
    </w:p>
    <w:p>
      <w:pPr>
        <w:ind w:left="-40" w:right="240" w:firstLine="548"/>
        <w:spacing w:after="0" w:line="268" w:lineRule="auto"/>
        <w:tabs>
          <w:tab w:leader="none" w:pos="80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represents that it is not knowingly engaged in any dealings or transactions with any Person, or in any country or territory, that at the time of the dealing or transaction is or was the subject of Sanctions.</w:t>
      </w:r>
    </w:p>
    <w:p>
      <w:pPr>
        <w:spacing w:after="0" w:line="240" w:lineRule="exact"/>
        <w:rPr>
          <w:rFonts w:ascii="Arial" w:cs="Arial" w:eastAsia="Arial" w:hAnsi="Arial"/>
          <w:sz w:val="18"/>
          <w:szCs w:val="18"/>
          <w:color w:val="auto"/>
        </w:rPr>
      </w:pPr>
    </w:p>
    <w:p>
      <w:pPr>
        <w:ind w:left="-40" w:right="160" w:firstLine="278"/>
        <w:spacing w:after="0" w:line="370" w:lineRule="auto"/>
        <w:tabs>
          <w:tab w:leader="none" w:pos="459"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Accuracy of Exhibits</w:t>
      </w:r>
      <w:r>
        <w:rPr>
          <w:rFonts w:ascii="Arial" w:cs="Arial" w:eastAsia="Arial" w:hAnsi="Arial"/>
          <w:sz w:val="15"/>
          <w:szCs w:val="15"/>
          <w:color w:val="auto"/>
        </w:rPr>
        <w:t>. There are no contracts or documents which are required to be described in the Registration Statement, the Time of Sale Prospectus</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Prospectus or the documents incorporated by reference therein or to be filed as exhibits thereto which have not been so described and filed as required.</w:t>
      </w:r>
    </w:p>
    <w:p>
      <w:pPr>
        <w:spacing w:after="0" w:line="170" w:lineRule="exact"/>
        <w:rPr>
          <w:rFonts w:ascii="Arial" w:cs="Arial" w:eastAsia="Arial" w:hAnsi="Arial"/>
          <w:sz w:val="15"/>
          <w:szCs w:val="15"/>
          <w:color w:val="auto"/>
        </w:rPr>
      </w:pPr>
    </w:p>
    <w:p>
      <w:pPr>
        <w:ind w:left="-40" w:firstLine="278"/>
        <w:spacing w:after="0" w:line="286"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The Company owns or possesses, or will use its best efforts to acquire on reasonable terms, adequate patents,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carry on the business now operated by them. Except as disclosed in the Time of Sale Prospectus and the Prospectus, (i) there is no litigation or other proceeding pending or, to the Company’s knowledge, threatened and no claims are presently being asserted by any third party challenging or questioning the ownership, validity, enforceability of the Company’s right to use or own any Intellectual Property or asserting that the use of any Intellectual Property by the Company or the operation of the business of the Company infringes upon or misappropriates the Intellectual Property of any third party, other than infringements which would not be reasonably likely to have a Material Adverse Effect, and (ii)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therei n, and which infringement or conflict (if the subject of any unfavorable decision, ruling or finding) or invalidity or inadequacy, singly or in the aggregate, would result in a Material Adverse Effect.</w:t>
      </w:r>
    </w:p>
    <w:p>
      <w:pPr>
        <w:spacing w:after="0" w:line="235" w:lineRule="exact"/>
        <w:rPr>
          <w:rFonts w:ascii="Arial" w:cs="Arial" w:eastAsia="Arial" w:hAnsi="Arial"/>
          <w:sz w:val="16"/>
          <w:szCs w:val="16"/>
          <w:color w:val="auto"/>
        </w:rPr>
      </w:pPr>
    </w:p>
    <w:p>
      <w:pPr>
        <w:ind w:left="-40" w:right="120" w:firstLine="278"/>
        <w:spacing w:after="0" w:line="256" w:lineRule="auto"/>
        <w:tabs>
          <w:tab w:leader="none" w:pos="47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court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or agency is necessary or required for the performance by the Company of its obligations hereunder, in connection with the offering, issuance or sale of the Shares hereunder or the consummation of the transactions contemplated by this Agreement, except such as have been already obtained or as may be required under the Securities Act or state securities 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80" w:top="644" w:right="279" w:bottom="1440" w:gutter="0" w:footer="0" w:header="0"/>
        </w:sectPr>
      </w:pPr>
    </w:p>
    <w:bookmarkStart w:id="13" w:name="page14"/>
    <w:bookmarkEnd w:id="13"/>
    <w:p>
      <w:pPr>
        <w:ind w:left="280"/>
        <w:spacing w:after="0"/>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i w:val="1"/>
          <w:iCs w:val="1"/>
          <w:color w:val="auto"/>
        </w:rPr>
        <w:t>Possession of Licenses and Permits</w:t>
      </w:r>
      <w:r>
        <w:rPr>
          <w:rFonts w:ascii="Arial" w:cs="Arial" w:eastAsia="Arial" w:hAnsi="Arial"/>
          <w:sz w:val="16"/>
          <w:szCs w:val="16"/>
          <w:color w:val="auto"/>
        </w:rPr>
        <w:t>. The Company possesses such permits, licenses, approvals, consents and other authorizations (collectively,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Licenses</w:t>
      </w:r>
      <w:r>
        <w:rPr>
          <w:rFonts w:ascii="Arial" w:cs="Arial" w:eastAsia="Arial" w:hAnsi="Arial"/>
          <w:sz w:val="15"/>
          <w:szCs w:val="15"/>
          <w:color w:val="auto"/>
        </w:rPr>
        <w:t>”) issued by the appropriate federal, state, local or foreign regulatory agencies or bodies necessary to conduct the business now operated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by them; the Company is in compliance with the terms and conditions of all such Governmental Licenses, except where the failure so to comply would not, singly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the aggregate, have a Material Adverse Effect; all of the Governmental Licenses are valid and in full force and effect, except when the invalidity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Governmental Licenses or the failure of such Governmental Licenses to be in full force and effect would not have a Material Adverse Effect; and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not received any notice of proceedings relating to the revocation or modification of any such Governmental Licenses which, singly or in the aggregate, if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of an unfavorable decision, ruling or finding, would result in a Material Adverse Effect.</w:t>
      </w:r>
    </w:p>
    <w:p>
      <w:pPr>
        <w:spacing w:after="0" w:line="273" w:lineRule="exact"/>
        <w:rPr>
          <w:sz w:val="20"/>
          <w:szCs w:val="20"/>
          <w:color w:val="auto"/>
        </w:rPr>
      </w:pPr>
    </w:p>
    <w:p>
      <w:pPr>
        <w:ind w:right="40" w:firstLine="278"/>
        <w:spacing w:after="0" w:line="289" w:lineRule="auto"/>
        <w:tabs>
          <w:tab w:leader="none" w:pos="55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Title to Property</w:t>
      </w:r>
      <w:r>
        <w:rPr>
          <w:rFonts w:ascii="Arial" w:cs="Arial" w:eastAsia="Arial" w:hAnsi="Arial"/>
          <w:sz w:val="16"/>
          <w:szCs w:val="16"/>
          <w:color w:val="auto"/>
        </w:rPr>
        <w:t>. The Company has good and marketable title to all real property owned by the Company and good title to all other properties owned by</w:t>
      </w:r>
      <w:r>
        <w:rPr>
          <w:rFonts w:ascii="Arial" w:cs="Arial" w:eastAsia="Arial" w:hAnsi="Arial"/>
          <w:sz w:val="16"/>
          <w:szCs w:val="16"/>
          <w:i w:val="1"/>
          <w:iCs w:val="1"/>
          <w:color w:val="auto"/>
        </w:rPr>
        <w:t xml:space="preserve"> </w:t>
      </w:r>
      <w:r>
        <w:rPr>
          <w:rFonts w:ascii="Arial" w:cs="Arial" w:eastAsia="Arial" w:hAnsi="Arial"/>
          <w:sz w:val="16"/>
          <w:szCs w:val="16"/>
          <w:color w:val="auto"/>
        </w:rPr>
        <w:t>it, in each case, free and clear of all mortgages, pledges, liens, security interests, claims, restrictions or encumbrances of any kind except such as (a) are described in the Time of Sale Prospectus and the Prospectus or (b) do not, singly or in the aggregate, materially affect the value of such property and do not interfere with the use made and proposed to be made of such property by the Company; and all of the leases and subleases material to the business of the Company considered as one enterprise, and under which the Company ho lds properties described in the Time of Sale Prospectus and the Prospectus, are in full force and effect, and the Company has no notice of any material claim of any sort that has been asserted by anyone adverse to the rights of the Company any of the leases or subleases mentioned above, or affecting or questioning the rights of the Company to the continued possession of the leased or subleased premises under any such lease or sublease.</w:t>
      </w:r>
    </w:p>
    <w:p>
      <w:pPr>
        <w:spacing w:after="0" w:line="226" w:lineRule="exact"/>
        <w:rPr>
          <w:rFonts w:ascii="Arial" w:cs="Arial" w:eastAsia="Arial" w:hAnsi="Arial"/>
          <w:sz w:val="16"/>
          <w:szCs w:val="16"/>
          <w:color w:val="auto"/>
        </w:rPr>
      </w:pPr>
    </w:p>
    <w:p>
      <w:pPr>
        <w:ind w:firstLine="278"/>
        <w:spacing w:after="0" w:line="286" w:lineRule="auto"/>
        <w:tabs>
          <w:tab w:leader="none" w:pos="51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Environmental Laws</w:t>
      </w:r>
      <w:r>
        <w:rPr>
          <w:rFonts w:ascii="Arial" w:cs="Arial" w:eastAsia="Arial" w:hAnsi="Arial"/>
          <w:sz w:val="16"/>
          <w:szCs w:val="16"/>
          <w:color w:val="auto"/>
        </w:rPr>
        <w:t>. Except as described in the Registration Statement, the Time of Sale Prospectus and the Prospectus and except as would not, singly or</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aggregate, result in a Material Adverse Effect,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 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(B) the Company has all permits, authorizations and ap 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and (D) there are no events or circumstances that might reasonably be expected to form the basis of an order for clean-up or remediation, or an action, suit or proceeding by any private party or governmental body.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4" w:name="page15"/>
    <w:bookmarkEnd w:id="14"/>
    <w:p>
      <w:pPr>
        <w:ind w:right="640" w:firstLine="278"/>
        <w:spacing w:after="0" w:line="306" w:lineRule="auto"/>
        <w:tabs>
          <w:tab w:leader="none" w:pos="524"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upon the issuance and sale of the Shares as herein contemplated and the application of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therefrom as described in the Time of Sale Prospectus and the Prospectus will not be, an “investment company” or an entity controlled by an “investment company” as such terms are defined in the Investment Company Act of 1940, as amended (the “</w:t>
      </w:r>
      <w:r>
        <w:rPr>
          <w:rFonts w:ascii="Arial" w:cs="Arial" w:eastAsia="Arial" w:hAnsi="Arial"/>
          <w:sz w:val="16"/>
          <w:szCs w:val="16"/>
          <w:b w:val="1"/>
          <w:bCs w:val="1"/>
          <w:color w:val="auto"/>
        </w:rPr>
        <w:t>1940 Act</w:t>
      </w:r>
      <w:r>
        <w:rPr>
          <w:rFonts w:ascii="Arial" w:cs="Arial" w:eastAsia="Arial" w:hAnsi="Arial"/>
          <w:sz w:val="16"/>
          <w:szCs w:val="16"/>
          <w:color w:val="auto"/>
        </w:rPr>
        <w:t>”).</w:t>
      </w:r>
    </w:p>
    <w:p>
      <w:pPr>
        <w:spacing w:after="0" w:line="214" w:lineRule="exact"/>
        <w:rPr>
          <w:rFonts w:ascii="Arial" w:cs="Arial" w:eastAsia="Arial" w:hAnsi="Arial"/>
          <w:sz w:val="16"/>
          <w:szCs w:val="16"/>
          <w:color w:val="auto"/>
        </w:rPr>
      </w:pPr>
    </w:p>
    <w:p>
      <w:pPr>
        <w:ind w:right="20" w:firstLine="278"/>
        <w:spacing w:after="0" w:line="255" w:lineRule="auto"/>
        <w:tabs>
          <w:tab w:leader="none" w:pos="51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FDA and PTO Proceedings</w:t>
      </w:r>
      <w:r>
        <w:rPr>
          <w:rFonts w:ascii="Arial" w:cs="Arial" w:eastAsia="Arial" w:hAnsi="Arial"/>
          <w:sz w:val="18"/>
          <w:szCs w:val="18"/>
          <w:color w:val="auto"/>
        </w:rPr>
        <w:t>. To the Company’s knowledge, except as disclosed in the Time of Sale Prospectus and the Prospectus, there are no rulemaking</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proceedings before the U.S. Food and Drug Administration, the U.S. Patent and Trademark Office or the European Patent Office which affect or involve the Company or any of the processes or products which the Time of Sale Prospectus and the Prospectus disclose the Company to have developed, to be developing or to propose to develop or use or propose to use which, if the subject of an action unfavorable to the Company, would have a Material Adverse Effect.</w:t>
      </w:r>
    </w:p>
    <w:p>
      <w:pPr>
        <w:spacing w:after="0" w:line="251" w:lineRule="exact"/>
        <w:rPr>
          <w:sz w:val="20"/>
          <w:szCs w:val="20"/>
          <w:color w:val="auto"/>
        </w:rPr>
      </w:pPr>
    </w:p>
    <w:p>
      <w:pPr>
        <w:ind w:right="180" w:firstLine="278"/>
        <w:spacing w:after="0" w:line="306" w:lineRule="auto"/>
        <w:tabs>
          <w:tab w:leader="none" w:pos="451"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Underwriter, and the Underwriter, upon the basis of the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herein contained, but subject to the conditions hereinafter stated, agrees to purchase from the Company the number of Shares set forth in Schedule II hereto opposite its name at the purchase price set forth in Schedule I hereto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215"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 the Additional Shares, and the Underwriter shall have the right to purchase up to the number of Additional Shares set forth in Schedule I hereto at the Purchase Price, provided, however, that the amount paid by the Underwriter for any Additional Shares shall be reduced by an amount per share equal to any dividends declared by the Company and payable on the Firm Shares but not payable on such Additional Shares. You may exercise this right on behalf of the Underwriter in whole or from time to time in part by giving written notice not later than 30 days after the date of the Prospectus. Any exercise notice shall specify the number of Additional Shares to be purchased by the Underwriter and the da te on which such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Option Closing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5" w:name="page16"/>
    <w:bookmarkEnd w:id="15"/>
    <w:p>
      <w:pPr>
        <w:ind w:firstLine="278"/>
        <w:spacing w:after="0" w:line="259" w:lineRule="auto"/>
        <w:tabs>
          <w:tab w:leader="none" w:pos="45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Company is advised by you that the Underwriter proposes to make a public offering of the Shares as soon after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and this Agreement have become effective as in your judgment is advisable. The Company is further advised by you that the Shares are to be offered to the public upon the terms set forth in the Prospectus.</w:t>
      </w:r>
    </w:p>
    <w:p>
      <w:pPr>
        <w:spacing w:after="0" w:line="248" w:lineRule="exact"/>
        <w:rPr>
          <w:rFonts w:ascii="Arial" w:cs="Arial" w:eastAsia="Arial" w:hAnsi="Arial"/>
          <w:sz w:val="18"/>
          <w:szCs w:val="18"/>
          <w:color w:val="auto"/>
        </w:rPr>
      </w:pPr>
    </w:p>
    <w:p>
      <w:pPr>
        <w:ind w:right="60" w:firstLine="278"/>
        <w:spacing w:after="0" w:line="306" w:lineRule="auto"/>
        <w:tabs>
          <w:tab w:leader="none" w:pos="45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Payment and Delivery. </w:t>
      </w:r>
      <w:r>
        <w:rPr>
          <w:rFonts w:ascii="Arial" w:cs="Arial" w:eastAsia="Arial" w:hAnsi="Arial"/>
          <w:sz w:val="16"/>
          <w:szCs w:val="16"/>
          <w:color w:val="auto"/>
        </w:rPr>
        <w:t>Payment for the Shares shall be made to the Company in Federal or other funds immediately available in New York City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and time set forth in Schedule I hereto, or at such other time on the same or such other date, not later than the fifth business day thereafter, as may be designated in writing by you. The time and date of such payment are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215"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on the date specified in the corresponding notice described in Section 2 or at such other time on the same or on such other date, in any event not later than the tenth business day thereafter, as may be designated in writing by you.</w:t>
      </w:r>
    </w:p>
    <w:p>
      <w:pPr>
        <w:spacing w:after="0" w:line="248" w:lineRule="exact"/>
        <w:rPr>
          <w:sz w:val="20"/>
          <w:szCs w:val="20"/>
          <w:color w:val="auto"/>
        </w:rPr>
      </w:pPr>
    </w:p>
    <w:p>
      <w:pPr>
        <w:jc w:val="both"/>
        <w:ind w:right="100" w:firstLine="270"/>
        <w:spacing w:after="0" w:line="306" w:lineRule="auto"/>
        <w:rPr>
          <w:sz w:val="20"/>
          <w:szCs w:val="20"/>
          <w:color w:val="auto"/>
        </w:rPr>
      </w:pPr>
      <w:r>
        <w:rPr>
          <w:rFonts w:ascii="Arial" w:cs="Arial" w:eastAsia="Arial" w:hAnsi="Arial"/>
          <w:sz w:val="16"/>
          <w:szCs w:val="16"/>
          <w:color w:val="auto"/>
        </w:rPr>
        <w:t>The Firm Shares and the Additional Shares shall be registered in such names and in such denominations as you shall request in writing not later than one full business day prior to the Closing Date or applicable Option Closing Date, as the case may be, for the account of the Underwriter, with any transfer taxes payable in connection with the transfer of the Shares to the Underwriter duly paid, against payment of the Purchase Price therefor.</w:t>
      </w:r>
    </w:p>
    <w:p>
      <w:pPr>
        <w:spacing w:after="0" w:line="215" w:lineRule="exact"/>
        <w:rPr>
          <w:sz w:val="20"/>
          <w:szCs w:val="20"/>
          <w:color w:val="auto"/>
        </w:rPr>
      </w:pPr>
    </w:p>
    <w:p>
      <w:pPr>
        <w:ind w:left="460" w:hanging="18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Underwriter are subject to the following conditions:</w:t>
      </w:r>
    </w:p>
    <w:p>
      <w:pPr>
        <w:spacing w:after="0" w:line="279"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(a) Subsequent to the execution and delivery of this Agreement and prior to the Closing Date:</w:t>
      </w:r>
    </w:p>
    <w:p>
      <w:pPr>
        <w:spacing w:after="0" w:line="279" w:lineRule="exact"/>
        <w:rPr>
          <w:rFonts w:ascii="Arial" w:cs="Arial" w:eastAsia="Arial" w:hAnsi="Arial"/>
          <w:sz w:val="18"/>
          <w:szCs w:val="18"/>
          <w:color w:val="auto"/>
        </w:rPr>
      </w:pPr>
    </w:p>
    <w:p>
      <w:pPr>
        <w:ind w:left="280" w:right="160" w:firstLine="268"/>
        <w:spacing w:after="0" w:line="306" w:lineRule="auto"/>
        <w:tabs>
          <w:tab w:leader="none" w:pos="764"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 recognized statistical rating organization,” as such term is defined for purposes of Rule 436(g)(2) under the Securities Act; and</w:t>
      </w:r>
    </w:p>
    <w:p>
      <w:pPr>
        <w:spacing w:after="0" w:line="214" w:lineRule="exact"/>
        <w:rPr>
          <w:rFonts w:ascii="Arial" w:cs="Arial" w:eastAsia="Arial" w:hAnsi="Arial"/>
          <w:sz w:val="16"/>
          <w:szCs w:val="16"/>
          <w:color w:val="auto"/>
        </w:rPr>
      </w:pPr>
    </w:p>
    <w:p>
      <w:pPr>
        <w:ind w:left="280" w:right="20" w:firstLine="268"/>
        <w:spacing w:after="0" w:line="256" w:lineRule="auto"/>
        <w:tabs>
          <w:tab w:leader="none" w:pos="8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there shall not have occurred any change, or any development involving a prospective change, in the condition, financial or otherwise, or in the earnings, business or operations of the Company from that set forth in the Time of Sale Prospectus as of the date of this Agreement that, in your judgment, is material and adverse and that makes it, in your judgment, impracticable to market the Shares on the terms and in the manner contemplated in the Time of Sale Prospectus.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6" w:name="page17"/>
    <w:bookmarkEnd w:id="16"/>
    <w:p>
      <w:pPr>
        <w:ind w:left="-80" w:right="100" w:firstLine="278"/>
        <w:spacing w:after="0" w:line="256" w:lineRule="auto"/>
        <w:tabs>
          <w:tab w:leader="none" w:pos="4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a certificate, dated the Closing Date and signed by an executive officer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279" w:lineRule="exact"/>
        <w:rPr>
          <w:sz w:val="20"/>
          <w:szCs w:val="20"/>
          <w:color w:val="auto"/>
        </w:rPr>
      </w:pPr>
    </w:p>
    <w:p>
      <w:pPr>
        <w:ind w:left="-80" w:right="40" w:firstLine="278"/>
        <w:spacing w:after="0" w:line="255" w:lineRule="auto"/>
        <w:tabs>
          <w:tab w:leader="none" w:pos="4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(i) the favorable opinion of Skadden, Arps, Slate, Meagher &amp; Flom LLP, outside counsel for the Company, dated the Closing Date, (ii) the favorable opinion of Stuart A. Kolinski, Esq., General Counsel of the Company, dated the Closing Date, and (iii) the favorable opinion of Valeta Gregg, in-house intellectual property counsel for the Company, dated the Closing Date, in each case, in form and substance satisfactory to the Underwriter. The opinions of counsel for the Company referred to in this Section 5(c) shall be rendered to the Underwriter at the request of the Company and shall so state therein.</w:t>
      </w:r>
    </w:p>
    <w:p>
      <w:pPr>
        <w:spacing w:after="0" w:line="250" w:lineRule="exact"/>
        <w:rPr>
          <w:rFonts w:ascii="Arial" w:cs="Arial" w:eastAsia="Arial" w:hAnsi="Arial"/>
          <w:sz w:val="18"/>
          <w:szCs w:val="18"/>
          <w:color w:val="auto"/>
        </w:rPr>
      </w:pPr>
    </w:p>
    <w:p>
      <w:pPr>
        <w:ind w:left="-80" w:right="120" w:firstLine="278"/>
        <w:spacing w:after="0" w:line="268" w:lineRule="auto"/>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an opinion of Ropes &amp; Gray LLP, counsel for the Underwriter, dated the Closing Date, in form and substance satisfactory to the Underwriter.</w:t>
      </w:r>
    </w:p>
    <w:p>
      <w:pPr>
        <w:spacing w:after="0" w:line="240" w:lineRule="exact"/>
        <w:rPr>
          <w:rFonts w:ascii="Arial" w:cs="Arial" w:eastAsia="Arial" w:hAnsi="Arial"/>
          <w:sz w:val="18"/>
          <w:szCs w:val="18"/>
          <w:color w:val="auto"/>
        </w:rPr>
      </w:pPr>
    </w:p>
    <w:p>
      <w:pPr>
        <w:ind w:left="-80" w:firstLine="278"/>
        <w:spacing w:after="0" w:line="298" w:lineRule="auto"/>
        <w:tabs>
          <w:tab w:leader="none" w:pos="4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Underwriter shall have received on the Closing Date a letter dated the date of the Closing Date, in form and substance satisfactory to the Underwriter,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 l use a “cut-off date” not earlier than the date hereof.</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the Underwriter as follows:</w:t>
      </w:r>
    </w:p>
    <w:p>
      <w:pPr>
        <w:spacing w:after="0" w:line="279" w:lineRule="exact"/>
        <w:rPr>
          <w:sz w:val="20"/>
          <w:szCs w:val="20"/>
          <w:color w:val="auto"/>
        </w:rPr>
      </w:pPr>
    </w:p>
    <w:p>
      <w:pPr>
        <w:ind w:left="-80" w:right="420" w:firstLine="278"/>
        <w:spacing w:after="0" w:line="335" w:lineRule="auto"/>
        <w:tabs>
          <w:tab w:leader="none" w:pos="434"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furnish to you, without charge, a signed copy of the Registration Statement (including exhibits thereto and documents incorporated by reference therein) and to deliver to you during the period mentioned in Section 6(e) or 6(f) below, as many copies of the Time of Sale Prospectus, the Prospectus, any documents incorporated by reference therein and any supplements and amendments thereto or to the Registration Statement as you may reasonably request.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320" w:top="644" w:right="299" w:bottom="1440" w:gutter="0" w:footer="0" w:header="0"/>
        </w:sectPr>
      </w:pPr>
    </w:p>
    <w:bookmarkStart w:id="17" w:name="page18"/>
    <w:bookmarkEnd w:id="17"/>
    <w:p>
      <w:pPr>
        <w:ind w:left="-40" w:right="500" w:firstLine="278"/>
        <w:spacing w:after="0" w:line="332" w:lineRule="auto"/>
        <w:tabs>
          <w:tab w:leader="none" w:pos="4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w:t>
      </w:r>
    </w:p>
    <w:p>
      <w:pPr>
        <w:spacing w:after="0" w:line="193" w:lineRule="exact"/>
        <w:rPr>
          <w:rFonts w:ascii="Arial" w:cs="Arial" w:eastAsia="Arial" w:hAnsi="Arial"/>
          <w:sz w:val="16"/>
          <w:szCs w:val="16"/>
          <w:color w:val="auto"/>
        </w:rPr>
      </w:pPr>
    </w:p>
    <w:p>
      <w:pPr>
        <w:ind w:left="-40" w:right="40" w:firstLine="278"/>
        <w:spacing w:after="0" w:line="268" w:lineRule="auto"/>
        <w:tabs>
          <w:tab w:leader="none" w:pos="4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240" w:lineRule="exact"/>
        <w:rPr>
          <w:rFonts w:ascii="Arial" w:cs="Arial" w:eastAsia="Arial" w:hAnsi="Arial"/>
          <w:sz w:val="18"/>
          <w:szCs w:val="18"/>
          <w:color w:val="auto"/>
        </w:rPr>
      </w:pPr>
    </w:p>
    <w:p>
      <w:pPr>
        <w:ind w:left="-40" w:right="100" w:firstLine="278"/>
        <w:spacing w:after="0" w:line="259" w:lineRule="auto"/>
        <w:tabs>
          <w:tab w:leader="none" w:pos="4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to take any action that would result in the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248" w:lineRule="exact"/>
        <w:rPr>
          <w:rFonts w:ascii="Arial" w:cs="Arial" w:eastAsia="Arial" w:hAnsi="Arial"/>
          <w:sz w:val="18"/>
          <w:szCs w:val="18"/>
          <w:color w:val="auto"/>
        </w:rPr>
      </w:pPr>
    </w:p>
    <w:p>
      <w:pPr>
        <w:ind w:left="-40" w:firstLine="278"/>
        <w:spacing w:after="0" w:line="288" w:lineRule="auto"/>
        <w:tabs>
          <w:tab w:leader="none" w:pos="47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 it is necessary to amend or supplement the Time of Sale Prospectus to comply with applicable law, forthwith to prepare, file with the Commi ssion and furnish, at its own expense, to the Underwriter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231775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80" w:top="644" w:right="259" w:bottom="1440" w:gutter="0" w:footer="0" w:header="0"/>
        </w:sectPr>
      </w:pPr>
    </w:p>
    <w:bookmarkStart w:id="18" w:name="page19"/>
    <w:bookmarkEnd w:id="18"/>
    <w:p>
      <w:pPr>
        <w:ind w:left="-40" w:firstLine="278"/>
        <w:spacing w:after="0" w:line="287" w:lineRule="auto"/>
        <w:tabs>
          <w:tab w:leader="none" w:pos="4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 the Prospectus (or in lieu thereof the notice referred to in Rule 173(a) under the Securities Act) is required by law to be delivered in connection with sales by the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 e Underwriter, it is necessary to amend or supplement the Prospectus to comply with applicable law, forthwith to prepare, file with the Commission and furnish, at its own expense, to the Underwriter and to the dealers (whose names and addresses you will furnish to the Company) to which Shares may have been sold by you on behalf of the Underwriter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230" w:lineRule="exact"/>
        <w:rPr>
          <w:rFonts w:ascii="Arial" w:cs="Arial" w:eastAsia="Arial" w:hAnsi="Arial"/>
          <w:sz w:val="16"/>
          <w:szCs w:val="16"/>
          <w:color w:val="auto"/>
        </w:rPr>
      </w:pPr>
    </w:p>
    <w:p>
      <w:pPr>
        <w:ind w:left="500" w:hanging="26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endeavor to qualify the Shares for offer and sale under the securities or Blue Sky laws of such jurisdictions as you shall reasonably request.</w:t>
      </w:r>
    </w:p>
    <w:p>
      <w:pPr>
        <w:spacing w:after="0" w:line="302" w:lineRule="exact"/>
        <w:rPr>
          <w:rFonts w:ascii="Arial" w:cs="Arial" w:eastAsia="Arial" w:hAnsi="Arial"/>
          <w:sz w:val="16"/>
          <w:szCs w:val="16"/>
          <w:color w:val="auto"/>
        </w:rPr>
      </w:pPr>
    </w:p>
    <w:p>
      <w:pPr>
        <w:ind w:left="-40" w:right="20" w:firstLine="278"/>
        <w:spacing w:after="0" w:line="268" w:lineRule="auto"/>
        <w:tabs>
          <w:tab w:leader="none" w:pos="4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you as soon as practicable an earning statement which shall satisfy the provisions of Section 11(a) of the Securities Act and the rules and regulations of the Commission thereunder.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231775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80" w:top="644" w:right="259" w:bottom="1440" w:gutter="0" w:footer="0" w:header="0"/>
        </w:sectPr>
      </w:pPr>
    </w:p>
    <w:bookmarkStart w:id="19" w:name="page20"/>
    <w:bookmarkEnd w:id="19"/>
    <w:p>
      <w:pPr>
        <w:ind w:left="-20" w:firstLine="278"/>
        <w:spacing w:after="0" w:line="284" w:lineRule="auto"/>
        <w:tabs>
          <w:tab w:leader="none" w:pos="4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 ments to any of the foregoing, including the filing fees payable to the Commission relating to the Shares (within the time required by Rule 456(b)(1), if applicable), all printing costs associated therewith, and the mailing and delivering of copies thereof to the Underwriter and dealers, in the quantities hereinabove specified, (ii) all costs and expenses related to the transfer and delivery of the Shares to the Underwriter,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 in connection with such qualification and in connection with the Blue Sky or Legal Investment memorandum, (iv) all filing fees an d the reasonable fees and disbursements of counsel to the Underwriter incurred in connection with the review and qualification of the offering of the Shares by the Financial Industry Regulatory Authority, if required, (v) the cost of printing certificates representing the Shares, (vi) the costs and charges of any transfer agent, registrar or depositary, (vii)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(viii) the document production charges and expenses associated with printing this Agreement and (ix)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 will pay all of its costs and expenses, including fees and disbursements of its counsel, stock transfer taxes payable on resale of any of the Shares by them and any advertising expenses connected with any offers they may make.</w:t>
      </w:r>
    </w:p>
    <w:p>
      <w:pPr>
        <w:spacing w:after="0" w:line="234" w:lineRule="exact"/>
        <w:rPr>
          <w:rFonts w:ascii="Arial" w:cs="Arial" w:eastAsia="Arial" w:hAnsi="Arial"/>
          <w:sz w:val="16"/>
          <w:szCs w:val="16"/>
          <w:color w:val="auto"/>
        </w:rPr>
      </w:pPr>
    </w:p>
    <w:p>
      <w:pPr>
        <w:ind w:left="-20" w:firstLine="278"/>
        <w:spacing w:after="0" w:line="306" w:lineRule="auto"/>
        <w:tabs>
          <w:tab w:leader="none" w:pos="4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third anniversary of the initial effective date of the Registration Statement occurs before all the Shares have been sold by the Underwriter, prior to the third anniversary to file a new shelf registration statement and to take any other action necessary to permit the public offering of the Shares to continue without interruption; references herein to the Registration Statement shall include the new registration statement declared effective by the Commission;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644" w:right="259" w:bottom="1440" w:gutter="0" w:footer="0" w:header="0"/>
        </w:sectPr>
      </w:pPr>
    </w:p>
    <w:bookmarkStart w:id="20" w:name="page21"/>
    <w:bookmarkEnd w:id="20"/>
    <w:p>
      <w:pPr>
        <w:ind w:firstLine="270"/>
        <w:spacing w:after="0" w:line="301" w:lineRule="auto"/>
        <w:rPr>
          <w:sz w:val="20"/>
          <w:szCs w:val="20"/>
          <w:color w:val="auto"/>
        </w:rPr>
      </w:pPr>
      <w:r>
        <w:rPr>
          <w:rFonts w:ascii="Arial" w:cs="Arial" w:eastAsia="Arial" w:hAnsi="Arial"/>
          <w:sz w:val="15"/>
          <w:szCs w:val="15"/>
          <w:color w:val="auto"/>
        </w:rPr>
        <w:t>The Company also covenants with the Underwriter that, without the prior written consent of the Underwriter, it will not, during the restricted period set forth in Schedule I hereto,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Shares to be sold hereunder,</w:t>
      </w:r>
    </w:p>
    <w:p>
      <w:pPr>
        <w:spacing w:after="0" w:line="5" w:lineRule="exact"/>
        <w:rPr>
          <w:sz w:val="20"/>
          <w:szCs w:val="20"/>
          <w:color w:val="auto"/>
        </w:rPr>
      </w:pPr>
    </w:p>
    <w:p>
      <w:pPr>
        <w:ind w:right="20" w:firstLine="8"/>
        <w:spacing w:after="0" w:line="286"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issuance by the Company of shares of Common Stock upon the exercise of an option or warrant or the conversion of a security outstanding on the date hereof of which the Underwriter has been advised in writing or which is described in the Time of Sale Prospectus, (c) the issuance of any shares of Common Stock in connection with acquisition, licensing, collaboration or similar strategic arrangements, provided that the Company first causes any such recipient of shares under this clause (c) to execute and deliver to you a "lock-up" agreement substantially in the form of </w:t>
      </w:r>
      <w:r>
        <w:rPr>
          <w:rFonts w:ascii="Arial" w:cs="Arial" w:eastAsia="Arial" w:hAnsi="Arial"/>
          <w:sz w:val="16"/>
          <w:szCs w:val="16"/>
          <w:u w:val="single" w:color="auto"/>
          <w:color w:val="auto"/>
        </w:rPr>
        <w:t>Exhibi t A</w:t>
      </w:r>
      <w:r>
        <w:rPr>
          <w:rFonts w:ascii="Arial" w:cs="Arial" w:eastAsia="Arial" w:hAnsi="Arial"/>
          <w:sz w:val="16"/>
          <w:szCs w:val="16"/>
          <w:color w:val="auto"/>
        </w:rPr>
        <w:t>, (d) the issuance of shares of Common Stock as matching contributions under the Company's 401(k) plan, or (e) the grant of options or the issuance of shares of restricted Common Stock to employees, officers, directors, advisors or consultants pursuant to the Company's employee benefit plans. In addition, the Company will not, during the period commencing on the date hereof and ending 30 days after the date of the Prospectus, (i) clear or otherwise allow for any executive officer or director to sell or otherwise transfer shares of Common Stock or any security convertible into or exercisable or exchangeable for Common Stock under the Company’s insider trading policy and will not open the “trading window” under such policy for any executive officer or director, except, for the avoidance of doubt, the foregoing restrictions shall not apply to sales or transfers pursuant to any written trading plans under Rule 10b5-1 of the Ex change Act that exist as of the date of the Prospectus or (ii) waive the lockup provisions of any agreement to which the Company is a party as of the date of the Prospectus.</w:t>
      </w:r>
    </w:p>
    <w:p>
      <w:pPr>
        <w:spacing w:after="0" w:line="228" w:lineRule="exact"/>
        <w:rPr>
          <w:rFonts w:ascii="Arial" w:cs="Arial" w:eastAsia="Arial" w:hAnsi="Arial"/>
          <w:sz w:val="16"/>
          <w:szCs w:val="16"/>
          <w:color w:val="auto"/>
        </w:rPr>
      </w:pPr>
    </w:p>
    <w:p>
      <w:pPr>
        <w:ind w:right="40" w:firstLine="278"/>
        <w:spacing w:after="0" w:line="259" w:lineRule="auto"/>
        <w:tabs>
          <w:tab w:leader="none" w:pos="451"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Covenants of the Underwriter</w:t>
      </w:r>
      <w:r>
        <w:rPr>
          <w:rFonts w:ascii="Arial" w:cs="Arial" w:eastAsia="Arial" w:hAnsi="Arial"/>
          <w:sz w:val="18"/>
          <w:szCs w:val="18"/>
          <w:color w:val="auto"/>
        </w:rPr>
        <w:t>. The Underwriter covenants with the Company not to take any action that would result in the Company being required to file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Commission under Rule 433(d) a free writing prospectus prepared by or on behalf of such Underwriter that otherwise would not be required to be filed by the Company thereunder, but for the action of the Underwriter.</w:t>
      </w:r>
    </w:p>
    <w:p>
      <w:pPr>
        <w:spacing w:after="0" w:line="248" w:lineRule="exact"/>
        <w:rPr>
          <w:rFonts w:ascii="Arial" w:cs="Arial" w:eastAsia="Arial" w:hAnsi="Arial"/>
          <w:sz w:val="18"/>
          <w:szCs w:val="18"/>
          <w:color w:val="auto"/>
        </w:rPr>
      </w:pPr>
    </w:p>
    <w:p>
      <w:pPr>
        <w:ind w:right="20" w:firstLine="278"/>
        <w:spacing w:after="0" w:line="287" w:lineRule="auto"/>
        <w:tabs>
          <w:tab w:leader="none" w:pos="451"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the Underwriter, each person, if any, who controls the Underwriter</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either Section 15 of the Securities Act or Section 20 of the Exchange Act and each agent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 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the Underwriter furnished to the Company in writing by the Underwriter expressly for use therein.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1" w:name="page22"/>
    <w:bookmarkEnd w:id="21"/>
    <w:p>
      <w:pPr>
        <w:ind w:left="-40" w:right="240" w:firstLine="278"/>
        <w:spacing w:after="0" w:line="294" w:lineRule="auto"/>
        <w:tabs>
          <w:tab w:leader="none" w:pos="4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the Underwriter, but only with reference to information relating to such Underwriter furnished to the Company in writing by such Underwriter expressly for use in the Registration Statement, any preliminary prospectus, the Time of Sale Prospectus, any issuer free writing prospectus or the Prospectus or any amendment or supplement thereto.</w:t>
      </w:r>
    </w:p>
    <w:p>
      <w:pPr>
        <w:spacing w:after="0" w:line="223" w:lineRule="exact"/>
        <w:rPr>
          <w:rFonts w:ascii="Arial" w:cs="Arial" w:eastAsia="Arial" w:hAnsi="Arial"/>
          <w:sz w:val="16"/>
          <w:szCs w:val="16"/>
          <w:color w:val="auto"/>
        </w:rPr>
      </w:pPr>
    </w:p>
    <w:p>
      <w:pPr>
        <w:ind w:left="-40" w:firstLine="278"/>
        <w:spacing w:after="0" w:line="284" w:lineRule="auto"/>
        <w:tabs>
          <w:tab w:leader="none" w:pos="4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 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 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Underwriter,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80" w:top="644" w:right="279" w:bottom="1440" w:gutter="0" w:footer="0" w:header="0"/>
        </w:sectPr>
      </w:pPr>
    </w:p>
    <w:bookmarkStart w:id="22" w:name="page23"/>
    <w:bookmarkEnd w:id="22"/>
    <w:p>
      <w:pPr>
        <w:ind w:left="-20" w:firstLine="278"/>
        <w:spacing w:after="0" w:line="286" w:lineRule="auto"/>
        <w:tabs>
          <w:tab w:leader="none" w:pos="49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 on the other hand from the offering of the Shares or (ii) if the allocation provided by clause 8(d)(i) above is not permitted by applicable law, in such proportion as is appropriate to reflect not only th e relative benefits referred to in clause 8(d)(i) above but also the relative fault of the Company on the one hand and of the Underwriter on the other hand in connection with the statements or omissions that resulted in such losses, claims, damages or liabilities, as well as any other relevant equitable considerations. The relative benefits received by the Company on the one hand and the Underwriter on the other hand in connection with the offering of the Shares shall be deemed to be in the same respective proportions as (i) the total net proceeds from the offering of the Shares (before deducting expenses) received by the Company and (ii) the total underwriting discounts and commissions received by the Underwriter bear to the aggregate public offering price of the Shares. The relative fault of the Company on the one hand and the Underwriter on the other hand shall be determined by reference to, among other things, whether the untrue or alleged untrue statement of a material fact or the omission or alleged om ission to state a material fact relates to information supplied by the Company or by the Underwriter and the parties’ relative intent, knowledge, access to information and opportunity to correct or prevent such statement or omission.</w:t>
      </w:r>
    </w:p>
    <w:p>
      <w:pPr>
        <w:spacing w:after="0" w:line="228" w:lineRule="exact"/>
        <w:rPr>
          <w:rFonts w:ascii="Arial" w:cs="Arial" w:eastAsia="Arial" w:hAnsi="Arial"/>
          <w:sz w:val="16"/>
          <w:szCs w:val="16"/>
          <w:color w:val="auto"/>
        </w:rPr>
      </w:pPr>
    </w:p>
    <w:p>
      <w:pPr>
        <w:ind w:left="-20" w:right="100" w:firstLine="278"/>
        <w:spacing w:after="0" w:line="287"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Company and the Underwriter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 onnection with investigating or defending any such action or claim. Notwithstanding the provisions of this Section 8, the Underwriter shall not be required to provide indemnity for or contribute any amount in excess of the amount by which the total price at which the Shares underwritten by it are sold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644" w:right="259" w:bottom="1440" w:gutter="0" w:footer="0" w:header="0"/>
        </w:sectPr>
      </w:pPr>
    </w:p>
    <w:bookmarkStart w:id="23" w:name="page24"/>
    <w:bookmarkEnd w:id="23"/>
    <w:p>
      <w:pPr>
        <w:ind w:firstLine="278"/>
        <w:spacing w:after="0" w:line="298" w:lineRule="auto"/>
        <w:tabs>
          <w:tab w:leader="none" w:pos="4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the Underwriter, any person controlling the Underwriter or any affiliate of the Underwriter or by or on behalf of the Company, its officers or directors or any person controlling the Company and (iii) acceptance of and payment for any of the Shares.</w:t>
      </w:r>
    </w:p>
    <w:p>
      <w:pPr>
        <w:spacing w:after="0" w:line="221" w:lineRule="exact"/>
        <w:rPr>
          <w:sz w:val="20"/>
          <w:szCs w:val="20"/>
          <w:color w:val="auto"/>
        </w:rPr>
      </w:pPr>
    </w:p>
    <w:p>
      <w:pPr>
        <w:ind w:right="40" w:firstLine="278"/>
        <w:spacing w:after="0" w:line="288" w:lineRule="auto"/>
        <w:tabs>
          <w:tab w:leader="none" w:pos="44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 may terminate this Agreement by notice given by you to the Company if, after the execution and delivery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or in any over-the-counter market, (iii) a material disruption in sec 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227" w:lineRule="exact"/>
        <w:rPr>
          <w:rFonts w:ascii="Arial" w:cs="Arial" w:eastAsia="Arial" w:hAnsi="Arial"/>
          <w:sz w:val="16"/>
          <w:szCs w:val="16"/>
          <w:color w:val="auto"/>
        </w:rPr>
      </w:pPr>
    </w:p>
    <w:p>
      <w:pPr>
        <w:ind w:left="540" w:hanging="26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Agreement shall become effective upon the execution and delivery hereof by the parties hereto.</w:t>
      </w:r>
    </w:p>
    <w:p>
      <w:pPr>
        <w:spacing w:after="0" w:line="279"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color w:val="auto"/>
        </w:rPr>
        <w:t>If this Agreement shall be terminated by the Underwriter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 for all out-of-pocket expenses (including the fees and disbursements of its counsel) reasonably incurred by the Underwriter in connection with this Agreement or the offering contemplated hereunder.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44" w:right="279" w:bottom="1440" w:gutter="0" w:footer="0" w:header="0"/>
        </w:sectPr>
      </w:pPr>
    </w:p>
    <w:bookmarkStart w:id="24" w:name="page25"/>
    <w:bookmarkEnd w:id="24"/>
    <w:p>
      <w:pPr>
        <w:ind w:left="540" w:hanging="262"/>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(a) This Agreement, together with any contemporaneous written agreements and any prior written agreements (to the extent not</w:t>
      </w:r>
    </w:p>
    <w:p>
      <w:pPr>
        <w:spacing w:after="0" w:line="38" w:lineRule="exact"/>
        <w:rPr>
          <w:rFonts w:ascii="Arial" w:cs="Arial" w:eastAsia="Arial" w:hAnsi="Arial"/>
          <w:sz w:val="16"/>
          <w:szCs w:val="16"/>
          <w:color w:val="auto"/>
        </w:rPr>
      </w:pPr>
    </w:p>
    <w:p>
      <w:pPr>
        <w:ind w:right="20"/>
        <w:spacing w:after="0" w:line="361" w:lineRule="auto"/>
        <w:rPr>
          <w:rFonts w:ascii="Arial" w:cs="Arial" w:eastAsia="Arial" w:hAnsi="Arial"/>
          <w:sz w:val="16"/>
          <w:szCs w:val="16"/>
          <w:color w:val="auto"/>
        </w:rPr>
      </w:pPr>
      <w:r>
        <w:rPr>
          <w:rFonts w:ascii="Arial" w:cs="Arial" w:eastAsia="Arial" w:hAnsi="Arial"/>
          <w:sz w:val="15"/>
          <w:szCs w:val="15"/>
          <w:color w:val="auto"/>
        </w:rPr>
        <w:t>superseded by this Agreement) that relate to the offering of the Shares, represents the entire agreement between the Company and the Underwriter with respect to the preparation of any preliminary prospectus, the Time of Sale Prospectus, the Prospectus, the conduct of the offering, and the purchase and sale of the Shares.</w:t>
      </w:r>
    </w:p>
    <w:p>
      <w:pPr>
        <w:spacing w:after="0" w:line="177" w:lineRule="exact"/>
        <w:rPr>
          <w:sz w:val="20"/>
          <w:szCs w:val="20"/>
          <w:color w:val="auto"/>
        </w:rPr>
      </w:pPr>
    </w:p>
    <w:p>
      <w:pPr>
        <w:ind w:firstLine="278"/>
        <w:spacing w:after="0" w:line="255" w:lineRule="auto"/>
        <w:tabs>
          <w:tab w:leader="none" w:pos="5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Shares: (i) the Underwriter has acted at arms length, is not an agent of, and owes no fiduciary duties to, the Company or any other person, (ii) the Underwriter owes the Company only those duties and obligations set forth in this Agreement and prior written agreements (to the extent not superseded by this Agreement), if any, and (iii) the Underwriter may have interests that differ from those of the Company. The Company waives to the full extent permitted by applicable law any claims it may have against the Underwriter arising from an alleged breach of fiduciary duty in connection with the offering of the Shares.</w:t>
      </w:r>
    </w:p>
    <w:p>
      <w:pPr>
        <w:spacing w:after="0" w:line="251" w:lineRule="exact"/>
        <w:rPr>
          <w:sz w:val="20"/>
          <w:szCs w:val="20"/>
          <w:color w:val="auto"/>
        </w:rPr>
      </w:pPr>
    </w:p>
    <w:p>
      <w:pPr>
        <w:ind w:right="320" w:firstLine="278"/>
        <w:spacing w:after="0" w:line="268" w:lineRule="auto"/>
        <w:tabs>
          <w:tab w:leader="none" w:pos="53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 signatures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hereto were upon the same instrument.</w:t>
      </w:r>
    </w:p>
    <w:p>
      <w:pPr>
        <w:spacing w:after="0" w:line="240" w:lineRule="exact"/>
        <w:rPr>
          <w:rFonts w:ascii="Arial" w:cs="Arial" w:eastAsia="Arial" w:hAnsi="Arial"/>
          <w:sz w:val="18"/>
          <w:szCs w:val="18"/>
          <w:color w:val="auto"/>
        </w:rPr>
      </w:pPr>
    </w:p>
    <w:p>
      <w:pPr>
        <w:ind w:left="540" w:hanging="26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279" w:lineRule="exact"/>
        <w:rPr>
          <w:rFonts w:ascii="Arial" w:cs="Arial" w:eastAsia="Arial" w:hAnsi="Arial"/>
          <w:sz w:val="18"/>
          <w:szCs w:val="18"/>
          <w:color w:val="auto"/>
        </w:rPr>
      </w:pPr>
    </w:p>
    <w:p>
      <w:pPr>
        <w:ind w:right="340" w:firstLine="278"/>
        <w:spacing w:after="0" w:line="268" w:lineRule="auto"/>
        <w:tabs>
          <w:tab w:leader="none" w:pos="53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40" w:lineRule="exact"/>
        <w:rPr>
          <w:rFonts w:ascii="Arial" w:cs="Arial" w:eastAsia="Arial" w:hAnsi="Arial"/>
          <w:sz w:val="18"/>
          <w:szCs w:val="18"/>
          <w:color w:val="auto"/>
        </w:rPr>
      </w:pPr>
    </w:p>
    <w:p>
      <w:pPr>
        <w:ind w:right="180" w:firstLine="278"/>
        <w:spacing w:after="0" w:line="332" w:lineRule="auto"/>
        <w:tabs>
          <w:tab w:leader="none" w:pos="53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and if to the Underwriter shall be delivered, mailed or sent to</w:t>
      </w:r>
      <w:r>
        <w:rPr>
          <w:rFonts w:ascii="Arial" w:cs="Arial" w:eastAsia="Arial" w:hAnsi="Arial"/>
          <w:sz w:val="16"/>
          <w:szCs w:val="16"/>
          <w:i w:val="1"/>
          <w:iCs w:val="1"/>
          <w:color w:val="auto"/>
        </w:rPr>
        <w:t xml:space="preserve"> </w:t>
      </w:r>
      <w:r>
        <w:rPr>
          <w:rFonts w:ascii="Arial" w:cs="Arial" w:eastAsia="Arial" w:hAnsi="Arial"/>
          <w:sz w:val="16"/>
          <w:szCs w:val="16"/>
          <w:color w:val="auto"/>
        </w:rPr>
        <w:t>you at the address set forth in Schedule I hereto; and if to the Company shall be delivered, mailed or sent to the address set forth in Schedule I hereto.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44" w:right="279" w:bottom="1440" w:gutter="0" w:footer="0" w:header="0"/>
        </w:sectPr>
      </w:pPr>
    </w:p>
    <w:bookmarkStart w:id="25" w:name="page26"/>
    <w:bookmarkEnd w:id="25"/>
    <w:p>
      <w:pPr>
        <w:ind w:left="584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322" w:lineRule="exact"/>
        <w:rPr>
          <w:sz w:val="20"/>
          <w:szCs w:val="20"/>
          <w:color w:val="auto"/>
        </w:rPr>
      </w:pPr>
    </w:p>
    <w:tbl>
      <w:tblPr>
        <w:tblLayout w:type="fixed"/>
        <w:tblInd w:w="584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Murray Goldberg</w:t>
            </w:r>
          </w:p>
        </w:tc>
      </w:tr>
      <w:tr>
        <w:trPr>
          <w:trHeight w:val="228"/>
        </w:trPr>
        <w:tc>
          <w:tcPr>
            <w:tcW w:w="5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140"/>
              <w:spacing w:after="0"/>
              <w:rPr>
                <w:sz w:val="20"/>
                <w:szCs w:val="20"/>
                <w:color w:val="auto"/>
              </w:rPr>
            </w:pPr>
            <w:r>
              <w:rPr>
                <w:rFonts w:ascii="Arial" w:cs="Arial" w:eastAsia="Arial" w:hAnsi="Arial"/>
                <w:sz w:val="18"/>
                <w:szCs w:val="18"/>
                <w:color w:val="auto"/>
              </w:rPr>
              <w:t>Murray A. Goldberg</w:t>
            </w:r>
          </w:p>
        </w:tc>
      </w:tr>
      <w:tr>
        <w:trPr>
          <w:trHeight w:val="243"/>
        </w:trPr>
        <w:tc>
          <w:tcPr>
            <w:tcW w:w="52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40"/>
              <w:spacing w:after="0"/>
              <w:rPr>
                <w:sz w:val="20"/>
                <w:szCs w:val="20"/>
                <w:color w:val="auto"/>
              </w:rPr>
            </w:pPr>
            <w:r>
              <w:rPr>
                <w:rFonts w:ascii="Arial" w:cs="Arial" w:eastAsia="Arial" w:hAnsi="Arial"/>
                <w:sz w:val="18"/>
                <w:szCs w:val="18"/>
                <w:color w:val="auto"/>
              </w:rPr>
              <w:t>Senior Vice President, Finance</w:t>
            </w:r>
          </w:p>
        </w:tc>
      </w:tr>
      <w:tr>
        <w:trPr>
          <w:trHeight w:val="243"/>
        </w:trPr>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and Administration and Chief</w:t>
            </w:r>
          </w:p>
        </w:tc>
      </w:tr>
      <w:tr>
        <w:trPr>
          <w:trHeight w:val="243"/>
        </w:trPr>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Gleason</w:t>
            </w:r>
          </w:p>
        </w:tc>
      </w:tr>
      <w:tr>
        <w:trPr>
          <w:trHeight w:val="228"/>
        </w:trPr>
        <w:tc>
          <w:tcPr>
            <w:tcW w:w="5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ind w:left="140"/>
              <w:spacing w:after="0"/>
              <w:rPr>
                <w:sz w:val="20"/>
                <w:szCs w:val="20"/>
                <w:color w:val="auto"/>
              </w:rPr>
            </w:pPr>
            <w:r>
              <w:rPr>
                <w:rFonts w:ascii="Arial" w:cs="Arial" w:eastAsia="Arial" w:hAnsi="Arial"/>
                <w:sz w:val="18"/>
                <w:szCs w:val="18"/>
                <w:color w:val="auto"/>
              </w:rPr>
              <w:t>Brian Gleason</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3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980" w:type="dxa"/>
            <w:vAlign w:val="bottom"/>
          </w:tcPr>
          <w:p>
            <w:pPr>
              <w:ind w:left="2620"/>
              <w:spacing w:after="0"/>
              <w:rPr>
                <w:sz w:val="20"/>
                <w:szCs w:val="20"/>
                <w:color w:val="auto"/>
              </w:rPr>
            </w:pPr>
            <w:r>
              <w:rPr>
                <w:rFonts w:ascii="Arial" w:cs="Arial" w:eastAsia="Arial" w:hAnsi="Arial"/>
                <w:sz w:val="18"/>
                <w:szCs w:val="18"/>
                <w:b w:val="1"/>
                <w:bCs w:val="1"/>
                <w:color w:val="auto"/>
              </w:rPr>
              <w:t>SCHEDULE I</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Registration Statement File No.:</w:t>
            </w:r>
          </w:p>
        </w:tc>
        <w:tc>
          <w:tcPr>
            <w:tcW w:w="3260" w:type="dxa"/>
            <w:vAlign w:val="bottom"/>
            <w:gridSpan w:val="2"/>
          </w:tcPr>
          <w:p>
            <w:pPr>
              <w:ind w:left="900"/>
              <w:spacing w:after="0"/>
              <w:rPr>
                <w:sz w:val="20"/>
                <w:szCs w:val="20"/>
                <w:color w:val="auto"/>
              </w:rPr>
            </w:pPr>
            <w:r>
              <w:rPr>
                <w:rFonts w:ascii="Arial" w:cs="Arial" w:eastAsia="Arial" w:hAnsi="Arial"/>
                <w:sz w:val="18"/>
                <w:szCs w:val="18"/>
                <w:color w:val="auto"/>
              </w:rPr>
              <w:t>333-169786</w:t>
            </w: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00"/>
        </w:trPr>
        <w:tc>
          <w:tcPr>
            <w:tcW w:w="3520" w:type="dxa"/>
            <w:vAlign w:val="bottom"/>
          </w:tcPr>
          <w:p>
            <w:pPr>
              <w:spacing w:after="0"/>
              <w:rPr>
                <w:sz w:val="20"/>
                <w:szCs w:val="20"/>
                <w:color w:val="auto"/>
              </w:rPr>
            </w:pPr>
            <w:r>
              <w:rPr>
                <w:rFonts w:ascii="Arial" w:cs="Arial" w:eastAsia="Arial" w:hAnsi="Arial"/>
                <w:sz w:val="18"/>
                <w:szCs w:val="18"/>
                <w:color w:val="auto"/>
              </w:rPr>
              <w:t>Time of Sale Prospectus</w:t>
            </w:r>
          </w:p>
        </w:tc>
        <w:tc>
          <w:tcPr>
            <w:tcW w:w="1600" w:type="dxa"/>
            <w:vAlign w:val="bottom"/>
          </w:tcPr>
          <w:p>
            <w:pPr>
              <w:ind w:left="1220"/>
              <w:spacing w:after="0"/>
              <w:rPr>
                <w:sz w:val="20"/>
                <w:szCs w:val="20"/>
                <w:color w:val="auto"/>
              </w:rPr>
            </w:pPr>
            <w:r>
              <w:rPr>
                <w:rFonts w:ascii="Arial" w:cs="Arial" w:eastAsia="Arial" w:hAnsi="Arial"/>
                <w:sz w:val="18"/>
                <w:szCs w:val="18"/>
                <w:color w:val="auto"/>
              </w:rPr>
              <w:t>99</w:t>
            </w:r>
          </w:p>
        </w:tc>
        <w:tc>
          <w:tcPr>
            <w:tcW w:w="6320" w:type="dxa"/>
            <w:vAlign w:val="bottom"/>
            <w:gridSpan w:val="3"/>
          </w:tcPr>
          <w:p>
            <w:pPr>
              <w:ind w:left="20"/>
              <w:spacing w:after="0"/>
              <w:rPr>
                <w:sz w:val="20"/>
                <w:szCs w:val="20"/>
                <w:color w:val="auto"/>
              </w:rPr>
            </w:pPr>
            <w:r>
              <w:rPr>
                <w:rFonts w:ascii="Arial" w:cs="Arial" w:eastAsia="Arial" w:hAnsi="Arial"/>
                <w:sz w:val="18"/>
                <w:szCs w:val="18"/>
                <w:color w:val="auto"/>
              </w:rPr>
              <w:t>Basic Prospectus</w:t>
            </w:r>
          </w:p>
        </w:tc>
      </w:tr>
      <w:tr>
        <w:trPr>
          <w:trHeight w:val="500"/>
        </w:trPr>
        <w:tc>
          <w:tcPr>
            <w:tcW w:w="3520" w:type="dxa"/>
            <w:vAlign w:val="bottom"/>
          </w:tcPr>
          <w:p>
            <w:pPr>
              <w:spacing w:after="0"/>
              <w:rPr>
                <w:sz w:val="24"/>
                <w:szCs w:val="24"/>
                <w:color w:val="auto"/>
              </w:rPr>
            </w:pPr>
          </w:p>
        </w:tc>
        <w:tc>
          <w:tcPr>
            <w:tcW w:w="1600" w:type="dxa"/>
            <w:vAlign w:val="bottom"/>
          </w:tcPr>
          <w:p>
            <w:pPr>
              <w:ind w:left="1220"/>
              <w:spacing w:after="0"/>
              <w:rPr>
                <w:sz w:val="20"/>
                <w:szCs w:val="20"/>
                <w:color w:val="auto"/>
              </w:rPr>
            </w:pPr>
            <w:r>
              <w:rPr>
                <w:rFonts w:ascii="Arial" w:cs="Arial" w:eastAsia="Arial" w:hAnsi="Arial"/>
                <w:sz w:val="18"/>
                <w:szCs w:val="18"/>
                <w:color w:val="auto"/>
              </w:rPr>
              <w:t>100</w:t>
            </w:r>
          </w:p>
        </w:tc>
        <w:tc>
          <w:tcPr>
            <w:tcW w:w="6320" w:type="dxa"/>
            <w:vAlign w:val="bottom"/>
            <w:gridSpan w:val="3"/>
          </w:tcPr>
          <w:p>
            <w:pPr>
              <w:ind w:left="20"/>
              <w:spacing w:after="0"/>
              <w:rPr>
                <w:sz w:val="20"/>
                <w:szCs w:val="20"/>
                <w:color w:val="auto"/>
              </w:rPr>
            </w:pPr>
            <w:r>
              <w:rPr>
                <w:rFonts w:ascii="Arial" w:cs="Arial" w:eastAsia="Arial" w:hAnsi="Arial"/>
                <w:sz w:val="18"/>
                <w:szCs w:val="18"/>
                <w:color w:val="auto"/>
              </w:rPr>
              <w:t>Preliminary prospectus</w:t>
            </w:r>
          </w:p>
        </w:tc>
      </w:tr>
      <w:tr>
        <w:trPr>
          <w:trHeight w:val="461"/>
        </w:trPr>
        <w:tc>
          <w:tcPr>
            <w:tcW w:w="3520" w:type="dxa"/>
            <w:vAlign w:val="bottom"/>
          </w:tcPr>
          <w:p>
            <w:pPr>
              <w:spacing w:after="0"/>
              <w:rPr>
                <w:sz w:val="24"/>
                <w:szCs w:val="24"/>
                <w:color w:val="auto"/>
              </w:rPr>
            </w:pPr>
          </w:p>
        </w:tc>
        <w:tc>
          <w:tcPr>
            <w:tcW w:w="7920" w:type="dxa"/>
            <w:vAlign w:val="bottom"/>
            <w:gridSpan w:val="4"/>
          </w:tcPr>
          <w:p>
            <w:pPr>
              <w:ind w:left="1220"/>
              <w:spacing w:after="0"/>
              <w:rPr>
                <w:sz w:val="20"/>
                <w:szCs w:val="20"/>
                <w:color w:val="auto"/>
              </w:rPr>
            </w:pPr>
            <w:r>
              <w:rPr>
                <w:rFonts w:ascii="Arial" w:cs="Arial" w:eastAsia="Arial" w:hAnsi="Arial"/>
                <w:sz w:val="18"/>
                <w:szCs w:val="18"/>
                <w:color w:val="auto"/>
              </w:rPr>
              <w:t>101  Term sheet attached as Exhibit B</w:t>
            </w:r>
          </w:p>
        </w:tc>
      </w:tr>
      <w:tr>
        <w:trPr>
          <w:trHeight w:val="505"/>
        </w:trPr>
        <w:tc>
          <w:tcPr>
            <w:tcW w:w="3520" w:type="dxa"/>
            <w:vAlign w:val="bottom"/>
          </w:tcPr>
          <w:p>
            <w:pPr>
              <w:spacing w:after="0"/>
              <w:rPr>
                <w:sz w:val="20"/>
                <w:szCs w:val="20"/>
                <w:color w:val="auto"/>
              </w:rPr>
            </w:pPr>
            <w:r>
              <w:rPr>
                <w:rFonts w:ascii="Arial" w:cs="Arial" w:eastAsia="Arial" w:hAnsi="Arial"/>
                <w:sz w:val="18"/>
                <w:szCs w:val="18"/>
                <w:color w:val="auto"/>
              </w:rPr>
              <w:t>Lock-up Restricted Period:</w:t>
            </w:r>
          </w:p>
        </w:tc>
        <w:tc>
          <w:tcPr>
            <w:tcW w:w="1600" w:type="dxa"/>
            <w:vAlign w:val="bottom"/>
          </w:tcPr>
          <w:p>
            <w:pPr>
              <w:ind w:left="900"/>
              <w:spacing w:after="0"/>
              <w:rPr>
                <w:sz w:val="20"/>
                <w:szCs w:val="20"/>
                <w:color w:val="auto"/>
              </w:rPr>
            </w:pPr>
            <w:r>
              <w:rPr>
                <w:rFonts w:ascii="Arial" w:cs="Arial" w:eastAsia="Arial" w:hAnsi="Arial"/>
                <w:sz w:val="18"/>
                <w:szCs w:val="18"/>
                <w:color w:val="auto"/>
              </w:rPr>
              <w:t>45 days</w:t>
            </w:r>
          </w:p>
        </w:tc>
        <w:tc>
          <w:tcPr>
            <w:tcW w:w="16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Title of Shares to be purchased:</w:t>
            </w: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Common Stock, $0.001 par value per share</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Number of Firm Shares:</w:t>
            </w:r>
          </w:p>
        </w:tc>
        <w:tc>
          <w:tcPr>
            <w:tcW w:w="1600" w:type="dxa"/>
            <w:vAlign w:val="bottom"/>
          </w:tcPr>
          <w:p>
            <w:pPr>
              <w:ind w:left="900"/>
              <w:spacing w:after="0"/>
              <w:rPr>
                <w:sz w:val="20"/>
                <w:szCs w:val="20"/>
                <w:color w:val="auto"/>
              </w:rPr>
            </w:pPr>
            <w:r>
              <w:rPr>
                <w:rFonts w:ascii="Arial" w:cs="Arial" w:eastAsia="Arial" w:hAnsi="Arial"/>
                <w:sz w:val="18"/>
                <w:szCs w:val="18"/>
                <w:color w:val="auto"/>
                <w:w w:val="84"/>
              </w:rPr>
              <w:t>5,500,000</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Number of Additional Shares:</w:t>
            </w:r>
          </w:p>
        </w:tc>
        <w:tc>
          <w:tcPr>
            <w:tcW w:w="1600" w:type="dxa"/>
            <w:vAlign w:val="bottom"/>
          </w:tcPr>
          <w:p>
            <w:pPr>
              <w:ind w:left="900"/>
              <w:spacing w:after="0"/>
              <w:rPr>
                <w:sz w:val="20"/>
                <w:szCs w:val="20"/>
                <w:color w:val="auto"/>
              </w:rPr>
            </w:pPr>
            <w:r>
              <w:rPr>
                <w:rFonts w:ascii="Arial" w:cs="Arial" w:eastAsia="Arial" w:hAnsi="Arial"/>
                <w:sz w:val="18"/>
                <w:szCs w:val="18"/>
                <w:color w:val="auto"/>
              </w:rPr>
              <w:t>825,000</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Purchase Price:</w:t>
            </w: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$27.69 per share</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Public Offering Price</w:t>
            </w: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w w:val="96"/>
              </w:rPr>
              <w:t>The price per share in each trade executed pursuant to the Registration Statement and this</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Agreement.</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Closing Date and Time:</w:t>
            </w: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October 13, 2010, 10 a.m.</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Closing Location:</w:t>
            </w: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Skadden Arps, Slate, Meagher &amp; Flom LLP</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Four Times Square</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New York, New York 10036</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Address for Notices to Underwriter:</w:t>
            </w: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Citigroup Global Markets Inc.</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388 Greenwich St.</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New York, New York 10013</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Attention: General Counsel</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Address for Notices to the Company:</w:t>
            </w: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Regeneron Pharmaceuticals, Inc.</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777 Old Saw Mill River Road</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Tarrytown, New York 10591-6707</w:t>
            </w:r>
          </w:p>
        </w:tc>
      </w:tr>
      <w:tr>
        <w:trPr>
          <w:trHeight w:val="243"/>
        </w:trPr>
        <w:tc>
          <w:tcPr>
            <w:tcW w:w="3520" w:type="dxa"/>
            <w:vAlign w:val="bottom"/>
          </w:tcPr>
          <w:p>
            <w:pPr>
              <w:spacing w:after="0"/>
              <w:rPr>
                <w:sz w:val="21"/>
                <w:szCs w:val="21"/>
                <w:color w:val="auto"/>
              </w:rPr>
            </w:pPr>
          </w:p>
        </w:tc>
        <w:tc>
          <w:tcPr>
            <w:tcW w:w="7920" w:type="dxa"/>
            <w:vAlign w:val="bottom"/>
            <w:gridSpan w:val="4"/>
          </w:tcPr>
          <w:p>
            <w:pPr>
              <w:ind w:left="900"/>
              <w:spacing w:after="0"/>
              <w:rPr>
                <w:sz w:val="20"/>
                <w:szCs w:val="20"/>
                <w:color w:val="auto"/>
              </w:rPr>
            </w:pPr>
            <w:r>
              <w:rPr>
                <w:rFonts w:ascii="Arial" w:cs="Arial" w:eastAsia="Arial" w:hAnsi="Arial"/>
                <w:sz w:val="18"/>
                <w:szCs w:val="18"/>
                <w:color w:val="auto"/>
              </w:rPr>
              <w:t>Attention:Stuart A. Kolinski, Esq.</w:t>
            </w:r>
          </w:p>
        </w:tc>
      </w:tr>
      <w:tr>
        <w:trPr>
          <w:trHeight w:val="377"/>
        </w:trPr>
        <w:tc>
          <w:tcPr>
            <w:tcW w:w="35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25"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8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ind w:left="1420"/>
              <w:spacing w:after="0"/>
              <w:rPr>
                <w:sz w:val="20"/>
                <w:szCs w:val="20"/>
                <w:color w:val="auto"/>
              </w:rPr>
            </w:pPr>
            <w:r>
              <w:rPr>
                <w:rFonts w:ascii="Arial" w:cs="Arial" w:eastAsia="Arial" w:hAnsi="Arial"/>
                <w:sz w:val="18"/>
                <w:szCs w:val="18"/>
                <w:b w:val="1"/>
                <w:bCs w:val="1"/>
                <w:color w:val="auto"/>
              </w:rPr>
              <w:t>SCHEDULE II</w:t>
            </w:r>
          </w:p>
        </w:tc>
        <w:tc>
          <w:tcPr>
            <w:tcW w:w="20" w:type="dxa"/>
            <w:vAlign w:val="bottom"/>
          </w:tcPr>
          <w:p>
            <w:pPr>
              <w:spacing w:after="0"/>
              <w:rPr>
                <w:sz w:val="19"/>
                <w:szCs w:val="19"/>
                <w:color w:val="auto"/>
              </w:rPr>
            </w:pPr>
          </w:p>
        </w:tc>
      </w:tr>
      <w:tr>
        <w:trPr>
          <w:trHeight w:val="486"/>
        </w:trPr>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center"/>
              <w:ind w:right="192"/>
              <w:spacing w:after="0"/>
              <w:rPr>
                <w:sz w:val="20"/>
                <w:szCs w:val="20"/>
                <w:color w:val="auto"/>
              </w:rPr>
            </w:pPr>
            <w:r>
              <w:rPr>
                <w:rFonts w:ascii="Arial" w:cs="Arial" w:eastAsia="Arial" w:hAnsi="Arial"/>
                <w:sz w:val="18"/>
                <w:szCs w:val="18"/>
                <w:b w:val="1"/>
                <w:bCs w:val="1"/>
                <w:color w:val="auto"/>
                <w:w w:val="92"/>
              </w:rPr>
              <w:t>Number of Firm</w:t>
            </w:r>
          </w:p>
        </w:tc>
        <w:tc>
          <w:tcPr>
            <w:tcW w:w="20" w:type="dxa"/>
            <w:vAlign w:val="bottom"/>
          </w:tcPr>
          <w:p>
            <w:pPr>
              <w:spacing w:after="0"/>
              <w:rPr>
                <w:sz w:val="24"/>
                <w:szCs w:val="24"/>
                <w:color w:val="auto"/>
              </w:rPr>
            </w:pPr>
          </w:p>
        </w:tc>
      </w:tr>
      <w:tr>
        <w:trPr>
          <w:trHeight w:val="243"/>
        </w:trPr>
        <w:tc>
          <w:tcPr>
            <w:tcW w:w="8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tcPr>
          <w:p>
            <w:pPr>
              <w:jc w:val="center"/>
              <w:ind w:right="192"/>
              <w:spacing w:after="0"/>
              <w:rPr>
                <w:sz w:val="20"/>
                <w:szCs w:val="20"/>
                <w:color w:val="auto"/>
              </w:rPr>
            </w:pPr>
            <w:r>
              <w:rPr>
                <w:rFonts w:ascii="Arial" w:cs="Arial" w:eastAsia="Arial" w:hAnsi="Arial"/>
                <w:sz w:val="18"/>
                <w:szCs w:val="18"/>
                <w:b w:val="1"/>
                <w:bCs w:val="1"/>
                <w:color w:val="auto"/>
                <w:w w:val="83"/>
              </w:rPr>
              <w:t>Shares To Be</w:t>
            </w:r>
          </w:p>
        </w:tc>
        <w:tc>
          <w:tcPr>
            <w:tcW w:w="20" w:type="dxa"/>
            <w:vAlign w:val="bottom"/>
          </w:tcPr>
          <w:p>
            <w:pPr>
              <w:spacing w:after="0"/>
              <w:rPr>
                <w:sz w:val="21"/>
                <w:szCs w:val="21"/>
                <w:color w:val="auto"/>
              </w:rPr>
            </w:pPr>
          </w:p>
        </w:tc>
      </w:tr>
      <w:tr>
        <w:trPr>
          <w:trHeight w:val="252"/>
        </w:trPr>
        <w:tc>
          <w:tcPr>
            <w:tcW w:w="8300" w:type="dxa"/>
            <w:vAlign w:val="bottom"/>
            <w:tcBorders>
              <w:bottom w:val="single" w:sz="8" w:color="auto"/>
            </w:tcBorders>
          </w:tcPr>
          <w:p>
            <w:pPr>
              <w:ind w:left="3680"/>
              <w:spacing w:after="0"/>
              <w:rPr>
                <w:sz w:val="20"/>
                <w:szCs w:val="20"/>
                <w:color w:val="auto"/>
              </w:rPr>
            </w:pPr>
            <w:r>
              <w:rPr>
                <w:rFonts w:ascii="Arial" w:cs="Arial" w:eastAsia="Arial" w:hAnsi="Arial"/>
                <w:sz w:val="18"/>
                <w:szCs w:val="18"/>
                <w:b w:val="1"/>
                <w:bCs w:val="1"/>
                <w:color w:val="auto"/>
              </w:rPr>
              <w:t>Underwriter</w:t>
            </w:r>
          </w:p>
        </w:tc>
        <w:tc>
          <w:tcPr>
            <w:tcW w:w="280" w:type="dxa"/>
            <w:vAlign w:val="bottom"/>
            <w:tcBorders>
              <w:bottom w:val="single" w:sz="8" w:color="C0C0C0"/>
            </w:tcBorders>
          </w:tcPr>
          <w:p>
            <w:pPr>
              <w:spacing w:after="0"/>
              <w:rPr>
                <w:sz w:val="21"/>
                <w:szCs w:val="21"/>
                <w:color w:val="auto"/>
              </w:rPr>
            </w:pPr>
          </w:p>
        </w:tc>
        <w:tc>
          <w:tcPr>
            <w:tcW w:w="284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6"/>
              </w:rPr>
              <w:t>Purchased</w:t>
            </w:r>
          </w:p>
        </w:tc>
        <w:tc>
          <w:tcPr>
            <w:tcW w:w="20" w:type="dxa"/>
            <w:vAlign w:val="bottom"/>
          </w:tcPr>
          <w:p>
            <w:pPr>
              <w:spacing w:after="0"/>
              <w:rPr>
                <w:sz w:val="21"/>
                <w:szCs w:val="21"/>
                <w:color w:val="auto"/>
              </w:rPr>
            </w:pPr>
          </w:p>
        </w:tc>
      </w:tr>
      <w:tr>
        <w:trPr>
          <w:trHeight w:val="237"/>
        </w:trPr>
        <w:tc>
          <w:tcPr>
            <w:tcW w:w="8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Citigroup Global Markets Inc.</w:t>
            </w:r>
          </w:p>
        </w:tc>
        <w:tc>
          <w:tcPr>
            <w:tcW w:w="2840" w:type="dxa"/>
            <w:vAlign w:val="bottom"/>
            <w:tcBorders>
              <w:bottom w:val="single" w:sz="8" w:color="auto"/>
            </w:tcBorders>
            <w:shd w:val="clear" w:color="auto" w:fill="C0C0C0"/>
          </w:tcPr>
          <w:p>
            <w:pPr>
              <w:jc w:val="center"/>
              <w:ind w:right="192"/>
              <w:spacing w:after="0"/>
              <w:rPr>
                <w:sz w:val="20"/>
                <w:szCs w:val="20"/>
                <w:color w:val="auto"/>
              </w:rPr>
            </w:pPr>
            <w:r>
              <w:rPr>
                <w:rFonts w:ascii="Arial" w:cs="Arial" w:eastAsia="Arial" w:hAnsi="Arial"/>
                <w:sz w:val="18"/>
                <w:szCs w:val="18"/>
                <w:color w:val="auto"/>
                <w:w w:val="89"/>
              </w:rPr>
              <w:t>5,500,000</w:t>
            </w:r>
          </w:p>
        </w:tc>
        <w:tc>
          <w:tcPr>
            <w:tcW w:w="20" w:type="dxa"/>
            <w:vAlign w:val="bottom"/>
          </w:tcPr>
          <w:p>
            <w:pPr>
              <w:spacing w:after="0"/>
              <w:rPr>
                <w:sz w:val="20"/>
                <w:szCs w:val="20"/>
                <w:color w:val="auto"/>
              </w:rPr>
            </w:pPr>
          </w:p>
        </w:tc>
      </w:tr>
      <w:tr>
        <w:trPr>
          <w:trHeight w:val="250"/>
        </w:trPr>
        <w:tc>
          <w:tcPr>
            <w:tcW w:w="858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color w:val="auto"/>
                <w:w w:val="89"/>
              </w:rPr>
              <w:t>5,500,000</w:t>
            </w:r>
          </w:p>
        </w:tc>
        <w:tc>
          <w:tcPr>
            <w:tcW w:w="20" w:type="dxa"/>
            <w:vAlign w:val="bottom"/>
          </w:tcPr>
          <w:p>
            <w:pPr>
              <w:spacing w:after="0"/>
              <w:rPr>
                <w:sz w:val="21"/>
                <w:szCs w:val="21"/>
                <w:color w:val="auto"/>
              </w:rPr>
            </w:pPr>
          </w:p>
        </w:tc>
      </w:tr>
      <w:tr>
        <w:trPr>
          <w:trHeight w:val="591"/>
        </w:trPr>
        <w:tc>
          <w:tcPr>
            <w:tcW w:w="8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25" w:right="2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3" w:lineRule="exact"/>
        <w:rPr>
          <w:sz w:val="20"/>
          <w:szCs w:val="20"/>
          <w:color w:val="auto"/>
        </w:rPr>
      </w:pPr>
    </w:p>
    <w:p>
      <w:pPr>
        <w:ind w:firstLine="260"/>
        <w:spacing w:after="0" w:line="258" w:lineRule="auto"/>
        <w:rPr>
          <w:sz w:val="20"/>
          <w:szCs w:val="20"/>
          <w:color w:val="auto"/>
        </w:rPr>
      </w:pPr>
      <w:r>
        <w:rPr>
          <w:rFonts w:ascii="Arial" w:cs="Arial" w:eastAsia="Arial" w:hAnsi="Arial"/>
          <w:sz w:val="18"/>
          <w:szCs w:val="18"/>
          <w:color w:val="auto"/>
        </w:rPr>
        <w:t>The undersigned understands that Citigroup Global Markets Inc. (“</w:t>
      </w:r>
      <w:r>
        <w:rPr>
          <w:rFonts w:ascii="Arial" w:cs="Arial" w:eastAsia="Arial" w:hAnsi="Arial"/>
          <w:sz w:val="18"/>
          <w:szCs w:val="18"/>
          <w:b w:val="1"/>
          <w:bCs w:val="1"/>
          <w:color w:val="auto"/>
        </w:rPr>
        <w:t>Citi</w:t>
      </w:r>
      <w:r>
        <w:rPr>
          <w:rFonts w:ascii="Arial" w:cs="Arial" w:eastAsia="Arial" w:hAnsi="Arial"/>
          <w:sz w:val="18"/>
          <w:szCs w:val="18"/>
          <w:color w:val="auto"/>
        </w:rPr>
        <w:t>”) has entered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Regeneron Pharmaceuticals, Inc., a New York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Citi as underwriter (the “</w:t>
      </w:r>
      <w:r>
        <w:rPr>
          <w:rFonts w:ascii="Arial" w:cs="Arial" w:eastAsia="Arial" w:hAnsi="Arial"/>
          <w:sz w:val="18"/>
          <w:szCs w:val="18"/>
          <w:b w:val="1"/>
          <w:bCs w:val="1"/>
          <w:color w:val="auto"/>
        </w:rPr>
        <w:t>Underwriter</w:t>
      </w:r>
      <w:r>
        <w:rPr>
          <w:rFonts w:ascii="Arial" w:cs="Arial" w:eastAsia="Arial" w:hAnsi="Arial"/>
          <w:sz w:val="18"/>
          <w:szCs w:val="18"/>
          <w:color w:val="auto"/>
        </w:rPr>
        <w:t>”) of 5,500,000 firm shares and 825,000 additional shares (collectively, the “</w:t>
      </w:r>
      <w:r>
        <w:rPr>
          <w:rFonts w:ascii="Arial" w:cs="Arial" w:eastAsia="Arial" w:hAnsi="Arial"/>
          <w:sz w:val="18"/>
          <w:szCs w:val="18"/>
          <w:b w:val="1"/>
          <w:bCs w:val="1"/>
          <w:color w:val="auto"/>
        </w:rPr>
        <w:t>Shares</w:t>
      </w:r>
      <w:r>
        <w:rPr>
          <w:rFonts w:ascii="Arial" w:cs="Arial" w:eastAsia="Arial" w:hAnsi="Arial"/>
          <w:sz w:val="18"/>
          <w:szCs w:val="18"/>
          <w:color w:val="auto"/>
        </w:rPr>
        <w:t>”) of the Common Stock ($0.001 par value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50" w:lineRule="exact"/>
        <w:rPr>
          <w:sz w:val="20"/>
          <w:szCs w:val="20"/>
          <w:color w:val="auto"/>
        </w:rPr>
      </w:pPr>
    </w:p>
    <w:p>
      <w:pPr>
        <w:ind w:firstLine="260"/>
        <w:spacing w:after="0" w:line="284" w:lineRule="auto"/>
        <w:rPr>
          <w:sz w:val="20"/>
          <w:szCs w:val="20"/>
          <w:color w:val="auto"/>
        </w:rPr>
      </w:pPr>
      <w:r>
        <w:rPr>
          <w:rFonts w:ascii="Arial" w:cs="Arial" w:eastAsia="Arial" w:hAnsi="Arial"/>
          <w:sz w:val="16"/>
          <w:szCs w:val="16"/>
          <w:color w:val="auto"/>
        </w:rPr>
        <w:t xml:space="preserve">The undersigned hereby agrees that, without the prior written consent of Citi, it will not, during the period commencing on the date hereof and ending on the earlier to occur of (a) 45 days after the date of the final prospectus supplement relating to the Public Offering, and (b) 5 days after the date of such final prospectus supplement if the sale of the Shares to the Underwriter has not closed,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 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Public Offering; (b) transfers of shares of Common Stock or any security convertible into Common Stock as a bona fide gift; (c) distributions or transfers to family members, trusts, and/or controlled entities in connection with estate planning,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transferee shall sign and deliver a lock-up letter substantially in the form of this letter; (d) the sale of Common Stock in the public market pursuant to a written trading plan in existence prior to the date hereof designed to comply with Rule 10b5-1 under the Securities Exchange Act of 1934, as amended; or (e) the ex ercise of a stock option for, or the conversion of any convertible security into, shares of common stock, including, without limitation, by transferring or submitting for cancellation aged shares or shares otherwise issued or issuable upon the exercise of a stock option to the Company to satisfy the exercise price of a stock option under the Company’s long-term incentive plans (or to satisfy the minimum withholding tax required in connection with such option exercise). In addition, the undersigned agrees that, without the prior written consent of Citi, it will not, during the period commencing on the date hereof and ending 45 days after the date of the final prospectus supplement, make any demand for or exercise any right with respect to, the registration of any shares of Common Stock or any security convertible into or exercisable or exchangeable for Common Stock. The undersigned agrees and consents to the entry of stop transfer instructions with the Company’s transfer agent and registrar agains t the transfer of the undersigned’s shares of Common Stock except in compliance with the foregoing restrictions.</w:t>
      </w:r>
    </w:p>
    <w:p>
      <w:pPr>
        <w:spacing w:after="0" w:line="239" w:lineRule="exact"/>
        <w:rPr>
          <w:sz w:val="20"/>
          <w:szCs w:val="20"/>
          <w:color w:val="auto"/>
        </w:rPr>
      </w:pPr>
    </w:p>
    <w:p>
      <w:pPr>
        <w:ind w:right="20" w:firstLine="260"/>
        <w:spacing w:after="0" w:line="268" w:lineRule="auto"/>
        <w:rPr>
          <w:sz w:val="20"/>
          <w:szCs w:val="20"/>
          <w:color w:val="auto"/>
        </w:rPr>
      </w:pPr>
      <w:r>
        <w:rPr>
          <w:rFonts w:ascii="Arial" w:cs="Arial" w:eastAsia="Arial" w:hAnsi="Arial"/>
          <w:sz w:val="18"/>
          <w:szCs w:val="18"/>
          <w:color w:val="auto"/>
        </w:rPr>
        <w:t>The undersigned understands that the Company and the Underwriter are relying upon this agreement. The undersigned further understands that this agreement is irrevocable and shall be binding upon the undersigned’s heirs, legal representatives, successors and assigns.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 on next page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ind w:left="4520"/>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342900</wp:posOffset>
            </wp:positionV>
            <wp:extent cx="2178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173990</wp:posOffset>
            </wp:positionV>
            <wp:extent cx="2178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7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Printed Name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188595</wp:posOffset>
            </wp:positionV>
            <wp:extent cx="2178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240665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30" w:name="page31"/>
    <w:bookmarkEnd w:id="30"/>
    <w:p>
      <w:pPr>
        <w:ind w:left="10500"/>
        <w:spacing w:after="0"/>
        <w:rPr>
          <w:sz w:val="20"/>
          <w:szCs w:val="20"/>
          <w:color w:val="auto"/>
        </w:rPr>
      </w:pPr>
      <w:r>
        <w:rPr>
          <w:rFonts w:ascii="Arial" w:cs="Arial" w:eastAsia="Arial" w:hAnsi="Arial"/>
          <w:sz w:val="18"/>
          <w:szCs w:val="18"/>
          <w:b w:val="1"/>
          <w:bCs w:val="1"/>
          <w:color w:val="auto"/>
        </w:rPr>
        <w:t>EXHIBIT B</w:t>
      </w:r>
    </w:p>
    <w:p>
      <w:pPr>
        <w:spacing w:after="0" w:line="25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Regeneron Pharmaceuticals, Inc. (the “Company”) is offering 5,500,000 shares of its common stock (the “Shares”) in a variable price offering. Citi’s indicative price for the Shares is $28.00 per share, plus a commission equivalent of up to 5 cents per share. The Company has granted Citi an option to purchase up to an additional 825,000 shares of common stock solely to cover over-allotments, if any.</w:t>
      </w:r>
    </w:p>
    <w:p>
      <w:pPr>
        <w:spacing w:after="0" w:line="2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Shares are being offered under the Company’s existing effective shelf registration statement. Copies of the prospectus supplement and accompanying prospectus related to this offering may be obtained from Citi, Brooklyn Army Terminal, 140 58th Street, 8th Floor, Brooklyn, New York 11220 (tel: (800) 831-9146).</w:t>
      </w:r>
    </w:p>
    <w:p>
      <w:pPr>
        <w:spacing w:after="0" w:line="22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This notice shall not constitute an offer to sell or the solicitation of an offer to buy nor shall there be any sales of these securities in any jurisdiction in which such offer, solicitation or sale would be unlawful prior to registration or qualification under the securities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5.1</w:t>
      </w:r>
    </w:p>
    <w:p>
      <w:pPr>
        <w:spacing w:after="0" w:line="252"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October 13,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59"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Re:</w:t>
        <w:tab/>
        <w:t>Regeneron Pharmaceuticals, Inc.</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Registration Statement on Form S-3/ASR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19685</wp:posOffset>
            </wp:positionV>
            <wp:extent cx="18611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We have acted as special counsel to Regeneron Pharmaceuticals, Inc., a New York corporation (the “Company”), in connection with the public offering by the Company of up to 6,325,000 shares of the Company’s common stock, par value $0.001 per share (the “Common Stock”).</w:t>
      </w:r>
    </w:p>
    <w:p>
      <w:pPr>
        <w:spacing w:after="0" w:line="240"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This opinion is being furnished in accordance with the requirements of Item 601(b) (5) of Regulation S-K under the Securities Act of 1933, as amended (the “Securities Act”).</w:t>
      </w:r>
    </w:p>
    <w:p>
      <w:pPr>
        <w:spacing w:after="0" w:line="240"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Registration Statement on Form S-3/ASR (File No. 333-169786), related to the Common Stock and other securities of the Company, filed with the Securities and Exchange Commission (the “Commission”) on October 6, 2010 under the Securities Act of 1933 (the "Securities Act") allowing for delayed offerings pursuant to Rule 415 of the General Rules and Regulations under the Securities Act (the "Rules and Regulations"), including the Incorporated Documents (as defined below), and the information deemed to be a part of the registration statement pursuant to Rule 430B of the Rules and Regulations (such registration statement being hereinafter referred to as the "Registration Statement"); (ii) the prospectus supplement dated October 7, 2010 and filed with the Commission on October 8, 2010 (the “Prospectus Supplement’); (iii) an executed copy the Underwriting Agreement (the “Underwriting Agreement”) between the Company, as issuer and Citigroup Global Markets Inc., as underwriter (the “Underwriter”); (iv) a specimen certificate evidencing the Common Stock; (v) the Restated Certificate of Incorporation of the Company, as presently in effect; (vi) the Amended and Restated By-laws of the Company, as presently in effect; and (vii) certain resolutions of the Board of Directors of the Company, dated October 5, 2010, related to the issuance of the Common Stock and related matters and (viii) certain resolutions of the Pricing Committee thereof, adopted October 7, 2010, related to the pricing of the Common Stock. We have also ex 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73"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executed documents we have assumed that the parties,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and others.</w:t>
      </w:r>
    </w:p>
    <w:p>
      <w:pPr>
        <w:spacing w:after="0" w:line="226"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Our opinions set forth herein are limited to the laws of the State of New York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non-Opined on Law on the opinions herein stated. This opinion is limited to the laws, including the rules and regulations under the Securities Act, as in effect on the date hereof, which laws are subject to change with possible retroactive effect.</w:t>
      </w:r>
    </w:p>
    <w:p>
      <w:pPr>
        <w:spacing w:after="0" w:line="224"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we are of the opinion that when the certificates representing the Common Stock, in the form of the specimen certificates examined by us, have been manually signed by an authorized officer of the transfer agent and registrar for the Common Stock and registered by such transfer agent and registrar, and delivered to and paid for by the Underwriter at a price per share not less than the per share par value of the Common Stock as contemplated by the Underwriting Agreement, the issuance and sale of the Common Stock will have been duly authorized, and the Common Stock will be validly issued, fully paid and nonassessable.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33" w:name="page34"/>
    <w:bookmarkEnd w:id="33"/>
    <w:p>
      <w:pPr>
        <w:jc w:val="both"/>
        <w:ind w:firstLine="270"/>
        <w:spacing w:after="0" w:line="306" w:lineRule="auto"/>
        <w:rPr>
          <w:sz w:val="20"/>
          <w:szCs w:val="20"/>
          <w:color w:val="auto"/>
        </w:rPr>
      </w:pPr>
      <w:r>
        <w:rPr>
          <w:rFonts w:ascii="Arial" w:cs="Arial" w:eastAsia="Arial" w:hAnsi="Arial"/>
          <w:sz w:val="16"/>
          <w:szCs w:val="16"/>
          <w:color w:val="auto"/>
        </w:rPr>
        <w:t>We hereby consent to the filing of this opinion with the Commission as an exhibit to the Registration Statement. We also consent to the reference to our firm under the caption “Legal Matters” in the Registration Statement. In giving such consent, we do not thereby admit that we are included in the category of persons whose consent is required under Section 7 of the Securities Act or the rules and regulations of the Commission.</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80"/>
      </w:cols>
      <w:pgMar w:left="240" w:top="64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c"/>
      <w:numFmt w:val="bullet"/>
      <w:start w:val="1"/>
    </w:lvl>
  </w:abstractNum>
  <w:abstractNum w:abstractNumId="1">
    <w:nsid w:val="41A7C4C9"/>
    <w:multiLevelType w:val="hybridMultilevel"/>
    <w:lvl w:ilvl="0">
      <w:lvlJc w:val="left"/>
      <w:lvlText w:val="%1."/>
      <w:numFmt w:val="decimal"/>
      <w:start w:val="1"/>
    </w:lvl>
    <w:lvl w:ilvl="1">
      <w:lvlJc w:val="left"/>
      <w:lvlText w:val="(%2)"/>
      <w:numFmt w:val="lowerLetter"/>
      <w:start w:val="1"/>
    </w:lvl>
  </w:abstractNum>
  <w:abstractNum w:abstractNumId="2">
    <w:nsid w:val="6B68079A"/>
    <w:multiLevelType w:val="hybridMultilevel"/>
    <w:lvl w:ilvl="0">
      <w:lvlJc w:val="left"/>
      <w:lvlText w:val="(%1)"/>
      <w:numFmt w:val="lowerLetter"/>
      <w:start w:val="3"/>
    </w:lvl>
  </w:abstractNum>
  <w:abstractNum w:abstractNumId="3">
    <w:nsid w:val="4E6AFB66"/>
    <w:multiLevelType w:val="hybridMultilevel"/>
    <w:lvl w:ilvl="0">
      <w:lvlJc w:val="left"/>
      <w:lvlText w:val="(%1)"/>
      <w:numFmt w:val="lowerLetter"/>
      <w:start w:val="5"/>
    </w:lvl>
  </w:abstractNum>
  <w:abstractNum w:abstractNumId="4">
    <w:nsid w:val="25E45D32"/>
    <w:multiLevelType w:val="hybridMultilevel"/>
    <w:lvl w:ilvl="0">
      <w:lvlJc w:val="left"/>
      <w:lvlText w:val="(%1)"/>
      <w:numFmt w:val="lowerLetter"/>
      <w:start w:val="8"/>
    </w:lvl>
  </w:abstractNum>
  <w:abstractNum w:abstractNumId="5">
    <w:nsid w:val="519B500D"/>
    <w:multiLevelType w:val="hybridMultilevel"/>
    <w:lvl w:ilvl="0">
      <w:lvlJc w:val="left"/>
      <w:lvlText w:val="(%1)"/>
      <w:numFmt w:val="lowerLetter"/>
      <w:start w:val="9"/>
    </w:lvl>
  </w:abstractNum>
  <w:abstractNum w:abstractNumId="6">
    <w:nsid w:val="431BD7B7"/>
    <w:multiLevelType w:val="hybridMultilevel"/>
    <w:lvl w:ilvl="0">
      <w:lvlJc w:val="left"/>
      <w:lvlText w:val="(%1)"/>
      <w:numFmt w:val="lowerLetter"/>
      <w:start w:val="13"/>
    </w:lvl>
  </w:abstractNum>
  <w:abstractNum w:abstractNumId="7">
    <w:nsid w:val="3F2DBA31"/>
    <w:multiLevelType w:val="hybridMultilevel"/>
    <w:lvl w:ilvl="0">
      <w:lvlJc w:val="left"/>
      <w:lvlText w:val="(%1)"/>
      <w:numFmt w:val="lowerLetter"/>
      <w:start w:val="16"/>
    </w:lvl>
    <w:lvl w:ilvl="1">
      <w:lvlJc w:val="left"/>
      <w:lvlText w:val="(%2)"/>
      <w:numFmt w:val="upperLetter"/>
      <w:start w:val="1"/>
    </w:lvl>
  </w:abstractNum>
  <w:abstractNum w:abstractNumId="8">
    <w:nsid w:val="7C83E458"/>
    <w:multiLevelType w:val="hybridMultilevel"/>
    <w:lvl w:ilvl="0">
      <w:lvlJc w:val="left"/>
      <w:lvlText w:val="%1"/>
      <w:numFmt w:val="lowerLetter"/>
      <w:start w:val="1"/>
    </w:lvl>
    <w:lvl w:ilvl="1">
      <w:lvlJc w:val="left"/>
      <w:lvlText w:val="(%2)"/>
      <w:numFmt w:val="lowerRoman"/>
      <w:start w:val="2"/>
    </w:lvl>
  </w:abstractNum>
  <w:abstractNum w:abstractNumId="9">
    <w:nsid w:val="257130A3"/>
    <w:multiLevelType w:val="hybridMultilevel"/>
    <w:lvl w:ilvl="0">
      <w:lvlJc w:val="left"/>
      <w:lvlText w:val="(%1)"/>
      <w:numFmt w:val="lowerLetter"/>
      <w:start w:val="19"/>
    </w:lvl>
    <w:lvl w:ilvl="1">
      <w:lvlJc w:val="left"/>
      <w:lvlText w:val="%2"/>
      <w:numFmt w:val="lowerRoman"/>
      <w:start w:val="1"/>
    </w:lvl>
  </w:abstractNum>
  <w:abstractNum w:abstractNumId="10">
    <w:nsid w:val="62BBD95A"/>
    <w:multiLevelType w:val="hybridMultilevel"/>
    <w:lvl w:ilvl="0">
      <w:lvlJc w:val="left"/>
      <w:lvlText w:val="(%1)"/>
      <w:numFmt w:val="lowerLetter"/>
      <w:start w:val="23"/>
    </w:lvl>
  </w:abstractNum>
  <w:abstractNum w:abstractNumId="11">
    <w:nsid w:val="436C6125"/>
    <w:multiLevelType w:val="hybridMultilevel"/>
    <w:lvl w:ilvl="0">
      <w:lvlJc w:val="left"/>
      <w:lvlText w:val="(%1)"/>
      <w:numFmt w:val="lowerLetter"/>
      <w:start w:val="25"/>
    </w:lvl>
  </w:abstractNum>
  <w:abstractNum w:abstractNumId="12">
    <w:nsid w:val="628C895D"/>
    <w:multiLevelType w:val="hybridMultilevel"/>
    <w:lvl w:ilvl="0">
      <w:lvlJc w:val="left"/>
      <w:lvlText w:val="%1."/>
      <w:numFmt w:val="decimal"/>
      <w:start w:val="2"/>
    </w:lvl>
  </w:abstractNum>
  <w:abstractNum w:abstractNumId="13">
    <w:nsid w:val="333AB105"/>
    <w:multiLevelType w:val="hybridMultilevel"/>
    <w:lvl w:ilvl="0">
      <w:lvlJc w:val="left"/>
      <w:lvlText w:val="%1."/>
      <w:numFmt w:val="decimal"/>
      <w:start w:val="3"/>
    </w:lvl>
  </w:abstractNum>
  <w:abstractNum w:abstractNumId="14">
    <w:nsid w:val="721DA317"/>
    <w:multiLevelType w:val="hybridMultilevel"/>
    <w:lvl w:ilvl="0">
      <w:lvlJc w:val="left"/>
      <w:lvlText w:val="%1."/>
      <w:numFmt w:val="decimal"/>
      <w:start w:val="5"/>
    </w:lvl>
    <w:lvl w:ilvl="1">
      <w:lvlJc w:val="left"/>
      <w:lvlText w:val="(%2)"/>
      <w:numFmt w:val="lowerRoman"/>
      <w:start w:val="1"/>
    </w:lvl>
  </w:abstractNum>
  <w:abstractNum w:abstractNumId="15">
    <w:nsid w:val="2443A858"/>
    <w:multiLevelType w:val="hybridMultilevel"/>
    <w:lvl w:ilvl="0">
      <w:lvlJc w:val="left"/>
      <w:lvlText w:val="(%1)"/>
      <w:numFmt w:val="lowerLetter"/>
      <w:start w:val="2"/>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lowerLetter"/>
      <w:start w:val="6"/>
    </w:lvl>
  </w:abstractNum>
  <w:abstractNum w:abstractNumId="20">
    <w:nsid w:val="79838CB2"/>
    <w:multiLevelType w:val="hybridMultilevel"/>
    <w:lvl w:ilvl="0">
      <w:lvlJc w:val="left"/>
      <w:lvlText w:val="(%1)"/>
      <w:numFmt w:val="lowerLetter"/>
      <w:start w:val="9"/>
    </w:lvl>
  </w:abstractNum>
  <w:abstractNum w:abstractNumId="21">
    <w:nsid w:val="4353D0CD"/>
    <w:multiLevelType w:val="hybridMultilevel"/>
    <w:lvl w:ilvl="0">
      <w:lvlJc w:val="left"/>
      <w:lvlText w:val="(%1)"/>
      <w:numFmt w:val="lowerLetter"/>
      <w:start w:val="2"/>
    </w:lvl>
    <w:lvl w:ilvl="1">
      <w:lvlJc w:val="left"/>
      <w:lvlText w:val="%2."/>
      <w:numFmt w:val="decimal"/>
      <w:start w:val="7"/>
    </w:lvl>
  </w:abstractNum>
  <w:abstractNum w:abstractNumId="22">
    <w:nsid w:val="B03E0C6"/>
    <w:multiLevelType w:val="hybridMultilevel"/>
    <w:lvl w:ilvl="0">
      <w:lvlJc w:val="left"/>
      <w:lvlText w:val="(%1)"/>
      <w:numFmt w:val="lowerLetter"/>
      <w:start w:val="2"/>
    </w:lvl>
  </w:abstractNum>
  <w:abstractNum w:abstractNumId="23">
    <w:nsid w:val="189A769B"/>
    <w:multiLevelType w:val="hybridMultilevel"/>
    <w:lvl w:ilvl="0">
      <w:lvlJc w:val="left"/>
      <w:lvlText w:val="(%1)"/>
      <w:numFmt w:val="lowerLetter"/>
      <w:start w:val="4"/>
    </w:lvl>
  </w:abstractNum>
  <w:abstractNum w:abstractNumId="24">
    <w:nsid w:val="54E49EB4"/>
    <w:multiLevelType w:val="hybridMultilevel"/>
    <w:lvl w:ilvl="0">
      <w:lvlJc w:val="left"/>
      <w:lvlText w:val="(%1)"/>
      <w:numFmt w:val="lowerLetter"/>
      <w:start w:val="6"/>
    </w:lvl>
  </w:abstractNum>
  <w:abstractNum w:abstractNumId="25">
    <w:nsid w:val="71F32454"/>
    <w:multiLevelType w:val="hybridMultilevel"/>
    <w:lvl w:ilvl="0">
      <w:lvlJc w:val="left"/>
      <w:lvlText w:val="%1."/>
      <w:numFmt w:val="decimal"/>
      <w:start w:val="9"/>
    </w:lvl>
  </w:abstractNum>
  <w:abstractNum w:abstractNumId="26">
    <w:nsid w:val="2CA88611"/>
    <w:multiLevelType w:val="hybridMultilevel"/>
    <w:lvl w:ilvl="0">
      <w:lvlJc w:val="left"/>
      <w:lvlText w:val="%1."/>
      <w:numFmt w:val="decimal"/>
      <w:start w:val="11"/>
    </w:lvl>
  </w:abstractNum>
  <w:abstractNum w:abstractNumId="27">
    <w:nsid w:val="836C40E"/>
    <w:multiLevelType w:val="hybridMultilevel"/>
    <w:lvl w:ilvl="0">
      <w:lvlJc w:val="left"/>
      <w:lvlText w:val="(%1)"/>
      <w:numFmt w:val="lowerLetter"/>
      <w:start w:val="2"/>
    </w:lvl>
  </w:abstractNum>
  <w:abstractNum w:abstractNumId="28">
    <w:nsid w:val="2901D8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2019-12-10T09:51:56Z</dcterms:created>
  <dcterms:modified xsi:type="dcterms:W3CDTF">2019-12-10T09:51:56Z</dcterms:modified>
</cp:coreProperties>
</file>