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8-K/A</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(Amendment No. 1)</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May 7, 2019 (May 7, 2019)</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12"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5640" w:type="dxa"/>
            <w:vAlign w:val="bottom"/>
          </w:tcPr>
          <w:p>
            <w:pPr>
              <w:jc w:val="center"/>
              <w:ind w:right="1543"/>
              <w:spacing w:after="0"/>
              <w:rPr>
                <w:sz w:val="20"/>
                <w:szCs w:val="20"/>
                <w:color w:val="auto"/>
              </w:rPr>
            </w:pPr>
            <w:r>
              <w:rPr>
                <w:rFonts w:ascii="Arial" w:cs="Arial" w:eastAsia="Arial" w:hAnsi="Arial"/>
                <w:sz w:val="18"/>
                <w:szCs w:val="18"/>
                <w:b w:val="1"/>
                <w:bCs w:val="1"/>
                <w:color w:val="auto"/>
                <w:w w:val="90"/>
              </w:rPr>
              <w:t>000-19034</w:t>
            </w:r>
          </w:p>
        </w:tc>
        <w:tc>
          <w:tcPr>
            <w:tcW w:w="2680" w:type="dxa"/>
            <w:vAlign w:val="bottom"/>
          </w:tcPr>
          <w:p>
            <w:pPr>
              <w:ind w:left="1660"/>
              <w:spacing w:after="0"/>
              <w:rPr>
                <w:sz w:val="20"/>
                <w:szCs w:val="20"/>
                <w:color w:val="auto"/>
              </w:rPr>
            </w:pPr>
            <w:r>
              <w:rPr>
                <w:rFonts w:ascii="Arial" w:cs="Arial" w:eastAsia="Arial" w:hAnsi="Arial"/>
                <w:sz w:val="18"/>
                <w:szCs w:val="18"/>
                <w:b w:val="1"/>
                <w:bCs w:val="1"/>
                <w:color w:val="auto"/>
              </w:rPr>
              <w:t>13-3444607</w:t>
            </w:r>
          </w:p>
        </w:tc>
      </w:tr>
      <w:tr>
        <w:trPr>
          <w:trHeight w:val="163"/>
        </w:trPr>
        <w:tc>
          <w:tcPr>
            <w:tcW w:w="5640" w:type="dxa"/>
            <w:vAlign w:val="bottom"/>
          </w:tcPr>
          <w:p>
            <w:pPr>
              <w:jc w:val="center"/>
              <w:ind w:right="1523"/>
              <w:spacing w:after="0"/>
              <w:rPr>
                <w:sz w:val="20"/>
                <w:szCs w:val="20"/>
                <w:color w:val="auto"/>
              </w:rPr>
            </w:pPr>
            <w:r>
              <w:rPr>
                <w:rFonts w:ascii="Arial" w:cs="Arial" w:eastAsia="Arial" w:hAnsi="Arial"/>
                <w:sz w:val="14"/>
                <w:szCs w:val="14"/>
                <w:b w:val="1"/>
                <w:bCs w:val="1"/>
                <w:color w:val="auto"/>
                <w:w w:val="85"/>
              </w:rPr>
              <w:t>(Commission</w:t>
            </w:r>
          </w:p>
        </w:tc>
        <w:tc>
          <w:tcPr>
            <w:tcW w:w="2680" w:type="dxa"/>
            <w:vAlign w:val="bottom"/>
          </w:tcPr>
          <w:p>
            <w:pPr>
              <w:ind w:left="1660"/>
              <w:spacing w:after="0"/>
              <w:rPr>
                <w:sz w:val="20"/>
                <w:szCs w:val="20"/>
                <w:color w:val="auto"/>
              </w:rPr>
            </w:pPr>
            <w:r>
              <w:rPr>
                <w:rFonts w:ascii="Arial" w:cs="Arial" w:eastAsia="Arial" w:hAnsi="Arial"/>
                <w:sz w:val="14"/>
                <w:szCs w:val="14"/>
                <w:b w:val="1"/>
                <w:bCs w:val="1"/>
                <w:color w:val="auto"/>
                <w:w w:val="93"/>
              </w:rPr>
              <w:t>(I.R.S. Employer</w:t>
            </w:r>
          </w:p>
        </w:tc>
      </w:tr>
      <w:tr>
        <w:trPr>
          <w:trHeight w:val="174"/>
        </w:trPr>
        <w:tc>
          <w:tcPr>
            <w:tcW w:w="5640" w:type="dxa"/>
            <w:vAlign w:val="bottom"/>
          </w:tcPr>
          <w:p>
            <w:pPr>
              <w:jc w:val="center"/>
              <w:ind w:right="1523"/>
              <w:spacing w:after="0"/>
              <w:rPr>
                <w:sz w:val="20"/>
                <w:szCs w:val="20"/>
                <w:color w:val="auto"/>
              </w:rPr>
            </w:pPr>
            <w:r>
              <w:rPr>
                <w:rFonts w:ascii="Arial" w:cs="Arial" w:eastAsia="Arial" w:hAnsi="Arial"/>
                <w:sz w:val="14"/>
                <w:szCs w:val="14"/>
                <w:b w:val="1"/>
                <w:bCs w:val="1"/>
                <w:color w:val="auto"/>
                <w:w w:val="88"/>
              </w:rPr>
              <w:t>File Number)</w:t>
            </w:r>
          </w:p>
        </w:tc>
        <w:tc>
          <w:tcPr>
            <w:tcW w:w="2680" w:type="dxa"/>
            <w:vAlign w:val="bottom"/>
          </w:tcPr>
          <w:p>
            <w:pPr>
              <w:jc w:val="center"/>
              <w:ind w:left="1543"/>
              <w:spacing w:after="0"/>
              <w:rPr>
                <w:sz w:val="20"/>
                <w:szCs w:val="20"/>
                <w:color w:val="auto"/>
              </w:rPr>
            </w:pPr>
            <w:r>
              <w:rPr>
                <w:rFonts w:ascii="Arial" w:cs="Arial" w:eastAsia="Arial" w:hAnsi="Arial"/>
                <w:sz w:val="14"/>
                <w:szCs w:val="14"/>
                <w:b w:val="1"/>
                <w:bCs w:val="1"/>
                <w:color w:val="auto"/>
                <w:w w:val="89"/>
              </w:rPr>
              <w:t>Identification No.)</w:t>
            </w:r>
          </w:p>
        </w:tc>
      </w:tr>
      <w:tr>
        <w:trPr>
          <w:trHeight w:val="474"/>
        </w:trPr>
        <w:tc>
          <w:tcPr>
            <w:tcW w:w="5640" w:type="dxa"/>
            <w:vAlign w:val="bottom"/>
          </w:tcPr>
          <w:p>
            <w:pPr>
              <w:jc w:val="center"/>
              <w:ind w:right="1523"/>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680" w:type="dxa"/>
            <w:vAlign w:val="bottom"/>
          </w:tcPr>
          <w:p>
            <w:pPr>
              <w:ind w:left="1660"/>
              <w:spacing w:after="0"/>
              <w:rPr>
                <w:sz w:val="20"/>
                <w:szCs w:val="20"/>
                <w:color w:val="auto"/>
              </w:rPr>
            </w:pPr>
            <w:r>
              <w:rPr>
                <w:rFonts w:ascii="Arial" w:cs="Arial" w:eastAsia="Arial" w:hAnsi="Arial"/>
                <w:sz w:val="18"/>
                <w:szCs w:val="18"/>
                <w:b w:val="1"/>
                <w:bCs w:val="1"/>
                <w:color w:val="auto"/>
              </w:rPr>
              <w:t>10591-6707</w:t>
            </w:r>
          </w:p>
        </w:tc>
      </w:tr>
      <w:tr>
        <w:trPr>
          <w:trHeight w:val="174"/>
        </w:trPr>
        <w:tc>
          <w:tcPr>
            <w:tcW w:w="5640" w:type="dxa"/>
            <w:vAlign w:val="bottom"/>
          </w:tcPr>
          <w:p>
            <w:pPr>
              <w:jc w:val="center"/>
              <w:ind w:right="1523"/>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680" w:type="dxa"/>
            <w:vAlign w:val="bottom"/>
          </w:tcPr>
          <w:p>
            <w:pPr>
              <w:jc w:val="center"/>
              <w:ind w:left="1543"/>
              <w:spacing w:after="0"/>
              <w:rPr>
                <w:sz w:val="20"/>
                <w:szCs w:val="20"/>
                <w:color w:val="auto"/>
              </w:rPr>
            </w:pPr>
            <w:r>
              <w:rPr>
                <w:rFonts w:ascii="Arial" w:cs="Arial" w:eastAsia="Arial" w:hAnsi="Arial"/>
                <w:sz w:val="14"/>
                <w:szCs w:val="14"/>
                <w:b w:val="1"/>
                <w:bCs w:val="1"/>
                <w:color w:val="auto"/>
                <w:w w:val="89"/>
              </w:rPr>
              <w:t>(Zip Code)</w:t>
            </w:r>
          </w:p>
        </w:tc>
      </w:tr>
    </w:tbl>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17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20" w:type="dxa"/>
            <w:vAlign w:val="bottom"/>
          </w:tcPr>
          <w:p>
            <w:pPr>
              <w:spacing w:after="0"/>
              <w:rPr>
                <w:sz w:val="21"/>
                <w:szCs w:val="21"/>
                <w:color w:val="auto"/>
              </w:rPr>
            </w:pPr>
          </w:p>
        </w:tc>
      </w:tr>
      <w:tr>
        <w:trPr>
          <w:trHeight w:val="237"/>
        </w:trPr>
        <w:tc>
          <w:tcPr>
            <w:tcW w:w="4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REGN</w:t>
            </w:r>
          </w:p>
        </w:tc>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c>
          <w:tcPr>
            <w:tcW w:w="20" w:type="dxa"/>
            <w:vAlign w:val="bottom"/>
          </w:tcPr>
          <w:p>
            <w:pPr>
              <w:spacing w:after="0"/>
              <w:rPr>
                <w:sz w:val="20"/>
                <w:szCs w:val="20"/>
                <w:color w:val="auto"/>
              </w:rPr>
            </w:pPr>
          </w:p>
        </w:tc>
      </w:tr>
      <w:tr>
        <w:trPr>
          <w:trHeight w:val="118"/>
        </w:trPr>
        <w:tc>
          <w:tcPr>
            <w:tcW w:w="482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382"/>
        </w:trPr>
        <w:tc>
          <w:tcPr>
            <w:tcW w:w="48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-269240</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-269240</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206" w:right="2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As described below,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is filing this Amendment to its Current Report on Form 8-K filed with the Securities and Exchange Commission on May 7, 2019 (the “</w:t>
      </w:r>
      <w:r>
        <w:rPr>
          <w:rFonts w:ascii="Arial" w:cs="Arial" w:eastAsia="Arial" w:hAnsi="Arial"/>
          <w:sz w:val="17"/>
          <w:szCs w:val="17"/>
          <w:u w:val="single" w:color="auto"/>
          <w:color w:val="auto"/>
        </w:rPr>
        <w:t>Original Form 8-K</w:t>
      </w:r>
      <w:r>
        <w:rPr>
          <w:rFonts w:ascii="Arial" w:cs="Arial" w:eastAsia="Arial" w:hAnsi="Arial"/>
          <w:sz w:val="17"/>
          <w:szCs w:val="17"/>
          <w:color w:val="auto"/>
        </w:rPr>
        <w:t>”) solely to correct two components of its 2019 financial guidance (GAAP Unreimbursed R&amp;D and GAAP SG&amp;A) and related GAAP-to-non-GAAP reconciliations included in the Company’s press release, dated May 7, 2019, reporting first quarter 2019 financial and operating results furnished as Exhibit 99.1 to the Original Form 8-K (the “</w:t>
      </w:r>
      <w:r>
        <w:rPr>
          <w:rFonts w:ascii="Arial" w:cs="Arial" w:eastAsia="Arial" w:hAnsi="Arial"/>
          <w:sz w:val="17"/>
          <w:szCs w:val="17"/>
          <w:u w:val="single" w:color="auto"/>
          <w:color w:val="auto"/>
        </w:rPr>
        <w:t>Original Earnings Release</w:t>
      </w:r>
      <w:r>
        <w:rPr>
          <w:rFonts w:ascii="Arial" w:cs="Arial" w:eastAsia="Arial" w:hAnsi="Arial"/>
          <w:sz w:val="17"/>
          <w:szCs w:val="17"/>
          <w:color w:val="auto"/>
        </w:rPr>
        <w:t>”). The information furnished under Item 7.01 below amends and supersedes the information contained in the Original Earnings Release.</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Original Earnings Release is hereby revised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Financial Guidance</w:t>
      </w:r>
      <w:r>
        <w:rPr>
          <w:rFonts w:ascii="Arial" w:cs="Arial" w:eastAsia="Arial" w:hAnsi="Arial"/>
          <w:sz w:val="30"/>
          <w:szCs w:val="30"/>
          <w:b w:val="1"/>
          <w:bCs w:val="1"/>
          <w:i w:val="1"/>
          <w:iCs w:val="1"/>
          <w:color w:val="auto"/>
          <w:vertAlign w:val="superscript"/>
        </w:rPr>
        <w:t>(3)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Company’s updated full year 2019 financial guidance consists of the following components:</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i w:val="1"/>
          <w:iCs w:val="1"/>
          <w:color w:val="auto"/>
        </w:rPr>
        <w:t>As reported in the Original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73450" cy="3215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3450" cy="321564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60" w:type="dxa"/>
            <w:vAlign w:val="bottom"/>
            <w:tcBorders>
              <w:top w:val="single" w:sz="8" w:color="auto"/>
              <w:right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w w:val="93"/>
              </w:rPr>
              <w:t>GAAP Sanofi collaboration revenue:</w:t>
            </w:r>
          </w:p>
        </w:tc>
        <w:tc>
          <w:tcPr>
            <w:tcW w:w="27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$500 million–$535 million</w:t>
            </w:r>
          </w:p>
        </w:tc>
        <w:tc>
          <w:tcPr>
            <w:tcW w:w="20" w:type="dxa"/>
            <w:vAlign w:val="bottom"/>
            <w:tcBorders>
              <w:top w:val="single" w:sz="8" w:color="auto"/>
            </w:tcBorders>
          </w:tcPr>
          <w:p>
            <w:pPr>
              <w:spacing w:after="0"/>
              <w:rPr>
                <w:sz w:val="19"/>
                <w:szCs w:val="19"/>
                <w:color w:val="auto"/>
              </w:rPr>
            </w:pPr>
          </w:p>
        </w:tc>
      </w:tr>
      <w:tr>
        <w:trPr>
          <w:trHeight w:val="216"/>
        </w:trPr>
        <w:tc>
          <w:tcPr>
            <w:tcW w:w="2760" w:type="dxa"/>
            <w:vAlign w:val="bottom"/>
            <w:tcBorders>
              <w:right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w w:val="93"/>
              </w:rPr>
              <w:t>Sanofi reimbursement of Regeneron</w:t>
            </w:r>
          </w:p>
        </w:tc>
        <w:tc>
          <w:tcPr>
            <w:tcW w:w="2700" w:type="dxa"/>
            <w:vAlign w:val="bottom"/>
            <w:shd w:val="clear" w:color="auto" w:fill="E5FFFF"/>
          </w:tcPr>
          <w:p>
            <w:pPr>
              <w:spacing w:after="0"/>
              <w:rPr>
                <w:sz w:val="20"/>
                <w:szCs w:val="20"/>
                <w:color w:val="auto"/>
              </w:rPr>
            </w:pPr>
            <w:r>
              <w:rPr>
                <w:rFonts w:ascii="Arial" w:cs="Arial" w:eastAsia="Arial" w:hAnsi="Arial"/>
                <w:sz w:val="18"/>
                <w:szCs w:val="18"/>
                <w:i w:val="1"/>
                <w:iCs w:val="1"/>
                <w:color w:val="auto"/>
              </w:rPr>
              <w:t>(previously $510 million–$560</w:t>
            </w:r>
          </w:p>
        </w:tc>
        <w:tc>
          <w:tcPr>
            <w:tcW w:w="20" w:type="dxa"/>
            <w:vAlign w:val="bottom"/>
          </w:tcPr>
          <w:p>
            <w:pPr>
              <w:spacing w:after="0"/>
              <w:rPr>
                <w:sz w:val="18"/>
                <w:szCs w:val="18"/>
                <w:color w:val="auto"/>
              </w:rPr>
            </w:pPr>
          </w:p>
        </w:tc>
      </w:tr>
      <w:tr>
        <w:trPr>
          <w:trHeight w:val="257"/>
        </w:trPr>
        <w:tc>
          <w:tcPr>
            <w:tcW w:w="2760" w:type="dxa"/>
            <w:vAlign w:val="bottom"/>
            <w:tcBorders>
              <w:bottom w:val="single" w:sz="8" w:color="E5FFFF"/>
              <w:right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w w:val="94"/>
              </w:rPr>
              <w:t>commercialization-related expenses</w:t>
            </w:r>
          </w:p>
        </w:tc>
        <w:tc>
          <w:tcPr>
            <w:tcW w:w="27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i w:val="1"/>
                <w:iCs w:val="1"/>
                <w:color w:val="auto"/>
              </w:rPr>
              <w:t>million)</w:t>
            </w:r>
          </w:p>
        </w:tc>
        <w:tc>
          <w:tcPr>
            <w:tcW w:w="20" w:type="dxa"/>
            <w:vAlign w:val="bottom"/>
          </w:tcPr>
          <w:p>
            <w:pPr>
              <w:spacing w:after="0"/>
              <w:rPr>
                <w:sz w:val="22"/>
                <w:szCs w:val="22"/>
                <w:color w:val="auto"/>
              </w:rPr>
            </w:pPr>
          </w:p>
        </w:tc>
      </w:tr>
      <w:tr>
        <w:trPr>
          <w:trHeight w:val="236"/>
        </w:trPr>
        <w:tc>
          <w:tcPr>
            <w:tcW w:w="2760" w:type="dxa"/>
            <w:vAlign w:val="bottom"/>
            <w:tcBorders>
              <w:top w:val="single" w:sz="8" w:color="auto"/>
              <w:right w:val="single" w:sz="8" w:color="auto"/>
            </w:tcBorders>
          </w:tcPr>
          <w:p>
            <w:pPr>
              <w:ind w:left="20"/>
              <w:spacing w:after="0" w:line="236" w:lineRule="exact"/>
              <w:rPr>
                <w:sz w:val="20"/>
                <w:szCs w:val="20"/>
                <w:color w:val="auto"/>
              </w:rPr>
            </w:pPr>
            <w:r>
              <w:rPr>
                <w:rFonts w:ascii="Arial" w:cs="Arial" w:eastAsia="Arial" w:hAnsi="Arial"/>
                <w:sz w:val="17"/>
                <w:szCs w:val="17"/>
                <w:color w:val="auto"/>
              </w:rPr>
              <w:t>GAAP Unreimbursed R&amp;D</w:t>
            </w:r>
            <w:r>
              <w:rPr>
                <w:rFonts w:ascii="Arial" w:cs="Arial" w:eastAsia="Arial" w:hAnsi="Arial"/>
                <w:sz w:val="27"/>
                <w:szCs w:val="27"/>
                <w:color w:val="auto"/>
                <w:vertAlign w:val="superscript"/>
              </w:rPr>
              <w:t>(5)</w:t>
            </w:r>
          </w:p>
        </w:tc>
        <w:tc>
          <w:tcPr>
            <w:tcW w:w="2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$1.880 billion–$2.000 billion</w:t>
            </w:r>
          </w:p>
        </w:tc>
        <w:tc>
          <w:tcPr>
            <w:tcW w:w="20" w:type="dxa"/>
            <w:vAlign w:val="bottom"/>
            <w:tcBorders>
              <w:top w:val="single" w:sz="8" w:color="auto"/>
            </w:tcBorders>
          </w:tcPr>
          <w:p>
            <w:pPr>
              <w:spacing w:after="0"/>
              <w:rPr>
                <w:sz w:val="20"/>
                <w:szCs w:val="20"/>
                <w:color w:val="auto"/>
              </w:rPr>
            </w:pPr>
          </w:p>
        </w:tc>
      </w:tr>
      <w:tr>
        <w:trPr>
          <w:trHeight w:val="216"/>
        </w:trPr>
        <w:tc>
          <w:tcPr>
            <w:tcW w:w="2760" w:type="dxa"/>
            <w:vAlign w:val="bottom"/>
            <w:tcBorders>
              <w:right w:val="single" w:sz="8" w:color="auto"/>
            </w:tcBorders>
          </w:tcPr>
          <w:p>
            <w:pPr>
              <w:spacing w:after="0"/>
              <w:rPr>
                <w:sz w:val="18"/>
                <w:szCs w:val="18"/>
                <w:color w:val="auto"/>
              </w:rPr>
            </w:pPr>
          </w:p>
        </w:tc>
        <w:tc>
          <w:tcPr>
            <w:tcW w:w="2700" w:type="dxa"/>
            <w:vAlign w:val="bottom"/>
          </w:tcPr>
          <w:p>
            <w:pPr>
              <w:ind w:left="40"/>
              <w:spacing w:after="0"/>
              <w:rPr>
                <w:sz w:val="20"/>
                <w:szCs w:val="20"/>
                <w:color w:val="auto"/>
              </w:rPr>
            </w:pPr>
            <w:r>
              <w:rPr>
                <w:rFonts w:ascii="Arial" w:cs="Arial" w:eastAsia="Arial" w:hAnsi="Arial"/>
                <w:sz w:val="18"/>
                <w:szCs w:val="18"/>
                <w:i w:val="1"/>
                <w:iCs w:val="1"/>
                <w:color w:val="auto"/>
              </w:rPr>
              <w:t>(previously $1.855 billion–$2.000</w:t>
            </w:r>
          </w:p>
        </w:tc>
        <w:tc>
          <w:tcPr>
            <w:tcW w:w="20" w:type="dxa"/>
            <w:vAlign w:val="bottom"/>
          </w:tcPr>
          <w:p>
            <w:pPr>
              <w:spacing w:after="0"/>
              <w:rPr>
                <w:sz w:val="18"/>
                <w:szCs w:val="18"/>
                <w:color w:val="auto"/>
              </w:rPr>
            </w:pPr>
          </w:p>
        </w:tc>
      </w:tr>
      <w:tr>
        <w:trPr>
          <w:trHeight w:val="230"/>
        </w:trPr>
        <w:tc>
          <w:tcPr>
            <w:tcW w:w="2760" w:type="dxa"/>
            <w:vAlign w:val="bottom"/>
            <w:tcBorders>
              <w:right w:val="single" w:sz="8" w:color="auto"/>
            </w:tcBorders>
          </w:tcPr>
          <w:p>
            <w:pPr>
              <w:spacing w:after="0"/>
              <w:rPr>
                <w:sz w:val="20"/>
                <w:szCs w:val="20"/>
                <w:color w:val="auto"/>
              </w:rPr>
            </w:pPr>
          </w:p>
        </w:tc>
        <w:tc>
          <w:tcPr>
            <w:tcW w:w="2700" w:type="dxa"/>
            <w:vAlign w:val="bottom"/>
          </w:tcPr>
          <w:p>
            <w:pPr>
              <w:ind w:left="40"/>
              <w:spacing w:after="0"/>
              <w:rPr>
                <w:sz w:val="20"/>
                <w:szCs w:val="20"/>
                <w:color w:val="auto"/>
              </w:rPr>
            </w:pPr>
            <w:r>
              <w:rPr>
                <w:rFonts w:ascii="Arial" w:cs="Arial" w:eastAsia="Arial" w:hAnsi="Arial"/>
                <w:sz w:val="18"/>
                <w:szCs w:val="18"/>
                <w:i w:val="1"/>
                <w:iCs w:val="1"/>
                <w:color w:val="auto"/>
              </w:rPr>
              <w:t>billion)</w:t>
            </w:r>
          </w:p>
        </w:tc>
        <w:tc>
          <w:tcPr>
            <w:tcW w:w="20" w:type="dxa"/>
            <w:vAlign w:val="bottom"/>
          </w:tcPr>
          <w:p>
            <w:pPr>
              <w:spacing w:after="0"/>
              <w:rPr>
                <w:sz w:val="20"/>
                <w:szCs w:val="20"/>
                <w:color w:val="auto"/>
              </w:rPr>
            </w:pPr>
          </w:p>
        </w:tc>
      </w:tr>
      <w:tr>
        <w:trPr>
          <w:trHeight w:val="27"/>
        </w:trPr>
        <w:tc>
          <w:tcPr>
            <w:tcW w:w="276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760" w:type="dxa"/>
            <w:vAlign w:val="bottom"/>
            <w:tcBorders>
              <w:right w:val="single" w:sz="8" w:color="auto"/>
            </w:tcBorders>
            <w:shd w:val="clear" w:color="auto" w:fill="E5FFFF"/>
          </w:tcPr>
          <w:p>
            <w:pPr>
              <w:ind w:left="20"/>
              <w:spacing w:after="0" w:line="223" w:lineRule="exact"/>
              <w:rPr>
                <w:sz w:val="20"/>
                <w:szCs w:val="20"/>
                <w:color w:val="auto"/>
              </w:rPr>
            </w:pPr>
            <w:r>
              <w:rPr>
                <w:rFonts w:ascii="Arial" w:cs="Arial" w:eastAsia="Arial" w:hAnsi="Arial"/>
                <w:sz w:val="16"/>
                <w:szCs w:val="16"/>
                <w:color w:val="auto"/>
              </w:rPr>
              <w:t>Non-GAAP Unreimbursed R&amp;D</w:t>
            </w:r>
            <w:r>
              <w:rPr>
                <w:rFonts w:ascii="Arial" w:cs="Arial" w:eastAsia="Arial" w:hAnsi="Arial"/>
                <w:sz w:val="25"/>
                <w:szCs w:val="25"/>
                <w:color w:val="auto"/>
                <w:vertAlign w:val="superscript"/>
              </w:rPr>
              <w:t>(2)</w:t>
            </w:r>
          </w:p>
        </w:tc>
        <w:tc>
          <w:tcPr>
            <w:tcW w:w="2700" w:type="dxa"/>
            <w:vAlign w:val="bottom"/>
            <w:shd w:val="clear" w:color="auto" w:fill="E5FFFF"/>
          </w:tcPr>
          <w:p>
            <w:pPr>
              <w:spacing w:after="0"/>
              <w:rPr>
                <w:sz w:val="20"/>
                <w:szCs w:val="20"/>
                <w:color w:val="auto"/>
              </w:rPr>
            </w:pPr>
            <w:r>
              <w:rPr>
                <w:rFonts w:ascii="Arial" w:cs="Arial" w:eastAsia="Arial" w:hAnsi="Arial"/>
                <w:sz w:val="18"/>
                <w:szCs w:val="18"/>
                <w:color w:val="auto"/>
              </w:rPr>
              <w:t>$1.610 billion</w:t>
            </w:r>
            <w:r>
              <w:rPr>
                <w:rFonts w:ascii="Arial" w:cs="Arial" w:eastAsia="Arial" w:hAnsi="Arial"/>
                <w:sz w:val="18"/>
                <w:szCs w:val="18"/>
                <w:i w:val="1"/>
                <w:iCs w:val="1"/>
                <w:color w:val="auto"/>
              </w:rPr>
              <w:t>–</w:t>
            </w:r>
            <w:r>
              <w:rPr>
                <w:rFonts w:ascii="Arial" w:cs="Arial" w:eastAsia="Arial" w:hAnsi="Arial"/>
                <w:sz w:val="18"/>
                <w:szCs w:val="18"/>
                <w:color w:val="auto"/>
              </w:rPr>
              <w:t>$1.710 billion</w:t>
            </w:r>
          </w:p>
        </w:tc>
        <w:tc>
          <w:tcPr>
            <w:tcW w:w="20" w:type="dxa"/>
            <w:vAlign w:val="bottom"/>
          </w:tcPr>
          <w:p>
            <w:pPr>
              <w:spacing w:after="0"/>
              <w:rPr>
                <w:sz w:val="19"/>
                <w:szCs w:val="19"/>
                <w:color w:val="auto"/>
              </w:rPr>
            </w:pPr>
          </w:p>
        </w:tc>
      </w:tr>
      <w:tr>
        <w:trPr>
          <w:trHeight w:val="215"/>
        </w:trPr>
        <w:tc>
          <w:tcPr>
            <w:tcW w:w="2760" w:type="dxa"/>
            <w:vAlign w:val="bottom"/>
            <w:tcBorders>
              <w:right w:val="single" w:sz="8" w:color="auto"/>
            </w:tcBorders>
            <w:shd w:val="clear" w:color="auto" w:fill="E5FFFF"/>
          </w:tcPr>
          <w:p>
            <w:pPr>
              <w:ind w:left="20"/>
              <w:spacing w:after="0"/>
              <w:rPr>
                <w:sz w:val="20"/>
                <w:szCs w:val="20"/>
                <w:color w:val="auto"/>
              </w:rPr>
            </w:pPr>
            <w:r>
              <w:rPr>
                <w:rFonts w:ascii="Arial" w:cs="Arial" w:eastAsia="Arial" w:hAnsi="Arial"/>
                <w:sz w:val="15"/>
                <w:szCs w:val="15"/>
                <w:color w:val="auto"/>
              </w:rPr>
              <w:t>(4)</w:t>
            </w:r>
          </w:p>
        </w:tc>
        <w:tc>
          <w:tcPr>
            <w:tcW w:w="2700" w:type="dxa"/>
            <w:vAlign w:val="bottom"/>
            <w:shd w:val="clear" w:color="auto" w:fill="E5FFFF"/>
          </w:tcPr>
          <w:p>
            <w:pPr>
              <w:spacing w:after="0"/>
              <w:rPr>
                <w:sz w:val="20"/>
                <w:szCs w:val="20"/>
                <w:color w:val="auto"/>
              </w:rPr>
            </w:pPr>
            <w:r>
              <w:rPr>
                <w:rFonts w:ascii="Arial" w:cs="Arial" w:eastAsia="Arial" w:hAnsi="Arial"/>
                <w:sz w:val="18"/>
                <w:szCs w:val="18"/>
                <w:i w:val="1"/>
                <w:iCs w:val="1"/>
                <w:color w:val="auto"/>
              </w:rPr>
              <w:t>(previously $1.590 billion–$1.710</w:t>
            </w:r>
          </w:p>
        </w:tc>
        <w:tc>
          <w:tcPr>
            <w:tcW w:w="20" w:type="dxa"/>
            <w:vAlign w:val="bottom"/>
          </w:tcPr>
          <w:p>
            <w:pPr>
              <w:spacing w:after="0"/>
              <w:rPr>
                <w:sz w:val="18"/>
                <w:szCs w:val="18"/>
                <w:color w:val="auto"/>
              </w:rPr>
            </w:pPr>
          </w:p>
        </w:tc>
      </w:tr>
      <w:tr>
        <w:trPr>
          <w:trHeight w:val="257"/>
        </w:trPr>
        <w:tc>
          <w:tcPr>
            <w:tcW w:w="2760" w:type="dxa"/>
            <w:vAlign w:val="bottom"/>
            <w:tcBorders>
              <w:bottom w:val="single" w:sz="8" w:color="E5FFFF"/>
              <w:right w:val="single" w:sz="8" w:color="auto"/>
            </w:tcBorders>
            <w:shd w:val="clear" w:color="auto" w:fill="E5FFFF"/>
          </w:tcPr>
          <w:p>
            <w:pPr>
              <w:spacing w:after="0"/>
              <w:rPr>
                <w:sz w:val="22"/>
                <w:szCs w:val="22"/>
                <w:color w:val="auto"/>
              </w:rPr>
            </w:pPr>
          </w:p>
        </w:tc>
        <w:tc>
          <w:tcPr>
            <w:tcW w:w="27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i w:val="1"/>
                <w:iCs w:val="1"/>
                <w:color w:val="auto"/>
              </w:rPr>
              <w:t>billion)</w:t>
            </w:r>
          </w:p>
        </w:tc>
        <w:tc>
          <w:tcPr>
            <w:tcW w:w="20" w:type="dxa"/>
            <w:vAlign w:val="bottom"/>
          </w:tcPr>
          <w:p>
            <w:pPr>
              <w:spacing w:after="0"/>
              <w:rPr>
                <w:sz w:val="22"/>
                <w:szCs w:val="22"/>
                <w:color w:val="auto"/>
              </w:rPr>
            </w:pPr>
          </w:p>
        </w:tc>
      </w:tr>
      <w:tr>
        <w:trPr>
          <w:trHeight w:val="236"/>
        </w:trPr>
        <w:tc>
          <w:tcPr>
            <w:tcW w:w="2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GAAP SG&amp;A</w:t>
            </w:r>
          </w:p>
        </w:tc>
        <w:tc>
          <w:tcPr>
            <w:tcW w:w="2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$1.690 billion–$1.795 billion</w:t>
            </w:r>
          </w:p>
        </w:tc>
        <w:tc>
          <w:tcPr>
            <w:tcW w:w="20" w:type="dxa"/>
            <w:vAlign w:val="bottom"/>
            <w:tcBorders>
              <w:top w:val="single" w:sz="8" w:color="auto"/>
            </w:tcBorders>
          </w:tcPr>
          <w:p>
            <w:pPr>
              <w:spacing w:after="0"/>
              <w:rPr>
                <w:sz w:val="20"/>
                <w:szCs w:val="20"/>
                <w:color w:val="auto"/>
              </w:rPr>
            </w:pPr>
          </w:p>
        </w:tc>
      </w:tr>
      <w:tr>
        <w:trPr>
          <w:trHeight w:val="216"/>
        </w:trPr>
        <w:tc>
          <w:tcPr>
            <w:tcW w:w="2760" w:type="dxa"/>
            <w:vAlign w:val="bottom"/>
            <w:tcBorders>
              <w:right w:val="single" w:sz="8" w:color="auto"/>
            </w:tcBorders>
          </w:tcPr>
          <w:p>
            <w:pPr>
              <w:spacing w:after="0"/>
              <w:rPr>
                <w:sz w:val="18"/>
                <w:szCs w:val="18"/>
                <w:color w:val="auto"/>
              </w:rPr>
            </w:pPr>
          </w:p>
        </w:tc>
        <w:tc>
          <w:tcPr>
            <w:tcW w:w="2700" w:type="dxa"/>
            <w:vAlign w:val="bottom"/>
          </w:tcPr>
          <w:p>
            <w:pPr>
              <w:ind w:left="40"/>
              <w:spacing w:after="0"/>
              <w:rPr>
                <w:sz w:val="20"/>
                <w:szCs w:val="20"/>
                <w:color w:val="auto"/>
              </w:rPr>
            </w:pPr>
            <w:r>
              <w:rPr>
                <w:rFonts w:ascii="Arial" w:cs="Arial" w:eastAsia="Arial" w:hAnsi="Arial"/>
                <w:sz w:val="18"/>
                <w:szCs w:val="18"/>
                <w:i w:val="1"/>
                <w:iCs w:val="1"/>
                <w:color w:val="auto"/>
              </w:rPr>
              <w:t>(previously $1.700 billion–$1.830</w:t>
            </w:r>
          </w:p>
        </w:tc>
        <w:tc>
          <w:tcPr>
            <w:tcW w:w="20" w:type="dxa"/>
            <w:vAlign w:val="bottom"/>
          </w:tcPr>
          <w:p>
            <w:pPr>
              <w:spacing w:after="0"/>
              <w:rPr>
                <w:sz w:val="18"/>
                <w:szCs w:val="18"/>
                <w:color w:val="auto"/>
              </w:rPr>
            </w:pPr>
          </w:p>
        </w:tc>
      </w:tr>
      <w:tr>
        <w:trPr>
          <w:trHeight w:val="230"/>
        </w:trPr>
        <w:tc>
          <w:tcPr>
            <w:tcW w:w="2760" w:type="dxa"/>
            <w:vAlign w:val="bottom"/>
            <w:tcBorders>
              <w:right w:val="single" w:sz="8" w:color="auto"/>
            </w:tcBorders>
          </w:tcPr>
          <w:p>
            <w:pPr>
              <w:spacing w:after="0"/>
              <w:rPr>
                <w:sz w:val="20"/>
                <w:szCs w:val="20"/>
                <w:color w:val="auto"/>
              </w:rPr>
            </w:pPr>
          </w:p>
        </w:tc>
        <w:tc>
          <w:tcPr>
            <w:tcW w:w="2700" w:type="dxa"/>
            <w:vAlign w:val="bottom"/>
          </w:tcPr>
          <w:p>
            <w:pPr>
              <w:ind w:left="40"/>
              <w:spacing w:after="0"/>
              <w:rPr>
                <w:sz w:val="20"/>
                <w:szCs w:val="20"/>
                <w:color w:val="auto"/>
              </w:rPr>
            </w:pPr>
            <w:r>
              <w:rPr>
                <w:rFonts w:ascii="Arial" w:cs="Arial" w:eastAsia="Arial" w:hAnsi="Arial"/>
                <w:sz w:val="18"/>
                <w:szCs w:val="18"/>
                <w:i w:val="1"/>
                <w:iCs w:val="1"/>
                <w:color w:val="auto"/>
              </w:rPr>
              <w:t>billion)</w:t>
            </w:r>
          </w:p>
        </w:tc>
        <w:tc>
          <w:tcPr>
            <w:tcW w:w="20" w:type="dxa"/>
            <w:vAlign w:val="bottom"/>
          </w:tcPr>
          <w:p>
            <w:pPr>
              <w:spacing w:after="0"/>
              <w:rPr>
                <w:sz w:val="20"/>
                <w:szCs w:val="20"/>
                <w:color w:val="auto"/>
              </w:rPr>
            </w:pPr>
          </w:p>
        </w:tc>
      </w:tr>
      <w:tr>
        <w:trPr>
          <w:trHeight w:val="27"/>
        </w:trPr>
        <w:tc>
          <w:tcPr>
            <w:tcW w:w="276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760" w:type="dxa"/>
            <w:vAlign w:val="bottom"/>
            <w:tcBorders>
              <w:right w:val="single" w:sz="8" w:color="auto"/>
            </w:tcBorders>
            <w:shd w:val="clear" w:color="auto" w:fill="E5FFFF"/>
          </w:tcPr>
          <w:p>
            <w:pPr>
              <w:ind w:left="20"/>
              <w:spacing w:after="0" w:line="223" w:lineRule="exact"/>
              <w:rPr>
                <w:sz w:val="20"/>
                <w:szCs w:val="20"/>
                <w:color w:val="auto"/>
              </w:rPr>
            </w:pPr>
            <w:r>
              <w:rPr>
                <w:rFonts w:ascii="Arial" w:cs="Arial" w:eastAsia="Arial" w:hAnsi="Arial"/>
                <w:sz w:val="16"/>
                <w:szCs w:val="16"/>
                <w:color w:val="auto"/>
              </w:rPr>
              <w:t>Non-GAAP SG&amp;A</w:t>
            </w:r>
            <w:r>
              <w:rPr>
                <w:rFonts w:ascii="Arial" w:cs="Arial" w:eastAsia="Arial" w:hAnsi="Arial"/>
                <w:sz w:val="25"/>
                <w:szCs w:val="25"/>
                <w:color w:val="auto"/>
                <w:vertAlign w:val="superscript"/>
              </w:rPr>
              <w:t>(2)(4)</w:t>
            </w:r>
          </w:p>
        </w:tc>
        <w:tc>
          <w:tcPr>
            <w:tcW w:w="2700" w:type="dxa"/>
            <w:vAlign w:val="bottom"/>
            <w:shd w:val="clear" w:color="auto" w:fill="E5FFFF"/>
          </w:tcPr>
          <w:p>
            <w:pPr>
              <w:spacing w:after="0"/>
              <w:rPr>
                <w:sz w:val="20"/>
                <w:szCs w:val="20"/>
                <w:color w:val="auto"/>
              </w:rPr>
            </w:pPr>
            <w:r>
              <w:rPr>
                <w:rFonts w:ascii="Arial" w:cs="Arial" w:eastAsia="Arial" w:hAnsi="Arial"/>
                <w:sz w:val="18"/>
                <w:szCs w:val="18"/>
                <w:color w:val="auto"/>
              </w:rPr>
              <w:t>$1.500 billion–$1.580 billion</w:t>
            </w:r>
          </w:p>
        </w:tc>
        <w:tc>
          <w:tcPr>
            <w:tcW w:w="20" w:type="dxa"/>
            <w:vAlign w:val="bottom"/>
          </w:tcPr>
          <w:p>
            <w:pPr>
              <w:spacing w:after="0"/>
              <w:rPr>
                <w:sz w:val="19"/>
                <w:szCs w:val="19"/>
                <w:color w:val="auto"/>
              </w:rPr>
            </w:pPr>
          </w:p>
        </w:tc>
      </w:tr>
      <w:tr>
        <w:trPr>
          <w:trHeight w:val="215"/>
        </w:trPr>
        <w:tc>
          <w:tcPr>
            <w:tcW w:w="2760" w:type="dxa"/>
            <w:vAlign w:val="bottom"/>
            <w:tcBorders>
              <w:right w:val="single" w:sz="8" w:color="auto"/>
            </w:tcBorders>
            <w:shd w:val="clear" w:color="auto" w:fill="E5FFFF"/>
          </w:tcPr>
          <w:p>
            <w:pPr>
              <w:spacing w:after="0"/>
              <w:rPr>
                <w:sz w:val="18"/>
                <w:szCs w:val="18"/>
                <w:color w:val="auto"/>
              </w:rPr>
            </w:pPr>
          </w:p>
        </w:tc>
        <w:tc>
          <w:tcPr>
            <w:tcW w:w="2700" w:type="dxa"/>
            <w:vAlign w:val="bottom"/>
            <w:shd w:val="clear" w:color="auto" w:fill="E5FFFF"/>
          </w:tcPr>
          <w:p>
            <w:pPr>
              <w:spacing w:after="0"/>
              <w:rPr>
                <w:sz w:val="20"/>
                <w:szCs w:val="20"/>
                <w:color w:val="auto"/>
              </w:rPr>
            </w:pPr>
            <w:r>
              <w:rPr>
                <w:rFonts w:ascii="Arial" w:cs="Arial" w:eastAsia="Arial" w:hAnsi="Arial"/>
                <w:sz w:val="18"/>
                <w:szCs w:val="18"/>
                <w:i w:val="1"/>
                <w:iCs w:val="1"/>
                <w:color w:val="auto"/>
              </w:rPr>
              <w:t>(previously $1.500 billion–$1.600</w:t>
            </w:r>
          </w:p>
        </w:tc>
        <w:tc>
          <w:tcPr>
            <w:tcW w:w="20" w:type="dxa"/>
            <w:vAlign w:val="bottom"/>
          </w:tcPr>
          <w:p>
            <w:pPr>
              <w:spacing w:after="0"/>
              <w:rPr>
                <w:sz w:val="18"/>
                <w:szCs w:val="18"/>
                <w:color w:val="auto"/>
              </w:rPr>
            </w:pPr>
          </w:p>
        </w:tc>
      </w:tr>
      <w:tr>
        <w:trPr>
          <w:trHeight w:val="257"/>
        </w:trPr>
        <w:tc>
          <w:tcPr>
            <w:tcW w:w="2760" w:type="dxa"/>
            <w:vAlign w:val="bottom"/>
            <w:tcBorders>
              <w:bottom w:val="single" w:sz="8" w:color="E5FFFF"/>
              <w:right w:val="single" w:sz="8" w:color="auto"/>
            </w:tcBorders>
            <w:shd w:val="clear" w:color="auto" w:fill="E5FFFF"/>
          </w:tcPr>
          <w:p>
            <w:pPr>
              <w:spacing w:after="0"/>
              <w:rPr>
                <w:sz w:val="22"/>
                <w:szCs w:val="22"/>
                <w:color w:val="auto"/>
              </w:rPr>
            </w:pPr>
          </w:p>
        </w:tc>
        <w:tc>
          <w:tcPr>
            <w:tcW w:w="27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i w:val="1"/>
                <w:iCs w:val="1"/>
                <w:color w:val="auto"/>
              </w:rPr>
              <w:t>billion)</w:t>
            </w:r>
          </w:p>
        </w:tc>
        <w:tc>
          <w:tcPr>
            <w:tcW w:w="20" w:type="dxa"/>
            <w:vAlign w:val="bottom"/>
          </w:tcPr>
          <w:p>
            <w:pPr>
              <w:spacing w:after="0"/>
              <w:rPr>
                <w:sz w:val="22"/>
                <w:szCs w:val="22"/>
                <w:color w:val="auto"/>
              </w:rPr>
            </w:pPr>
          </w:p>
        </w:tc>
      </w:tr>
      <w:tr>
        <w:trPr>
          <w:trHeight w:val="222"/>
        </w:trPr>
        <w:tc>
          <w:tcPr>
            <w:tcW w:w="2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GAAP effective tax rate</w:t>
            </w: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11%–13%</w:t>
            </w:r>
          </w:p>
        </w:tc>
        <w:tc>
          <w:tcPr>
            <w:tcW w:w="20" w:type="dxa"/>
            <w:vAlign w:val="bottom"/>
            <w:tcBorders>
              <w:top w:val="single" w:sz="8" w:color="auto"/>
            </w:tcBorders>
          </w:tcPr>
          <w:p>
            <w:pPr>
              <w:spacing w:after="0"/>
              <w:rPr>
                <w:sz w:val="19"/>
                <w:szCs w:val="19"/>
                <w:color w:val="auto"/>
              </w:rPr>
            </w:pPr>
          </w:p>
        </w:tc>
      </w:tr>
      <w:tr>
        <w:trPr>
          <w:trHeight w:val="230"/>
        </w:trPr>
        <w:tc>
          <w:tcPr>
            <w:tcW w:w="2760" w:type="dxa"/>
            <w:vAlign w:val="bottom"/>
            <w:tcBorders>
              <w:right w:val="single" w:sz="8" w:color="auto"/>
            </w:tcBorders>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i w:val="1"/>
                <w:iCs w:val="1"/>
                <w:color w:val="auto"/>
              </w:rPr>
              <w:t>(previously 14%–16%)</w:t>
            </w:r>
          </w:p>
        </w:tc>
        <w:tc>
          <w:tcPr>
            <w:tcW w:w="20" w:type="dxa"/>
            <w:vAlign w:val="bottom"/>
          </w:tcPr>
          <w:p>
            <w:pPr>
              <w:spacing w:after="0"/>
              <w:rPr>
                <w:sz w:val="20"/>
                <w:szCs w:val="20"/>
                <w:color w:val="auto"/>
              </w:rPr>
            </w:pPr>
          </w:p>
        </w:tc>
      </w:tr>
      <w:tr>
        <w:trPr>
          <w:trHeight w:val="27"/>
        </w:trPr>
        <w:tc>
          <w:tcPr>
            <w:tcW w:w="276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760" w:type="dxa"/>
            <w:vAlign w:val="bottom"/>
            <w:tcBorders>
              <w:right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rPr>
              <w:t>Capital expenditures</w:t>
            </w:r>
          </w:p>
        </w:tc>
        <w:tc>
          <w:tcPr>
            <w:tcW w:w="2700" w:type="dxa"/>
            <w:vAlign w:val="bottom"/>
            <w:shd w:val="clear" w:color="auto" w:fill="E5FFFF"/>
          </w:tcPr>
          <w:p>
            <w:pPr>
              <w:spacing w:after="0"/>
              <w:rPr>
                <w:sz w:val="20"/>
                <w:szCs w:val="20"/>
                <w:color w:val="auto"/>
              </w:rPr>
            </w:pPr>
            <w:r>
              <w:rPr>
                <w:rFonts w:ascii="Arial" w:cs="Arial" w:eastAsia="Arial" w:hAnsi="Arial"/>
                <w:sz w:val="18"/>
                <w:szCs w:val="18"/>
                <w:i w:val="1"/>
                <w:iCs w:val="1"/>
                <w:color w:val="auto"/>
              </w:rPr>
              <w:t>$410 million–$475 million</w:t>
            </w:r>
          </w:p>
        </w:tc>
        <w:tc>
          <w:tcPr>
            <w:tcW w:w="20" w:type="dxa"/>
            <w:vAlign w:val="bottom"/>
          </w:tcPr>
          <w:p>
            <w:pPr>
              <w:spacing w:after="0"/>
              <w:rPr>
                <w:sz w:val="19"/>
                <w:szCs w:val="19"/>
                <w:color w:val="auto"/>
              </w:rPr>
            </w:pPr>
          </w:p>
        </w:tc>
      </w:tr>
      <w:tr>
        <w:trPr>
          <w:trHeight w:val="216"/>
        </w:trPr>
        <w:tc>
          <w:tcPr>
            <w:tcW w:w="2760" w:type="dxa"/>
            <w:vAlign w:val="bottom"/>
            <w:tcBorders>
              <w:right w:val="single" w:sz="8" w:color="auto"/>
            </w:tcBorders>
            <w:shd w:val="clear" w:color="auto" w:fill="E5FFFF"/>
          </w:tcPr>
          <w:p>
            <w:pPr>
              <w:spacing w:after="0"/>
              <w:rPr>
                <w:sz w:val="18"/>
                <w:szCs w:val="18"/>
                <w:color w:val="auto"/>
              </w:rPr>
            </w:pPr>
          </w:p>
        </w:tc>
        <w:tc>
          <w:tcPr>
            <w:tcW w:w="2700" w:type="dxa"/>
            <w:vAlign w:val="bottom"/>
            <w:shd w:val="clear" w:color="auto" w:fill="E5FFFF"/>
          </w:tcPr>
          <w:p>
            <w:pPr>
              <w:spacing w:after="0"/>
              <w:rPr>
                <w:sz w:val="20"/>
                <w:szCs w:val="20"/>
                <w:color w:val="auto"/>
              </w:rPr>
            </w:pPr>
            <w:r>
              <w:rPr>
                <w:rFonts w:ascii="Arial" w:cs="Arial" w:eastAsia="Arial" w:hAnsi="Arial"/>
                <w:sz w:val="18"/>
                <w:szCs w:val="18"/>
                <w:i w:val="1"/>
                <w:iCs w:val="1"/>
                <w:color w:val="auto"/>
              </w:rPr>
              <w:t>(previously $410 million–$490</w:t>
            </w:r>
          </w:p>
        </w:tc>
        <w:tc>
          <w:tcPr>
            <w:tcW w:w="20" w:type="dxa"/>
            <w:vAlign w:val="bottom"/>
          </w:tcPr>
          <w:p>
            <w:pPr>
              <w:spacing w:after="0"/>
              <w:rPr>
                <w:sz w:val="18"/>
                <w:szCs w:val="18"/>
                <w:color w:val="auto"/>
              </w:rPr>
            </w:pPr>
          </w:p>
        </w:tc>
      </w:tr>
      <w:tr>
        <w:trPr>
          <w:trHeight w:val="237"/>
        </w:trPr>
        <w:tc>
          <w:tcPr>
            <w:tcW w:w="2760" w:type="dxa"/>
            <w:vAlign w:val="bottom"/>
            <w:tcBorders>
              <w:bottom w:val="single" w:sz="8" w:color="E5FFFF"/>
              <w:right w:val="single" w:sz="8" w:color="auto"/>
            </w:tcBorders>
            <w:shd w:val="clear" w:color="auto" w:fill="E5FFFF"/>
          </w:tcPr>
          <w:p>
            <w:pPr>
              <w:spacing w:after="0"/>
              <w:rPr>
                <w:sz w:val="20"/>
                <w:szCs w:val="20"/>
                <w:color w:val="auto"/>
              </w:rPr>
            </w:pPr>
          </w:p>
        </w:tc>
        <w:tc>
          <w:tcPr>
            <w:tcW w:w="27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i w:val="1"/>
                <w:iCs w:val="1"/>
                <w:color w:val="auto"/>
              </w:rPr>
              <w:t>million)</w:t>
            </w:r>
          </w:p>
        </w:tc>
        <w:tc>
          <w:tcPr>
            <w:tcW w:w="20" w:type="dxa"/>
            <w:vAlign w:val="bottom"/>
          </w:tcPr>
          <w:p>
            <w:pPr>
              <w:spacing w:after="0"/>
              <w:rPr>
                <w:sz w:val="20"/>
                <w:szCs w:val="20"/>
                <w:color w:val="auto"/>
              </w:rPr>
            </w:pPr>
          </w:p>
        </w:tc>
      </w:tr>
      <w:tr>
        <w:trPr>
          <w:trHeight w:val="20"/>
        </w:trPr>
        <w:tc>
          <w:tcPr>
            <w:tcW w:w="2760" w:type="dxa"/>
            <w:vAlign w:val="bottom"/>
            <w:tcBorders>
              <w:right w:val="single" w:sz="8" w:color="auto"/>
            </w:tcBorders>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As corrected (revised portions bolded and underlined):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3473450" cy="321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3450" cy="3215640"/>
                    </a:xfrm>
                    <a:prstGeom prst="rect">
                      <a:avLst/>
                    </a:prstGeom>
                    <a:noFill/>
                  </pic:spPr>
                </pic:pic>
              </a:graphicData>
            </a:graphic>
          </wp:anchor>
        </w:drawing>
      </w:r>
    </w:p>
    <w:p>
      <w:pPr>
        <w:spacing w:after="0" w:line="41" w:lineRule="exact"/>
        <w:rPr>
          <w:sz w:val="20"/>
          <w:szCs w:val="20"/>
          <w:color w:val="auto"/>
        </w:rPr>
      </w:pPr>
    </w:p>
    <w:p>
      <w:pPr>
        <w:ind w:left="20" w:right="500"/>
        <w:spacing w:after="0" w:line="264" w:lineRule="auto"/>
        <w:rPr>
          <w:sz w:val="20"/>
          <w:szCs w:val="20"/>
          <w:color w:val="auto"/>
        </w:rPr>
      </w:pPr>
      <w:r>
        <w:rPr>
          <w:rFonts w:ascii="Arial" w:cs="Arial" w:eastAsia="Arial" w:hAnsi="Arial"/>
          <w:sz w:val="18"/>
          <w:szCs w:val="18"/>
          <w:color w:val="auto"/>
        </w:rPr>
        <w:t xml:space="preserve">GAAP Sanofi collaboration revenue: $500 million–$535 million Sanofi reimbursement of Regeneron </w:t>
      </w:r>
      <w:r>
        <w:rPr>
          <w:rFonts w:ascii="Arial" w:cs="Arial" w:eastAsia="Arial" w:hAnsi="Arial"/>
          <w:sz w:val="18"/>
          <w:szCs w:val="18"/>
          <w:i w:val="1"/>
          <w:iCs w:val="1"/>
          <w:color w:val="auto"/>
        </w:rPr>
        <w:t>(previously $510 million–$560</w:t>
      </w:r>
      <w:r>
        <w:rPr>
          <w:rFonts w:ascii="Arial" w:cs="Arial" w:eastAsia="Arial" w:hAnsi="Arial"/>
          <w:sz w:val="18"/>
          <w:szCs w:val="18"/>
          <w:color w:val="auto"/>
        </w:rPr>
        <w:t xml:space="preserve"> commercialization-related expenses </w:t>
      </w:r>
      <w:r>
        <w:rPr>
          <w:rFonts w:ascii="Arial" w:cs="Arial" w:eastAsia="Arial" w:hAnsi="Arial"/>
          <w:sz w:val="18"/>
          <w:szCs w:val="18"/>
          <w:i w:val="1"/>
          <w:iCs w:val="1"/>
          <w:color w:val="auto"/>
        </w:rPr>
        <w:t>million)</w:t>
      </w:r>
    </w:p>
    <w:tbl>
      <w:tblPr>
        <w:tblLayout w:type="fixed"/>
        <w:tblInd w:w="0" w:type="dxa"/>
        <w:tblCellMar>
          <w:top w:w="0" w:type="dxa"/>
          <w:left w:w="0" w:type="dxa"/>
          <w:bottom w:w="0" w:type="dxa"/>
          <w:right w:w="0" w:type="dxa"/>
        </w:tblCellMar>
      </w:tblPr>
      <w:tr>
        <w:trPr>
          <w:trHeight w:val="236"/>
        </w:trPr>
        <w:tc>
          <w:tcPr>
            <w:tcW w:w="2660" w:type="dxa"/>
            <w:vAlign w:val="bottom"/>
          </w:tcPr>
          <w:p>
            <w:pPr>
              <w:ind w:left="20"/>
              <w:spacing w:after="0" w:line="236" w:lineRule="exact"/>
              <w:rPr>
                <w:sz w:val="20"/>
                <w:szCs w:val="20"/>
                <w:color w:val="auto"/>
              </w:rPr>
            </w:pPr>
            <w:r>
              <w:rPr>
                <w:rFonts w:ascii="Arial" w:cs="Arial" w:eastAsia="Arial" w:hAnsi="Arial"/>
                <w:sz w:val="17"/>
                <w:szCs w:val="17"/>
                <w:color w:val="auto"/>
              </w:rPr>
              <w:t>GAAP Unreimbursed R&amp;D</w:t>
            </w:r>
            <w:r>
              <w:rPr>
                <w:rFonts w:ascii="Arial" w:cs="Arial" w:eastAsia="Arial" w:hAnsi="Arial"/>
                <w:sz w:val="27"/>
                <w:szCs w:val="27"/>
                <w:color w:val="auto"/>
                <w:vertAlign w:val="superscript"/>
              </w:rPr>
              <w:t>(5)</w:t>
            </w:r>
          </w:p>
        </w:tc>
        <w:tc>
          <w:tcPr>
            <w:tcW w:w="10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2.280 billion</w:t>
            </w:r>
            <w:r>
              <w:rPr>
                <w:rFonts w:ascii="Arial" w:cs="Arial" w:eastAsia="Arial" w:hAnsi="Arial"/>
                <w:sz w:val="18"/>
                <w:szCs w:val="18"/>
                <w:b w:val="1"/>
                <w:bCs w:val="1"/>
                <w:i w:val="1"/>
                <w:iCs w:val="1"/>
                <w:color w:val="auto"/>
                <w:w w:val="89"/>
              </w:rPr>
              <w:t>–</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2.400 billion</w:t>
            </w:r>
          </w:p>
        </w:tc>
        <w:tc>
          <w:tcPr>
            <w:tcW w:w="560" w:type="dxa"/>
            <w:vAlign w:val="bottom"/>
          </w:tcPr>
          <w:p>
            <w:pPr>
              <w:spacing w:after="0"/>
              <w:rPr>
                <w:sz w:val="20"/>
                <w:szCs w:val="20"/>
                <w:color w:val="auto"/>
              </w:rPr>
            </w:pPr>
          </w:p>
        </w:tc>
      </w:tr>
      <w:tr>
        <w:trPr>
          <w:trHeight w:val="263"/>
        </w:trPr>
        <w:tc>
          <w:tcPr>
            <w:tcW w:w="2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(previously $1.855 billion–$2.000</w:t>
            </w:r>
          </w:p>
        </w:tc>
      </w:tr>
      <w:tr>
        <w:trPr>
          <w:trHeight w:val="217"/>
        </w:trPr>
        <w:tc>
          <w:tcPr>
            <w:tcW w:w="2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billion)</w:t>
            </w:r>
          </w:p>
        </w:tc>
      </w:tr>
      <w:tr>
        <w:trPr>
          <w:trHeight w:val="223"/>
        </w:trPr>
        <w:tc>
          <w:tcPr>
            <w:tcW w:w="2660" w:type="dxa"/>
            <w:vAlign w:val="bottom"/>
            <w:shd w:val="clear" w:color="auto" w:fill="E5FFFF"/>
          </w:tcPr>
          <w:p>
            <w:pPr>
              <w:ind w:left="20"/>
              <w:spacing w:after="0" w:line="223" w:lineRule="exact"/>
              <w:rPr>
                <w:sz w:val="20"/>
                <w:szCs w:val="20"/>
                <w:color w:val="auto"/>
              </w:rPr>
            </w:pPr>
            <w:r>
              <w:rPr>
                <w:rFonts w:ascii="Arial" w:cs="Arial" w:eastAsia="Arial" w:hAnsi="Arial"/>
                <w:sz w:val="16"/>
                <w:szCs w:val="16"/>
                <w:color w:val="auto"/>
              </w:rPr>
              <w:t>Non-GAAP Unreimbursed R&amp;D</w:t>
            </w:r>
            <w:r>
              <w:rPr>
                <w:rFonts w:ascii="Arial" w:cs="Arial" w:eastAsia="Arial" w:hAnsi="Arial"/>
                <w:sz w:val="25"/>
                <w:szCs w:val="25"/>
                <w:color w:val="auto"/>
                <w:vertAlign w:val="superscript"/>
              </w:rPr>
              <w:t>(2)</w:t>
            </w:r>
          </w:p>
        </w:tc>
        <w:tc>
          <w:tcPr>
            <w:tcW w:w="2800" w:type="dxa"/>
            <w:vAlign w:val="bottom"/>
            <w:gridSpan w:val="3"/>
            <w:shd w:val="clear" w:color="auto" w:fill="E5FFFF"/>
          </w:tcPr>
          <w:p>
            <w:pPr>
              <w:ind w:left="80"/>
              <w:spacing w:after="0"/>
              <w:rPr>
                <w:sz w:val="20"/>
                <w:szCs w:val="20"/>
                <w:color w:val="auto"/>
              </w:rPr>
            </w:pPr>
            <w:r>
              <w:rPr>
                <w:rFonts w:ascii="Arial" w:cs="Arial" w:eastAsia="Arial" w:hAnsi="Arial"/>
                <w:sz w:val="18"/>
                <w:szCs w:val="18"/>
                <w:color w:val="auto"/>
              </w:rPr>
              <w:t>$1.610 billion</w:t>
            </w:r>
            <w:r>
              <w:rPr>
                <w:rFonts w:ascii="Arial" w:cs="Arial" w:eastAsia="Arial" w:hAnsi="Arial"/>
                <w:sz w:val="18"/>
                <w:szCs w:val="18"/>
                <w:i w:val="1"/>
                <w:iCs w:val="1"/>
                <w:color w:val="auto"/>
              </w:rPr>
              <w:t>–</w:t>
            </w:r>
            <w:r>
              <w:rPr>
                <w:rFonts w:ascii="Arial" w:cs="Arial" w:eastAsia="Arial" w:hAnsi="Arial"/>
                <w:sz w:val="18"/>
                <w:szCs w:val="18"/>
                <w:color w:val="auto"/>
              </w:rPr>
              <w:t>$1.710 billion</w:t>
            </w:r>
          </w:p>
        </w:tc>
      </w:tr>
      <w:tr>
        <w:trPr>
          <w:trHeight w:val="215"/>
        </w:trPr>
        <w:tc>
          <w:tcPr>
            <w:tcW w:w="2660" w:type="dxa"/>
            <w:vAlign w:val="bottom"/>
            <w:shd w:val="clear" w:color="auto" w:fill="E5FFFF"/>
          </w:tcPr>
          <w:p>
            <w:pPr>
              <w:ind w:left="20"/>
              <w:spacing w:after="0"/>
              <w:rPr>
                <w:sz w:val="20"/>
                <w:szCs w:val="20"/>
                <w:color w:val="auto"/>
              </w:rPr>
            </w:pPr>
            <w:r>
              <w:rPr>
                <w:rFonts w:ascii="Arial" w:cs="Arial" w:eastAsia="Arial" w:hAnsi="Arial"/>
                <w:sz w:val="15"/>
                <w:szCs w:val="15"/>
                <w:color w:val="auto"/>
              </w:rPr>
              <w:t>(4)</w:t>
            </w:r>
          </w:p>
        </w:tc>
        <w:tc>
          <w:tcPr>
            <w:tcW w:w="2800" w:type="dxa"/>
            <w:vAlign w:val="bottom"/>
            <w:gridSpan w:val="3"/>
            <w:shd w:val="clear" w:color="auto" w:fill="E5FFFF"/>
          </w:tcPr>
          <w:p>
            <w:pPr>
              <w:ind w:left="80"/>
              <w:spacing w:after="0"/>
              <w:rPr>
                <w:sz w:val="20"/>
                <w:szCs w:val="20"/>
                <w:color w:val="auto"/>
              </w:rPr>
            </w:pPr>
            <w:r>
              <w:rPr>
                <w:rFonts w:ascii="Arial" w:cs="Arial" w:eastAsia="Arial" w:hAnsi="Arial"/>
                <w:sz w:val="18"/>
                <w:szCs w:val="18"/>
                <w:i w:val="1"/>
                <w:iCs w:val="1"/>
                <w:color w:val="auto"/>
              </w:rPr>
              <w:t>(previously $1.590 billion–$1.710</w:t>
            </w:r>
          </w:p>
        </w:tc>
      </w:tr>
      <w:tr>
        <w:trPr>
          <w:trHeight w:val="230"/>
        </w:trPr>
        <w:tc>
          <w:tcPr>
            <w:tcW w:w="2660" w:type="dxa"/>
            <w:vAlign w:val="bottom"/>
            <w:shd w:val="clear" w:color="auto" w:fill="E5FFFF"/>
          </w:tcPr>
          <w:p>
            <w:pPr>
              <w:spacing w:after="0"/>
              <w:rPr>
                <w:sz w:val="20"/>
                <w:szCs w:val="20"/>
                <w:color w:val="auto"/>
              </w:rPr>
            </w:pPr>
          </w:p>
        </w:tc>
        <w:tc>
          <w:tcPr>
            <w:tcW w:w="2800" w:type="dxa"/>
            <w:vAlign w:val="bottom"/>
            <w:gridSpan w:val="3"/>
            <w:shd w:val="clear" w:color="auto" w:fill="E5FFFF"/>
          </w:tcPr>
          <w:p>
            <w:pPr>
              <w:ind w:left="80"/>
              <w:spacing w:after="0"/>
              <w:rPr>
                <w:sz w:val="20"/>
                <w:szCs w:val="20"/>
                <w:color w:val="auto"/>
              </w:rPr>
            </w:pPr>
            <w:r>
              <w:rPr>
                <w:rFonts w:ascii="Arial" w:cs="Arial" w:eastAsia="Arial" w:hAnsi="Arial"/>
                <w:sz w:val="18"/>
                <w:szCs w:val="18"/>
                <w:i w:val="1"/>
                <w:iCs w:val="1"/>
                <w:color w:val="auto"/>
              </w:rPr>
              <w:t>billion)</w:t>
            </w:r>
          </w:p>
        </w:tc>
      </w:tr>
      <w:tr>
        <w:trPr>
          <w:trHeight w:val="27"/>
        </w:trPr>
        <w:tc>
          <w:tcPr>
            <w:tcW w:w="2660" w:type="dxa"/>
            <w:vAlign w:val="bottom"/>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2140" w:type="dxa"/>
            <w:vAlign w:val="bottom"/>
            <w:shd w:val="clear" w:color="auto" w:fill="E5FFFF"/>
          </w:tcPr>
          <w:p>
            <w:pPr>
              <w:spacing w:after="0"/>
              <w:rPr>
                <w:sz w:val="2"/>
                <w:szCs w:val="2"/>
                <w:color w:val="auto"/>
              </w:rPr>
            </w:pPr>
          </w:p>
        </w:tc>
        <w:tc>
          <w:tcPr>
            <w:tcW w:w="560" w:type="dxa"/>
            <w:vAlign w:val="bottom"/>
            <w:shd w:val="clear" w:color="auto" w:fill="E5FFFF"/>
          </w:tcPr>
          <w:p>
            <w:pPr>
              <w:spacing w:after="0"/>
              <w:rPr>
                <w:sz w:val="2"/>
                <w:szCs w:val="2"/>
                <w:color w:val="auto"/>
              </w:rPr>
            </w:pP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5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1.695 billion</w:t>
            </w:r>
            <w:r>
              <w:rPr>
                <w:rFonts w:ascii="Arial" w:cs="Arial" w:eastAsia="Arial" w:hAnsi="Arial"/>
                <w:sz w:val="18"/>
                <w:szCs w:val="18"/>
                <w:b w:val="1"/>
                <w:bCs w:val="1"/>
                <w:i w:val="1"/>
                <w:iCs w:val="1"/>
                <w:color w:val="auto"/>
              </w:rPr>
              <w:t>–</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1.800 billion</w:t>
            </w:r>
          </w:p>
        </w:tc>
      </w:tr>
      <w:tr>
        <w:trPr>
          <w:trHeight w:val="20"/>
        </w:trPr>
        <w:tc>
          <w:tcPr>
            <w:tcW w:w="2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2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(previously $1.700 billion–$1.830</w:t>
            </w:r>
          </w:p>
        </w:tc>
      </w:tr>
      <w:tr>
        <w:trPr>
          <w:trHeight w:val="217"/>
        </w:trPr>
        <w:tc>
          <w:tcPr>
            <w:tcW w:w="2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billion)</w:t>
            </w:r>
          </w:p>
        </w:tc>
      </w:tr>
      <w:tr>
        <w:trPr>
          <w:trHeight w:val="223"/>
        </w:trPr>
        <w:tc>
          <w:tcPr>
            <w:tcW w:w="2260" w:type="dxa"/>
            <w:vAlign w:val="bottom"/>
            <w:shd w:val="clear" w:color="auto" w:fill="E5FFFF"/>
          </w:tcPr>
          <w:p>
            <w:pPr>
              <w:ind w:left="20"/>
              <w:spacing w:after="0" w:line="223" w:lineRule="exact"/>
              <w:rPr>
                <w:sz w:val="20"/>
                <w:szCs w:val="20"/>
                <w:color w:val="auto"/>
              </w:rPr>
            </w:pPr>
            <w:r>
              <w:rPr>
                <w:rFonts w:ascii="Arial" w:cs="Arial" w:eastAsia="Arial" w:hAnsi="Arial"/>
                <w:sz w:val="16"/>
                <w:szCs w:val="16"/>
                <w:color w:val="auto"/>
              </w:rPr>
              <w:t>Non-GAAP SG&amp;A</w:t>
            </w:r>
            <w:r>
              <w:rPr>
                <w:rFonts w:ascii="Arial" w:cs="Arial" w:eastAsia="Arial" w:hAnsi="Arial"/>
                <w:sz w:val="25"/>
                <w:szCs w:val="25"/>
                <w:color w:val="auto"/>
                <w:vertAlign w:val="superscript"/>
              </w:rPr>
              <w:t>(2)(4)</w:t>
            </w:r>
          </w:p>
        </w:tc>
        <w:tc>
          <w:tcPr>
            <w:tcW w:w="3200" w:type="dxa"/>
            <w:vAlign w:val="bottom"/>
            <w:gridSpan w:val="3"/>
            <w:shd w:val="clear" w:color="auto" w:fill="E5FFFF"/>
          </w:tcPr>
          <w:p>
            <w:pPr>
              <w:ind w:left="480"/>
              <w:spacing w:after="0"/>
              <w:rPr>
                <w:sz w:val="20"/>
                <w:szCs w:val="20"/>
                <w:color w:val="auto"/>
              </w:rPr>
            </w:pPr>
            <w:r>
              <w:rPr>
                <w:rFonts w:ascii="Arial" w:cs="Arial" w:eastAsia="Arial" w:hAnsi="Arial"/>
                <w:sz w:val="18"/>
                <w:szCs w:val="18"/>
                <w:color w:val="auto"/>
              </w:rPr>
              <w:t>$1.500 billion–$1.580 billion</w:t>
            </w:r>
          </w:p>
        </w:tc>
      </w:tr>
      <w:tr>
        <w:trPr>
          <w:trHeight w:val="215"/>
        </w:trPr>
        <w:tc>
          <w:tcPr>
            <w:tcW w:w="2260" w:type="dxa"/>
            <w:vAlign w:val="bottom"/>
            <w:shd w:val="clear" w:color="auto" w:fill="E5FFFF"/>
          </w:tcPr>
          <w:p>
            <w:pPr>
              <w:spacing w:after="0"/>
              <w:rPr>
                <w:sz w:val="18"/>
                <w:szCs w:val="18"/>
                <w:color w:val="auto"/>
              </w:rPr>
            </w:pPr>
          </w:p>
        </w:tc>
        <w:tc>
          <w:tcPr>
            <w:tcW w:w="3200" w:type="dxa"/>
            <w:vAlign w:val="bottom"/>
            <w:gridSpan w:val="3"/>
            <w:shd w:val="clear" w:color="auto" w:fill="E5FFFF"/>
          </w:tcPr>
          <w:p>
            <w:pPr>
              <w:ind w:left="480"/>
              <w:spacing w:after="0"/>
              <w:rPr>
                <w:sz w:val="20"/>
                <w:szCs w:val="20"/>
                <w:color w:val="auto"/>
              </w:rPr>
            </w:pPr>
            <w:r>
              <w:rPr>
                <w:rFonts w:ascii="Arial" w:cs="Arial" w:eastAsia="Arial" w:hAnsi="Arial"/>
                <w:sz w:val="18"/>
                <w:szCs w:val="18"/>
                <w:i w:val="1"/>
                <w:iCs w:val="1"/>
                <w:color w:val="auto"/>
              </w:rPr>
              <w:t>(previously $1.500 billion–$1.600</w:t>
            </w:r>
          </w:p>
        </w:tc>
      </w:tr>
      <w:tr>
        <w:trPr>
          <w:trHeight w:val="262"/>
        </w:trPr>
        <w:tc>
          <w:tcPr>
            <w:tcW w:w="2260" w:type="dxa"/>
            <w:vAlign w:val="bottom"/>
            <w:tcBorders>
              <w:bottom w:val="single" w:sz="8" w:color="E5FFFF"/>
            </w:tcBorders>
            <w:shd w:val="clear" w:color="auto" w:fill="E5FFFF"/>
          </w:tcPr>
          <w:p>
            <w:pPr>
              <w:spacing w:after="0"/>
              <w:rPr>
                <w:sz w:val="22"/>
                <w:szCs w:val="22"/>
                <w:color w:val="auto"/>
              </w:rPr>
            </w:pPr>
          </w:p>
        </w:tc>
        <w:tc>
          <w:tcPr>
            <w:tcW w:w="3200" w:type="dxa"/>
            <w:vAlign w:val="bottom"/>
            <w:tcBorders>
              <w:bottom w:val="single" w:sz="8" w:color="E5FFFF"/>
            </w:tcBorders>
            <w:gridSpan w:val="3"/>
            <w:shd w:val="clear" w:color="auto" w:fill="E5FFFF"/>
          </w:tcPr>
          <w:p>
            <w:pPr>
              <w:ind w:left="480"/>
              <w:spacing w:after="0"/>
              <w:rPr>
                <w:sz w:val="20"/>
                <w:szCs w:val="20"/>
                <w:color w:val="auto"/>
              </w:rPr>
            </w:pPr>
            <w:r>
              <w:rPr>
                <w:rFonts w:ascii="Arial" w:cs="Arial" w:eastAsia="Arial" w:hAnsi="Arial"/>
                <w:sz w:val="18"/>
                <w:szCs w:val="18"/>
                <w:i w:val="1"/>
                <w:iCs w:val="1"/>
                <w:color w:val="auto"/>
              </w:rPr>
              <w:t>billion)</w:t>
            </w:r>
          </w:p>
        </w:tc>
      </w:tr>
      <w:tr>
        <w:trPr>
          <w:trHeight w:val="222"/>
        </w:trPr>
        <w:tc>
          <w:tcPr>
            <w:tcW w:w="2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GAAP effective tax rate</w:t>
            </w:r>
          </w:p>
        </w:tc>
        <w:tc>
          <w:tcPr>
            <w:tcW w:w="3200" w:type="dxa"/>
            <w:vAlign w:val="bottom"/>
            <w:tcBorders>
              <w:top w:val="single" w:sz="8" w:color="auto"/>
            </w:tcBorders>
            <w:gridSpan w:val="3"/>
          </w:tcPr>
          <w:p>
            <w:pPr>
              <w:ind w:left="480"/>
              <w:spacing w:after="0"/>
              <w:rPr>
                <w:sz w:val="20"/>
                <w:szCs w:val="20"/>
                <w:color w:val="auto"/>
              </w:rPr>
            </w:pPr>
            <w:r>
              <w:rPr>
                <w:rFonts w:ascii="Arial" w:cs="Arial" w:eastAsia="Arial" w:hAnsi="Arial"/>
                <w:sz w:val="18"/>
                <w:szCs w:val="18"/>
                <w:color w:val="auto"/>
              </w:rPr>
              <w:t>11%–13%</w:t>
            </w:r>
          </w:p>
        </w:tc>
      </w:tr>
      <w:tr>
        <w:trPr>
          <w:trHeight w:val="230"/>
        </w:trPr>
        <w:tc>
          <w:tcPr>
            <w:tcW w:w="2260" w:type="dxa"/>
            <w:vAlign w:val="bottom"/>
          </w:tcPr>
          <w:p>
            <w:pPr>
              <w:spacing w:after="0"/>
              <w:rPr>
                <w:sz w:val="20"/>
                <w:szCs w:val="20"/>
                <w:color w:val="auto"/>
              </w:rPr>
            </w:pPr>
          </w:p>
        </w:tc>
        <w:tc>
          <w:tcPr>
            <w:tcW w:w="3200" w:type="dxa"/>
            <w:vAlign w:val="bottom"/>
            <w:gridSpan w:val="3"/>
          </w:tcPr>
          <w:p>
            <w:pPr>
              <w:ind w:left="480"/>
              <w:spacing w:after="0"/>
              <w:rPr>
                <w:sz w:val="20"/>
                <w:szCs w:val="20"/>
                <w:color w:val="auto"/>
              </w:rPr>
            </w:pPr>
            <w:r>
              <w:rPr>
                <w:rFonts w:ascii="Arial" w:cs="Arial" w:eastAsia="Arial" w:hAnsi="Arial"/>
                <w:sz w:val="18"/>
                <w:szCs w:val="18"/>
                <w:i w:val="1"/>
                <w:iCs w:val="1"/>
                <w:color w:val="auto"/>
              </w:rPr>
              <w:t>(previously 14%–16%)</w:t>
            </w:r>
          </w:p>
        </w:tc>
      </w:tr>
      <w:tr>
        <w:trPr>
          <w:trHeight w:val="27"/>
        </w:trPr>
        <w:tc>
          <w:tcPr>
            <w:tcW w:w="2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2"/>
        </w:trPr>
        <w:tc>
          <w:tcPr>
            <w:tcW w:w="2260" w:type="dxa"/>
            <w:vAlign w:val="bottom"/>
            <w:shd w:val="clear" w:color="auto" w:fill="E5FFFF"/>
          </w:tcPr>
          <w:p>
            <w:pPr>
              <w:ind w:left="20"/>
              <w:spacing w:after="0"/>
              <w:rPr>
                <w:sz w:val="20"/>
                <w:szCs w:val="20"/>
                <w:color w:val="auto"/>
              </w:rPr>
            </w:pPr>
            <w:r>
              <w:rPr>
                <w:rFonts w:ascii="Arial" w:cs="Arial" w:eastAsia="Arial" w:hAnsi="Arial"/>
                <w:sz w:val="18"/>
                <w:szCs w:val="18"/>
                <w:color w:val="auto"/>
              </w:rPr>
              <w:t>Capital expenditures</w:t>
            </w:r>
          </w:p>
        </w:tc>
        <w:tc>
          <w:tcPr>
            <w:tcW w:w="3200" w:type="dxa"/>
            <w:vAlign w:val="bottom"/>
            <w:gridSpan w:val="3"/>
            <w:shd w:val="clear" w:color="auto" w:fill="E5FFFF"/>
          </w:tcPr>
          <w:p>
            <w:pPr>
              <w:ind w:left="480"/>
              <w:spacing w:after="0"/>
              <w:rPr>
                <w:sz w:val="20"/>
                <w:szCs w:val="20"/>
                <w:color w:val="auto"/>
              </w:rPr>
            </w:pPr>
            <w:r>
              <w:rPr>
                <w:rFonts w:ascii="Arial" w:cs="Arial" w:eastAsia="Arial" w:hAnsi="Arial"/>
                <w:sz w:val="18"/>
                <w:szCs w:val="18"/>
                <w:i w:val="1"/>
                <w:iCs w:val="1"/>
                <w:color w:val="auto"/>
              </w:rPr>
              <w:t>$410 million–$475 million</w:t>
            </w:r>
          </w:p>
        </w:tc>
      </w:tr>
      <w:tr>
        <w:trPr>
          <w:trHeight w:val="216"/>
        </w:trPr>
        <w:tc>
          <w:tcPr>
            <w:tcW w:w="2260" w:type="dxa"/>
            <w:vAlign w:val="bottom"/>
            <w:shd w:val="clear" w:color="auto" w:fill="E5FFFF"/>
          </w:tcPr>
          <w:p>
            <w:pPr>
              <w:spacing w:after="0"/>
              <w:rPr>
                <w:sz w:val="18"/>
                <w:szCs w:val="18"/>
                <w:color w:val="auto"/>
              </w:rPr>
            </w:pPr>
          </w:p>
        </w:tc>
        <w:tc>
          <w:tcPr>
            <w:tcW w:w="3200" w:type="dxa"/>
            <w:vAlign w:val="bottom"/>
            <w:gridSpan w:val="3"/>
            <w:shd w:val="clear" w:color="auto" w:fill="E5FFFF"/>
          </w:tcPr>
          <w:p>
            <w:pPr>
              <w:ind w:left="480"/>
              <w:spacing w:after="0"/>
              <w:rPr>
                <w:sz w:val="20"/>
                <w:szCs w:val="20"/>
                <w:color w:val="auto"/>
              </w:rPr>
            </w:pPr>
            <w:r>
              <w:rPr>
                <w:rFonts w:ascii="Arial" w:cs="Arial" w:eastAsia="Arial" w:hAnsi="Arial"/>
                <w:sz w:val="18"/>
                <w:szCs w:val="18"/>
                <w:i w:val="1"/>
                <w:iCs w:val="1"/>
                <w:color w:val="auto"/>
              </w:rPr>
              <w:t>(previously $410 million–$490</w:t>
            </w:r>
          </w:p>
        </w:tc>
      </w:tr>
      <w:tr>
        <w:trPr>
          <w:trHeight w:val="230"/>
        </w:trPr>
        <w:tc>
          <w:tcPr>
            <w:tcW w:w="2260" w:type="dxa"/>
            <w:vAlign w:val="bottom"/>
            <w:shd w:val="clear" w:color="auto" w:fill="E5FFFF"/>
          </w:tcPr>
          <w:p>
            <w:pPr>
              <w:spacing w:after="0"/>
              <w:rPr>
                <w:sz w:val="20"/>
                <w:szCs w:val="20"/>
                <w:color w:val="auto"/>
              </w:rPr>
            </w:pPr>
          </w:p>
        </w:tc>
        <w:tc>
          <w:tcPr>
            <w:tcW w:w="3200" w:type="dxa"/>
            <w:vAlign w:val="bottom"/>
            <w:gridSpan w:val="3"/>
            <w:shd w:val="clear" w:color="auto" w:fill="E5FFFF"/>
          </w:tcPr>
          <w:p>
            <w:pPr>
              <w:ind w:left="480"/>
              <w:spacing w:after="0"/>
              <w:rPr>
                <w:sz w:val="20"/>
                <w:szCs w:val="20"/>
                <w:color w:val="auto"/>
              </w:rPr>
            </w:pPr>
            <w:r>
              <w:rPr>
                <w:rFonts w:ascii="Arial" w:cs="Arial" w:eastAsia="Arial" w:hAnsi="Arial"/>
                <w:sz w:val="18"/>
                <w:szCs w:val="18"/>
                <w:i w:val="1"/>
                <w:iCs w:val="1"/>
                <w:color w:val="auto"/>
              </w:rPr>
              <w:t>million)</w:t>
            </w:r>
          </w:p>
        </w:tc>
      </w:tr>
      <w:tr>
        <w:trPr>
          <w:trHeight w:val="27"/>
        </w:trPr>
        <w:tc>
          <w:tcPr>
            <w:tcW w:w="2260" w:type="dxa"/>
            <w:vAlign w:val="bottom"/>
            <w:shd w:val="clear" w:color="auto" w:fill="E5FFFF"/>
          </w:tcPr>
          <w:p>
            <w:pPr>
              <w:spacing w:after="0"/>
              <w:rPr>
                <w:sz w:val="2"/>
                <w:szCs w:val="2"/>
                <w:color w:val="auto"/>
              </w:rPr>
            </w:pPr>
          </w:p>
        </w:tc>
        <w:tc>
          <w:tcPr>
            <w:tcW w:w="500" w:type="dxa"/>
            <w:vAlign w:val="bottom"/>
            <w:shd w:val="clear" w:color="auto" w:fill="E5FFFF"/>
          </w:tcPr>
          <w:p>
            <w:pPr>
              <w:spacing w:after="0"/>
              <w:rPr>
                <w:sz w:val="2"/>
                <w:szCs w:val="2"/>
                <w:color w:val="auto"/>
              </w:rPr>
            </w:pPr>
          </w:p>
        </w:tc>
        <w:tc>
          <w:tcPr>
            <w:tcW w:w="2140" w:type="dxa"/>
            <w:vAlign w:val="bottom"/>
            <w:shd w:val="clear" w:color="auto" w:fill="E5FFFF"/>
          </w:tcPr>
          <w:p>
            <w:pPr>
              <w:spacing w:after="0"/>
              <w:rPr>
                <w:sz w:val="2"/>
                <w:szCs w:val="2"/>
                <w:color w:val="auto"/>
              </w:rPr>
            </w:pPr>
          </w:p>
        </w:tc>
        <w:tc>
          <w:tcPr>
            <w:tcW w:w="560" w:type="dxa"/>
            <w:vAlign w:val="bottom"/>
            <w:shd w:val="clear" w:color="auto" w:fill="E5FF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377190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480" w:space="460"/>
            <w:col w:w="5460"/>
          </w:cols>
          <w:pgMar w:left="240" w:top="580" w:right="259" w:bottom="1440" w:gutter="0" w:footer="0" w:header="0"/>
          <w:type w:val="continuous"/>
        </w:sectPr>
      </w:pPr>
    </w:p>
    <w:bookmarkStart w:id="2" w:name="page3"/>
    <w:bookmarkEnd w:id="2"/>
    <w:p>
      <w:pPr>
        <w:ind w:left="352" w:right="240" w:hanging="352"/>
        <w:spacing w:after="0" w:line="259" w:lineRule="auto"/>
        <w:tabs>
          <w:tab w:leader="none" w:pos="352" w:val="left"/>
        </w:tabs>
        <w:numPr>
          <w:ilvl w:val="0"/>
          <w:numId w:val="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267" w:lineRule="exact"/>
        <w:rPr>
          <w:rFonts w:ascii="Arial" w:cs="Arial" w:eastAsia="Arial" w:hAnsi="Arial"/>
          <w:sz w:val="18"/>
          <w:szCs w:val="18"/>
          <w:color w:val="auto"/>
        </w:rPr>
      </w:pPr>
    </w:p>
    <w:p>
      <w:pPr>
        <w:ind w:left="352" w:right="100" w:hanging="352"/>
        <w:spacing w:after="0" w:line="259" w:lineRule="auto"/>
        <w:tabs>
          <w:tab w:leader="none" w:pos="3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w:t>
      </w:r>
    </w:p>
    <w:p>
      <w:pPr>
        <w:spacing w:after="0" w:line="186" w:lineRule="exact"/>
        <w:rPr>
          <w:rFonts w:ascii="Arial" w:cs="Arial" w:eastAsia="Arial" w:hAnsi="Arial"/>
          <w:sz w:val="18"/>
          <w:szCs w:val="18"/>
          <w:color w:val="auto"/>
        </w:rPr>
      </w:pPr>
    </w:p>
    <w:p>
      <w:pPr>
        <w:ind w:left="352"/>
        <w:spacing w:after="0" w:line="269" w:lineRule="auto"/>
        <w:rPr>
          <w:rFonts w:ascii="Arial" w:cs="Arial" w:eastAsia="Arial" w:hAnsi="Arial"/>
          <w:sz w:val="18"/>
          <w:szCs w:val="18"/>
          <w:color w:val="auto"/>
        </w:rPr>
      </w:pPr>
      <w:r>
        <w:rPr>
          <w:rFonts w:ascii="Arial" w:cs="Arial" w:eastAsia="Arial" w:hAnsi="Arial"/>
          <w:sz w:val="17"/>
          <w:szCs w:val="17"/>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equity investments)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264" w:lineRule="exact"/>
        <w:rPr>
          <w:rFonts w:ascii="Arial" w:cs="Arial" w:eastAsia="Arial" w:hAnsi="Arial"/>
          <w:sz w:val="18"/>
          <w:szCs w:val="18"/>
          <w:color w:val="auto"/>
        </w:rPr>
      </w:pPr>
    </w:p>
    <w:p>
      <w:pPr>
        <w:ind w:left="352" w:right="220" w:hanging="352"/>
        <w:spacing w:after="0" w:line="277" w:lineRule="auto"/>
        <w:tabs>
          <w:tab w:leader="none" w:pos="3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2019 financial guidance does not assume the completion of any significant business development transactions not completed as of the date of this press release (other than the collaboration with Alnylam Pharmaceuticals, Inc. discussed above).</w:t>
      </w:r>
    </w:p>
    <w:p>
      <w:pPr>
        <w:spacing w:after="0" w:line="251" w:lineRule="exact"/>
        <w:rPr>
          <w:rFonts w:ascii="Arial" w:cs="Arial" w:eastAsia="Arial" w:hAnsi="Arial"/>
          <w:sz w:val="18"/>
          <w:szCs w:val="18"/>
          <w:color w:val="auto"/>
        </w:rPr>
      </w:pPr>
    </w:p>
    <w:p>
      <w:pPr>
        <w:ind w:left="352" w:hanging="352"/>
        <w:spacing w:after="0"/>
        <w:tabs>
          <w:tab w:leader="none" w:pos="352" w:val="left"/>
        </w:tabs>
        <w:numPr>
          <w:ilvl w:val="0"/>
          <w:numId w:val="1"/>
        </w:numPr>
        <w:rPr>
          <w:rFonts w:ascii="Arial" w:cs="Arial" w:eastAsia="Arial" w:hAnsi="Arial"/>
          <w:sz w:val="18"/>
          <w:szCs w:val="18"/>
          <w:color w:val="auto"/>
        </w:rPr>
      </w:pPr>
      <w:r>
        <w:rPr>
          <w:rFonts w:ascii="Arial" w:cs="Arial" w:eastAsia="Arial" w:hAnsi="Arial"/>
          <w:sz w:val="18"/>
          <w:szCs w:val="18"/>
          <w:color w:val="auto"/>
        </w:rPr>
        <w:t>A reconciliation of full year 2019 non-GAAP to GAAP financial guidance is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529590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72"/>
          </w:cols>
          <w:pgMar w:left="248" w:top="949" w:right="279" w:bottom="1440" w:gutter="0" w:footer="0" w:header="0"/>
        </w:sectPr>
      </w:pPr>
    </w:p>
    <w:bookmarkStart w:id="3" w:name="page4"/>
    <w:bookmarkEnd w:id="3"/>
    <w:p>
      <w:pPr>
        <w:ind w:left="1040"/>
        <w:spacing w:after="0"/>
        <w:rPr>
          <w:sz w:val="20"/>
          <w:szCs w:val="20"/>
          <w:color w:val="auto"/>
        </w:rPr>
      </w:pPr>
      <w:r>
        <w:rPr>
          <w:rFonts w:ascii="Arial" w:cs="Arial" w:eastAsia="Arial" w:hAnsi="Arial"/>
          <w:sz w:val="18"/>
          <w:szCs w:val="18"/>
          <w:b w:val="1"/>
          <w:bCs w:val="1"/>
          <w:i w:val="1"/>
          <w:iCs w:val="1"/>
          <w:color w:val="auto"/>
        </w:rPr>
        <w:t>As reported in the Original Earnings Release: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9"/>
              </w:rPr>
              <w:t>Projected Range</w:t>
            </w:r>
          </w:p>
        </w:tc>
      </w:tr>
      <w:tr>
        <w:trPr>
          <w:trHeight w:val="33"/>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8"/>
        </w:trPr>
        <w:tc>
          <w:tcPr>
            <w:tcW w:w="3640" w:type="dxa"/>
            <w:vAlign w:val="bottom"/>
          </w:tcPr>
          <w:p>
            <w:pPr>
              <w:spacing w:after="0"/>
              <w:rPr>
                <w:sz w:val="20"/>
                <w:szCs w:val="20"/>
                <w:color w:val="auto"/>
              </w:rPr>
            </w:pPr>
            <w:r>
              <w:rPr>
                <w:rFonts w:ascii="Arial" w:cs="Arial" w:eastAsia="Arial" w:hAnsi="Arial"/>
                <w:sz w:val="16"/>
                <w:szCs w:val="16"/>
                <w:b w:val="1"/>
                <w:bCs w:val="1"/>
                <w:i w:val="1"/>
                <w:iCs w:val="1"/>
                <w:color w:val="auto"/>
              </w:rPr>
              <w:t>(In millions)</w:t>
            </w:r>
          </w:p>
        </w:tc>
        <w:tc>
          <w:tcPr>
            <w:tcW w:w="220" w:type="dxa"/>
            <w:vAlign w:val="bottom"/>
          </w:tcPr>
          <w:p>
            <w:pPr>
              <w:spacing w:after="0"/>
              <w:rPr>
                <w:sz w:val="22"/>
                <w:szCs w:val="22"/>
                <w:color w:val="auto"/>
              </w:rPr>
            </w:pPr>
          </w:p>
        </w:tc>
        <w:tc>
          <w:tcPr>
            <w:tcW w:w="880" w:type="dxa"/>
            <w:vAlign w:val="bottom"/>
            <w:gridSpan w:val="2"/>
          </w:tcPr>
          <w:p>
            <w:pPr>
              <w:ind w:left="160"/>
              <w:spacing w:after="0"/>
              <w:rPr>
                <w:sz w:val="20"/>
                <w:szCs w:val="20"/>
                <w:color w:val="auto"/>
              </w:rPr>
            </w:pPr>
            <w:r>
              <w:rPr>
                <w:rFonts w:ascii="Arial" w:cs="Arial" w:eastAsia="Arial" w:hAnsi="Arial"/>
                <w:sz w:val="16"/>
                <w:szCs w:val="16"/>
                <w:b w:val="1"/>
                <w:bCs w:val="1"/>
                <w:color w:val="auto"/>
              </w:rPr>
              <w:t>Low</w:t>
            </w:r>
          </w:p>
        </w:tc>
        <w:tc>
          <w:tcPr>
            <w:tcW w:w="140" w:type="dxa"/>
            <w:vAlign w:val="bottom"/>
          </w:tcPr>
          <w:p>
            <w:pPr>
              <w:spacing w:after="0"/>
              <w:rPr>
                <w:sz w:val="22"/>
                <w:szCs w:val="22"/>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High</w:t>
            </w:r>
          </w:p>
        </w:tc>
      </w:tr>
      <w:tr>
        <w:trPr>
          <w:trHeight w:val="33"/>
        </w:trPr>
        <w:tc>
          <w:tcPr>
            <w:tcW w:w="3640" w:type="dxa"/>
            <w:vAlign w:val="bottom"/>
            <w:tcBorders>
              <w:bottom w:val="single" w:sz="8" w:color="E5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E5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77"/>
        </w:trPr>
        <w:tc>
          <w:tcPr>
            <w:tcW w:w="3640" w:type="dxa"/>
            <w:vAlign w:val="bottom"/>
            <w:shd w:val="clear" w:color="auto" w:fill="E5FFFF"/>
          </w:tcPr>
          <w:p>
            <w:pPr>
              <w:spacing w:after="0" w:line="277" w:lineRule="exact"/>
              <w:rPr>
                <w:sz w:val="20"/>
                <w:szCs w:val="20"/>
                <w:color w:val="auto"/>
              </w:rPr>
            </w:pPr>
            <w:r>
              <w:rPr>
                <w:rFonts w:ascii="Arial" w:cs="Arial" w:eastAsia="Arial" w:hAnsi="Arial"/>
                <w:sz w:val="16"/>
                <w:szCs w:val="16"/>
                <w:color w:val="auto"/>
              </w:rPr>
              <w:t xml:space="preserve">GAAP unreimbursed R&amp;D </w:t>
            </w:r>
            <w:r>
              <w:rPr>
                <w:rFonts w:ascii="Arial" w:cs="Arial" w:eastAsia="Arial" w:hAnsi="Arial"/>
                <w:sz w:val="27"/>
                <w:szCs w:val="27"/>
                <w:color w:val="auto"/>
                <w:vertAlign w:val="superscript"/>
              </w:rPr>
              <w:t>(5)</w:t>
            </w:r>
          </w:p>
        </w:tc>
        <w:tc>
          <w:tcPr>
            <w:tcW w:w="220" w:type="dxa"/>
            <w:vAlign w:val="bottom"/>
            <w:shd w:val="clear" w:color="auto" w:fill="E5FF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1,880</w:t>
            </w:r>
          </w:p>
        </w:tc>
        <w:tc>
          <w:tcPr>
            <w:tcW w:w="40" w:type="dxa"/>
            <w:vAlign w:val="bottom"/>
            <w:shd w:val="clear" w:color="auto" w:fill="E5FFFF"/>
          </w:tcPr>
          <w:p>
            <w:pPr>
              <w:spacing w:after="0"/>
              <w:rPr>
                <w:sz w:val="24"/>
                <w:szCs w:val="24"/>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2,000</w:t>
            </w:r>
          </w:p>
        </w:tc>
      </w:tr>
      <w:tr>
        <w:trPr>
          <w:trHeight w:val="264"/>
        </w:trPr>
        <w:tc>
          <w:tcPr>
            <w:tcW w:w="3640" w:type="dxa"/>
            <w:vAlign w:val="bottom"/>
          </w:tcPr>
          <w:p>
            <w:pPr>
              <w:spacing w:after="0"/>
              <w:rPr>
                <w:sz w:val="20"/>
                <w:szCs w:val="20"/>
                <w:color w:val="auto"/>
              </w:rPr>
            </w:pPr>
            <w:r>
              <w:rPr>
                <w:rFonts w:ascii="Arial" w:cs="Arial" w:eastAsia="Arial" w:hAnsi="Arial"/>
                <w:sz w:val="16"/>
                <w:szCs w:val="16"/>
                <w:color w:val="auto"/>
                <w:w w:val="96"/>
              </w:rPr>
              <w:t>R&amp;D: Non-cash share-based compensation expense</w:t>
            </w:r>
          </w:p>
        </w:tc>
        <w:tc>
          <w:tcPr>
            <w:tcW w:w="22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(270)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33"/>
        </w:trPr>
        <w:tc>
          <w:tcPr>
            <w:tcW w:w="3640" w:type="dxa"/>
            <w:vAlign w:val="bottom"/>
            <w:tcBorders>
              <w:bottom w:val="single" w:sz="8" w:color="E5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E5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77"/>
        </w:trPr>
        <w:tc>
          <w:tcPr>
            <w:tcW w:w="36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Non-GAAP unreimbursed R&amp;D</w:t>
            </w:r>
          </w:p>
        </w:tc>
        <w:tc>
          <w:tcPr>
            <w:tcW w:w="220" w:type="dxa"/>
            <w:vAlign w:val="bottom"/>
            <w:tcBorders>
              <w:bottom w:val="single" w:sz="8" w:color="E5FFFF"/>
            </w:tcBorders>
            <w:shd w:val="clear" w:color="auto" w:fill="E5FF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E5FFFF"/>
            </w:tcBorders>
            <w:shd w:val="clear" w:color="auto" w:fill="E5FFFF"/>
          </w:tcPr>
          <w:p>
            <w:pPr>
              <w:jc w:val="right"/>
              <w:ind w:right="139"/>
              <w:spacing w:after="0"/>
              <w:rPr>
                <w:sz w:val="20"/>
                <w:szCs w:val="20"/>
                <w:color w:val="auto"/>
              </w:rPr>
            </w:pPr>
            <w:r>
              <w:rPr>
                <w:rFonts w:ascii="Arial" w:cs="Arial" w:eastAsia="Arial" w:hAnsi="Arial"/>
                <w:sz w:val="16"/>
                <w:szCs w:val="16"/>
                <w:color w:val="auto"/>
              </w:rPr>
              <w:t>1,610</w:t>
            </w:r>
          </w:p>
        </w:tc>
        <w:tc>
          <w:tcPr>
            <w:tcW w:w="40" w:type="dxa"/>
            <w:vAlign w:val="bottom"/>
            <w:tcBorders>
              <w:bottom w:val="single" w:sz="8" w:color="E5FFFF"/>
            </w:tcBorders>
            <w:shd w:val="clear" w:color="auto" w:fill="E5FFFF"/>
          </w:tcPr>
          <w:p>
            <w:pPr>
              <w:spacing w:after="0"/>
              <w:rPr>
                <w:sz w:val="24"/>
                <w:szCs w:val="24"/>
                <w:color w:val="auto"/>
              </w:rPr>
            </w:pPr>
          </w:p>
        </w:tc>
        <w:tc>
          <w:tcPr>
            <w:tcW w:w="14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1,710</w:t>
            </w:r>
          </w:p>
        </w:tc>
      </w:tr>
      <w:tr>
        <w:trPr>
          <w:trHeight w:val="291"/>
        </w:trPr>
        <w:tc>
          <w:tcPr>
            <w:tcW w:w="36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297"/>
        </w:trPr>
        <w:tc>
          <w:tcPr>
            <w:tcW w:w="364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600" w:type="dxa"/>
            <w:vAlign w:val="bottom"/>
            <w:shd w:val="clear" w:color="auto" w:fill="E5FFFF"/>
          </w:tcPr>
          <w:p>
            <w:pPr>
              <w:spacing w:after="0"/>
              <w:rPr>
                <w:sz w:val="24"/>
                <w:szCs w:val="24"/>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6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GAAP SG&amp;A</w:t>
            </w:r>
          </w:p>
        </w:tc>
        <w:tc>
          <w:tcPr>
            <w:tcW w:w="280" w:type="dxa"/>
            <w:vAlign w:val="bottom"/>
            <w:tcBorders>
              <w:bottom w:val="single" w:sz="8" w:color="E5FFFF"/>
            </w:tcBorders>
            <w:shd w:val="clear" w:color="auto" w:fill="E5FFFF"/>
          </w:tcPr>
          <w:p>
            <w:pPr>
              <w:jc w:val="right"/>
              <w:ind w:right="1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E5FFFF"/>
            </w:tcBorders>
            <w:shd w:val="clear" w:color="auto" w:fill="E5FFFF"/>
          </w:tcPr>
          <w:p>
            <w:pPr>
              <w:jc w:val="right"/>
              <w:ind w:right="139"/>
              <w:spacing w:after="0"/>
              <w:rPr>
                <w:sz w:val="20"/>
                <w:szCs w:val="20"/>
                <w:color w:val="auto"/>
              </w:rPr>
            </w:pPr>
            <w:r>
              <w:rPr>
                <w:rFonts w:ascii="Arial" w:cs="Arial" w:eastAsia="Arial" w:hAnsi="Arial"/>
                <w:sz w:val="16"/>
                <w:szCs w:val="16"/>
                <w:color w:val="auto"/>
              </w:rPr>
              <w:t>1,690</w:t>
            </w:r>
          </w:p>
        </w:tc>
        <w:tc>
          <w:tcPr>
            <w:tcW w:w="40" w:type="dxa"/>
            <w:vAlign w:val="bottom"/>
            <w:tcBorders>
              <w:bottom w:val="single" w:sz="8" w:color="E5FFFF"/>
            </w:tcBorders>
            <w:shd w:val="clear" w:color="auto" w:fill="E5FFFF"/>
          </w:tcPr>
          <w:p>
            <w:pPr>
              <w:spacing w:after="0"/>
              <w:rPr>
                <w:sz w:val="24"/>
                <w:szCs w:val="24"/>
                <w:color w:val="auto"/>
              </w:rPr>
            </w:pPr>
          </w:p>
        </w:tc>
        <w:tc>
          <w:tcPr>
            <w:tcW w:w="200" w:type="dxa"/>
            <w:vAlign w:val="bottom"/>
            <w:tcBorders>
              <w:bottom w:val="single" w:sz="8" w:color="E5FFFF"/>
            </w:tcBorders>
            <w:shd w:val="clear" w:color="auto" w:fill="E5FFFF"/>
          </w:tcPr>
          <w:p>
            <w:pPr>
              <w:jc w:val="right"/>
              <w:ind w:right="4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1,795</w:t>
            </w:r>
          </w:p>
        </w:tc>
      </w:tr>
      <w:tr>
        <w:trPr>
          <w:trHeight w:val="264"/>
        </w:trPr>
        <w:tc>
          <w:tcPr>
            <w:tcW w:w="3640" w:type="dxa"/>
            <w:vAlign w:val="bottom"/>
          </w:tcPr>
          <w:p>
            <w:pPr>
              <w:spacing w:after="0"/>
              <w:rPr>
                <w:sz w:val="20"/>
                <w:szCs w:val="20"/>
                <w:color w:val="auto"/>
              </w:rPr>
            </w:pPr>
            <w:r>
              <w:rPr>
                <w:rFonts w:ascii="Arial" w:cs="Arial" w:eastAsia="Arial" w:hAnsi="Arial"/>
                <w:sz w:val="16"/>
                <w:szCs w:val="16"/>
                <w:color w:val="auto"/>
                <w:w w:val="94"/>
              </w:rPr>
              <w:t>SG&amp;A: Non-cash share-based compensation expense</w:t>
            </w:r>
          </w:p>
        </w:tc>
        <w:tc>
          <w:tcPr>
            <w:tcW w:w="280" w:type="dxa"/>
            <w:vAlign w:val="bottom"/>
          </w:tcPr>
          <w:p>
            <w:pPr>
              <w:spacing w:after="0"/>
              <w:rPr>
                <w:sz w:val="22"/>
                <w:szCs w:val="22"/>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(190)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33"/>
        </w:trPr>
        <w:tc>
          <w:tcPr>
            <w:tcW w:w="3640" w:type="dxa"/>
            <w:vAlign w:val="bottom"/>
            <w:tcBorders>
              <w:bottom w:val="single" w:sz="8" w:color="E5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E5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36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Non-GAAP SG&amp;A</w:t>
            </w:r>
          </w:p>
        </w:tc>
        <w:tc>
          <w:tcPr>
            <w:tcW w:w="280" w:type="dxa"/>
            <w:vAlign w:val="bottom"/>
            <w:tcBorders>
              <w:bottom w:val="single" w:sz="8" w:color="E5FFFF"/>
            </w:tcBorders>
            <w:shd w:val="clear" w:color="auto" w:fill="E5FFFF"/>
          </w:tcPr>
          <w:p>
            <w:pPr>
              <w:jc w:val="right"/>
              <w:ind w:right="1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E5FFFF"/>
            </w:tcBorders>
            <w:shd w:val="clear" w:color="auto" w:fill="E5FFFF"/>
          </w:tcPr>
          <w:p>
            <w:pPr>
              <w:jc w:val="right"/>
              <w:ind w:right="139"/>
              <w:spacing w:after="0"/>
              <w:rPr>
                <w:sz w:val="20"/>
                <w:szCs w:val="20"/>
                <w:color w:val="auto"/>
              </w:rPr>
            </w:pPr>
            <w:r>
              <w:rPr>
                <w:rFonts w:ascii="Arial" w:cs="Arial" w:eastAsia="Arial" w:hAnsi="Arial"/>
                <w:sz w:val="16"/>
                <w:szCs w:val="16"/>
                <w:color w:val="auto"/>
              </w:rPr>
              <w:t>1,500</w:t>
            </w:r>
          </w:p>
        </w:tc>
        <w:tc>
          <w:tcPr>
            <w:tcW w:w="40" w:type="dxa"/>
            <w:vAlign w:val="bottom"/>
            <w:tcBorders>
              <w:bottom w:val="single" w:sz="8" w:color="E5FFFF"/>
            </w:tcBorders>
            <w:shd w:val="clear" w:color="auto" w:fill="E5FFFF"/>
          </w:tcPr>
          <w:p>
            <w:pPr>
              <w:spacing w:after="0"/>
              <w:rPr>
                <w:sz w:val="22"/>
                <w:szCs w:val="22"/>
                <w:color w:val="auto"/>
              </w:rPr>
            </w:pPr>
          </w:p>
        </w:tc>
        <w:tc>
          <w:tcPr>
            <w:tcW w:w="200" w:type="dxa"/>
            <w:vAlign w:val="bottom"/>
            <w:tcBorders>
              <w:bottom w:val="single" w:sz="8" w:color="E5FFFF"/>
            </w:tcBorders>
            <w:shd w:val="clear" w:color="auto" w:fill="E5FFFF"/>
          </w:tcPr>
          <w:p>
            <w:pPr>
              <w:jc w:val="right"/>
              <w:ind w:right="4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1,580</w:t>
            </w:r>
          </w:p>
        </w:tc>
      </w:tr>
      <w:tr>
        <w:trPr>
          <w:trHeight w:val="20"/>
        </w:trPr>
        <w:tc>
          <w:tcPr>
            <w:tcW w:w="3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6"/>
          <w:szCs w:val="16"/>
          <w:b w:val="1"/>
          <w:bCs w:val="1"/>
          <w:i w:val="1"/>
          <w:iCs w:val="1"/>
          <w:color w:val="auto"/>
        </w:rPr>
        <w:t>As corrected (revised portions and additions bolded and underlined):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11"/>
          </w:tcPr>
          <w:p>
            <w:pPr>
              <w:jc w:val="right"/>
              <w:ind w:right="360"/>
              <w:spacing w:after="0"/>
              <w:rPr>
                <w:sz w:val="20"/>
                <w:szCs w:val="20"/>
                <w:color w:val="auto"/>
              </w:rPr>
            </w:pPr>
            <w:r>
              <w:rPr>
                <w:rFonts w:ascii="Arial" w:cs="Arial" w:eastAsia="Arial" w:hAnsi="Arial"/>
                <w:sz w:val="16"/>
                <w:szCs w:val="16"/>
                <w:b w:val="1"/>
                <w:bCs w:val="1"/>
                <w:color w:val="auto"/>
                <w:w w:val="99"/>
              </w:rPr>
              <w:t>Projected Range</w:t>
            </w:r>
          </w:p>
        </w:tc>
      </w:tr>
      <w:tr>
        <w:trPr>
          <w:trHeight w:val="33"/>
        </w:trPr>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8"/>
        </w:trPr>
        <w:tc>
          <w:tcPr>
            <w:tcW w:w="3620" w:type="dxa"/>
            <w:vAlign w:val="bottom"/>
            <w:gridSpan w:val="5"/>
          </w:tcPr>
          <w:p>
            <w:pPr>
              <w:spacing w:after="0"/>
              <w:rPr>
                <w:sz w:val="20"/>
                <w:szCs w:val="20"/>
                <w:color w:val="auto"/>
              </w:rPr>
            </w:pPr>
            <w:r>
              <w:rPr>
                <w:rFonts w:ascii="Arial" w:cs="Arial" w:eastAsia="Arial" w:hAnsi="Arial"/>
                <w:sz w:val="16"/>
                <w:szCs w:val="16"/>
                <w:b w:val="1"/>
                <w:bCs w:val="1"/>
                <w:i w:val="1"/>
                <w:iCs w:val="1"/>
                <w:color w:val="auto"/>
              </w:rPr>
              <w:t>(In millions)</w:t>
            </w:r>
          </w:p>
        </w:tc>
        <w:tc>
          <w:tcPr>
            <w:tcW w:w="220" w:type="dxa"/>
            <w:vAlign w:val="bottom"/>
          </w:tcPr>
          <w:p>
            <w:pPr>
              <w:spacing w:after="0"/>
              <w:rPr>
                <w:sz w:val="22"/>
                <w:szCs w:val="22"/>
                <w:color w:val="auto"/>
              </w:rPr>
            </w:pPr>
          </w:p>
        </w:tc>
        <w:tc>
          <w:tcPr>
            <w:tcW w:w="900" w:type="dxa"/>
            <w:vAlign w:val="bottom"/>
            <w:gridSpan w:val="6"/>
          </w:tcPr>
          <w:p>
            <w:pPr>
              <w:ind w:left="160"/>
              <w:spacing w:after="0"/>
              <w:rPr>
                <w:sz w:val="20"/>
                <w:szCs w:val="20"/>
                <w:color w:val="auto"/>
              </w:rPr>
            </w:pPr>
            <w:r>
              <w:rPr>
                <w:rFonts w:ascii="Arial" w:cs="Arial" w:eastAsia="Arial" w:hAnsi="Arial"/>
                <w:sz w:val="16"/>
                <w:szCs w:val="16"/>
                <w:b w:val="1"/>
                <w:bCs w:val="1"/>
                <w:color w:val="auto"/>
              </w:rPr>
              <w:t>Low</w:t>
            </w:r>
          </w:p>
        </w:tc>
        <w:tc>
          <w:tcPr>
            <w:tcW w:w="140" w:type="dxa"/>
            <w:vAlign w:val="bottom"/>
          </w:tcPr>
          <w:p>
            <w:pPr>
              <w:spacing w:after="0"/>
              <w:rPr>
                <w:sz w:val="22"/>
                <w:szCs w:val="22"/>
                <w:color w:val="auto"/>
              </w:rPr>
            </w:pPr>
          </w:p>
        </w:tc>
        <w:tc>
          <w:tcPr>
            <w:tcW w:w="60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High</w:t>
            </w:r>
          </w:p>
        </w:tc>
      </w:tr>
      <w:tr>
        <w:trPr>
          <w:trHeight w:val="33"/>
        </w:trPr>
        <w:tc>
          <w:tcPr>
            <w:tcW w:w="160" w:type="dxa"/>
            <w:vAlign w:val="bottom"/>
            <w:tcBorders>
              <w:bottom w:val="single" w:sz="8" w:color="E5FFFF"/>
            </w:tcBorders>
          </w:tcPr>
          <w:p>
            <w:pPr>
              <w:spacing w:after="0"/>
              <w:rPr>
                <w:sz w:val="2"/>
                <w:szCs w:val="2"/>
                <w:color w:val="auto"/>
              </w:rPr>
            </w:pPr>
          </w:p>
        </w:tc>
        <w:tc>
          <w:tcPr>
            <w:tcW w:w="1760" w:type="dxa"/>
            <w:vAlign w:val="bottom"/>
            <w:tcBorders>
              <w:bottom w:val="single" w:sz="8" w:color="E5FFFF"/>
            </w:tcBorders>
          </w:tcPr>
          <w:p>
            <w:pPr>
              <w:spacing w:after="0"/>
              <w:rPr>
                <w:sz w:val="2"/>
                <w:szCs w:val="2"/>
                <w:color w:val="auto"/>
              </w:rPr>
            </w:pPr>
          </w:p>
        </w:tc>
        <w:tc>
          <w:tcPr>
            <w:tcW w:w="300" w:type="dxa"/>
            <w:vAlign w:val="bottom"/>
            <w:tcBorders>
              <w:bottom w:val="single" w:sz="8" w:color="E5FFFF"/>
            </w:tcBorders>
          </w:tcPr>
          <w:p>
            <w:pPr>
              <w:spacing w:after="0"/>
              <w:rPr>
                <w:sz w:val="2"/>
                <w:szCs w:val="2"/>
                <w:color w:val="auto"/>
              </w:rPr>
            </w:pPr>
          </w:p>
        </w:tc>
        <w:tc>
          <w:tcPr>
            <w:tcW w:w="1000" w:type="dxa"/>
            <w:vAlign w:val="bottom"/>
            <w:tcBorders>
              <w:bottom w:val="single" w:sz="8" w:color="E5FFFF"/>
            </w:tcBorders>
          </w:tcPr>
          <w:p>
            <w:pPr>
              <w:spacing w:after="0"/>
              <w:rPr>
                <w:sz w:val="2"/>
                <w:szCs w:val="2"/>
                <w:color w:val="auto"/>
              </w:rPr>
            </w:pPr>
          </w:p>
        </w:tc>
        <w:tc>
          <w:tcPr>
            <w:tcW w:w="400" w:type="dxa"/>
            <w:vAlign w:val="bottom"/>
            <w:tcBorders>
              <w:bottom w:val="single" w:sz="8" w:color="E5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E5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3620" w:type="dxa"/>
            <w:vAlign w:val="bottom"/>
            <w:gridSpan w:val="5"/>
            <w:shd w:val="clear" w:color="auto" w:fill="E5FFFF"/>
          </w:tcPr>
          <w:p>
            <w:pPr>
              <w:spacing w:after="0" w:line="210" w:lineRule="exact"/>
              <w:rPr>
                <w:sz w:val="20"/>
                <w:szCs w:val="20"/>
                <w:color w:val="auto"/>
              </w:rPr>
            </w:pPr>
            <w:r>
              <w:rPr>
                <w:rFonts w:ascii="Arial" w:cs="Arial" w:eastAsia="Arial" w:hAnsi="Arial"/>
                <w:sz w:val="15"/>
                <w:szCs w:val="15"/>
                <w:color w:val="auto"/>
              </w:rPr>
              <w:t xml:space="preserve">GAAP unreimbursed R&amp;D </w:t>
            </w:r>
            <w:r>
              <w:rPr>
                <w:rFonts w:ascii="Arial" w:cs="Arial" w:eastAsia="Arial" w:hAnsi="Arial"/>
                <w:sz w:val="24"/>
                <w:szCs w:val="24"/>
                <w:color w:val="auto"/>
                <w:vertAlign w:val="superscript"/>
              </w:rPr>
              <w:t>(5)</w:t>
            </w:r>
          </w:p>
        </w:tc>
        <w:tc>
          <w:tcPr>
            <w:tcW w:w="22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E5FFFF"/>
          </w:tcPr>
          <w:p>
            <w:pPr>
              <w:spacing w:after="0"/>
              <w:rPr>
                <w:sz w:val="18"/>
                <w:szCs w:val="18"/>
                <w:color w:val="auto"/>
              </w:rPr>
            </w:pPr>
          </w:p>
        </w:tc>
        <w:tc>
          <w:tcPr>
            <w:tcW w:w="380" w:type="dxa"/>
            <w:vAlign w:val="bottom"/>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w w:val="89"/>
              </w:rPr>
              <w:t>2,280</w:t>
            </w:r>
          </w:p>
        </w:tc>
        <w:tc>
          <w:tcPr>
            <w:tcW w:w="2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5FFFF"/>
            </w:tcBorders>
            <w:gridSpan w:val="3"/>
            <w:shd w:val="clear" w:color="auto" w:fill="E5FFFF"/>
          </w:tcPr>
          <w:p>
            <w:pPr>
              <w:jc w:val="right"/>
              <w:ind w:right="40"/>
              <w:spacing w:after="0"/>
              <w:rPr>
                <w:sz w:val="20"/>
                <w:szCs w:val="20"/>
                <w:color w:val="auto"/>
              </w:rPr>
            </w:pPr>
            <w:r>
              <w:rPr>
                <w:rFonts w:ascii="Arial" w:cs="Arial" w:eastAsia="Arial" w:hAnsi="Arial"/>
                <w:sz w:val="16"/>
                <w:szCs w:val="16"/>
                <w:b w:val="1"/>
                <w:bCs w:val="1"/>
                <w:color w:val="auto"/>
              </w:rPr>
              <w:t>2,400</w:t>
            </w:r>
          </w:p>
        </w:tc>
        <w:tc>
          <w:tcPr>
            <w:tcW w:w="20" w:type="dxa"/>
            <w:vAlign w:val="bottom"/>
          </w:tcPr>
          <w:p>
            <w:pPr>
              <w:spacing w:after="0"/>
              <w:rPr>
                <w:sz w:val="18"/>
                <w:szCs w:val="18"/>
                <w:color w:val="auto"/>
              </w:rPr>
            </w:pPr>
          </w:p>
        </w:tc>
      </w:tr>
      <w:tr>
        <w:trPr>
          <w:trHeight w:val="48"/>
        </w:trPr>
        <w:tc>
          <w:tcPr>
            <w:tcW w:w="160" w:type="dxa"/>
            <w:vAlign w:val="bottom"/>
            <w:tcBorders>
              <w:top w:val="single" w:sz="8" w:color="E5FFFF"/>
            </w:tcBorders>
            <w:shd w:val="clear" w:color="auto" w:fill="E5FFFF"/>
          </w:tcPr>
          <w:p>
            <w:pPr>
              <w:spacing w:after="0"/>
              <w:rPr>
                <w:sz w:val="4"/>
                <w:szCs w:val="4"/>
                <w:color w:val="auto"/>
              </w:rPr>
            </w:pPr>
          </w:p>
        </w:tc>
        <w:tc>
          <w:tcPr>
            <w:tcW w:w="1760" w:type="dxa"/>
            <w:vAlign w:val="bottom"/>
            <w:tcBorders>
              <w:top w:val="single" w:sz="8" w:color="E5FFFF"/>
            </w:tcBorders>
            <w:shd w:val="clear" w:color="auto" w:fill="E5FFFF"/>
          </w:tcPr>
          <w:p>
            <w:pPr>
              <w:spacing w:after="0"/>
              <w:rPr>
                <w:sz w:val="4"/>
                <w:szCs w:val="4"/>
                <w:color w:val="auto"/>
              </w:rPr>
            </w:pPr>
          </w:p>
        </w:tc>
        <w:tc>
          <w:tcPr>
            <w:tcW w:w="300" w:type="dxa"/>
            <w:vAlign w:val="bottom"/>
            <w:tcBorders>
              <w:top w:val="single" w:sz="8" w:color="E5FFFF"/>
            </w:tcBorders>
            <w:shd w:val="clear" w:color="auto" w:fill="E5FFFF"/>
          </w:tcPr>
          <w:p>
            <w:pPr>
              <w:spacing w:after="0"/>
              <w:rPr>
                <w:sz w:val="4"/>
                <w:szCs w:val="4"/>
                <w:color w:val="auto"/>
              </w:rPr>
            </w:pPr>
          </w:p>
        </w:tc>
        <w:tc>
          <w:tcPr>
            <w:tcW w:w="1000" w:type="dxa"/>
            <w:vAlign w:val="bottom"/>
            <w:tcBorders>
              <w:top w:val="single" w:sz="8" w:color="E5FFFF"/>
            </w:tcBorders>
            <w:shd w:val="clear" w:color="auto" w:fill="E5FFFF"/>
          </w:tcPr>
          <w:p>
            <w:pPr>
              <w:spacing w:after="0"/>
              <w:rPr>
                <w:sz w:val="4"/>
                <w:szCs w:val="4"/>
                <w:color w:val="auto"/>
              </w:rPr>
            </w:pPr>
          </w:p>
        </w:tc>
        <w:tc>
          <w:tcPr>
            <w:tcW w:w="400" w:type="dxa"/>
            <w:vAlign w:val="bottom"/>
            <w:tcBorders>
              <w:top w:val="single" w:sz="8" w:color="E5FFFF"/>
            </w:tcBorders>
            <w:shd w:val="clear" w:color="auto" w:fill="E5FFFF"/>
          </w:tcPr>
          <w:p>
            <w:pPr>
              <w:spacing w:after="0"/>
              <w:rPr>
                <w:sz w:val="4"/>
                <w:szCs w:val="4"/>
                <w:color w:val="auto"/>
              </w:rPr>
            </w:pPr>
          </w:p>
        </w:tc>
        <w:tc>
          <w:tcPr>
            <w:tcW w:w="220" w:type="dxa"/>
            <w:vAlign w:val="bottom"/>
            <w:tcBorders>
              <w:top w:val="single" w:sz="8" w:color="E5FFFF"/>
            </w:tcBorders>
            <w:shd w:val="clear" w:color="auto" w:fill="E5FFFF"/>
          </w:tcPr>
          <w:p>
            <w:pPr>
              <w:spacing w:after="0"/>
              <w:rPr>
                <w:sz w:val="4"/>
                <w:szCs w:val="4"/>
                <w:color w:val="auto"/>
              </w:rPr>
            </w:pPr>
          </w:p>
        </w:tc>
        <w:tc>
          <w:tcPr>
            <w:tcW w:w="260" w:type="dxa"/>
            <w:vAlign w:val="bottom"/>
            <w:tcBorders>
              <w:top w:val="single" w:sz="8" w:color="E5FFFF"/>
            </w:tcBorders>
            <w:shd w:val="clear" w:color="auto" w:fill="E5FFFF"/>
          </w:tcPr>
          <w:p>
            <w:pPr>
              <w:spacing w:after="0"/>
              <w:rPr>
                <w:sz w:val="4"/>
                <w:szCs w:val="4"/>
                <w:color w:val="auto"/>
              </w:rPr>
            </w:pPr>
          </w:p>
        </w:tc>
        <w:tc>
          <w:tcPr>
            <w:tcW w:w="20" w:type="dxa"/>
            <w:vAlign w:val="bottom"/>
            <w:tcBorders>
              <w:top w:val="single" w:sz="8" w:color="auto"/>
            </w:tcBorders>
            <w:shd w:val="clear" w:color="auto" w:fill="E5FFFF"/>
          </w:tcPr>
          <w:p>
            <w:pPr>
              <w:spacing w:after="0"/>
              <w:rPr>
                <w:sz w:val="4"/>
                <w:szCs w:val="4"/>
                <w:color w:val="auto"/>
              </w:rPr>
            </w:pPr>
          </w:p>
        </w:tc>
        <w:tc>
          <w:tcPr>
            <w:tcW w:w="160" w:type="dxa"/>
            <w:vAlign w:val="bottom"/>
            <w:tcBorders>
              <w:top w:val="single" w:sz="8" w:color="auto"/>
            </w:tcBorders>
            <w:shd w:val="clear" w:color="auto" w:fill="E5FFFF"/>
          </w:tcPr>
          <w:p>
            <w:pPr>
              <w:spacing w:after="0"/>
              <w:rPr>
                <w:sz w:val="4"/>
                <w:szCs w:val="4"/>
                <w:color w:val="auto"/>
              </w:rPr>
            </w:pPr>
          </w:p>
        </w:tc>
        <w:tc>
          <w:tcPr>
            <w:tcW w:w="200" w:type="dxa"/>
            <w:vAlign w:val="bottom"/>
            <w:tcBorders>
              <w:top w:val="single" w:sz="8" w:color="auto"/>
            </w:tcBorders>
            <w:shd w:val="clear" w:color="auto" w:fill="E5FFFF"/>
          </w:tcPr>
          <w:p>
            <w:pPr>
              <w:spacing w:after="0"/>
              <w:rPr>
                <w:sz w:val="4"/>
                <w:szCs w:val="4"/>
                <w:color w:val="auto"/>
              </w:rPr>
            </w:pPr>
          </w:p>
        </w:tc>
        <w:tc>
          <w:tcPr>
            <w:tcW w:w="200" w:type="dxa"/>
            <w:vAlign w:val="bottom"/>
            <w:tcBorders>
              <w:top w:val="single" w:sz="8" w:color="E5FFFF"/>
            </w:tcBorders>
            <w:shd w:val="clear" w:color="auto" w:fill="E5FFFF"/>
          </w:tcPr>
          <w:p>
            <w:pPr>
              <w:spacing w:after="0"/>
              <w:rPr>
                <w:sz w:val="4"/>
                <w:szCs w:val="4"/>
                <w:color w:val="auto"/>
              </w:rPr>
            </w:pPr>
          </w:p>
        </w:tc>
        <w:tc>
          <w:tcPr>
            <w:tcW w:w="60" w:type="dxa"/>
            <w:vAlign w:val="bottom"/>
            <w:tcBorders>
              <w:top w:val="single" w:sz="8" w:color="E5FFFF"/>
            </w:tcBorders>
            <w:shd w:val="clear" w:color="auto" w:fill="E5FFFF"/>
          </w:tcPr>
          <w:p>
            <w:pPr>
              <w:spacing w:after="0"/>
              <w:rPr>
                <w:sz w:val="4"/>
                <w:szCs w:val="4"/>
                <w:color w:val="auto"/>
              </w:rPr>
            </w:pPr>
          </w:p>
        </w:tc>
        <w:tc>
          <w:tcPr>
            <w:tcW w:w="140" w:type="dxa"/>
            <w:vAlign w:val="bottom"/>
            <w:tcBorders>
              <w:top w:val="single" w:sz="8" w:color="E5FFFF"/>
            </w:tcBorders>
            <w:shd w:val="clear" w:color="auto" w:fill="E5FFFF"/>
          </w:tcPr>
          <w:p>
            <w:pPr>
              <w:spacing w:after="0"/>
              <w:rPr>
                <w:sz w:val="4"/>
                <w:szCs w:val="4"/>
                <w:color w:val="auto"/>
              </w:rPr>
            </w:pPr>
          </w:p>
        </w:tc>
        <w:tc>
          <w:tcPr>
            <w:tcW w:w="180" w:type="dxa"/>
            <w:vAlign w:val="bottom"/>
            <w:tcBorders>
              <w:top w:val="single" w:sz="8" w:color="E5FFFF"/>
            </w:tcBorders>
            <w:shd w:val="clear" w:color="auto" w:fill="E5FFFF"/>
          </w:tcPr>
          <w:p>
            <w:pPr>
              <w:spacing w:after="0"/>
              <w:rPr>
                <w:sz w:val="4"/>
                <w:szCs w:val="4"/>
                <w:color w:val="auto"/>
              </w:rPr>
            </w:pPr>
          </w:p>
        </w:tc>
        <w:tc>
          <w:tcPr>
            <w:tcW w:w="160" w:type="dxa"/>
            <w:vAlign w:val="bottom"/>
            <w:tcBorders>
              <w:top w:val="single" w:sz="8" w:color="auto"/>
            </w:tcBorders>
            <w:shd w:val="clear" w:color="auto" w:fill="E5FFFF"/>
          </w:tcPr>
          <w:p>
            <w:pPr>
              <w:spacing w:after="0"/>
              <w:rPr>
                <w:sz w:val="4"/>
                <w:szCs w:val="4"/>
                <w:color w:val="auto"/>
              </w:rPr>
            </w:pPr>
          </w:p>
        </w:tc>
        <w:tc>
          <w:tcPr>
            <w:tcW w:w="240" w:type="dxa"/>
            <w:vAlign w:val="bottom"/>
            <w:tcBorders>
              <w:top w:val="single" w:sz="8" w:color="auto"/>
              <w:right w:val="single" w:sz="8" w:color="E5FFFF"/>
            </w:tcBorders>
            <w:shd w:val="clear" w:color="auto" w:fill="E5FFFF"/>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3620" w:type="dxa"/>
            <w:vAlign w:val="bottom"/>
            <w:gridSpan w:val="5"/>
          </w:tcPr>
          <w:p>
            <w:pPr>
              <w:spacing w:after="0"/>
              <w:rPr>
                <w:sz w:val="20"/>
                <w:szCs w:val="20"/>
                <w:color w:val="auto"/>
              </w:rPr>
            </w:pPr>
            <w:r>
              <w:rPr>
                <w:rFonts w:ascii="Arial" w:cs="Arial" w:eastAsia="Arial" w:hAnsi="Arial"/>
                <w:sz w:val="16"/>
                <w:szCs w:val="16"/>
                <w:color w:val="auto"/>
                <w:w w:val="96"/>
              </w:rPr>
              <w:t>R&amp;D: Non-cash share-based compensation expense</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6"/>
                <w:szCs w:val="16"/>
                <w:color w:val="auto"/>
              </w:rPr>
              <w:t>(270)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4"/>
          </w:tcPr>
          <w:p>
            <w:pPr>
              <w:jc w:val="right"/>
              <w:spacing w:after="0"/>
              <w:rPr>
                <w:sz w:val="20"/>
                <w:szCs w:val="20"/>
                <w:color w:val="auto"/>
              </w:rPr>
            </w:pPr>
            <w:r>
              <w:rPr>
                <w:rFonts w:ascii="Arial" w:cs="Arial" w:eastAsia="Arial" w:hAnsi="Arial"/>
                <w:sz w:val="16"/>
                <w:szCs w:val="16"/>
                <w:color w:val="auto"/>
              </w:rPr>
              <w:t>(290)</w:t>
            </w:r>
          </w:p>
        </w:tc>
      </w:tr>
      <w:tr>
        <w:trPr>
          <w:trHeight w:val="33"/>
        </w:trPr>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220" w:type="dxa"/>
            <w:vAlign w:val="bottom"/>
            <w:tcBorders>
              <w:bottom w:val="single" w:sz="8" w:color="auto"/>
            </w:tcBorders>
            <w:gridSpan w:val="4"/>
            <w:shd w:val="clear" w:color="auto" w:fill="E5FFFF"/>
          </w:tcPr>
          <w:p>
            <w:pPr>
              <w:spacing w:after="0"/>
              <w:rPr>
                <w:sz w:val="20"/>
                <w:szCs w:val="20"/>
                <w:color w:val="auto"/>
              </w:rPr>
            </w:pPr>
            <w:r>
              <w:rPr>
                <w:rFonts w:ascii="Arial" w:cs="Arial" w:eastAsia="Arial" w:hAnsi="Arial"/>
                <w:sz w:val="16"/>
                <w:szCs w:val="16"/>
                <w:b w:val="1"/>
                <w:bCs w:val="1"/>
                <w:color w:val="auto"/>
                <w:w w:val="92"/>
              </w:rPr>
              <w:t>R&amp;D: Up-front payment related to license and</w:t>
            </w:r>
          </w:p>
        </w:tc>
        <w:tc>
          <w:tcPr>
            <w:tcW w:w="400" w:type="dxa"/>
            <w:vAlign w:val="bottom"/>
            <w:tcBorders>
              <w:bottom w:val="single" w:sz="8" w:color="E5FFFF"/>
            </w:tcBorders>
            <w:shd w:val="clear" w:color="auto" w:fill="E5FFFF"/>
          </w:tcPr>
          <w:p>
            <w:pPr>
              <w:spacing w:after="0"/>
              <w:rPr>
                <w:sz w:val="16"/>
                <w:szCs w:val="16"/>
                <w:color w:val="auto"/>
              </w:rPr>
            </w:pPr>
          </w:p>
        </w:tc>
        <w:tc>
          <w:tcPr>
            <w:tcW w:w="220" w:type="dxa"/>
            <w:vAlign w:val="bottom"/>
            <w:tcBorders>
              <w:bottom w:val="single" w:sz="8" w:color="E5FFFF"/>
            </w:tcBorders>
            <w:shd w:val="clear" w:color="auto" w:fill="E5FFFF"/>
          </w:tcPr>
          <w:p>
            <w:pPr>
              <w:spacing w:after="0"/>
              <w:rPr>
                <w:sz w:val="16"/>
                <w:szCs w:val="16"/>
                <w:color w:val="auto"/>
              </w:rPr>
            </w:pPr>
          </w:p>
        </w:tc>
        <w:tc>
          <w:tcPr>
            <w:tcW w:w="260" w:type="dxa"/>
            <w:vAlign w:val="bottom"/>
            <w:tcBorders>
              <w:bottom w:val="single" w:sz="8" w:color="E5FFFF"/>
            </w:tcBorders>
            <w:shd w:val="clear" w:color="auto" w:fill="E5FFFF"/>
          </w:tcPr>
          <w:p>
            <w:pPr>
              <w:spacing w:after="0"/>
              <w:rPr>
                <w:sz w:val="16"/>
                <w:szCs w:val="16"/>
                <w:color w:val="auto"/>
              </w:rPr>
            </w:pPr>
          </w:p>
        </w:tc>
        <w:tc>
          <w:tcPr>
            <w:tcW w:w="20" w:type="dxa"/>
            <w:vAlign w:val="bottom"/>
            <w:tcBorders>
              <w:bottom w:val="single" w:sz="8" w:color="E5FFFF"/>
            </w:tcBorders>
            <w:shd w:val="clear" w:color="auto" w:fill="E5FFFF"/>
          </w:tcPr>
          <w:p>
            <w:pPr>
              <w:spacing w:after="0"/>
              <w:rPr>
                <w:sz w:val="16"/>
                <w:szCs w:val="16"/>
                <w:color w:val="auto"/>
              </w:rPr>
            </w:pPr>
          </w:p>
        </w:tc>
        <w:tc>
          <w:tcPr>
            <w:tcW w:w="160" w:type="dxa"/>
            <w:vAlign w:val="bottom"/>
            <w:tcBorders>
              <w:bottom w:val="single" w:sz="8" w:color="E5FFFF"/>
            </w:tcBorders>
            <w:shd w:val="clear" w:color="auto" w:fill="E5FFFF"/>
          </w:tcPr>
          <w:p>
            <w:pPr>
              <w:spacing w:after="0"/>
              <w:rPr>
                <w:sz w:val="16"/>
                <w:szCs w:val="16"/>
                <w:color w:val="auto"/>
              </w:rPr>
            </w:pPr>
          </w:p>
        </w:tc>
        <w:tc>
          <w:tcPr>
            <w:tcW w:w="200" w:type="dxa"/>
            <w:vAlign w:val="bottom"/>
            <w:tcBorders>
              <w:bottom w:val="single" w:sz="8" w:color="E5FFFF"/>
            </w:tcBorders>
            <w:shd w:val="clear" w:color="auto" w:fill="E5FFFF"/>
          </w:tcPr>
          <w:p>
            <w:pPr>
              <w:spacing w:after="0"/>
              <w:rPr>
                <w:sz w:val="16"/>
                <w:szCs w:val="16"/>
                <w:color w:val="auto"/>
              </w:rPr>
            </w:pPr>
          </w:p>
        </w:tc>
        <w:tc>
          <w:tcPr>
            <w:tcW w:w="200" w:type="dxa"/>
            <w:vAlign w:val="bottom"/>
            <w:tcBorders>
              <w:bottom w:val="single" w:sz="8" w:color="E5FFFF"/>
            </w:tcBorders>
            <w:shd w:val="clear" w:color="auto" w:fill="E5FFFF"/>
          </w:tcPr>
          <w:p>
            <w:pPr>
              <w:spacing w:after="0"/>
              <w:rPr>
                <w:sz w:val="16"/>
                <w:szCs w:val="16"/>
                <w:color w:val="auto"/>
              </w:rPr>
            </w:pPr>
          </w:p>
        </w:tc>
        <w:tc>
          <w:tcPr>
            <w:tcW w:w="60" w:type="dxa"/>
            <w:vAlign w:val="bottom"/>
            <w:tcBorders>
              <w:bottom w:val="single" w:sz="8" w:color="E5FFFF"/>
            </w:tcBorders>
            <w:shd w:val="clear" w:color="auto" w:fill="E5FFFF"/>
          </w:tcPr>
          <w:p>
            <w:pPr>
              <w:spacing w:after="0"/>
              <w:rPr>
                <w:sz w:val="16"/>
                <w:szCs w:val="16"/>
                <w:color w:val="auto"/>
              </w:rPr>
            </w:pPr>
          </w:p>
        </w:tc>
        <w:tc>
          <w:tcPr>
            <w:tcW w:w="140" w:type="dxa"/>
            <w:vAlign w:val="bottom"/>
            <w:tcBorders>
              <w:bottom w:val="single" w:sz="8" w:color="E5FFFF"/>
            </w:tcBorders>
            <w:shd w:val="clear" w:color="auto" w:fill="E5FFFF"/>
          </w:tcPr>
          <w:p>
            <w:pPr>
              <w:spacing w:after="0"/>
              <w:rPr>
                <w:sz w:val="16"/>
                <w:szCs w:val="16"/>
                <w:color w:val="auto"/>
              </w:rPr>
            </w:pPr>
          </w:p>
        </w:tc>
        <w:tc>
          <w:tcPr>
            <w:tcW w:w="180" w:type="dxa"/>
            <w:vAlign w:val="bottom"/>
            <w:tcBorders>
              <w:bottom w:val="single" w:sz="8" w:color="E5FFFF"/>
            </w:tcBorders>
            <w:shd w:val="clear" w:color="auto" w:fill="E5FFFF"/>
          </w:tcPr>
          <w:p>
            <w:pPr>
              <w:spacing w:after="0"/>
              <w:rPr>
                <w:sz w:val="16"/>
                <w:szCs w:val="16"/>
                <w:color w:val="auto"/>
              </w:rPr>
            </w:pPr>
          </w:p>
        </w:tc>
        <w:tc>
          <w:tcPr>
            <w:tcW w:w="160" w:type="dxa"/>
            <w:vAlign w:val="bottom"/>
            <w:tcBorders>
              <w:bottom w:val="single" w:sz="8" w:color="E5FFFF"/>
            </w:tcBorders>
            <w:shd w:val="clear" w:color="auto" w:fill="E5FFFF"/>
          </w:tcPr>
          <w:p>
            <w:pPr>
              <w:spacing w:after="0"/>
              <w:rPr>
                <w:sz w:val="16"/>
                <w:szCs w:val="16"/>
                <w:color w:val="auto"/>
              </w:rPr>
            </w:pPr>
          </w:p>
        </w:tc>
        <w:tc>
          <w:tcPr>
            <w:tcW w:w="240" w:type="dxa"/>
            <w:vAlign w:val="bottom"/>
            <w:tcBorders>
              <w:bottom w:val="single" w:sz="8" w:color="E5FFFF"/>
              <w:right w:val="single" w:sz="8" w:color="E5FFFF"/>
            </w:tcBorders>
            <w:shd w:val="clear" w:color="auto" w:fill="E5FFFF"/>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60" w:type="dxa"/>
            <w:vAlign w:val="bottom"/>
            <w:tcBorders>
              <w:bottom w:val="single" w:sz="8" w:color="E5FFFF"/>
            </w:tcBorders>
            <w:shd w:val="clear" w:color="auto" w:fill="E5FFFF"/>
          </w:tcPr>
          <w:p>
            <w:pPr>
              <w:spacing w:after="0"/>
              <w:rPr>
                <w:sz w:val="21"/>
                <w:szCs w:val="21"/>
                <w:color w:val="auto"/>
              </w:rPr>
            </w:pPr>
          </w:p>
        </w:tc>
        <w:tc>
          <w:tcPr>
            <w:tcW w:w="1760" w:type="dxa"/>
            <w:vAlign w:val="bottom"/>
            <w:tcBorders>
              <w:bottom w:val="single" w:sz="8" w:color="auto"/>
            </w:tcBorders>
            <w:shd w:val="clear" w:color="auto" w:fill="E5FFFF"/>
          </w:tcPr>
          <w:p>
            <w:pPr>
              <w:spacing w:after="0" w:line="183" w:lineRule="exact"/>
              <w:rPr>
                <w:sz w:val="20"/>
                <w:szCs w:val="20"/>
                <w:color w:val="auto"/>
              </w:rPr>
            </w:pPr>
            <w:r>
              <w:rPr>
                <w:rFonts w:ascii="Arial" w:cs="Arial" w:eastAsia="Arial" w:hAnsi="Arial"/>
                <w:sz w:val="16"/>
                <w:szCs w:val="16"/>
                <w:b w:val="1"/>
                <w:bCs w:val="1"/>
                <w:color w:val="auto"/>
                <w:w w:val="89"/>
              </w:rPr>
              <w:t>collaboration agreements</w:t>
            </w:r>
          </w:p>
        </w:tc>
        <w:tc>
          <w:tcPr>
            <w:tcW w:w="1700" w:type="dxa"/>
            <w:vAlign w:val="bottom"/>
            <w:tcBorders>
              <w:bottom w:val="single" w:sz="8" w:color="E5FFFF"/>
            </w:tcBorders>
            <w:gridSpan w:val="3"/>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840" w:type="dxa"/>
            <w:vAlign w:val="bottom"/>
            <w:tcBorders>
              <w:bottom w:val="single" w:sz="8" w:color="auto"/>
            </w:tcBorders>
            <w:gridSpan w:val="5"/>
            <w:shd w:val="clear" w:color="auto" w:fill="E5FFFF"/>
          </w:tcPr>
          <w:p>
            <w:pPr>
              <w:jc w:val="right"/>
              <w:ind w:right="200"/>
              <w:spacing w:after="0" w:line="183" w:lineRule="exact"/>
              <w:rPr>
                <w:sz w:val="20"/>
                <w:szCs w:val="20"/>
                <w:color w:val="auto"/>
              </w:rPr>
            </w:pPr>
            <w:r>
              <w:rPr>
                <w:rFonts w:ascii="Arial" w:cs="Arial" w:eastAsia="Arial" w:hAnsi="Arial"/>
                <w:sz w:val="16"/>
                <w:szCs w:val="16"/>
                <w:b w:val="1"/>
                <w:bCs w:val="1"/>
                <w:color w:val="auto"/>
              </w:rPr>
              <w:t>(400)</w:t>
            </w:r>
          </w:p>
        </w:tc>
        <w:tc>
          <w:tcPr>
            <w:tcW w:w="60" w:type="dxa"/>
            <w:vAlign w:val="bottom"/>
            <w:tcBorders>
              <w:bottom w:val="single" w:sz="8" w:color="E5FFFF"/>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right w:val="single" w:sz="8" w:color="E5FFFF"/>
            </w:tcBorders>
            <w:gridSpan w:val="3"/>
            <w:shd w:val="clear" w:color="auto" w:fill="E5FFFF"/>
          </w:tcPr>
          <w:p>
            <w:pPr>
              <w:jc w:val="right"/>
              <w:ind w:right="40"/>
              <w:spacing w:after="0" w:line="183" w:lineRule="exact"/>
              <w:rPr>
                <w:sz w:val="20"/>
                <w:szCs w:val="20"/>
                <w:color w:val="auto"/>
              </w:rPr>
            </w:pPr>
            <w:r>
              <w:rPr>
                <w:rFonts w:ascii="Arial" w:cs="Arial" w:eastAsia="Arial" w:hAnsi="Arial"/>
                <w:sz w:val="16"/>
                <w:szCs w:val="16"/>
                <w:b w:val="1"/>
                <w:bCs w:val="1"/>
                <w:color w:val="auto"/>
              </w:rPr>
              <w:t>(400)</w:t>
            </w:r>
          </w:p>
        </w:tc>
        <w:tc>
          <w:tcPr>
            <w:tcW w:w="20" w:type="dxa"/>
            <w:vAlign w:val="bottom"/>
          </w:tcPr>
          <w:p>
            <w:pPr>
              <w:spacing w:after="0"/>
              <w:rPr>
                <w:sz w:val="21"/>
                <w:szCs w:val="21"/>
                <w:color w:val="auto"/>
              </w:rPr>
            </w:pPr>
          </w:p>
        </w:tc>
      </w:tr>
      <w:tr>
        <w:trPr>
          <w:trHeight w:val="244"/>
        </w:trPr>
        <w:tc>
          <w:tcPr>
            <w:tcW w:w="3620" w:type="dxa"/>
            <w:vAlign w:val="bottom"/>
            <w:gridSpan w:val="5"/>
          </w:tcPr>
          <w:p>
            <w:pPr>
              <w:spacing w:after="0"/>
              <w:rPr>
                <w:sz w:val="20"/>
                <w:szCs w:val="20"/>
                <w:color w:val="auto"/>
              </w:rPr>
            </w:pPr>
            <w:r>
              <w:rPr>
                <w:rFonts w:ascii="Arial" w:cs="Arial" w:eastAsia="Arial" w:hAnsi="Arial"/>
                <w:sz w:val="16"/>
                <w:szCs w:val="16"/>
                <w:color w:val="auto"/>
              </w:rPr>
              <w:t>Non-GAAP unreimbursed R&amp;D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gridSpan w:val="5"/>
          </w:tcPr>
          <w:p>
            <w:pPr>
              <w:jc w:val="right"/>
              <w:ind w:right="200"/>
              <w:spacing w:after="0"/>
              <w:rPr>
                <w:sz w:val="20"/>
                <w:szCs w:val="20"/>
                <w:color w:val="auto"/>
              </w:rPr>
            </w:pPr>
            <w:r>
              <w:rPr>
                <w:rFonts w:ascii="Arial" w:cs="Arial" w:eastAsia="Arial" w:hAnsi="Arial"/>
                <w:sz w:val="16"/>
                <w:szCs w:val="16"/>
                <w:color w:val="auto"/>
              </w:rPr>
              <w:t>1,610</w:t>
            </w: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ind w:right="40"/>
              <w:spacing w:after="0"/>
              <w:rPr>
                <w:sz w:val="20"/>
                <w:szCs w:val="20"/>
                <w:color w:val="auto"/>
              </w:rPr>
            </w:pPr>
            <w:r>
              <w:rPr>
                <w:rFonts w:ascii="Arial" w:cs="Arial" w:eastAsia="Arial" w:hAnsi="Arial"/>
                <w:sz w:val="16"/>
                <w:szCs w:val="16"/>
                <w:color w:val="auto"/>
              </w:rPr>
              <w:t>1,710</w:t>
            </w:r>
          </w:p>
        </w:tc>
        <w:tc>
          <w:tcPr>
            <w:tcW w:w="20" w:type="dxa"/>
            <w:vAlign w:val="bottom"/>
          </w:tcPr>
          <w:p>
            <w:pPr>
              <w:spacing w:after="0"/>
              <w:rPr>
                <w:sz w:val="21"/>
                <w:szCs w:val="21"/>
                <w:color w:val="auto"/>
              </w:rPr>
            </w:pPr>
          </w:p>
        </w:tc>
      </w:tr>
      <w:tr>
        <w:trPr>
          <w:trHeight w:val="33"/>
        </w:trPr>
        <w:tc>
          <w:tcPr>
            <w:tcW w:w="160" w:type="dxa"/>
            <w:vAlign w:val="bottom"/>
            <w:tcBorders>
              <w:bottom w:val="single" w:sz="8" w:color="E5FFFF"/>
            </w:tcBorders>
          </w:tcPr>
          <w:p>
            <w:pPr>
              <w:spacing w:after="0"/>
              <w:rPr>
                <w:sz w:val="2"/>
                <w:szCs w:val="2"/>
                <w:color w:val="auto"/>
              </w:rPr>
            </w:pPr>
          </w:p>
        </w:tc>
        <w:tc>
          <w:tcPr>
            <w:tcW w:w="1760" w:type="dxa"/>
            <w:vAlign w:val="bottom"/>
            <w:tcBorders>
              <w:bottom w:val="single" w:sz="8" w:color="E5FFFF"/>
            </w:tcBorders>
          </w:tcPr>
          <w:p>
            <w:pPr>
              <w:spacing w:after="0"/>
              <w:rPr>
                <w:sz w:val="2"/>
                <w:szCs w:val="2"/>
                <w:color w:val="auto"/>
              </w:rPr>
            </w:pPr>
          </w:p>
        </w:tc>
        <w:tc>
          <w:tcPr>
            <w:tcW w:w="300" w:type="dxa"/>
            <w:vAlign w:val="bottom"/>
            <w:tcBorders>
              <w:bottom w:val="single" w:sz="8" w:color="E5FFFF"/>
            </w:tcBorders>
          </w:tcPr>
          <w:p>
            <w:pPr>
              <w:spacing w:after="0"/>
              <w:rPr>
                <w:sz w:val="2"/>
                <w:szCs w:val="2"/>
                <w:color w:val="auto"/>
              </w:rPr>
            </w:pPr>
          </w:p>
        </w:tc>
        <w:tc>
          <w:tcPr>
            <w:tcW w:w="1000" w:type="dxa"/>
            <w:vAlign w:val="bottom"/>
            <w:tcBorders>
              <w:bottom w:val="single" w:sz="8" w:color="E5FFFF"/>
            </w:tcBorders>
          </w:tcPr>
          <w:p>
            <w:pPr>
              <w:spacing w:after="0"/>
              <w:rPr>
                <w:sz w:val="2"/>
                <w:szCs w:val="2"/>
                <w:color w:val="auto"/>
              </w:rPr>
            </w:pPr>
          </w:p>
        </w:tc>
        <w:tc>
          <w:tcPr>
            <w:tcW w:w="400" w:type="dxa"/>
            <w:vAlign w:val="bottom"/>
            <w:tcBorders>
              <w:bottom w:val="single" w:sz="8" w:color="E5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E5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91"/>
        </w:trPr>
        <w:tc>
          <w:tcPr>
            <w:tcW w:w="160" w:type="dxa"/>
            <w:vAlign w:val="bottom"/>
            <w:shd w:val="clear" w:color="auto" w:fill="E5FFFF"/>
          </w:tcPr>
          <w:p>
            <w:pPr>
              <w:spacing w:after="0"/>
              <w:rPr>
                <w:sz w:val="24"/>
                <w:szCs w:val="24"/>
                <w:color w:val="auto"/>
              </w:rPr>
            </w:pPr>
          </w:p>
        </w:tc>
        <w:tc>
          <w:tcPr>
            <w:tcW w:w="176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1000" w:type="dxa"/>
            <w:vAlign w:val="bottom"/>
            <w:shd w:val="clear" w:color="auto" w:fill="E5FFFF"/>
          </w:tcPr>
          <w:p>
            <w:pPr>
              <w:spacing w:after="0"/>
              <w:rPr>
                <w:sz w:val="24"/>
                <w:szCs w:val="24"/>
                <w:color w:val="auto"/>
              </w:rPr>
            </w:pPr>
          </w:p>
        </w:tc>
        <w:tc>
          <w:tcPr>
            <w:tcW w:w="4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240" w:type="dxa"/>
            <w:vAlign w:val="bottom"/>
            <w:tcBorders>
              <w:right w:val="single" w:sz="8" w:color="E5FFFF"/>
            </w:tcBorders>
            <w:shd w:val="clear" w:color="auto" w:fill="E5FFFF"/>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620" w:type="dxa"/>
            <w:vAlign w:val="bottom"/>
            <w:gridSpan w:val="5"/>
          </w:tcPr>
          <w:p>
            <w:pPr>
              <w:spacing w:after="0"/>
              <w:rPr>
                <w:sz w:val="20"/>
                <w:szCs w:val="20"/>
                <w:color w:val="auto"/>
              </w:rPr>
            </w:pPr>
            <w:r>
              <w:rPr>
                <w:rFonts w:ascii="Arial" w:cs="Arial" w:eastAsia="Arial" w:hAnsi="Arial"/>
                <w:sz w:val="16"/>
                <w:szCs w:val="16"/>
                <w:color w:val="auto"/>
              </w:rPr>
              <w:t>GAAP SG&amp;A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rPr>
              <w:t>1,695</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1,800</w:t>
            </w:r>
          </w:p>
        </w:tc>
        <w:tc>
          <w:tcPr>
            <w:tcW w:w="20" w:type="dxa"/>
            <w:vAlign w:val="bottom"/>
          </w:tcPr>
          <w:p>
            <w:pPr>
              <w:spacing w:after="0"/>
              <w:rPr>
                <w:sz w:val="19"/>
                <w:szCs w:val="19"/>
                <w:color w:val="auto"/>
              </w:rPr>
            </w:pPr>
          </w:p>
        </w:tc>
      </w:tr>
      <w:tr>
        <w:trPr>
          <w:trHeight w:val="48"/>
        </w:trPr>
        <w:tc>
          <w:tcPr>
            <w:tcW w:w="1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3620" w:type="dxa"/>
            <w:vAlign w:val="bottom"/>
            <w:tcBorders>
              <w:bottom w:val="single" w:sz="8" w:color="E5FFFF"/>
            </w:tcBorders>
            <w:gridSpan w:val="5"/>
            <w:shd w:val="clear" w:color="auto" w:fill="E5FFFF"/>
          </w:tcPr>
          <w:p>
            <w:pPr>
              <w:spacing w:after="0"/>
              <w:rPr>
                <w:sz w:val="20"/>
                <w:szCs w:val="20"/>
                <w:color w:val="auto"/>
              </w:rPr>
            </w:pPr>
            <w:r>
              <w:rPr>
                <w:rFonts w:ascii="Arial" w:cs="Arial" w:eastAsia="Arial" w:hAnsi="Arial"/>
                <w:sz w:val="16"/>
                <w:szCs w:val="16"/>
                <w:color w:val="auto"/>
                <w:w w:val="93"/>
              </w:rPr>
              <w:t>SG&amp;A: Non-cash share-based compensation expense</w:t>
            </w:r>
          </w:p>
        </w:tc>
        <w:tc>
          <w:tcPr>
            <w:tcW w:w="220" w:type="dxa"/>
            <w:vAlign w:val="bottom"/>
            <w:tcBorders>
              <w:bottom w:val="single" w:sz="8" w:color="E5FFFF"/>
            </w:tcBorders>
            <w:shd w:val="clear" w:color="auto" w:fill="E5FFFF"/>
          </w:tcPr>
          <w:p>
            <w:pPr>
              <w:spacing w:after="0"/>
              <w:rPr>
                <w:sz w:val="24"/>
                <w:szCs w:val="24"/>
                <w:color w:val="auto"/>
              </w:rPr>
            </w:pPr>
          </w:p>
        </w:tc>
        <w:tc>
          <w:tcPr>
            <w:tcW w:w="840" w:type="dxa"/>
            <w:vAlign w:val="bottom"/>
            <w:tcBorders>
              <w:bottom w:val="single" w:sz="8" w:color="E5FFFF"/>
            </w:tcBorders>
            <w:gridSpan w:val="5"/>
            <w:shd w:val="clear" w:color="auto" w:fill="E5FFFF"/>
          </w:tcPr>
          <w:p>
            <w:pPr>
              <w:jc w:val="right"/>
              <w:ind w:right="160"/>
              <w:spacing w:after="0"/>
              <w:rPr>
                <w:sz w:val="20"/>
                <w:szCs w:val="20"/>
                <w:color w:val="auto"/>
              </w:rPr>
            </w:pPr>
            <w:r>
              <w:rPr>
                <w:rFonts w:ascii="Arial" w:cs="Arial" w:eastAsia="Arial" w:hAnsi="Arial"/>
                <w:sz w:val="16"/>
                <w:szCs w:val="16"/>
                <w:color w:val="auto"/>
              </w:rPr>
              <w:t>(190)</w:t>
            </w:r>
          </w:p>
        </w:tc>
        <w:tc>
          <w:tcPr>
            <w:tcW w:w="60" w:type="dxa"/>
            <w:vAlign w:val="bottom"/>
            <w:tcBorders>
              <w:bottom w:val="single" w:sz="8" w:color="E5FFFF"/>
            </w:tcBorders>
            <w:shd w:val="clear" w:color="auto" w:fill="E5FFFF"/>
          </w:tcPr>
          <w:p>
            <w:pPr>
              <w:spacing w:after="0"/>
              <w:rPr>
                <w:sz w:val="24"/>
                <w:szCs w:val="24"/>
                <w:color w:val="auto"/>
              </w:rPr>
            </w:pPr>
          </w:p>
        </w:tc>
        <w:tc>
          <w:tcPr>
            <w:tcW w:w="140" w:type="dxa"/>
            <w:vAlign w:val="bottom"/>
            <w:tcBorders>
              <w:bottom w:val="single" w:sz="8" w:color="E5FFFF"/>
            </w:tcBorders>
            <w:shd w:val="clear" w:color="auto" w:fill="E5FFFF"/>
          </w:tcPr>
          <w:p>
            <w:pPr>
              <w:spacing w:after="0"/>
              <w:rPr>
                <w:sz w:val="24"/>
                <w:szCs w:val="24"/>
                <w:color w:val="auto"/>
              </w:rPr>
            </w:pPr>
          </w:p>
        </w:tc>
        <w:tc>
          <w:tcPr>
            <w:tcW w:w="580" w:type="dxa"/>
            <w:vAlign w:val="bottom"/>
            <w:tcBorders>
              <w:bottom w:val="single" w:sz="8" w:color="E5FFFF"/>
              <w:right w:val="single" w:sz="8" w:color="E5FFFF"/>
            </w:tcBorders>
            <w:gridSpan w:val="3"/>
            <w:shd w:val="clear" w:color="auto" w:fill="E5FFFF"/>
          </w:tcPr>
          <w:p>
            <w:pPr>
              <w:jc w:val="right"/>
              <w:spacing w:after="0"/>
              <w:rPr>
                <w:sz w:val="20"/>
                <w:szCs w:val="20"/>
                <w:color w:val="auto"/>
              </w:rPr>
            </w:pPr>
            <w:r>
              <w:rPr>
                <w:rFonts w:ascii="Arial" w:cs="Arial" w:eastAsia="Arial" w:hAnsi="Arial"/>
                <w:sz w:val="16"/>
                <w:szCs w:val="16"/>
                <w:color w:val="auto"/>
              </w:rPr>
              <w:t>(215)</w:t>
            </w:r>
          </w:p>
        </w:tc>
        <w:tc>
          <w:tcPr>
            <w:tcW w:w="20" w:type="dxa"/>
            <w:vAlign w:val="bottom"/>
          </w:tcPr>
          <w:p>
            <w:pPr>
              <w:spacing w:after="0"/>
              <w:rPr>
                <w:sz w:val="24"/>
                <w:szCs w:val="24"/>
                <w:color w:val="auto"/>
              </w:rPr>
            </w:pPr>
          </w:p>
        </w:tc>
      </w:tr>
      <w:tr>
        <w:trPr>
          <w:trHeight w:val="230"/>
        </w:trPr>
        <w:tc>
          <w:tcPr>
            <w:tcW w:w="3620" w:type="dxa"/>
            <w:vAlign w:val="bottom"/>
            <w:gridSpan w:val="5"/>
          </w:tcPr>
          <w:p>
            <w:pPr>
              <w:spacing w:after="0"/>
              <w:rPr>
                <w:sz w:val="20"/>
                <w:szCs w:val="20"/>
                <w:color w:val="auto"/>
              </w:rPr>
            </w:pPr>
            <w:r>
              <w:rPr>
                <w:rFonts w:ascii="Arial" w:cs="Arial" w:eastAsia="Arial" w:hAnsi="Arial"/>
                <w:sz w:val="16"/>
                <w:szCs w:val="16"/>
                <w:b w:val="1"/>
                <w:bCs w:val="1"/>
                <w:color w:val="auto"/>
              </w:rPr>
              <w:t>SG&amp;A: Litigation contingencies</w:t>
            </w:r>
          </w:p>
        </w:tc>
        <w:tc>
          <w:tcPr>
            <w:tcW w:w="220" w:type="dxa"/>
            <w:vAlign w:val="bottom"/>
          </w:tcPr>
          <w:p>
            <w:pPr>
              <w:spacing w:after="0"/>
              <w:rPr>
                <w:sz w:val="19"/>
                <w:szCs w:val="19"/>
                <w:color w:val="auto"/>
              </w:rPr>
            </w:pPr>
          </w:p>
        </w:tc>
        <w:tc>
          <w:tcPr>
            <w:tcW w:w="84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rPr>
              <w:t>(5)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(5)</w:t>
            </w:r>
          </w:p>
        </w:tc>
        <w:tc>
          <w:tcPr>
            <w:tcW w:w="20" w:type="dxa"/>
            <w:vAlign w:val="bottom"/>
          </w:tcPr>
          <w:p>
            <w:pPr>
              <w:spacing w:after="0"/>
              <w:rPr>
                <w:sz w:val="19"/>
                <w:szCs w:val="19"/>
                <w:color w:val="auto"/>
              </w:rPr>
            </w:pPr>
          </w:p>
        </w:tc>
      </w:tr>
      <w:tr>
        <w:trPr>
          <w:trHeight w:val="48"/>
        </w:trPr>
        <w:tc>
          <w:tcPr>
            <w:tcW w:w="160" w:type="dxa"/>
            <w:vAlign w:val="bottom"/>
            <w:tcBorders>
              <w:top w:val="single" w:sz="8" w:color="auto"/>
              <w:bottom w:val="single" w:sz="8" w:color="E5FFFF"/>
            </w:tcBorders>
          </w:tcPr>
          <w:p>
            <w:pPr>
              <w:spacing w:after="0"/>
              <w:rPr>
                <w:sz w:val="4"/>
                <w:szCs w:val="4"/>
                <w:color w:val="auto"/>
              </w:rPr>
            </w:pPr>
          </w:p>
        </w:tc>
        <w:tc>
          <w:tcPr>
            <w:tcW w:w="1760" w:type="dxa"/>
            <w:vAlign w:val="bottom"/>
            <w:tcBorders>
              <w:top w:val="single" w:sz="8" w:color="auto"/>
              <w:bottom w:val="single" w:sz="8" w:color="E5FFFF"/>
            </w:tcBorders>
          </w:tcPr>
          <w:p>
            <w:pPr>
              <w:spacing w:after="0"/>
              <w:rPr>
                <w:sz w:val="4"/>
                <w:szCs w:val="4"/>
                <w:color w:val="auto"/>
              </w:rPr>
            </w:pPr>
          </w:p>
        </w:tc>
        <w:tc>
          <w:tcPr>
            <w:tcW w:w="300" w:type="dxa"/>
            <w:vAlign w:val="bottom"/>
            <w:tcBorders>
              <w:top w:val="single" w:sz="8" w:color="auto"/>
              <w:bottom w:val="single" w:sz="8" w:color="E5FFFF"/>
            </w:tcBorders>
          </w:tcPr>
          <w:p>
            <w:pPr>
              <w:spacing w:after="0"/>
              <w:rPr>
                <w:sz w:val="4"/>
                <w:szCs w:val="4"/>
                <w:color w:val="auto"/>
              </w:rPr>
            </w:pPr>
          </w:p>
        </w:tc>
        <w:tc>
          <w:tcPr>
            <w:tcW w:w="1000" w:type="dxa"/>
            <w:vAlign w:val="bottom"/>
            <w:tcBorders>
              <w:bottom w:val="single" w:sz="8" w:color="E5FFFF"/>
            </w:tcBorders>
          </w:tcPr>
          <w:p>
            <w:pPr>
              <w:spacing w:after="0"/>
              <w:rPr>
                <w:sz w:val="4"/>
                <w:szCs w:val="4"/>
                <w:color w:val="auto"/>
              </w:rPr>
            </w:pPr>
          </w:p>
        </w:tc>
        <w:tc>
          <w:tcPr>
            <w:tcW w:w="400" w:type="dxa"/>
            <w:vAlign w:val="bottom"/>
            <w:tcBorders>
              <w:bottom w:val="single" w:sz="8" w:color="E5FF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E5FF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top w:val="single" w:sz="8" w:color="auto"/>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3620" w:type="dxa"/>
            <w:vAlign w:val="bottom"/>
            <w:tcBorders>
              <w:bottom w:val="single" w:sz="8" w:color="E5FFFF"/>
            </w:tcBorders>
            <w:gridSpan w:val="5"/>
            <w:shd w:val="clear" w:color="auto" w:fill="E5FFFF"/>
          </w:tcPr>
          <w:p>
            <w:pPr>
              <w:spacing w:after="0"/>
              <w:rPr>
                <w:sz w:val="20"/>
                <w:szCs w:val="20"/>
                <w:color w:val="auto"/>
              </w:rPr>
            </w:pPr>
            <w:r>
              <w:rPr>
                <w:rFonts w:ascii="Arial" w:cs="Arial" w:eastAsia="Arial" w:hAnsi="Arial"/>
                <w:sz w:val="16"/>
                <w:szCs w:val="16"/>
                <w:color w:val="auto"/>
              </w:rPr>
              <w:t>Non-GAAP SG&amp;A</w:t>
            </w:r>
          </w:p>
        </w:tc>
        <w:tc>
          <w:tcPr>
            <w:tcW w:w="220" w:type="dxa"/>
            <w:vAlign w:val="bottom"/>
            <w:tcBorders>
              <w:bottom w:val="single" w:sz="8" w:color="E5FFFF"/>
            </w:tcBorders>
            <w:shd w:val="clear" w:color="auto" w:fill="E5FF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E5FFFF"/>
            </w:tcBorders>
            <w:gridSpan w:val="5"/>
            <w:shd w:val="clear" w:color="auto" w:fill="E5FFFF"/>
          </w:tcPr>
          <w:p>
            <w:pPr>
              <w:jc w:val="right"/>
              <w:ind w:right="200"/>
              <w:spacing w:after="0"/>
              <w:rPr>
                <w:sz w:val="20"/>
                <w:szCs w:val="20"/>
                <w:color w:val="auto"/>
              </w:rPr>
            </w:pPr>
            <w:r>
              <w:rPr>
                <w:rFonts w:ascii="Arial" w:cs="Arial" w:eastAsia="Arial" w:hAnsi="Arial"/>
                <w:sz w:val="16"/>
                <w:szCs w:val="16"/>
                <w:color w:val="auto"/>
              </w:rPr>
              <w:t>1,500</w:t>
            </w:r>
          </w:p>
        </w:tc>
        <w:tc>
          <w:tcPr>
            <w:tcW w:w="60" w:type="dxa"/>
            <w:vAlign w:val="bottom"/>
            <w:tcBorders>
              <w:bottom w:val="single" w:sz="8" w:color="E5FFFF"/>
            </w:tcBorders>
            <w:shd w:val="clear" w:color="auto" w:fill="E5FFFF"/>
          </w:tcPr>
          <w:p>
            <w:pPr>
              <w:spacing w:after="0"/>
              <w:rPr>
                <w:sz w:val="22"/>
                <w:szCs w:val="22"/>
                <w:color w:val="auto"/>
              </w:rPr>
            </w:pPr>
          </w:p>
        </w:tc>
        <w:tc>
          <w:tcPr>
            <w:tcW w:w="14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E5FFFF"/>
              <w:right w:val="single" w:sz="8" w:color="E5FFFF"/>
            </w:tcBorders>
            <w:gridSpan w:val="3"/>
            <w:shd w:val="clear" w:color="auto" w:fill="E5FFFF"/>
          </w:tcPr>
          <w:p>
            <w:pPr>
              <w:jc w:val="right"/>
              <w:ind w:right="40"/>
              <w:spacing w:after="0"/>
              <w:rPr>
                <w:sz w:val="20"/>
                <w:szCs w:val="20"/>
                <w:color w:val="auto"/>
              </w:rPr>
            </w:pPr>
            <w:r>
              <w:rPr>
                <w:rFonts w:ascii="Arial" w:cs="Arial" w:eastAsia="Arial" w:hAnsi="Arial"/>
                <w:sz w:val="16"/>
                <w:szCs w:val="16"/>
                <w:color w:val="auto"/>
              </w:rPr>
              <w:t>1,580</w:t>
            </w:r>
          </w:p>
        </w:tc>
        <w:tc>
          <w:tcPr>
            <w:tcW w:w="20" w:type="dxa"/>
            <w:vAlign w:val="bottom"/>
          </w:tcPr>
          <w:p>
            <w:pPr>
              <w:spacing w:after="0"/>
              <w:rPr>
                <w:sz w:val="22"/>
                <w:szCs w:val="22"/>
                <w:color w:val="auto"/>
              </w:rPr>
            </w:pPr>
          </w:p>
        </w:tc>
      </w:tr>
      <w:tr>
        <w:trPr>
          <w:trHeight w:val="20"/>
        </w:trPr>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2">
            <w:col w:w="5480" w:space="460"/>
            <w:col w:w="5480"/>
          </w:cols>
          <w:pgMar w:left="240" w:top="827" w:right="239" w:bottom="1440" w:gutter="0" w:footer="0" w:header="0"/>
        </w:sectPr>
      </w:pPr>
    </w:p>
    <w:p>
      <w:pPr>
        <w:ind w:left="240" w:hanging="232"/>
        <w:spacing w:after="0"/>
        <w:tabs>
          <w:tab w:leader="none" w:pos="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Unreimbursed R&amp;D represents R&amp;D expenses reduced by R&amp;D expense reimbursements from the Company’s collaborators and/or customers.</w:t>
      </w:r>
    </w:p>
    <w:p>
      <w:pPr>
        <w:spacing w:after="0" w:line="371" w:lineRule="exact"/>
        <w:rPr>
          <w:rFonts w:ascii="Arial" w:cs="Arial" w:eastAsia="Arial" w:hAnsi="Arial"/>
          <w:sz w:val="17"/>
          <w:szCs w:val="17"/>
          <w:color w:val="auto"/>
        </w:rPr>
      </w:pPr>
    </w:p>
    <w:p>
      <w:pPr>
        <w:ind w:left="240" w:right="680" w:hanging="232"/>
        <w:spacing w:after="0" w:line="312" w:lineRule="auto"/>
        <w:tabs>
          <w:tab w:leader="none" w:pos="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collaborators provide it with estimates of the collaborators’ respective sales and the Company's share of the profits or losses from commercialization of products for the most recent fiscal quarter. The Company’s estimates for such quarter are reconciled to actual results in the subsequent fiscal quarter, and the Company’s share of the profit or loss is adjusted on a prospective basis accordingly,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information included in this Item 7.01 shall not be deemed “filed” for purposes of Section 18 of the Securities Exchange Act of 1934, as amended, nor shall such information be deemed incorporated by reference in any filing under the Securities Act of 1933, as amended,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type w:val="continuous"/>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REGENERON PHARMACEUTICALS, INC.</w:t>
      </w:r>
    </w:p>
    <w:p>
      <w:pPr>
        <w:spacing w:after="0" w:line="2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2684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J. LaRosa</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General Counsel and Secretary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940"/>
      </w:cols>
      <w:pgMar w:left="240" w:top="1229"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2019-12-02T23:18:21Z</dcterms:created>
  <dcterms:modified xsi:type="dcterms:W3CDTF">2019-12-02T23:18:21Z</dcterms:modified>
</cp:coreProperties>
</file>