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5"/>
          <w:szCs w:val="15"/>
          <w:color w:val="auto"/>
        </w:rPr>
        <w:t>UNITED STATES</w:t>
      </w:r>
    </w:p>
    <w:p>
      <w:pPr>
        <w:spacing w:after="0" w:line="17" w:lineRule="exact"/>
        <w:rPr>
          <w:sz w:val="24"/>
          <w:szCs w:val="24"/>
          <w:color w:val="auto"/>
        </w:rPr>
      </w:pPr>
    </w:p>
    <w:p>
      <w:pPr>
        <w:jc w:val="center"/>
        <w:ind w:right="52"/>
        <w:spacing w:after="0"/>
        <w:rPr>
          <w:sz w:val="20"/>
          <w:szCs w:val="20"/>
          <w:color w:val="auto"/>
        </w:rPr>
      </w:pPr>
      <w:r>
        <w:rPr>
          <w:rFonts w:ascii="Arial" w:cs="Arial" w:eastAsia="Arial" w:hAnsi="Arial"/>
          <w:sz w:val="15"/>
          <w:szCs w:val="15"/>
          <w:color w:val="auto"/>
        </w:rPr>
        <w:t>SECURITIES AND EXCHANGE COMMISSION</w:t>
      </w:r>
    </w:p>
    <w:p>
      <w:pPr>
        <w:spacing w:after="0" w:line="12" w:lineRule="exact"/>
        <w:rPr>
          <w:sz w:val="24"/>
          <w:szCs w:val="24"/>
          <w:color w:val="auto"/>
        </w:rPr>
      </w:pPr>
    </w:p>
    <w:p>
      <w:pPr>
        <w:jc w:val="center"/>
        <w:ind w:right="12"/>
        <w:spacing w:after="0"/>
        <w:rPr>
          <w:sz w:val="20"/>
          <w:szCs w:val="20"/>
          <w:color w:val="auto"/>
        </w:rPr>
      </w:pPr>
      <w:r>
        <w:rPr>
          <w:rFonts w:ascii="Arial" w:cs="Arial" w:eastAsia="Arial" w:hAnsi="Arial"/>
          <w:sz w:val="15"/>
          <w:szCs w:val="15"/>
          <w:color w:val="auto"/>
        </w:rPr>
        <w:t>Washington, DC 20549</w:t>
      </w:r>
    </w:p>
    <w:p>
      <w:pPr>
        <w:spacing w:after="0" w:line="188" w:lineRule="exact"/>
        <w:rPr>
          <w:sz w:val="24"/>
          <w:szCs w:val="24"/>
          <w:color w:val="auto"/>
        </w:rPr>
      </w:pPr>
    </w:p>
    <w:p>
      <w:pPr>
        <w:jc w:val="center"/>
        <w:ind w:right="12"/>
        <w:spacing w:after="0"/>
        <w:rPr>
          <w:sz w:val="20"/>
          <w:szCs w:val="20"/>
          <w:color w:val="auto"/>
        </w:rPr>
      </w:pPr>
      <w:r>
        <w:rPr>
          <w:rFonts w:ascii="Arial" w:cs="Arial" w:eastAsia="Arial" w:hAnsi="Arial"/>
          <w:sz w:val="15"/>
          <w:szCs w:val="15"/>
          <w:b w:val="1"/>
          <w:bCs w:val="1"/>
          <w:color w:val="auto"/>
        </w:rPr>
        <w:t>Form 10-Q</w:t>
      </w:r>
    </w:p>
    <w:p>
      <w:pPr>
        <w:spacing w:after="0" w:line="201" w:lineRule="exact"/>
        <w:rPr>
          <w:sz w:val="24"/>
          <w:szCs w:val="24"/>
          <w:color w:val="auto"/>
        </w:rPr>
      </w:pPr>
    </w:p>
    <w:p>
      <w:pPr>
        <w:ind w:left="448"/>
        <w:spacing w:after="0"/>
        <w:rPr>
          <w:sz w:val="20"/>
          <w:szCs w:val="20"/>
          <w:color w:val="auto"/>
        </w:rPr>
      </w:pPr>
      <w:r>
        <w:rPr>
          <w:rFonts w:ascii="Arial" w:cs="Arial" w:eastAsia="Arial" w:hAnsi="Arial"/>
          <w:sz w:val="15"/>
          <w:szCs w:val="15"/>
          <w:color w:val="auto"/>
        </w:rPr>
        <w:t>(Mark One)</w:t>
      </w:r>
    </w:p>
    <w:p>
      <w:pPr>
        <w:spacing w:after="0" w:line="17" w:lineRule="exact"/>
        <w:rPr>
          <w:sz w:val="24"/>
          <w:szCs w:val="24"/>
          <w:color w:val="auto"/>
        </w:rPr>
      </w:pPr>
    </w:p>
    <w:p>
      <w:pPr>
        <w:ind w:left="448" w:right="3780" w:hanging="448"/>
        <w:spacing w:after="0" w:line="543" w:lineRule="auto"/>
        <w:tabs>
          <w:tab w:leader="none" w:pos="448"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QUARTERLY REPORT PURSUANT TO SECTION 13 OR 15(d) OF THE SECURITIES EXCHANGE ACT OF 1934 For the quarterly period ended </w:t>
      </w:r>
      <w:r>
        <w:rPr>
          <w:rFonts w:ascii="Arial" w:cs="Arial" w:eastAsia="Arial" w:hAnsi="Arial"/>
          <w:sz w:val="15"/>
          <w:szCs w:val="15"/>
          <w:u w:val="single" w:color="auto"/>
          <w:color w:val="auto"/>
        </w:rPr>
        <w:t>March 31, 2012</w:t>
      </w:r>
    </w:p>
    <w:p>
      <w:pPr>
        <w:spacing w:after="0" w:line="1" w:lineRule="exact"/>
        <w:rPr>
          <w:sz w:val="24"/>
          <w:szCs w:val="24"/>
          <w:color w:val="auto"/>
        </w:rPr>
      </w:pPr>
    </w:p>
    <w:p>
      <w:pPr>
        <w:jc w:val="center"/>
        <w:ind w:left="400"/>
        <w:spacing w:after="0"/>
        <w:rPr>
          <w:sz w:val="20"/>
          <w:szCs w:val="20"/>
          <w:color w:val="auto"/>
        </w:rPr>
      </w:pPr>
      <w:r>
        <w:rPr>
          <w:rFonts w:ascii="Arial" w:cs="Arial" w:eastAsia="Arial" w:hAnsi="Arial"/>
          <w:sz w:val="15"/>
          <w:szCs w:val="15"/>
          <w:color w:val="auto"/>
        </w:rPr>
        <w:t>OR</w:t>
      </w:r>
    </w:p>
    <w:p>
      <w:pPr>
        <w:spacing w:after="0" w:line="197" w:lineRule="exact"/>
        <w:rPr>
          <w:sz w:val="24"/>
          <w:szCs w:val="24"/>
          <w:color w:val="auto"/>
        </w:rPr>
      </w:pPr>
    </w:p>
    <w:p>
      <w:pPr>
        <w:ind w:left="448" w:right="3740" w:hanging="448"/>
        <w:spacing w:after="0" w:line="530" w:lineRule="auto"/>
        <w:tabs>
          <w:tab w:leader="none" w:pos="134" w:val="left"/>
        </w:tabs>
        <w:numPr>
          <w:ilvl w:val="0"/>
          <w:numId w:val="2"/>
        </w:numPr>
        <w:rPr>
          <w:rFonts w:ascii="Arial" w:cs="Arial" w:eastAsia="Arial" w:hAnsi="Arial"/>
          <w:sz w:val="15"/>
          <w:szCs w:val="15"/>
          <w:color w:val="auto"/>
        </w:rPr>
      </w:pPr>
      <w:r>
        <w:rPr>
          <w:rFonts w:ascii="Arial" w:cs="Arial" w:eastAsia="Arial" w:hAnsi="Arial"/>
          <w:sz w:val="15"/>
          <w:szCs w:val="15"/>
          <w:color w:val="auto"/>
        </w:rPr>
        <w:t>) TRANSITION REPORT PURSUANT TO SECTION 13 OR 15 (d) OF THE SECURITIES EXCHANGE ACT OF 1934 For the transition period from ____________ to ____________</w:t>
      </w:r>
    </w:p>
    <w:tbl>
      <w:tblPr>
        <w:tblLayout w:type="fixed"/>
        <w:tblInd w:w="4508" w:type="dxa"/>
        <w:tblCellMar>
          <w:top w:w="0" w:type="dxa"/>
          <w:left w:w="0" w:type="dxa"/>
          <w:bottom w:w="0" w:type="dxa"/>
          <w:right w:w="0" w:type="dxa"/>
        </w:tblCellMar>
      </w:tblPr>
      <w:tr>
        <w:trPr>
          <w:trHeight w:val="159"/>
        </w:trPr>
        <w:tc>
          <w:tcPr>
            <w:tcW w:w="1640" w:type="dxa"/>
            <w:vAlign w:val="bottom"/>
          </w:tcPr>
          <w:p>
            <w:pPr>
              <w:spacing w:after="0" w:line="159" w:lineRule="exact"/>
              <w:rPr>
                <w:sz w:val="20"/>
                <w:szCs w:val="20"/>
                <w:color w:val="auto"/>
              </w:rPr>
            </w:pPr>
            <w:r>
              <w:rPr>
                <w:rFonts w:ascii="Arial" w:cs="Arial" w:eastAsia="Arial" w:hAnsi="Arial"/>
                <w:sz w:val="15"/>
                <w:szCs w:val="15"/>
                <w:color w:val="auto"/>
                <w:w w:val="96"/>
              </w:rPr>
              <w:t>Commission File Number</w:t>
            </w: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0-19034</w:t>
            </w:r>
          </w:p>
        </w:tc>
      </w:tr>
    </w:tbl>
    <w:p>
      <w:pPr>
        <w:spacing w:after="0" w:line="224" w:lineRule="exact"/>
        <w:rPr>
          <w:sz w:val="24"/>
          <w:szCs w:val="24"/>
          <w:color w:val="auto"/>
        </w:rPr>
      </w:pPr>
    </w:p>
    <w:p>
      <w:pPr>
        <w:ind w:left="4308"/>
        <w:spacing w:after="0"/>
        <w:rPr>
          <w:sz w:val="20"/>
          <w:szCs w:val="20"/>
          <w:color w:val="auto"/>
        </w:rPr>
      </w:pPr>
      <w:r>
        <w:rPr>
          <w:rFonts w:ascii="Arial" w:cs="Arial" w:eastAsia="Arial" w:hAnsi="Arial"/>
          <w:sz w:val="15"/>
          <w:szCs w:val="15"/>
          <w:u w:val="single" w:color="auto"/>
          <w:color w:val="auto"/>
        </w:rPr>
        <w:t>REGENERON PHARMACEUTICALS, INC.</w:t>
      </w:r>
    </w:p>
    <w:p>
      <w:pPr>
        <w:spacing w:after="0" w:line="17" w:lineRule="exact"/>
        <w:rPr>
          <w:sz w:val="24"/>
          <w:szCs w:val="24"/>
          <w:color w:val="auto"/>
        </w:rPr>
      </w:pPr>
    </w:p>
    <w:p>
      <w:pPr>
        <w:ind w:left="4168"/>
        <w:spacing w:after="0"/>
        <w:rPr>
          <w:sz w:val="20"/>
          <w:szCs w:val="20"/>
          <w:color w:val="auto"/>
        </w:rPr>
      </w:pPr>
      <w:r>
        <w:rPr>
          <w:rFonts w:ascii="Arial" w:cs="Arial" w:eastAsia="Arial" w:hAnsi="Arial"/>
          <w:sz w:val="15"/>
          <w:szCs w:val="15"/>
          <w:color w:val="auto"/>
        </w:rPr>
        <w:t>(Exact name of registrant as specified in its charter)</w:t>
      </w:r>
    </w:p>
    <w:p>
      <w:pPr>
        <w:spacing w:after="0" w:line="177" w:lineRule="exact"/>
        <w:rPr>
          <w:sz w:val="24"/>
          <w:szCs w:val="24"/>
          <w:color w:val="auto"/>
        </w:rPr>
      </w:pPr>
    </w:p>
    <w:tbl>
      <w:tblPr>
        <w:tblLayout w:type="fixed"/>
        <w:tblInd w:w="2308" w:type="dxa"/>
        <w:tblCellMar>
          <w:top w:w="0" w:type="dxa"/>
          <w:left w:w="0" w:type="dxa"/>
          <w:bottom w:w="0" w:type="dxa"/>
          <w:right w:w="0" w:type="dxa"/>
        </w:tblCellMar>
      </w:tblPr>
      <w:tr>
        <w:trPr>
          <w:trHeight w:val="172"/>
        </w:trPr>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5"/>
                <w:szCs w:val="15"/>
                <w:color w:val="auto"/>
                <w:w w:val="95"/>
              </w:rPr>
              <w:t>New York</w:t>
            </w:r>
          </w:p>
        </w:tc>
        <w:tc>
          <w:tcPr>
            <w:tcW w:w="2020" w:type="dxa"/>
            <w:vAlign w:val="bottom"/>
            <w:gridSpan w:val="2"/>
          </w:tcPr>
          <w:p>
            <w:pPr>
              <w:spacing w:after="0"/>
              <w:rPr>
                <w:sz w:val="14"/>
                <w:szCs w:val="14"/>
                <w:color w:val="auto"/>
              </w:rPr>
            </w:pPr>
          </w:p>
        </w:tc>
        <w:tc>
          <w:tcPr>
            <w:tcW w:w="1880" w:type="dxa"/>
            <w:vAlign w:val="bottom"/>
          </w:tcPr>
          <w:p>
            <w:pPr>
              <w:spacing w:after="0"/>
              <w:rPr>
                <w:sz w:val="14"/>
                <w:szCs w:val="14"/>
                <w:color w:val="auto"/>
              </w:rPr>
            </w:pPr>
          </w:p>
        </w:tc>
        <w:tc>
          <w:tcPr>
            <w:tcW w:w="1460" w:type="dxa"/>
            <w:vAlign w:val="bottom"/>
            <w:gridSpan w:val="2"/>
          </w:tcPr>
          <w:p>
            <w:pPr>
              <w:jc w:val="center"/>
              <w:ind w:right="740"/>
              <w:spacing w:after="0"/>
              <w:rPr>
                <w:sz w:val="20"/>
                <w:szCs w:val="20"/>
                <w:color w:val="auto"/>
              </w:rPr>
            </w:pPr>
            <w:r>
              <w:rPr>
                <w:rFonts w:ascii="Arial" w:cs="Arial" w:eastAsia="Arial" w:hAnsi="Arial"/>
                <w:sz w:val="15"/>
                <w:szCs w:val="15"/>
                <w:color w:val="auto"/>
                <w:w w:val="89"/>
              </w:rPr>
              <w:t>13-3444607</w:t>
            </w:r>
          </w:p>
        </w:tc>
      </w:tr>
      <w:tr>
        <w:trPr>
          <w:trHeight w:val="20"/>
        </w:trPr>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3520" w:type="dxa"/>
            <w:vAlign w:val="bottom"/>
            <w:gridSpan w:val="5"/>
          </w:tcPr>
          <w:p>
            <w:pPr>
              <w:jc w:val="center"/>
              <w:ind w:right="1140"/>
              <w:spacing w:after="0"/>
              <w:rPr>
                <w:sz w:val="20"/>
                <w:szCs w:val="20"/>
                <w:color w:val="auto"/>
              </w:rPr>
            </w:pPr>
            <w:r>
              <w:rPr>
                <w:rFonts w:ascii="Arial" w:cs="Arial" w:eastAsia="Arial" w:hAnsi="Arial"/>
                <w:sz w:val="15"/>
                <w:szCs w:val="15"/>
                <w:color w:val="auto"/>
                <w:w w:val="92"/>
              </w:rPr>
              <w:t>(State or other jurisdiction of</w:t>
            </w:r>
          </w:p>
        </w:tc>
        <w:tc>
          <w:tcPr>
            <w:tcW w:w="3340" w:type="dxa"/>
            <w:vAlign w:val="bottom"/>
            <w:gridSpan w:val="3"/>
          </w:tcPr>
          <w:p>
            <w:pPr>
              <w:jc w:val="center"/>
              <w:ind w:left="1085"/>
              <w:spacing w:after="0"/>
              <w:rPr>
                <w:sz w:val="20"/>
                <w:szCs w:val="20"/>
                <w:color w:val="auto"/>
              </w:rPr>
            </w:pPr>
            <w:r>
              <w:rPr>
                <w:rFonts w:ascii="Arial" w:cs="Arial" w:eastAsia="Arial" w:hAnsi="Arial"/>
                <w:sz w:val="15"/>
                <w:szCs w:val="15"/>
                <w:color w:val="auto"/>
                <w:w w:val="94"/>
              </w:rPr>
              <w:t>(I.R.S. Employer Identification No.)</w:t>
            </w:r>
          </w:p>
        </w:tc>
      </w:tr>
      <w:tr>
        <w:trPr>
          <w:trHeight w:val="190"/>
        </w:trPr>
        <w:tc>
          <w:tcPr>
            <w:tcW w:w="3520" w:type="dxa"/>
            <w:vAlign w:val="bottom"/>
            <w:gridSpan w:val="5"/>
          </w:tcPr>
          <w:p>
            <w:pPr>
              <w:jc w:val="center"/>
              <w:ind w:right="1140"/>
              <w:spacing w:after="0"/>
              <w:rPr>
                <w:sz w:val="20"/>
                <w:szCs w:val="20"/>
                <w:color w:val="auto"/>
              </w:rPr>
            </w:pPr>
            <w:r>
              <w:rPr>
                <w:rFonts w:ascii="Arial" w:cs="Arial" w:eastAsia="Arial" w:hAnsi="Arial"/>
                <w:sz w:val="15"/>
                <w:szCs w:val="15"/>
                <w:color w:val="auto"/>
                <w:w w:val="93"/>
              </w:rPr>
              <w:t>incorporation or organization)</w:t>
            </w:r>
          </w:p>
        </w:tc>
        <w:tc>
          <w:tcPr>
            <w:tcW w:w="1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88"/>
        </w:trPr>
        <w:tc>
          <w:tcPr>
            <w:tcW w:w="3520" w:type="dxa"/>
            <w:vAlign w:val="bottom"/>
            <w:gridSpan w:val="5"/>
          </w:tcPr>
          <w:p>
            <w:pPr>
              <w:jc w:val="center"/>
              <w:ind w:right="1140"/>
              <w:spacing w:after="0"/>
              <w:rPr>
                <w:sz w:val="20"/>
                <w:szCs w:val="20"/>
                <w:color w:val="auto"/>
              </w:rPr>
            </w:pPr>
            <w:r>
              <w:rPr>
                <w:rFonts w:ascii="Arial" w:cs="Arial" w:eastAsia="Arial" w:hAnsi="Arial"/>
                <w:sz w:val="15"/>
                <w:szCs w:val="15"/>
                <w:color w:val="auto"/>
                <w:w w:val="94"/>
              </w:rPr>
              <w:t>777 Old Saw Mill River Road</w:t>
            </w: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7"/>
        </w:trPr>
        <w:tc>
          <w:tcPr>
            <w:tcW w:w="540" w:type="dxa"/>
            <w:vAlign w:val="bottom"/>
          </w:tcPr>
          <w:p>
            <w:pPr>
              <w:spacing w:after="0"/>
              <w:rPr>
                <w:sz w:val="13"/>
                <w:szCs w:val="13"/>
                <w:color w:val="auto"/>
              </w:rPr>
            </w:pPr>
          </w:p>
        </w:tc>
        <w:tc>
          <w:tcPr>
            <w:tcW w:w="2980" w:type="dxa"/>
            <w:vAlign w:val="bottom"/>
            <w:gridSpan w:val="4"/>
          </w:tcPr>
          <w:p>
            <w:pPr>
              <w:jc w:val="center"/>
              <w:ind w:right="1680"/>
              <w:spacing w:after="0" w:line="158" w:lineRule="exact"/>
              <w:rPr>
                <w:sz w:val="20"/>
                <w:szCs w:val="20"/>
                <w:color w:val="auto"/>
              </w:rPr>
            </w:pPr>
            <w:r>
              <w:rPr>
                <w:rFonts w:ascii="Arial" w:cs="Arial" w:eastAsia="Arial" w:hAnsi="Arial"/>
                <w:sz w:val="15"/>
                <w:szCs w:val="15"/>
                <w:color w:val="auto"/>
                <w:w w:val="92"/>
              </w:rPr>
              <w:t>Tarrytown, New York</w:t>
            </w:r>
          </w:p>
        </w:tc>
        <w:tc>
          <w:tcPr>
            <w:tcW w:w="3340" w:type="dxa"/>
            <w:vAlign w:val="bottom"/>
            <w:gridSpan w:val="3"/>
          </w:tcPr>
          <w:p>
            <w:pPr>
              <w:jc w:val="center"/>
              <w:ind w:left="1065"/>
              <w:spacing w:after="0" w:line="158" w:lineRule="exact"/>
              <w:rPr>
                <w:sz w:val="20"/>
                <w:szCs w:val="20"/>
                <w:color w:val="auto"/>
              </w:rPr>
            </w:pPr>
            <w:r>
              <w:rPr>
                <w:rFonts w:ascii="Arial" w:cs="Arial" w:eastAsia="Arial" w:hAnsi="Arial"/>
                <w:sz w:val="15"/>
                <w:szCs w:val="15"/>
                <w:color w:val="auto"/>
                <w:w w:val="89"/>
              </w:rPr>
              <w:t>10591-6707</w:t>
            </w:r>
          </w:p>
        </w:tc>
      </w:tr>
      <w:tr>
        <w:trPr>
          <w:trHeight w:val="20"/>
        </w:trPr>
        <w:tc>
          <w:tcPr>
            <w:tcW w:w="540" w:type="dxa"/>
            <w:vAlign w:val="bottom"/>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7"/>
        </w:trPr>
        <w:tc>
          <w:tcPr>
            <w:tcW w:w="3520" w:type="dxa"/>
            <w:vAlign w:val="bottom"/>
            <w:gridSpan w:val="5"/>
          </w:tcPr>
          <w:p>
            <w:pPr>
              <w:jc w:val="center"/>
              <w:ind w:right="1140"/>
              <w:spacing w:after="0"/>
              <w:rPr>
                <w:sz w:val="20"/>
                <w:szCs w:val="20"/>
                <w:color w:val="auto"/>
              </w:rPr>
            </w:pPr>
            <w:r>
              <w:rPr>
                <w:rFonts w:ascii="Arial" w:cs="Arial" w:eastAsia="Arial" w:hAnsi="Arial"/>
                <w:sz w:val="15"/>
                <w:szCs w:val="15"/>
                <w:color w:val="auto"/>
                <w:w w:val="92"/>
              </w:rPr>
              <w:t>(Address of principal executive offices)</w:t>
            </w:r>
          </w:p>
        </w:tc>
        <w:tc>
          <w:tcPr>
            <w:tcW w:w="1880" w:type="dxa"/>
            <w:vAlign w:val="bottom"/>
          </w:tcPr>
          <w:p>
            <w:pPr>
              <w:spacing w:after="0"/>
              <w:rPr>
                <w:sz w:val="17"/>
                <w:szCs w:val="17"/>
                <w:color w:val="auto"/>
              </w:rPr>
            </w:pPr>
          </w:p>
        </w:tc>
        <w:tc>
          <w:tcPr>
            <w:tcW w:w="1460" w:type="dxa"/>
            <w:vAlign w:val="bottom"/>
            <w:gridSpan w:val="2"/>
          </w:tcPr>
          <w:p>
            <w:pPr>
              <w:jc w:val="center"/>
              <w:ind w:right="720"/>
              <w:spacing w:after="0"/>
              <w:rPr>
                <w:sz w:val="20"/>
                <w:szCs w:val="20"/>
                <w:color w:val="auto"/>
              </w:rPr>
            </w:pPr>
            <w:r>
              <w:rPr>
                <w:rFonts w:ascii="Arial" w:cs="Arial" w:eastAsia="Arial" w:hAnsi="Arial"/>
                <w:sz w:val="15"/>
                <w:szCs w:val="15"/>
                <w:color w:val="auto"/>
                <w:w w:val="93"/>
              </w:rPr>
              <w:t>(Zip Code)</w:t>
            </w:r>
          </w:p>
        </w:tc>
      </w:tr>
    </w:tbl>
    <w:p>
      <w:pPr>
        <w:spacing w:after="0" w:line="388" w:lineRule="exact"/>
        <w:rPr>
          <w:sz w:val="24"/>
          <w:szCs w:val="24"/>
          <w:color w:val="auto"/>
        </w:rPr>
      </w:pPr>
    </w:p>
    <w:p>
      <w:pPr>
        <w:jc w:val="center"/>
        <w:ind w:right="12"/>
        <w:spacing w:after="0"/>
        <w:rPr>
          <w:sz w:val="20"/>
          <w:szCs w:val="20"/>
          <w:color w:val="auto"/>
        </w:rPr>
      </w:pPr>
      <w:r>
        <w:rPr>
          <w:rFonts w:ascii="Arial" w:cs="Arial" w:eastAsia="Arial" w:hAnsi="Arial"/>
          <w:sz w:val="15"/>
          <w:szCs w:val="15"/>
          <w:u w:val="single" w:color="auto"/>
          <w:color w:val="auto"/>
        </w:rPr>
        <w:t>(914) 847-7000</w:t>
      </w:r>
    </w:p>
    <w:p>
      <w:pPr>
        <w:spacing w:after="0" w:line="17" w:lineRule="exact"/>
        <w:rPr>
          <w:sz w:val="24"/>
          <w:szCs w:val="24"/>
          <w:color w:val="auto"/>
        </w:rPr>
      </w:pPr>
    </w:p>
    <w:p>
      <w:pPr>
        <w:jc w:val="center"/>
        <w:ind w:right="12"/>
        <w:spacing w:after="0"/>
        <w:rPr>
          <w:sz w:val="20"/>
          <w:szCs w:val="20"/>
          <w:color w:val="auto"/>
        </w:rPr>
      </w:pPr>
      <w:r>
        <w:rPr>
          <w:rFonts w:ascii="Arial" w:cs="Arial" w:eastAsia="Arial" w:hAnsi="Arial"/>
          <w:sz w:val="15"/>
          <w:szCs w:val="15"/>
          <w:color w:val="auto"/>
        </w:rPr>
        <w:t>(Registrant’s telephone number, including area code)</w:t>
      </w:r>
    </w:p>
    <w:p>
      <w:pPr>
        <w:spacing w:after="0" w:line="192" w:lineRule="exact"/>
        <w:rPr>
          <w:sz w:val="24"/>
          <w:szCs w:val="24"/>
          <w:color w:val="auto"/>
        </w:rPr>
      </w:pPr>
    </w:p>
    <w:p>
      <w:pPr>
        <w:ind w:left="8" w:right="20"/>
        <w:spacing w:after="0" w:line="26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4008"/>
        <w:spacing w:after="0"/>
        <w:tabs>
          <w:tab w:leader="none" w:pos="4647" w:val="left"/>
          <w:tab w:leader="none" w:pos="6267"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X</w:t>
      </w:r>
      <w:r>
        <w:rPr>
          <w:sz w:val="20"/>
          <w:szCs w:val="20"/>
          <w:color w:val="auto"/>
        </w:rPr>
        <w:tab/>
      </w: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4147185</wp:posOffset>
            </wp:positionH>
            <wp:positionV relativeFrom="paragraph">
              <wp:posOffset>19685</wp:posOffset>
            </wp:positionV>
            <wp:extent cx="5797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9755" cy="7620"/>
                    </a:xfrm>
                    <a:prstGeom prst="rect">
                      <a:avLst/>
                    </a:prstGeom>
                    <a:noFill/>
                  </pic:spPr>
                </pic:pic>
              </a:graphicData>
            </a:graphic>
          </wp:anchor>
        </w:drawing>
        <w:drawing>
          <wp:anchor simplePos="0" relativeHeight="251657728" behindDoc="1" locked="0" layoutInCell="0" allowOverlap="1">
            <wp:simplePos x="0" y="0"/>
            <wp:positionH relativeFrom="column">
              <wp:posOffset>2715895</wp:posOffset>
            </wp:positionH>
            <wp:positionV relativeFrom="paragraph">
              <wp:posOffset>19685</wp:posOffset>
            </wp:positionV>
            <wp:extent cx="5797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 cy="7620"/>
                    </a:xfrm>
                    <a:prstGeom prst="rect">
                      <a:avLst/>
                    </a:prstGeom>
                    <a:noFill/>
                  </pic:spPr>
                </pic:pic>
              </a:graphicData>
            </a:graphic>
          </wp:anchor>
        </w:drawing>
      </w:r>
    </w:p>
    <w:p>
      <w:pPr>
        <w:spacing w:after="0" w:line="224" w:lineRule="exact"/>
        <w:rPr>
          <w:sz w:val="24"/>
          <w:szCs w:val="24"/>
          <w:color w:val="auto"/>
        </w:rPr>
      </w:pPr>
    </w:p>
    <w:p>
      <w:pPr>
        <w:ind w:left="8" w:right="20"/>
        <w:spacing w:after="0" w:line="306"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008"/>
        <w:spacing w:after="0"/>
        <w:tabs>
          <w:tab w:leader="none" w:pos="4647" w:val="left"/>
          <w:tab w:leader="none" w:pos="6267"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X</w:t>
      </w:r>
      <w:r>
        <w:rPr>
          <w:sz w:val="20"/>
          <w:szCs w:val="20"/>
          <w:color w:val="auto"/>
        </w:rPr>
        <w:tab/>
      </w: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4147185</wp:posOffset>
            </wp:positionH>
            <wp:positionV relativeFrom="paragraph">
              <wp:posOffset>19685</wp:posOffset>
            </wp:positionV>
            <wp:extent cx="579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 cy="7620"/>
                    </a:xfrm>
                    <a:prstGeom prst="rect">
                      <a:avLst/>
                    </a:prstGeom>
                    <a:noFill/>
                  </pic:spPr>
                </pic:pic>
              </a:graphicData>
            </a:graphic>
          </wp:anchor>
        </w:drawing>
        <w:drawing>
          <wp:anchor simplePos="0" relativeHeight="251657728" behindDoc="1" locked="0" layoutInCell="0" allowOverlap="1">
            <wp:simplePos x="0" y="0"/>
            <wp:positionH relativeFrom="column">
              <wp:posOffset>2715895</wp:posOffset>
            </wp:positionH>
            <wp:positionV relativeFrom="paragraph">
              <wp:posOffset>19685</wp:posOffset>
            </wp:positionV>
            <wp:extent cx="579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 cy="7620"/>
                    </a:xfrm>
                    <a:prstGeom prst="rect">
                      <a:avLst/>
                    </a:prstGeom>
                    <a:noFill/>
                  </pic:spPr>
                </pic:pic>
              </a:graphicData>
            </a:graphic>
          </wp:anchor>
        </w:drawing>
      </w:r>
    </w:p>
    <w:p>
      <w:pPr>
        <w:spacing w:after="0" w:line="224" w:lineRule="exact"/>
        <w:rPr>
          <w:sz w:val="24"/>
          <w:szCs w:val="24"/>
          <w:color w:val="auto"/>
        </w:rPr>
      </w:pPr>
    </w:p>
    <w:p>
      <w:pPr>
        <w:ind w:left="8" w:right="20"/>
        <w:spacing w:after="0" w:line="26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8" w:type="dxa"/>
        <w:tblCellMar>
          <w:top w:w="0" w:type="dxa"/>
          <w:left w:w="0" w:type="dxa"/>
          <w:bottom w:w="0" w:type="dxa"/>
          <w:right w:w="0" w:type="dxa"/>
        </w:tblCellMar>
      </w:tblPr>
      <w:tr>
        <w:trPr>
          <w:trHeight w:val="197"/>
        </w:trPr>
        <w:tc>
          <w:tcPr>
            <w:tcW w:w="6220" w:type="dxa"/>
            <w:vAlign w:val="bottom"/>
            <w:gridSpan w:val="7"/>
          </w:tcPr>
          <w:p>
            <w:pPr>
              <w:spacing w:after="0"/>
              <w:rPr>
                <w:sz w:val="20"/>
                <w:szCs w:val="20"/>
                <w:color w:val="auto"/>
              </w:rPr>
            </w:pPr>
            <w:r>
              <w:rPr>
                <w:rFonts w:ascii="Arial" w:cs="Arial" w:eastAsia="Arial" w:hAnsi="Arial"/>
                <w:sz w:val="15"/>
                <w:szCs w:val="15"/>
                <w:color w:val="auto"/>
              </w:rPr>
              <w:t>Large accelerated filer X</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40" w:type="dxa"/>
            <w:vAlign w:val="bottom"/>
            <w:gridSpan w:val="2"/>
          </w:tcPr>
          <w:p>
            <w:pPr>
              <w:ind w:left="60"/>
              <w:spacing w:after="0"/>
              <w:rPr>
                <w:sz w:val="20"/>
                <w:szCs w:val="20"/>
                <w:color w:val="auto"/>
              </w:rPr>
            </w:pPr>
            <w:r>
              <w:rPr>
                <w:rFonts w:ascii="Arial" w:cs="Arial" w:eastAsia="Arial" w:hAnsi="Arial"/>
                <w:sz w:val="15"/>
                <w:szCs w:val="15"/>
                <w:color w:val="auto"/>
              </w:rPr>
              <w:t>Accelerated filer ____</w:t>
            </w:r>
          </w:p>
        </w:tc>
      </w:tr>
      <w:tr>
        <w:trPr>
          <w:trHeight w:val="188"/>
        </w:trPr>
        <w:tc>
          <w:tcPr>
            <w:tcW w:w="1340" w:type="dxa"/>
            <w:vAlign w:val="bottom"/>
          </w:tcPr>
          <w:p>
            <w:pPr>
              <w:spacing w:after="0"/>
              <w:rPr>
                <w:sz w:val="20"/>
                <w:szCs w:val="20"/>
                <w:color w:val="auto"/>
              </w:rPr>
            </w:pPr>
            <w:r>
              <w:rPr>
                <w:rFonts w:ascii="Arial" w:cs="Arial" w:eastAsia="Arial" w:hAnsi="Arial"/>
                <w:sz w:val="15"/>
                <w:szCs w:val="15"/>
                <w:color w:val="auto"/>
                <w:w w:val="95"/>
              </w:rPr>
              <w:t>Non-accelerated filer</w:t>
            </w: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____</w:t>
            </w:r>
          </w:p>
        </w:tc>
        <w:tc>
          <w:tcPr>
            <w:tcW w:w="4580" w:type="dxa"/>
            <w:vAlign w:val="bottom"/>
            <w:gridSpan w:val="4"/>
          </w:tcPr>
          <w:p>
            <w:pPr>
              <w:spacing w:after="0"/>
              <w:rPr>
                <w:sz w:val="20"/>
                <w:szCs w:val="20"/>
                <w:color w:val="auto"/>
              </w:rPr>
            </w:pPr>
            <w:r>
              <w:rPr>
                <w:rFonts w:ascii="Arial" w:cs="Arial" w:eastAsia="Arial" w:hAnsi="Arial"/>
                <w:sz w:val="15"/>
                <w:szCs w:val="15"/>
                <w:color w:val="auto"/>
              </w:rPr>
              <w:t>(Do not check if a smaller reporting company)</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40" w:type="dxa"/>
            <w:vAlign w:val="bottom"/>
            <w:gridSpan w:val="2"/>
          </w:tcPr>
          <w:p>
            <w:pPr>
              <w:ind w:left="60"/>
              <w:spacing w:after="0"/>
              <w:rPr>
                <w:sz w:val="20"/>
                <w:szCs w:val="20"/>
                <w:color w:val="auto"/>
              </w:rPr>
            </w:pPr>
            <w:r>
              <w:rPr>
                <w:rFonts w:ascii="Arial" w:cs="Arial" w:eastAsia="Arial" w:hAnsi="Arial"/>
                <w:sz w:val="15"/>
                <w:szCs w:val="15"/>
                <w:color w:val="auto"/>
              </w:rPr>
              <w:t>Smaller reporting company ____</w:t>
            </w:r>
          </w:p>
        </w:tc>
      </w:tr>
      <w:tr>
        <w:trPr>
          <w:trHeight w:val="397"/>
        </w:trPr>
        <w:tc>
          <w:tcPr>
            <w:tcW w:w="6860" w:type="dxa"/>
            <w:vAlign w:val="bottom"/>
            <w:gridSpan w:val="9"/>
          </w:tcPr>
          <w:p>
            <w:pPr>
              <w:spacing w:after="0"/>
              <w:rPr>
                <w:sz w:val="20"/>
                <w:szCs w:val="20"/>
                <w:color w:val="auto"/>
              </w:rPr>
            </w:pPr>
            <w:r>
              <w:rPr>
                <w:rFonts w:ascii="Arial" w:cs="Arial" w:eastAsia="Arial" w:hAnsi="Arial"/>
                <w:sz w:val="15"/>
                <w:szCs w:val="15"/>
                <w:color w:val="auto"/>
                <w:w w:val="91"/>
              </w:rPr>
              <w:t>Indicate by check mark whether the registrant is a shell company (as defined in Rule 12b-2 of the Exchange Act).</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03"/>
        </w:trPr>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80" w:type="dxa"/>
            <w:vAlign w:val="bottom"/>
          </w:tcPr>
          <w:p>
            <w:pPr>
              <w:ind w:left="1120"/>
              <w:spacing w:after="0"/>
              <w:rPr>
                <w:sz w:val="20"/>
                <w:szCs w:val="20"/>
                <w:color w:val="auto"/>
              </w:rPr>
            </w:pPr>
            <w:r>
              <w:rPr>
                <w:rFonts w:ascii="Arial" w:cs="Arial" w:eastAsia="Arial" w:hAnsi="Arial"/>
                <w:sz w:val="15"/>
                <w:szCs w:val="15"/>
                <w:color w:val="auto"/>
                <w:w w:val="92"/>
              </w:rPr>
              <w:t>Yes</w:t>
            </w:r>
          </w:p>
        </w:tc>
        <w:tc>
          <w:tcPr>
            <w:tcW w:w="900" w:type="dxa"/>
            <w:vAlign w:val="bottom"/>
            <w:tcBorders>
              <w:bottom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Arial" w:cs="Arial" w:eastAsia="Arial" w:hAnsi="Arial"/>
                <w:sz w:val="15"/>
                <w:szCs w:val="15"/>
                <w:color w:val="auto"/>
              </w:rPr>
              <w:t>No</w:t>
            </w: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X</w:t>
            </w:r>
          </w:p>
        </w:tc>
        <w:tc>
          <w:tcPr>
            <w:tcW w:w="4020" w:type="dxa"/>
            <w:vAlign w:val="bottom"/>
            <w:gridSpan w:val="3"/>
          </w:tcPr>
          <w:p>
            <w:pPr>
              <w:spacing w:after="0"/>
              <w:rPr>
                <w:sz w:val="17"/>
                <w:szCs w:val="17"/>
                <w:color w:val="auto"/>
              </w:rPr>
            </w:pPr>
          </w:p>
        </w:tc>
      </w:tr>
      <w:tr>
        <w:trPr>
          <w:trHeight w:val="389"/>
        </w:trPr>
        <w:tc>
          <w:tcPr>
            <w:tcW w:w="6220" w:type="dxa"/>
            <w:vAlign w:val="bottom"/>
            <w:gridSpan w:val="7"/>
          </w:tcPr>
          <w:p>
            <w:pPr>
              <w:spacing w:after="0"/>
              <w:rPr>
                <w:sz w:val="20"/>
                <w:szCs w:val="20"/>
                <w:color w:val="auto"/>
              </w:rPr>
            </w:pPr>
            <w:r>
              <w:rPr>
                <w:rFonts w:ascii="Arial" w:cs="Arial" w:eastAsia="Arial" w:hAnsi="Arial"/>
                <w:sz w:val="15"/>
                <w:szCs w:val="15"/>
                <w:color w:val="auto"/>
                <w:w w:val="90"/>
              </w:rPr>
              <w:t>Number of shares outstanding of each of the registrant’s classes of common stock as of April 11, 2012:</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64"/>
        </w:trPr>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0" w:type="dxa"/>
            <w:vAlign w:val="bottom"/>
            <w:gridSpan w:val="5"/>
          </w:tcPr>
          <w:p>
            <w:pPr>
              <w:spacing w:after="0" w:line="164" w:lineRule="exact"/>
              <w:rPr>
                <w:sz w:val="20"/>
                <w:szCs w:val="20"/>
                <w:color w:val="auto"/>
              </w:rPr>
            </w:pPr>
            <w:r>
              <w:rPr>
                <w:rFonts w:ascii="Arial" w:cs="Arial" w:eastAsia="Arial" w:hAnsi="Arial"/>
                <w:sz w:val="15"/>
                <w:szCs w:val="15"/>
                <w:color w:val="auto"/>
              </w:rPr>
              <w:t>Class of Common Stock</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20" w:type="dxa"/>
            <w:vAlign w:val="bottom"/>
            <w:gridSpan w:val="3"/>
          </w:tcPr>
          <w:p>
            <w:pPr>
              <w:ind w:left="580"/>
              <w:spacing w:after="0" w:line="164" w:lineRule="exact"/>
              <w:rPr>
                <w:sz w:val="20"/>
                <w:szCs w:val="20"/>
                <w:color w:val="auto"/>
              </w:rPr>
            </w:pPr>
            <w:r>
              <w:rPr>
                <w:rFonts w:ascii="Arial" w:cs="Arial" w:eastAsia="Arial" w:hAnsi="Arial"/>
                <w:sz w:val="15"/>
                <w:szCs w:val="15"/>
                <w:color w:val="auto"/>
              </w:rPr>
              <w:t>Number of Shares</w:t>
            </w:r>
          </w:p>
        </w:tc>
      </w:tr>
      <w:tr>
        <w:trPr>
          <w:trHeight w:val="20"/>
        </w:trPr>
        <w:tc>
          <w:tcPr>
            <w:tcW w:w="1420" w:type="dxa"/>
            <w:vAlign w:val="bottom"/>
            <w:gridSpan w:val="2"/>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0"/>
        </w:trPr>
        <w:tc>
          <w:tcPr>
            <w:tcW w:w="6220" w:type="dxa"/>
            <w:vAlign w:val="bottom"/>
            <w:gridSpan w:val="7"/>
          </w:tcPr>
          <w:p>
            <w:pPr>
              <w:ind w:left="1140"/>
              <w:spacing w:after="0"/>
              <w:rPr>
                <w:sz w:val="20"/>
                <w:szCs w:val="20"/>
                <w:color w:val="auto"/>
              </w:rPr>
            </w:pPr>
            <w:r>
              <w:rPr>
                <w:rFonts w:ascii="Arial" w:cs="Arial" w:eastAsia="Arial" w:hAnsi="Arial"/>
                <w:sz w:val="15"/>
                <w:szCs w:val="15"/>
                <w:color w:val="auto"/>
              </w:rPr>
              <w:t>Class A Stock, $0.001 par value</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60" w:type="dxa"/>
            <w:vAlign w:val="bottom"/>
            <w:gridSpan w:val="3"/>
          </w:tcPr>
          <w:p>
            <w:pPr>
              <w:jc w:val="right"/>
              <w:ind w:right="185"/>
              <w:spacing w:after="0"/>
              <w:rPr>
                <w:sz w:val="20"/>
                <w:szCs w:val="20"/>
                <w:color w:val="auto"/>
              </w:rPr>
            </w:pPr>
            <w:r>
              <w:rPr>
                <w:rFonts w:ascii="Arial" w:cs="Arial" w:eastAsia="Arial" w:hAnsi="Arial"/>
                <w:sz w:val="15"/>
                <w:szCs w:val="15"/>
                <w:color w:val="auto"/>
              </w:rPr>
              <w:t>2,089,512</w:t>
            </w:r>
          </w:p>
        </w:tc>
        <w:tc>
          <w:tcPr>
            <w:tcW w:w="2340" w:type="dxa"/>
            <w:vAlign w:val="bottom"/>
          </w:tcPr>
          <w:p>
            <w:pPr>
              <w:spacing w:after="0"/>
              <w:rPr>
                <w:sz w:val="19"/>
                <w:szCs w:val="19"/>
                <w:color w:val="auto"/>
              </w:rPr>
            </w:pPr>
          </w:p>
        </w:tc>
      </w:tr>
      <w:tr>
        <w:trPr>
          <w:trHeight w:val="208"/>
        </w:trPr>
        <w:tc>
          <w:tcPr>
            <w:tcW w:w="6220" w:type="dxa"/>
            <w:vAlign w:val="bottom"/>
            <w:gridSpan w:val="7"/>
          </w:tcPr>
          <w:p>
            <w:pPr>
              <w:ind w:left="1140"/>
              <w:spacing w:after="0"/>
              <w:rPr>
                <w:sz w:val="20"/>
                <w:szCs w:val="20"/>
                <w:color w:val="auto"/>
              </w:rPr>
            </w:pPr>
            <w:r>
              <w:rPr>
                <w:rFonts w:ascii="Arial" w:cs="Arial" w:eastAsia="Arial" w:hAnsi="Arial"/>
                <w:sz w:val="15"/>
                <w:szCs w:val="15"/>
                <w:color w:val="auto"/>
              </w:rPr>
              <w:t>Common Stock, $0.001 par value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right"/>
              <w:ind w:right="145"/>
              <w:spacing w:after="0"/>
              <w:rPr>
                <w:sz w:val="20"/>
                <w:szCs w:val="20"/>
                <w:color w:val="auto"/>
              </w:rPr>
            </w:pPr>
            <w:r>
              <w:rPr>
                <w:rFonts w:ascii="Arial" w:cs="Arial" w:eastAsia="Arial" w:hAnsi="Arial"/>
                <w:sz w:val="15"/>
                <w:szCs w:val="15"/>
                <w:color w:val="auto"/>
              </w:rPr>
              <w:t>93,032,889</w:t>
            </w:r>
          </w:p>
        </w:tc>
        <w:tc>
          <w:tcPr>
            <w:tcW w:w="2340" w:type="dxa"/>
            <w:vAlign w:val="bottom"/>
          </w:tcPr>
          <w:p>
            <w:pPr>
              <w:spacing w:after="0"/>
              <w:rPr>
                <w:sz w:val="18"/>
                <w:szCs w:val="18"/>
                <w:color w:val="auto"/>
              </w:rPr>
            </w:pPr>
          </w:p>
        </w:tc>
      </w:tr>
      <w:tr>
        <w:trPr>
          <w:trHeight w:val="322"/>
        </w:trPr>
        <w:tc>
          <w:tcPr>
            <w:tcW w:w="1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7270750</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8"/>
          </w:cols>
          <w:pgMar w:left="232" w:top="618" w:right="1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March 31, 2012</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7"/>
          </w:tcPr>
          <w:p>
            <w:pPr>
              <w:ind w:left="260"/>
              <w:spacing w:after="0"/>
              <w:rPr>
                <w:sz w:val="20"/>
                <w:szCs w:val="20"/>
                <w:color w:val="auto"/>
              </w:rPr>
            </w:pPr>
            <w:r>
              <w:rPr>
                <w:rFonts w:ascii="Arial" w:cs="Arial" w:eastAsia="Arial" w:hAnsi="Arial"/>
                <w:sz w:val="15"/>
                <w:szCs w:val="15"/>
                <w:b w:val="1"/>
                <w:bCs w:val="1"/>
                <w:color w:val="auto"/>
                <w:w w:val="87"/>
              </w:rPr>
              <w:t>Page Numbers</w:t>
            </w:r>
          </w:p>
        </w:tc>
      </w:tr>
      <w:tr>
        <w:trPr>
          <w:trHeight w:val="187"/>
        </w:trPr>
        <w:tc>
          <w:tcPr>
            <w:tcW w:w="20" w:type="dxa"/>
            <w:vAlign w:val="bottom"/>
          </w:tcPr>
          <w:p>
            <w:pPr>
              <w:spacing w:after="0"/>
              <w:rPr>
                <w:sz w:val="16"/>
                <w:szCs w:val="16"/>
                <w:color w:val="auto"/>
              </w:rPr>
            </w:pPr>
          </w:p>
        </w:tc>
        <w:tc>
          <w:tcPr>
            <w:tcW w:w="620" w:type="dxa"/>
            <w:vAlign w:val="bottom"/>
            <w:tcBorders>
              <w:top w:val="single" w:sz="8" w:color="CCEEFF"/>
            </w:tcBorders>
            <w:gridSpan w:val="4"/>
            <w:shd w:val="clear" w:color="auto" w:fill="CCEEFF"/>
          </w:tcPr>
          <w:p>
            <w:pPr>
              <w:spacing w:after="0" w:line="161" w:lineRule="exact"/>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PART I</w:t>
              </w:r>
            </w:hyperlink>
          </w:p>
        </w:tc>
        <w:tc>
          <w:tcPr>
            <w:tcW w:w="8460" w:type="dxa"/>
            <w:vAlign w:val="bottom"/>
            <w:tcBorders>
              <w:top w:val="single" w:sz="8" w:color="CCEEFF"/>
            </w:tcBorders>
            <w:gridSpan w:val="16"/>
            <w:shd w:val="clear" w:color="auto" w:fill="CCEEFF"/>
          </w:tcPr>
          <w:p>
            <w:pPr>
              <w:spacing w:after="0" w:line="161" w:lineRule="exact"/>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FINANCIAL INFORMATION</w:t>
              </w:r>
            </w:hyperlink>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r>
      <w:tr>
        <w:trPr>
          <w:trHeight w:val="208"/>
        </w:trPr>
        <w:tc>
          <w:tcPr>
            <w:tcW w:w="40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620" w:type="dxa"/>
            <w:vAlign w:val="bottom"/>
            <w:gridSpan w:val="4"/>
            <w:shd w:val="clear" w:color="auto" w:fill="CCEEFF"/>
          </w:tcPr>
          <w:p>
            <w:pPr>
              <w:spacing w:after="0" w:line="162" w:lineRule="exact"/>
              <w:rPr>
                <w:rFonts w:ascii="Arial" w:cs="Arial" w:eastAsia="Arial" w:hAnsi="Arial"/>
                <w:sz w:val="15"/>
                <w:szCs w:val="15"/>
                <w:color w:val="0000EE"/>
              </w:rPr>
            </w:pPr>
            <w:hyperlink w:anchor="page3">
              <w:r>
                <w:rPr>
                  <w:rFonts w:ascii="Arial" w:cs="Arial" w:eastAsia="Arial" w:hAnsi="Arial"/>
                  <w:sz w:val="15"/>
                  <w:szCs w:val="15"/>
                  <w:color w:val="0000EE"/>
                </w:rPr>
                <w:t>Item 1</w:t>
              </w:r>
            </w:hyperlink>
          </w:p>
        </w:tc>
        <w:tc>
          <w:tcPr>
            <w:tcW w:w="8460" w:type="dxa"/>
            <w:vAlign w:val="bottom"/>
            <w:gridSpan w:val="16"/>
            <w:shd w:val="clear" w:color="auto" w:fill="CCEEFF"/>
          </w:tcPr>
          <w:p>
            <w:pPr>
              <w:spacing w:after="0" w:line="162" w:lineRule="exact"/>
              <w:rPr>
                <w:rFonts w:ascii="Arial" w:cs="Arial" w:eastAsia="Arial" w:hAnsi="Arial"/>
                <w:sz w:val="15"/>
                <w:szCs w:val="15"/>
                <w:color w:val="0000EE"/>
              </w:rPr>
            </w:pPr>
            <w:hyperlink w:anchor="page3">
              <w:r>
                <w:rPr>
                  <w:rFonts w:ascii="Arial" w:cs="Arial" w:eastAsia="Arial" w:hAnsi="Arial"/>
                  <w:sz w:val="15"/>
                  <w:szCs w:val="15"/>
                  <w:color w:val="0000EE"/>
                </w:rPr>
                <w:t>Financial Statements</w:t>
              </w:r>
            </w:hyperlink>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8"/>
        </w:trPr>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60" w:type="dxa"/>
            <w:vAlign w:val="bottom"/>
            <w:gridSpan w:val="16"/>
            <w:shd w:val="clear" w:color="auto" w:fill="CCEEFF"/>
          </w:tcPr>
          <w:p>
            <w:pPr>
              <w:spacing w:after="0" w:line="162" w:lineRule="exact"/>
              <w:rPr>
                <w:rFonts w:ascii="Arial" w:cs="Arial" w:eastAsia="Arial" w:hAnsi="Arial"/>
                <w:sz w:val="15"/>
                <w:szCs w:val="15"/>
                <w:color w:val="0000EE"/>
              </w:rPr>
            </w:pPr>
            <w:hyperlink w:anchor="page3">
              <w:r>
                <w:rPr>
                  <w:rFonts w:ascii="Arial" w:cs="Arial" w:eastAsia="Arial" w:hAnsi="Arial"/>
                  <w:sz w:val="15"/>
                  <w:szCs w:val="15"/>
                  <w:color w:val="0000EE"/>
                </w:rPr>
                <w:t>Condensed balance sheets (unaudited) at March 31, 2012 and December 31, 2011</w:t>
              </w:r>
            </w:hyperlink>
          </w:p>
        </w:tc>
        <w:tc>
          <w:tcPr>
            <w:tcW w:w="720" w:type="dxa"/>
            <w:vAlign w:val="bottom"/>
            <w:gridSpan w:val="4"/>
            <w:shd w:val="clear" w:color="auto" w:fill="CCEEFF"/>
          </w:tcPr>
          <w:p>
            <w:pPr>
              <w:ind w:left="580"/>
              <w:spacing w:after="0" w:line="162" w:lineRule="exact"/>
              <w:rPr>
                <w:rFonts w:ascii="Arial" w:cs="Arial" w:eastAsia="Arial" w:hAnsi="Arial"/>
                <w:sz w:val="15"/>
                <w:szCs w:val="15"/>
                <w:color w:val="0000EE"/>
              </w:rPr>
            </w:pPr>
            <w:hyperlink w:anchor="page3">
              <w:r>
                <w:rPr>
                  <w:rFonts w:ascii="Arial" w:cs="Arial" w:eastAsia="Arial" w:hAnsi="Arial"/>
                  <w:sz w:val="15"/>
                  <w:szCs w:val="15"/>
                  <w:color w:val="0000EE"/>
                </w:rPr>
                <w:t>3</w:t>
              </w:r>
            </w:hyperlink>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60" w:type="dxa"/>
            <w:vAlign w:val="bottom"/>
            <w:gridSpan w:val="16"/>
            <w:shd w:val="clear" w:color="auto" w:fill="CCEEFF"/>
          </w:tcPr>
          <w:p>
            <w:pPr>
              <w:spacing w:after="0" w:line="162" w:lineRule="exact"/>
              <w:rPr>
                <w:rFonts w:ascii="Arial" w:cs="Arial" w:eastAsia="Arial" w:hAnsi="Arial"/>
                <w:sz w:val="15"/>
                <w:szCs w:val="15"/>
                <w:color w:val="0000EE"/>
                <w:w w:val="92"/>
              </w:rPr>
            </w:pPr>
            <w:hyperlink w:anchor="page4">
              <w:r>
                <w:rPr>
                  <w:rFonts w:ascii="Arial" w:cs="Arial" w:eastAsia="Arial" w:hAnsi="Arial"/>
                  <w:sz w:val="15"/>
                  <w:szCs w:val="15"/>
                  <w:color w:val="0000EE"/>
                  <w:w w:val="92"/>
                </w:rPr>
                <w:t>Condensed statements of operations and comprehensive income (loss) (unaudited) for the three months ended March 31, 2012 and 2011</w:t>
              </w:r>
            </w:hyperlink>
          </w:p>
        </w:tc>
        <w:tc>
          <w:tcPr>
            <w:tcW w:w="720" w:type="dxa"/>
            <w:vAlign w:val="bottom"/>
            <w:gridSpan w:val="4"/>
            <w:shd w:val="clear" w:color="auto" w:fill="CCEEFF"/>
          </w:tcPr>
          <w:p>
            <w:pPr>
              <w:ind w:left="580"/>
              <w:spacing w:after="0" w:line="162" w:lineRule="exact"/>
              <w:rPr>
                <w:rFonts w:ascii="Arial" w:cs="Arial" w:eastAsia="Arial" w:hAnsi="Arial"/>
                <w:sz w:val="15"/>
                <w:szCs w:val="15"/>
                <w:color w:val="0000EE"/>
              </w:rPr>
            </w:pPr>
            <w:hyperlink w:anchor="page4">
              <w:r>
                <w:rPr>
                  <w:rFonts w:ascii="Arial" w:cs="Arial" w:eastAsia="Arial" w:hAnsi="Arial"/>
                  <w:sz w:val="15"/>
                  <w:szCs w:val="15"/>
                  <w:color w:val="0000EE"/>
                </w:rPr>
                <w:t>4</w:t>
              </w:r>
            </w:hyperlink>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60" w:type="dxa"/>
            <w:vAlign w:val="bottom"/>
            <w:gridSpan w:val="16"/>
            <w:shd w:val="clear" w:color="auto" w:fill="CCEEFF"/>
          </w:tcPr>
          <w:p>
            <w:pPr>
              <w:spacing w:after="0" w:line="162" w:lineRule="exact"/>
              <w:rPr>
                <w:rFonts w:ascii="Arial" w:cs="Arial" w:eastAsia="Arial" w:hAnsi="Arial"/>
                <w:sz w:val="15"/>
                <w:szCs w:val="15"/>
                <w:color w:val="0000EE"/>
              </w:rPr>
            </w:pPr>
            <w:hyperlink w:anchor="page5">
              <w:r>
                <w:rPr>
                  <w:rFonts w:ascii="Arial" w:cs="Arial" w:eastAsia="Arial" w:hAnsi="Arial"/>
                  <w:sz w:val="15"/>
                  <w:szCs w:val="15"/>
                  <w:color w:val="0000EE"/>
                </w:rPr>
                <w:t>Condensed statements of stockholders’ equity (unaudited) for the three months ended March 31, 2012 and 2011</w:t>
              </w:r>
            </w:hyperlink>
          </w:p>
        </w:tc>
        <w:tc>
          <w:tcPr>
            <w:tcW w:w="720" w:type="dxa"/>
            <w:vAlign w:val="bottom"/>
            <w:gridSpan w:val="4"/>
            <w:shd w:val="clear" w:color="auto" w:fill="CCEEFF"/>
          </w:tcPr>
          <w:p>
            <w:pPr>
              <w:ind w:left="580"/>
              <w:spacing w:after="0" w:line="162" w:lineRule="exact"/>
              <w:rPr>
                <w:rFonts w:ascii="Arial" w:cs="Arial" w:eastAsia="Arial" w:hAnsi="Arial"/>
                <w:sz w:val="15"/>
                <w:szCs w:val="15"/>
                <w:color w:val="0000EE"/>
              </w:rPr>
            </w:pPr>
            <w:hyperlink w:anchor="page5">
              <w:r>
                <w:rPr>
                  <w:rFonts w:ascii="Arial" w:cs="Arial" w:eastAsia="Arial" w:hAnsi="Arial"/>
                  <w:sz w:val="15"/>
                  <w:szCs w:val="15"/>
                  <w:color w:val="0000EE"/>
                </w:rPr>
                <w:t>5</w:t>
              </w:r>
            </w:hyperlink>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60" w:type="dxa"/>
            <w:vAlign w:val="bottom"/>
            <w:gridSpan w:val="16"/>
            <w:shd w:val="clear" w:color="auto" w:fill="CCEEFF"/>
          </w:tcPr>
          <w:p>
            <w:pPr>
              <w:spacing w:after="0" w:line="162" w:lineRule="exact"/>
              <w:rPr>
                <w:rFonts w:ascii="Arial" w:cs="Arial" w:eastAsia="Arial" w:hAnsi="Arial"/>
                <w:sz w:val="15"/>
                <w:szCs w:val="15"/>
                <w:color w:val="0000EE"/>
              </w:rPr>
            </w:pPr>
            <w:hyperlink w:anchor="page6">
              <w:r>
                <w:rPr>
                  <w:rFonts w:ascii="Arial" w:cs="Arial" w:eastAsia="Arial" w:hAnsi="Arial"/>
                  <w:sz w:val="15"/>
                  <w:szCs w:val="15"/>
                  <w:color w:val="0000EE"/>
                </w:rPr>
                <w:t>Condensed statements of cash flows (unaudited) for the three months ended March 31, 2012 and 2011</w:t>
              </w:r>
            </w:hyperlink>
          </w:p>
        </w:tc>
        <w:tc>
          <w:tcPr>
            <w:tcW w:w="720" w:type="dxa"/>
            <w:vAlign w:val="bottom"/>
            <w:gridSpan w:val="4"/>
            <w:shd w:val="clear" w:color="auto" w:fill="CCEEFF"/>
          </w:tcPr>
          <w:p>
            <w:pPr>
              <w:ind w:left="580"/>
              <w:spacing w:after="0" w:line="162" w:lineRule="exact"/>
              <w:rPr>
                <w:rFonts w:ascii="Arial" w:cs="Arial" w:eastAsia="Arial" w:hAnsi="Arial"/>
                <w:sz w:val="15"/>
                <w:szCs w:val="15"/>
                <w:color w:val="0000EE"/>
              </w:rPr>
            </w:pPr>
            <w:hyperlink w:anchor="page6">
              <w:r>
                <w:rPr>
                  <w:rFonts w:ascii="Arial" w:cs="Arial" w:eastAsia="Arial" w:hAnsi="Arial"/>
                  <w:sz w:val="15"/>
                  <w:szCs w:val="15"/>
                  <w:color w:val="0000EE"/>
                </w:rPr>
                <w:t>6</w:t>
              </w:r>
            </w:hyperlink>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60" w:type="dxa"/>
            <w:vAlign w:val="bottom"/>
            <w:gridSpan w:val="16"/>
            <w:shd w:val="clear" w:color="auto" w:fill="CCEEFF"/>
          </w:tcPr>
          <w:p>
            <w:pPr>
              <w:spacing w:after="0" w:line="162" w:lineRule="exact"/>
              <w:rPr>
                <w:rFonts w:ascii="Arial" w:cs="Arial" w:eastAsia="Arial" w:hAnsi="Arial"/>
                <w:sz w:val="15"/>
                <w:szCs w:val="15"/>
                <w:color w:val="0000EE"/>
              </w:rPr>
            </w:pPr>
            <w:hyperlink w:anchor="page7">
              <w:r>
                <w:rPr>
                  <w:rFonts w:ascii="Arial" w:cs="Arial" w:eastAsia="Arial" w:hAnsi="Arial"/>
                  <w:sz w:val="15"/>
                  <w:szCs w:val="15"/>
                  <w:color w:val="0000EE"/>
                </w:rPr>
                <w:t>Notes to condensed financial statements (unaudited)</w:t>
              </w:r>
            </w:hyperlink>
          </w:p>
        </w:tc>
        <w:tc>
          <w:tcPr>
            <w:tcW w:w="860" w:type="dxa"/>
            <w:vAlign w:val="bottom"/>
            <w:gridSpan w:val="5"/>
            <w:shd w:val="clear" w:color="auto" w:fill="CCEEFF"/>
          </w:tcPr>
          <w:p>
            <w:pPr>
              <w:ind w:left="580"/>
              <w:spacing w:after="0" w:line="162" w:lineRule="exact"/>
              <w:rPr>
                <w:rFonts w:ascii="Arial" w:cs="Arial" w:eastAsia="Arial" w:hAnsi="Arial"/>
                <w:sz w:val="15"/>
                <w:szCs w:val="15"/>
                <w:color w:val="0000EE"/>
                <w:w w:val="86"/>
              </w:rPr>
            </w:pPr>
            <w:hyperlink w:anchor="page7">
              <w:r>
                <w:rPr>
                  <w:rFonts w:ascii="Arial" w:cs="Arial" w:eastAsia="Arial" w:hAnsi="Arial"/>
                  <w:sz w:val="15"/>
                  <w:szCs w:val="15"/>
                  <w:color w:val="0000EE"/>
                  <w:w w:val="86"/>
                </w:rPr>
                <w:t>7-15</w:t>
              </w:r>
            </w:hyperlink>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620" w:type="dxa"/>
            <w:vAlign w:val="bottom"/>
            <w:gridSpan w:val="4"/>
            <w:shd w:val="clear" w:color="auto" w:fill="CCEEFF"/>
          </w:tcPr>
          <w:p>
            <w:pPr>
              <w:spacing w:after="0" w:line="162" w:lineRule="exact"/>
              <w:rPr>
                <w:rFonts w:ascii="Arial" w:cs="Arial" w:eastAsia="Arial" w:hAnsi="Arial"/>
                <w:sz w:val="15"/>
                <w:szCs w:val="15"/>
                <w:color w:val="0000EE"/>
              </w:rPr>
            </w:pPr>
            <w:hyperlink w:anchor="page16">
              <w:r>
                <w:rPr>
                  <w:rFonts w:ascii="Arial" w:cs="Arial" w:eastAsia="Arial" w:hAnsi="Arial"/>
                  <w:sz w:val="15"/>
                  <w:szCs w:val="15"/>
                  <w:color w:val="0000EE"/>
                </w:rPr>
                <w:t>Item 2</w:t>
              </w:r>
            </w:hyperlink>
          </w:p>
        </w:tc>
        <w:tc>
          <w:tcPr>
            <w:tcW w:w="8460" w:type="dxa"/>
            <w:vAlign w:val="bottom"/>
            <w:gridSpan w:val="16"/>
            <w:shd w:val="clear" w:color="auto" w:fill="CCEEFF"/>
          </w:tcPr>
          <w:p>
            <w:pPr>
              <w:spacing w:after="0" w:line="162" w:lineRule="exact"/>
              <w:rPr>
                <w:rFonts w:ascii="Arial" w:cs="Arial" w:eastAsia="Arial" w:hAnsi="Arial"/>
                <w:sz w:val="15"/>
                <w:szCs w:val="15"/>
                <w:color w:val="0000EE"/>
              </w:rPr>
            </w:pPr>
            <w:hyperlink w:anchor="page16">
              <w:r>
                <w:rPr>
                  <w:rFonts w:ascii="Arial" w:cs="Arial" w:eastAsia="Arial" w:hAnsi="Arial"/>
                  <w:sz w:val="15"/>
                  <w:szCs w:val="15"/>
                  <w:color w:val="0000EE"/>
                </w:rPr>
                <w:t>Management's Discussion and Analysis of Financial Condition and Results of Operations</w:t>
              </w:r>
            </w:hyperlink>
          </w:p>
        </w:tc>
        <w:tc>
          <w:tcPr>
            <w:tcW w:w="1200" w:type="dxa"/>
            <w:vAlign w:val="bottom"/>
            <w:gridSpan w:val="7"/>
            <w:shd w:val="clear" w:color="auto" w:fill="CCEEFF"/>
          </w:tcPr>
          <w:p>
            <w:pPr>
              <w:ind w:left="580"/>
              <w:spacing w:after="0" w:line="162" w:lineRule="exact"/>
              <w:rPr>
                <w:rFonts w:ascii="Arial" w:cs="Arial" w:eastAsia="Arial" w:hAnsi="Arial"/>
                <w:sz w:val="15"/>
                <w:szCs w:val="15"/>
                <w:color w:val="0000EE"/>
              </w:rPr>
            </w:pPr>
            <w:hyperlink w:anchor="page16">
              <w:r>
                <w:rPr>
                  <w:rFonts w:ascii="Arial" w:cs="Arial" w:eastAsia="Arial" w:hAnsi="Arial"/>
                  <w:sz w:val="15"/>
                  <w:szCs w:val="15"/>
                  <w:color w:val="0000EE"/>
                </w:rPr>
                <w:t>16-37</w:t>
              </w:r>
            </w:hyperlink>
          </w:p>
        </w:tc>
      </w:tr>
      <w:tr>
        <w:trPr>
          <w:trHeight w:val="208"/>
        </w:trPr>
        <w:tc>
          <w:tcPr>
            <w:tcW w:w="40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620" w:type="dxa"/>
            <w:vAlign w:val="bottom"/>
            <w:gridSpan w:val="4"/>
            <w:shd w:val="clear" w:color="auto" w:fill="CCEEFF"/>
          </w:tcPr>
          <w:p>
            <w:pPr>
              <w:spacing w:after="0" w:line="162" w:lineRule="exact"/>
              <w:rPr>
                <w:rFonts w:ascii="Arial" w:cs="Arial" w:eastAsia="Arial" w:hAnsi="Arial"/>
                <w:sz w:val="15"/>
                <w:szCs w:val="15"/>
                <w:color w:val="0000EE"/>
              </w:rPr>
            </w:pPr>
            <w:hyperlink w:anchor="page37">
              <w:r>
                <w:rPr>
                  <w:rFonts w:ascii="Arial" w:cs="Arial" w:eastAsia="Arial" w:hAnsi="Arial"/>
                  <w:sz w:val="15"/>
                  <w:szCs w:val="15"/>
                  <w:color w:val="0000EE"/>
                </w:rPr>
                <w:t>Item 3</w:t>
              </w:r>
            </w:hyperlink>
          </w:p>
        </w:tc>
        <w:tc>
          <w:tcPr>
            <w:tcW w:w="8460" w:type="dxa"/>
            <w:vAlign w:val="bottom"/>
            <w:gridSpan w:val="16"/>
            <w:shd w:val="clear" w:color="auto" w:fill="CCEEFF"/>
          </w:tcPr>
          <w:p>
            <w:pPr>
              <w:spacing w:after="0" w:line="162" w:lineRule="exact"/>
              <w:rPr>
                <w:rFonts w:ascii="Arial" w:cs="Arial" w:eastAsia="Arial" w:hAnsi="Arial"/>
                <w:sz w:val="15"/>
                <w:szCs w:val="15"/>
                <w:color w:val="0000EE"/>
              </w:rPr>
            </w:pPr>
            <w:hyperlink w:anchor="page37">
              <w:r>
                <w:rPr>
                  <w:rFonts w:ascii="Arial" w:cs="Arial" w:eastAsia="Arial" w:hAnsi="Arial"/>
                  <w:sz w:val="15"/>
                  <w:szCs w:val="15"/>
                  <w:color w:val="0000EE"/>
                </w:rPr>
                <w:t>Quantitative and Qualitative Disclosures About Market Risk</w:t>
              </w:r>
            </w:hyperlink>
          </w:p>
        </w:tc>
        <w:tc>
          <w:tcPr>
            <w:tcW w:w="720" w:type="dxa"/>
            <w:vAlign w:val="bottom"/>
            <w:gridSpan w:val="4"/>
            <w:shd w:val="clear" w:color="auto" w:fill="CCEEFF"/>
          </w:tcPr>
          <w:p>
            <w:pPr>
              <w:ind w:left="580"/>
              <w:spacing w:after="0" w:line="162" w:lineRule="exact"/>
              <w:rPr>
                <w:rFonts w:ascii="Arial" w:cs="Arial" w:eastAsia="Arial" w:hAnsi="Arial"/>
                <w:sz w:val="15"/>
                <w:szCs w:val="15"/>
                <w:color w:val="0000EE"/>
                <w:w w:val="71"/>
              </w:rPr>
            </w:pPr>
            <w:hyperlink w:anchor="page37">
              <w:r>
                <w:rPr>
                  <w:rFonts w:ascii="Arial" w:cs="Arial" w:eastAsia="Arial" w:hAnsi="Arial"/>
                  <w:sz w:val="15"/>
                  <w:szCs w:val="15"/>
                  <w:color w:val="0000EE"/>
                  <w:w w:val="71"/>
                </w:rPr>
                <w:t>37</w:t>
              </w:r>
            </w:hyperlink>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8"/>
        </w:trPr>
        <w:tc>
          <w:tcPr>
            <w:tcW w:w="40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620" w:type="dxa"/>
            <w:vAlign w:val="bottom"/>
            <w:gridSpan w:val="4"/>
            <w:shd w:val="clear" w:color="auto" w:fill="CCEEFF"/>
          </w:tcPr>
          <w:p>
            <w:pPr>
              <w:spacing w:after="0" w:line="162" w:lineRule="exact"/>
              <w:rPr>
                <w:rFonts w:ascii="Arial" w:cs="Arial" w:eastAsia="Arial" w:hAnsi="Arial"/>
                <w:sz w:val="15"/>
                <w:szCs w:val="15"/>
                <w:color w:val="0000EE"/>
              </w:rPr>
            </w:pPr>
            <w:hyperlink w:anchor="page38">
              <w:r>
                <w:rPr>
                  <w:rFonts w:ascii="Arial" w:cs="Arial" w:eastAsia="Arial" w:hAnsi="Arial"/>
                  <w:sz w:val="15"/>
                  <w:szCs w:val="15"/>
                  <w:color w:val="0000EE"/>
                </w:rPr>
                <w:t>Item 4</w:t>
              </w:r>
            </w:hyperlink>
          </w:p>
        </w:tc>
        <w:tc>
          <w:tcPr>
            <w:tcW w:w="8460" w:type="dxa"/>
            <w:vAlign w:val="bottom"/>
            <w:gridSpan w:val="16"/>
            <w:shd w:val="clear" w:color="auto" w:fill="CCEEFF"/>
          </w:tcPr>
          <w:p>
            <w:pPr>
              <w:spacing w:after="0" w:line="162" w:lineRule="exact"/>
              <w:rPr>
                <w:rFonts w:ascii="Arial" w:cs="Arial" w:eastAsia="Arial" w:hAnsi="Arial"/>
                <w:sz w:val="15"/>
                <w:szCs w:val="15"/>
                <w:color w:val="0000EE"/>
              </w:rPr>
            </w:pPr>
            <w:hyperlink w:anchor="page38">
              <w:r>
                <w:rPr>
                  <w:rFonts w:ascii="Arial" w:cs="Arial" w:eastAsia="Arial" w:hAnsi="Arial"/>
                  <w:sz w:val="15"/>
                  <w:szCs w:val="15"/>
                  <w:color w:val="0000EE"/>
                </w:rPr>
                <w:t>Controls and Procedures</w:t>
              </w:r>
            </w:hyperlink>
          </w:p>
        </w:tc>
        <w:tc>
          <w:tcPr>
            <w:tcW w:w="720" w:type="dxa"/>
            <w:vAlign w:val="bottom"/>
            <w:gridSpan w:val="4"/>
            <w:shd w:val="clear" w:color="auto" w:fill="CCEEFF"/>
          </w:tcPr>
          <w:p>
            <w:pPr>
              <w:ind w:left="580"/>
              <w:spacing w:after="0" w:line="162" w:lineRule="exact"/>
              <w:rPr>
                <w:rFonts w:ascii="Arial" w:cs="Arial" w:eastAsia="Arial" w:hAnsi="Arial"/>
                <w:sz w:val="15"/>
                <w:szCs w:val="15"/>
                <w:color w:val="0000EE"/>
                <w:w w:val="71"/>
              </w:rPr>
            </w:pPr>
            <w:hyperlink w:anchor="page38">
              <w:r>
                <w:rPr>
                  <w:rFonts w:ascii="Arial" w:cs="Arial" w:eastAsia="Arial" w:hAnsi="Arial"/>
                  <w:sz w:val="15"/>
                  <w:szCs w:val="15"/>
                  <w:color w:val="0000EE"/>
                  <w:w w:val="71"/>
                </w:rPr>
                <w:t>38</w:t>
              </w:r>
            </w:hyperlink>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8"/>
        </w:trPr>
        <w:tc>
          <w:tcPr>
            <w:tcW w:w="40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620" w:type="dxa"/>
            <w:vAlign w:val="bottom"/>
            <w:gridSpan w:val="4"/>
            <w:shd w:val="clear" w:color="auto" w:fill="CCEEFF"/>
          </w:tcPr>
          <w:p>
            <w:pPr>
              <w:spacing w:after="0" w:line="162" w:lineRule="exact"/>
              <w:rPr>
                <w:rFonts w:ascii="Arial" w:cs="Arial" w:eastAsia="Arial" w:hAnsi="Arial"/>
                <w:sz w:val="15"/>
                <w:szCs w:val="15"/>
                <w:b w:val="1"/>
                <w:bCs w:val="1"/>
                <w:color w:val="0000EE"/>
              </w:rPr>
            </w:pPr>
            <w:hyperlink w:anchor="page38">
              <w:r>
                <w:rPr>
                  <w:rFonts w:ascii="Arial" w:cs="Arial" w:eastAsia="Arial" w:hAnsi="Arial"/>
                  <w:sz w:val="15"/>
                  <w:szCs w:val="15"/>
                  <w:b w:val="1"/>
                  <w:bCs w:val="1"/>
                  <w:color w:val="0000EE"/>
                </w:rPr>
                <w:t>PART II</w:t>
              </w:r>
            </w:hyperlink>
          </w:p>
        </w:tc>
        <w:tc>
          <w:tcPr>
            <w:tcW w:w="8460" w:type="dxa"/>
            <w:vAlign w:val="bottom"/>
            <w:gridSpan w:val="16"/>
            <w:shd w:val="clear" w:color="auto" w:fill="CCEEFF"/>
          </w:tcPr>
          <w:p>
            <w:pPr>
              <w:spacing w:after="0" w:line="162" w:lineRule="exact"/>
              <w:rPr>
                <w:rFonts w:ascii="Arial" w:cs="Arial" w:eastAsia="Arial" w:hAnsi="Arial"/>
                <w:sz w:val="15"/>
                <w:szCs w:val="15"/>
                <w:b w:val="1"/>
                <w:bCs w:val="1"/>
                <w:color w:val="0000EE"/>
              </w:rPr>
            </w:pPr>
            <w:hyperlink w:anchor="page38">
              <w:r>
                <w:rPr>
                  <w:rFonts w:ascii="Arial" w:cs="Arial" w:eastAsia="Arial" w:hAnsi="Arial"/>
                  <w:sz w:val="15"/>
                  <w:szCs w:val="15"/>
                  <w:b w:val="1"/>
                  <w:bCs w:val="1"/>
                  <w:color w:val="0000EE"/>
                </w:rPr>
                <w:t>OTHER INFORMATION</w:t>
              </w:r>
            </w:hyperlink>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8"/>
        </w:trPr>
        <w:tc>
          <w:tcPr>
            <w:tcW w:w="40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620" w:type="dxa"/>
            <w:vAlign w:val="bottom"/>
            <w:gridSpan w:val="4"/>
            <w:shd w:val="clear" w:color="auto" w:fill="CCEEFF"/>
          </w:tcPr>
          <w:p>
            <w:pPr>
              <w:spacing w:after="0" w:line="162" w:lineRule="exact"/>
              <w:rPr>
                <w:rFonts w:ascii="Arial" w:cs="Arial" w:eastAsia="Arial" w:hAnsi="Arial"/>
                <w:sz w:val="15"/>
                <w:szCs w:val="15"/>
                <w:color w:val="0000EE"/>
              </w:rPr>
            </w:pPr>
            <w:hyperlink w:anchor="page38">
              <w:r>
                <w:rPr>
                  <w:rFonts w:ascii="Arial" w:cs="Arial" w:eastAsia="Arial" w:hAnsi="Arial"/>
                  <w:sz w:val="15"/>
                  <w:szCs w:val="15"/>
                  <w:color w:val="0000EE"/>
                </w:rPr>
                <w:t>Item 1</w:t>
              </w:r>
            </w:hyperlink>
          </w:p>
        </w:tc>
        <w:tc>
          <w:tcPr>
            <w:tcW w:w="8460" w:type="dxa"/>
            <w:vAlign w:val="bottom"/>
            <w:gridSpan w:val="16"/>
            <w:shd w:val="clear" w:color="auto" w:fill="CCEEFF"/>
          </w:tcPr>
          <w:p>
            <w:pPr>
              <w:spacing w:after="0" w:line="162" w:lineRule="exact"/>
              <w:rPr>
                <w:rFonts w:ascii="Arial" w:cs="Arial" w:eastAsia="Arial" w:hAnsi="Arial"/>
                <w:sz w:val="15"/>
                <w:szCs w:val="15"/>
                <w:color w:val="0000EE"/>
              </w:rPr>
            </w:pPr>
            <w:hyperlink w:anchor="page38">
              <w:r>
                <w:rPr>
                  <w:rFonts w:ascii="Arial" w:cs="Arial" w:eastAsia="Arial" w:hAnsi="Arial"/>
                  <w:sz w:val="15"/>
                  <w:szCs w:val="15"/>
                  <w:color w:val="0000EE"/>
                </w:rPr>
                <w:t>Legal Proceedings</w:t>
              </w:r>
            </w:hyperlink>
          </w:p>
        </w:tc>
        <w:tc>
          <w:tcPr>
            <w:tcW w:w="1200" w:type="dxa"/>
            <w:vAlign w:val="bottom"/>
            <w:gridSpan w:val="7"/>
            <w:shd w:val="clear" w:color="auto" w:fill="CCEEFF"/>
          </w:tcPr>
          <w:p>
            <w:pPr>
              <w:ind w:left="580"/>
              <w:spacing w:after="0" w:line="162" w:lineRule="exact"/>
              <w:rPr>
                <w:rFonts w:ascii="Arial" w:cs="Arial" w:eastAsia="Arial" w:hAnsi="Arial"/>
                <w:sz w:val="15"/>
                <w:szCs w:val="15"/>
                <w:color w:val="0000EE"/>
              </w:rPr>
            </w:pPr>
            <w:hyperlink w:anchor="page38">
              <w:r>
                <w:rPr>
                  <w:rFonts w:ascii="Arial" w:cs="Arial" w:eastAsia="Arial" w:hAnsi="Arial"/>
                  <w:sz w:val="15"/>
                  <w:szCs w:val="15"/>
                  <w:color w:val="0000EE"/>
                </w:rPr>
                <w:t>38-39</w:t>
              </w:r>
            </w:hyperlink>
          </w:p>
        </w:tc>
      </w:tr>
      <w:tr>
        <w:trPr>
          <w:trHeight w:val="208"/>
        </w:trPr>
        <w:tc>
          <w:tcPr>
            <w:tcW w:w="40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620" w:type="dxa"/>
            <w:vAlign w:val="bottom"/>
            <w:gridSpan w:val="4"/>
            <w:shd w:val="clear" w:color="auto" w:fill="CCEEFF"/>
          </w:tcPr>
          <w:p>
            <w:pPr>
              <w:spacing w:after="0" w:line="162" w:lineRule="exact"/>
              <w:rPr>
                <w:rFonts w:ascii="Arial" w:cs="Arial" w:eastAsia="Arial" w:hAnsi="Arial"/>
                <w:sz w:val="15"/>
                <w:szCs w:val="15"/>
                <w:color w:val="0000EE"/>
              </w:rPr>
            </w:pPr>
            <w:hyperlink w:anchor="page39">
              <w:r>
                <w:rPr>
                  <w:rFonts w:ascii="Arial" w:cs="Arial" w:eastAsia="Arial" w:hAnsi="Arial"/>
                  <w:sz w:val="15"/>
                  <w:szCs w:val="15"/>
                  <w:color w:val="0000EE"/>
                </w:rPr>
                <w:t>Item 1A</w:t>
              </w:r>
            </w:hyperlink>
          </w:p>
        </w:tc>
        <w:tc>
          <w:tcPr>
            <w:tcW w:w="8460" w:type="dxa"/>
            <w:vAlign w:val="bottom"/>
            <w:gridSpan w:val="16"/>
            <w:shd w:val="clear" w:color="auto" w:fill="CCEEFF"/>
          </w:tcPr>
          <w:p>
            <w:pPr>
              <w:spacing w:after="0" w:line="162" w:lineRule="exact"/>
              <w:rPr>
                <w:rFonts w:ascii="Arial" w:cs="Arial" w:eastAsia="Arial" w:hAnsi="Arial"/>
                <w:sz w:val="15"/>
                <w:szCs w:val="15"/>
                <w:color w:val="0000EE"/>
              </w:rPr>
            </w:pPr>
            <w:hyperlink w:anchor="page39">
              <w:r>
                <w:rPr>
                  <w:rFonts w:ascii="Arial" w:cs="Arial" w:eastAsia="Arial" w:hAnsi="Arial"/>
                  <w:sz w:val="15"/>
                  <w:szCs w:val="15"/>
                  <w:color w:val="0000EE"/>
                </w:rPr>
                <w:t>Risk Factors</w:t>
              </w:r>
            </w:hyperlink>
          </w:p>
        </w:tc>
        <w:tc>
          <w:tcPr>
            <w:tcW w:w="1200" w:type="dxa"/>
            <w:vAlign w:val="bottom"/>
            <w:gridSpan w:val="7"/>
            <w:shd w:val="clear" w:color="auto" w:fill="CCEEFF"/>
          </w:tcPr>
          <w:p>
            <w:pPr>
              <w:ind w:left="580"/>
              <w:spacing w:after="0" w:line="162" w:lineRule="exact"/>
              <w:rPr>
                <w:rFonts w:ascii="Arial" w:cs="Arial" w:eastAsia="Arial" w:hAnsi="Arial"/>
                <w:sz w:val="15"/>
                <w:szCs w:val="15"/>
                <w:color w:val="0000EE"/>
              </w:rPr>
            </w:pPr>
            <w:hyperlink w:anchor="page39">
              <w:r>
                <w:rPr>
                  <w:rFonts w:ascii="Arial" w:cs="Arial" w:eastAsia="Arial" w:hAnsi="Arial"/>
                  <w:sz w:val="15"/>
                  <w:szCs w:val="15"/>
                  <w:color w:val="0000EE"/>
                </w:rPr>
                <w:t>39-65</w:t>
              </w:r>
            </w:hyperlink>
          </w:p>
        </w:tc>
      </w:tr>
      <w:tr>
        <w:trPr>
          <w:trHeight w:val="208"/>
        </w:trPr>
        <w:tc>
          <w:tcPr>
            <w:tcW w:w="40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380" w:type="dxa"/>
            <w:vAlign w:val="bottom"/>
            <w:shd w:val="clear" w:color="auto" w:fill="CCEEFF"/>
          </w:tcPr>
          <w:p>
            <w:pPr>
              <w:spacing w:after="0" w:line="162" w:lineRule="exact"/>
              <w:rPr>
                <w:rFonts w:ascii="Arial" w:cs="Arial" w:eastAsia="Arial" w:hAnsi="Arial"/>
                <w:sz w:val="15"/>
                <w:szCs w:val="15"/>
                <w:color w:val="0000EE"/>
                <w:w w:val="86"/>
              </w:rPr>
            </w:pPr>
            <w:hyperlink w:anchor="page65">
              <w:r>
                <w:rPr>
                  <w:rFonts w:ascii="Arial" w:cs="Arial" w:eastAsia="Arial" w:hAnsi="Arial"/>
                  <w:sz w:val="15"/>
                  <w:szCs w:val="15"/>
                  <w:color w:val="0000EE"/>
                  <w:w w:val="86"/>
                </w:rPr>
                <w:t>Item 6</w:t>
              </w:r>
            </w:hyperlink>
          </w:p>
        </w:tc>
        <w:tc>
          <w:tcPr>
            <w:tcW w:w="240" w:type="dxa"/>
            <w:vAlign w:val="bottom"/>
            <w:gridSpan w:val="3"/>
            <w:shd w:val="clear" w:color="auto" w:fill="CCEEFF"/>
          </w:tcPr>
          <w:p>
            <w:pPr>
              <w:spacing w:after="0"/>
              <w:rPr>
                <w:sz w:val="16"/>
                <w:szCs w:val="16"/>
                <w:color w:val="auto"/>
              </w:rPr>
            </w:pPr>
          </w:p>
        </w:tc>
        <w:tc>
          <w:tcPr>
            <w:tcW w:w="8460" w:type="dxa"/>
            <w:vAlign w:val="bottom"/>
            <w:gridSpan w:val="16"/>
            <w:shd w:val="clear" w:color="auto" w:fill="CCEEFF"/>
          </w:tcPr>
          <w:p>
            <w:pPr>
              <w:spacing w:after="0" w:line="162" w:lineRule="exact"/>
              <w:rPr>
                <w:rFonts w:ascii="Arial" w:cs="Arial" w:eastAsia="Arial" w:hAnsi="Arial"/>
                <w:sz w:val="15"/>
                <w:szCs w:val="15"/>
                <w:color w:val="0000EE"/>
              </w:rPr>
            </w:pPr>
            <w:hyperlink w:anchor="page65">
              <w:r>
                <w:rPr>
                  <w:rFonts w:ascii="Arial" w:cs="Arial" w:eastAsia="Arial" w:hAnsi="Arial"/>
                  <w:sz w:val="15"/>
                  <w:szCs w:val="15"/>
                  <w:color w:val="0000EE"/>
                </w:rPr>
                <w:t>Exhibits</w:t>
              </w:r>
            </w:hyperlink>
          </w:p>
        </w:tc>
        <w:tc>
          <w:tcPr>
            <w:tcW w:w="720" w:type="dxa"/>
            <w:vAlign w:val="bottom"/>
            <w:gridSpan w:val="4"/>
            <w:shd w:val="clear" w:color="auto" w:fill="CCEEFF"/>
          </w:tcPr>
          <w:p>
            <w:pPr>
              <w:ind w:left="580"/>
              <w:spacing w:after="0" w:line="162" w:lineRule="exact"/>
              <w:rPr>
                <w:rFonts w:ascii="Arial" w:cs="Arial" w:eastAsia="Arial" w:hAnsi="Arial"/>
                <w:sz w:val="15"/>
                <w:szCs w:val="15"/>
                <w:color w:val="0000EE"/>
                <w:w w:val="71"/>
              </w:rPr>
            </w:pPr>
            <w:hyperlink w:anchor="page65">
              <w:r>
                <w:rPr>
                  <w:rFonts w:ascii="Arial" w:cs="Arial" w:eastAsia="Arial" w:hAnsi="Arial"/>
                  <w:sz w:val="15"/>
                  <w:szCs w:val="15"/>
                  <w:color w:val="0000EE"/>
                  <w:w w:val="71"/>
                </w:rPr>
                <w:t>65</w:t>
              </w:r>
            </w:hyperlink>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08"/>
        </w:trPr>
        <w:tc>
          <w:tcPr>
            <w:tcW w:w="400" w:type="dxa"/>
            <w:vAlign w:val="bottom"/>
            <w:tcBorders>
              <w:top w:val="single" w:sz="8" w:color="0000EE"/>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9080" w:type="dxa"/>
            <w:vAlign w:val="bottom"/>
            <w:gridSpan w:val="20"/>
            <w:shd w:val="clear" w:color="auto" w:fill="CCEEFF"/>
          </w:tcPr>
          <w:p>
            <w:pPr>
              <w:spacing w:after="0" w:line="162" w:lineRule="exact"/>
              <w:rPr>
                <w:rFonts w:ascii="Arial" w:cs="Arial" w:eastAsia="Arial" w:hAnsi="Arial"/>
                <w:sz w:val="15"/>
                <w:szCs w:val="15"/>
                <w:b w:val="1"/>
                <w:bCs w:val="1"/>
                <w:color w:val="0000EE"/>
              </w:rPr>
            </w:pPr>
            <w:hyperlink w:anchor="page66">
              <w:r>
                <w:rPr>
                  <w:rFonts w:ascii="Arial" w:cs="Arial" w:eastAsia="Arial" w:hAnsi="Arial"/>
                  <w:sz w:val="15"/>
                  <w:szCs w:val="15"/>
                  <w:b w:val="1"/>
                  <w:bCs w:val="1"/>
                  <w:color w:val="0000EE"/>
                </w:rPr>
                <w:t>SIGNATURE PAGE</w:t>
              </w:r>
            </w:hyperlink>
          </w:p>
        </w:tc>
        <w:tc>
          <w:tcPr>
            <w:tcW w:w="720" w:type="dxa"/>
            <w:vAlign w:val="bottom"/>
            <w:gridSpan w:val="4"/>
            <w:shd w:val="clear" w:color="auto" w:fill="CCEEFF"/>
          </w:tcPr>
          <w:p>
            <w:pPr>
              <w:ind w:left="580"/>
              <w:spacing w:after="0" w:line="162" w:lineRule="exact"/>
              <w:rPr>
                <w:rFonts w:ascii="Arial" w:cs="Arial" w:eastAsia="Arial" w:hAnsi="Arial"/>
                <w:sz w:val="15"/>
                <w:szCs w:val="15"/>
                <w:color w:val="0000EE"/>
                <w:w w:val="71"/>
              </w:rPr>
            </w:pPr>
            <w:hyperlink w:anchor="page66">
              <w:r>
                <w:rPr>
                  <w:rFonts w:ascii="Arial" w:cs="Arial" w:eastAsia="Arial" w:hAnsi="Arial"/>
                  <w:sz w:val="15"/>
                  <w:szCs w:val="15"/>
                  <w:color w:val="0000EE"/>
                  <w:w w:val="71"/>
                </w:rPr>
                <w:t>66</w:t>
              </w:r>
            </w:hyperlink>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6"/>
        </w:trPr>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"ARCALYST</w:t>
      </w:r>
      <w:r>
        <w:rPr>
          <w:rFonts w:ascii="Arial" w:cs="Arial" w:eastAsia="Arial" w:hAnsi="Arial"/>
          <w:sz w:val="23"/>
          <w:szCs w:val="23"/>
          <w:color w:val="auto"/>
          <w:vertAlign w:val="superscript"/>
        </w:rPr>
        <w:t>®</w:t>
      </w:r>
      <w:r>
        <w:rPr>
          <w:rFonts w:ascii="Arial" w:cs="Arial" w:eastAsia="Arial" w:hAnsi="Arial"/>
          <w:sz w:val="14"/>
          <w:szCs w:val="14"/>
          <w:color w:val="auto"/>
        </w:rPr>
        <w:t>", "EYLEA</w:t>
      </w:r>
      <w:r>
        <w:rPr>
          <w:rFonts w:ascii="Arial" w:cs="Arial" w:eastAsia="Arial" w:hAnsi="Arial"/>
          <w:sz w:val="23"/>
          <w:szCs w:val="23"/>
          <w:color w:val="auto"/>
          <w:vertAlign w:val="superscript"/>
        </w:rPr>
        <w:t>®</w:t>
      </w:r>
      <w:r>
        <w:rPr>
          <w:rFonts w:ascii="Arial" w:cs="Arial" w:eastAsia="Arial" w:hAnsi="Arial"/>
          <w:sz w:val="14"/>
          <w:szCs w:val="14"/>
          <w:color w:val="auto"/>
        </w:rPr>
        <w:t>", "ZALTRAP</w:t>
      </w:r>
      <w:r>
        <w:rPr>
          <w:rFonts w:ascii="Arial" w:cs="Arial" w:eastAsia="Arial" w:hAnsi="Arial"/>
          <w:sz w:val="23"/>
          <w:szCs w:val="23"/>
          <w:color w:val="auto"/>
          <w:vertAlign w:val="superscript"/>
        </w:rPr>
        <w:t>®”</w:t>
      </w:r>
      <w:r>
        <w:rPr>
          <w:rFonts w:ascii="Arial" w:cs="Arial" w:eastAsia="Arial" w:hAnsi="Arial"/>
          <w:sz w:val="14"/>
          <w:szCs w:val="14"/>
          <w:color w:val="auto"/>
        </w:rPr>
        <w:t>, “VelocImmune</w:t>
      </w:r>
      <w:r>
        <w:rPr>
          <w:rFonts w:ascii="Arial" w:cs="Arial" w:eastAsia="Arial" w:hAnsi="Arial"/>
          <w:sz w:val="23"/>
          <w:szCs w:val="23"/>
          <w:color w:val="auto"/>
          <w:vertAlign w:val="superscript"/>
        </w:rPr>
        <w:t>®</w:t>
      </w:r>
      <w:r>
        <w:rPr>
          <w:rFonts w:ascii="Arial" w:cs="Arial" w:eastAsia="Arial" w:hAnsi="Arial"/>
          <w:sz w:val="14"/>
          <w:szCs w:val="14"/>
          <w:color w:val="auto"/>
        </w:rPr>
        <w:t>”, “VelociGene</w:t>
      </w:r>
      <w:r>
        <w:rPr>
          <w:rFonts w:ascii="Arial" w:cs="Arial" w:eastAsia="Arial" w:hAnsi="Arial"/>
          <w:sz w:val="23"/>
          <w:szCs w:val="23"/>
          <w:color w:val="auto"/>
          <w:vertAlign w:val="superscript"/>
        </w:rPr>
        <w:t>®</w:t>
      </w:r>
      <w:r>
        <w:rPr>
          <w:rFonts w:ascii="Arial" w:cs="Arial" w:eastAsia="Arial" w:hAnsi="Arial"/>
          <w:sz w:val="14"/>
          <w:szCs w:val="14"/>
          <w:color w:val="auto"/>
        </w:rPr>
        <w:t>”, ”VelociMouse</w:t>
      </w:r>
      <w:r>
        <w:rPr>
          <w:rFonts w:ascii="Arial" w:cs="Arial" w:eastAsia="Arial" w:hAnsi="Arial"/>
          <w:sz w:val="23"/>
          <w:szCs w:val="23"/>
          <w:color w:val="auto"/>
          <w:vertAlign w:val="superscript"/>
        </w:rPr>
        <w:t>®</w:t>
      </w:r>
      <w:r>
        <w:rPr>
          <w:rFonts w:ascii="Arial" w:cs="Arial" w:eastAsia="Arial" w:hAnsi="Arial"/>
          <w:sz w:val="14"/>
          <w:szCs w:val="14"/>
          <w:color w:val="auto"/>
        </w:rPr>
        <w:t>”, “VelociMab</w:t>
      </w:r>
      <w:r>
        <w:rPr>
          <w:rFonts w:ascii="Arial" w:cs="Arial" w:eastAsia="Arial" w:hAnsi="Arial"/>
          <w:sz w:val="23"/>
          <w:szCs w:val="23"/>
          <w:color w:val="auto"/>
          <w:vertAlign w:val="superscript"/>
        </w:rPr>
        <w:t>®</w:t>
      </w:r>
      <w:r>
        <w:rPr>
          <w:rFonts w:ascii="Arial" w:cs="Arial" w:eastAsia="Arial" w:hAnsi="Arial"/>
          <w:sz w:val="14"/>
          <w:szCs w:val="14"/>
          <w:color w:val="auto"/>
        </w:rPr>
        <w:t>”, and “VelociSuite</w:t>
      </w:r>
      <w:r>
        <w:rPr>
          <w:rFonts w:ascii="Arial" w:cs="Arial" w:eastAsia="Arial" w:hAnsi="Arial"/>
          <w:sz w:val="18"/>
          <w:szCs w:val="18"/>
          <w:color w:val="auto"/>
          <w:vertAlign w:val="superscript"/>
        </w:rPr>
        <w:t>TM</w:t>
      </w:r>
      <w:r>
        <w:rPr>
          <w:rFonts w:ascii="Arial" w:cs="Arial" w:eastAsia="Arial" w:hAnsi="Arial"/>
          <w:sz w:val="14"/>
          <w:szCs w:val="14"/>
          <w:color w:val="auto"/>
        </w:rPr>
        <w:t>” are trademarks of Regeneron Pharmaceuticals, Inc.</w:t>
      </w:r>
    </w:p>
    <w:p>
      <w:pPr>
        <w:spacing w:after="0"/>
        <w:rPr>
          <w:sz w:val="20"/>
          <w:szCs w:val="20"/>
          <w:color w:val="auto"/>
        </w:rPr>
      </w:pPr>
      <w:r>
        <w:rPr>
          <w:rFonts w:ascii="Arial" w:cs="Arial" w:eastAsia="Arial" w:hAnsi="Arial"/>
          <w:sz w:val="15"/>
          <w:szCs w:val="15"/>
          <w:color w:val="auto"/>
        </w:rPr>
        <w:t>All other trademarks in this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8662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20"/>
          </w:cols>
          <w:pgMar w:left="240" w:top="521" w:right="23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BALANCE SHEETS (Unaudited)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thousands, except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b w:val="1"/>
                <w:bCs w:val="1"/>
                <w:color w:val="auto"/>
                <w:w w:val="95"/>
              </w:rPr>
              <w:t>March 31,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b w:val="1"/>
                <w:bCs w:val="1"/>
                <w:color w:val="auto"/>
                <w:w w:val="88"/>
              </w:rPr>
              <w:t>December 31,</w:t>
            </w:r>
          </w:p>
        </w:tc>
      </w:tr>
      <w:tr>
        <w:trPr>
          <w:trHeight w:val="215"/>
        </w:trPr>
        <w:tc>
          <w:tcPr>
            <w:tcW w:w="9080" w:type="dxa"/>
            <w:vAlign w:val="bottom"/>
            <w:tcBorders>
              <w:bottom w:val="single" w:sz="8" w:color="CCEEFF"/>
            </w:tcBorders>
          </w:tcPr>
          <w:p>
            <w:pPr>
              <w:ind w:left="4260"/>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2012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2011</w:t>
            </w:r>
          </w:p>
        </w:tc>
      </w:tr>
      <w:tr>
        <w:trPr>
          <w:trHeight w:val="195"/>
        </w:trPr>
        <w:tc>
          <w:tcPr>
            <w:tcW w:w="9080" w:type="dxa"/>
            <w:vAlign w:val="bottom"/>
            <w:shd w:val="clear" w:color="auto" w:fill="CCEEFF"/>
          </w:tcPr>
          <w:p>
            <w:pPr>
              <w:spacing w:after="0"/>
              <w:rPr>
                <w:sz w:val="20"/>
                <w:szCs w:val="20"/>
                <w:color w:val="auto"/>
              </w:rPr>
            </w:pPr>
            <w:r>
              <w:rPr>
                <w:rFonts w:ascii="Arial" w:cs="Arial" w:eastAsia="Arial" w:hAnsi="Arial"/>
                <w:sz w:val="15"/>
                <w:szCs w:val="15"/>
                <w:color w:val="auto"/>
              </w:rPr>
              <w:t>Current assets: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1"/>
        </w:trPr>
        <w:tc>
          <w:tcPr>
            <w:tcW w:w="9080" w:type="dxa"/>
            <w:vAlign w:val="bottom"/>
          </w:tcPr>
          <w:p>
            <w:pPr>
              <w:ind w:left="260"/>
              <w:spacing w:after="0"/>
              <w:rPr>
                <w:sz w:val="20"/>
                <w:szCs w:val="20"/>
                <w:color w:val="auto"/>
              </w:rPr>
            </w:pPr>
            <w:r>
              <w:rPr>
                <w:rFonts w:ascii="Arial" w:cs="Arial" w:eastAsia="Arial" w:hAnsi="Arial"/>
                <w:sz w:val="15"/>
                <w:szCs w:val="15"/>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394,585</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483,610</w:t>
            </w:r>
          </w:p>
        </w:tc>
      </w:tr>
      <w:tr>
        <w:trPr>
          <w:trHeight w:val="215"/>
        </w:trPr>
        <w:tc>
          <w:tcPr>
            <w:tcW w:w="9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Marketable securities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37,713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43,332</w:t>
            </w:r>
          </w:p>
        </w:tc>
      </w:tr>
      <w:tr>
        <w:trPr>
          <w:trHeight w:val="201"/>
        </w:trPr>
        <w:tc>
          <w:tcPr>
            <w:tcW w:w="9080" w:type="dxa"/>
            <w:vAlign w:val="bottom"/>
          </w:tcPr>
          <w:p>
            <w:pPr>
              <w:ind w:left="260"/>
              <w:spacing w:after="0"/>
              <w:rPr>
                <w:sz w:val="20"/>
                <w:szCs w:val="20"/>
                <w:color w:val="auto"/>
              </w:rPr>
            </w:pPr>
            <w:r>
              <w:rPr>
                <w:rFonts w:ascii="Arial" w:cs="Arial" w:eastAsia="Arial" w:hAnsi="Arial"/>
                <w:sz w:val="15"/>
                <w:szCs w:val="15"/>
                <w:color w:val="auto"/>
              </w:rPr>
              <w:t>Accounts receivable - trade, net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159,462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28,254</w:t>
            </w:r>
          </w:p>
        </w:tc>
      </w:tr>
      <w:tr>
        <w:trPr>
          <w:trHeight w:val="215"/>
        </w:trPr>
        <w:tc>
          <w:tcPr>
            <w:tcW w:w="9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Accounts receivable from Sanofi</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78,885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74,781</w:t>
            </w:r>
          </w:p>
        </w:tc>
      </w:tr>
      <w:tr>
        <w:trPr>
          <w:trHeight w:val="201"/>
        </w:trPr>
        <w:tc>
          <w:tcPr>
            <w:tcW w:w="908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26,270</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22,898</w:t>
            </w:r>
          </w:p>
        </w:tc>
      </w:tr>
      <w:tr>
        <w:trPr>
          <w:trHeight w:val="207"/>
        </w:trPr>
        <w:tc>
          <w:tcPr>
            <w:tcW w:w="90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current 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696,915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652,875</w:t>
            </w:r>
          </w:p>
        </w:tc>
      </w:tr>
      <w:tr>
        <w:trPr>
          <w:trHeight w:val="208"/>
        </w:trPr>
        <w:tc>
          <w:tcPr>
            <w:tcW w:w="9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8"/>
        </w:trPr>
        <w:tc>
          <w:tcPr>
            <w:tcW w:w="9080" w:type="dxa"/>
            <w:vAlign w:val="bottom"/>
            <w:shd w:val="clear" w:color="auto" w:fill="CCEEFF"/>
          </w:tcPr>
          <w:p>
            <w:pPr>
              <w:spacing w:after="0"/>
              <w:rPr>
                <w:sz w:val="20"/>
                <w:szCs w:val="20"/>
                <w:color w:val="auto"/>
              </w:rPr>
            </w:pPr>
            <w:r>
              <w:rPr>
                <w:rFonts w:ascii="Arial" w:cs="Arial" w:eastAsia="Arial" w:hAnsi="Arial"/>
                <w:sz w:val="15"/>
                <w:szCs w:val="15"/>
                <w:color w:val="auto"/>
              </w:rPr>
              <w:t>Restricted cash and marketable securities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8,154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7,721</w:t>
            </w:r>
          </w:p>
        </w:tc>
      </w:tr>
      <w:tr>
        <w:trPr>
          <w:trHeight w:val="201"/>
        </w:trPr>
        <w:tc>
          <w:tcPr>
            <w:tcW w:w="9080" w:type="dxa"/>
            <w:vAlign w:val="bottom"/>
          </w:tcPr>
          <w:p>
            <w:pPr>
              <w:spacing w:after="0"/>
              <w:rPr>
                <w:sz w:val="20"/>
                <w:szCs w:val="20"/>
                <w:color w:val="auto"/>
              </w:rPr>
            </w:pPr>
            <w:r>
              <w:rPr>
                <w:rFonts w:ascii="Arial" w:cs="Arial" w:eastAsia="Arial" w:hAnsi="Arial"/>
                <w:sz w:val="15"/>
                <w:szCs w:val="15"/>
                <w:color w:val="auto"/>
              </w:rPr>
              <w:t>Marketable securities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254,738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275,887</w:t>
            </w:r>
          </w:p>
        </w:tc>
      </w:tr>
      <w:tr>
        <w:trPr>
          <w:trHeight w:val="201"/>
        </w:trPr>
        <w:tc>
          <w:tcPr>
            <w:tcW w:w="908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at cost, net of accumulated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2"/>
        </w:trPr>
        <w:tc>
          <w:tcPr>
            <w:tcW w:w="9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depreciation and amortization</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369,959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367,955</w:t>
            </w:r>
          </w:p>
        </w:tc>
      </w:tr>
      <w:tr>
        <w:trPr>
          <w:trHeight w:val="201"/>
        </w:trPr>
        <w:tc>
          <w:tcPr>
            <w:tcW w:w="90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assets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20,393</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19,145</w:t>
            </w:r>
          </w:p>
        </w:tc>
      </w:tr>
      <w:tr>
        <w:trPr>
          <w:trHeight w:val="210"/>
        </w:trPr>
        <w:tc>
          <w:tcPr>
            <w:tcW w:w="90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8"/>
              </w:rPr>
              <w:t>1,350,159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1,323,583</w:t>
            </w:r>
          </w:p>
        </w:tc>
      </w:tr>
      <w:tr>
        <w:trPr>
          <w:trHeight w:val="196"/>
        </w:trPr>
        <w:tc>
          <w:tcPr>
            <w:tcW w:w="90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08"/>
        </w:trPr>
        <w:tc>
          <w:tcPr>
            <w:tcW w:w="9080" w:type="dxa"/>
            <w:vAlign w:val="bottom"/>
            <w:shd w:val="clear" w:color="auto" w:fill="CCEEFF"/>
          </w:tcPr>
          <w:p>
            <w:pPr>
              <w:ind w:left="294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1"/>
        </w:trPr>
        <w:tc>
          <w:tcPr>
            <w:tcW w:w="9080" w:type="dxa"/>
            <w:vAlign w:val="bottom"/>
          </w:tcPr>
          <w:p>
            <w:pPr>
              <w:spacing w:after="0"/>
              <w:rPr>
                <w:sz w:val="20"/>
                <w:szCs w:val="20"/>
                <w:color w:val="auto"/>
              </w:rPr>
            </w:pPr>
            <w:r>
              <w:rPr>
                <w:rFonts w:ascii="Arial" w:cs="Arial" w:eastAsia="Arial" w:hAnsi="Arial"/>
                <w:sz w:val="15"/>
                <w:szCs w:val="15"/>
                <w:color w:val="auto"/>
              </w:rPr>
              <w:t>Current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5"/>
        </w:trPr>
        <w:tc>
          <w:tcPr>
            <w:tcW w:w="9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Accounts payable and accrued expenses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106,723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95,625</w:t>
            </w:r>
          </w:p>
        </w:tc>
      </w:tr>
      <w:tr>
        <w:trPr>
          <w:trHeight w:val="201"/>
        </w:trPr>
        <w:tc>
          <w:tcPr>
            <w:tcW w:w="9080" w:type="dxa"/>
            <w:vAlign w:val="bottom"/>
          </w:tcPr>
          <w:p>
            <w:pPr>
              <w:ind w:left="260"/>
              <w:spacing w:after="0"/>
              <w:rPr>
                <w:sz w:val="20"/>
                <w:szCs w:val="20"/>
                <w:color w:val="auto"/>
              </w:rPr>
            </w:pPr>
            <w:r>
              <w:rPr>
                <w:rFonts w:ascii="Arial" w:cs="Arial" w:eastAsia="Arial" w:hAnsi="Arial"/>
                <w:sz w:val="15"/>
                <w:szCs w:val="15"/>
                <w:color w:val="auto"/>
              </w:rPr>
              <w:t>Deferred revenue from Sanofi, current portion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20,141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20,011</w:t>
            </w:r>
          </w:p>
        </w:tc>
      </w:tr>
      <w:tr>
        <w:trPr>
          <w:trHeight w:val="215"/>
        </w:trPr>
        <w:tc>
          <w:tcPr>
            <w:tcW w:w="9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Deferred revenue - other, current portion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32,429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31,629</w:t>
            </w:r>
          </w:p>
        </w:tc>
      </w:tr>
      <w:tr>
        <w:trPr>
          <w:trHeight w:val="201"/>
        </w:trPr>
        <w:tc>
          <w:tcPr>
            <w:tcW w:w="908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Facility lease obligations, current portion</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1,093</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1,006</w:t>
            </w:r>
          </w:p>
        </w:tc>
      </w:tr>
      <w:tr>
        <w:trPr>
          <w:trHeight w:val="207"/>
        </w:trPr>
        <w:tc>
          <w:tcPr>
            <w:tcW w:w="90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current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160,386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148,271</w:t>
            </w:r>
          </w:p>
        </w:tc>
      </w:tr>
      <w:tr>
        <w:trPr>
          <w:trHeight w:val="208"/>
        </w:trPr>
        <w:tc>
          <w:tcPr>
            <w:tcW w:w="9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8"/>
        </w:trPr>
        <w:tc>
          <w:tcPr>
            <w:tcW w:w="9080" w:type="dxa"/>
            <w:vAlign w:val="bottom"/>
            <w:shd w:val="clear" w:color="auto" w:fill="CCEEFF"/>
          </w:tcPr>
          <w:p>
            <w:pPr>
              <w:spacing w:after="0"/>
              <w:rPr>
                <w:sz w:val="20"/>
                <w:szCs w:val="20"/>
                <w:color w:val="auto"/>
              </w:rPr>
            </w:pPr>
            <w:r>
              <w:rPr>
                <w:rFonts w:ascii="Arial" w:cs="Arial" w:eastAsia="Arial" w:hAnsi="Arial"/>
                <w:sz w:val="15"/>
                <w:szCs w:val="15"/>
                <w:color w:val="auto"/>
              </w:rPr>
              <w:t>Deferred revenue from Sanofi</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83,625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86,017</w:t>
            </w:r>
          </w:p>
        </w:tc>
      </w:tr>
      <w:tr>
        <w:trPr>
          <w:trHeight w:val="201"/>
        </w:trPr>
        <w:tc>
          <w:tcPr>
            <w:tcW w:w="9080" w:type="dxa"/>
            <w:vAlign w:val="bottom"/>
          </w:tcPr>
          <w:p>
            <w:pPr>
              <w:spacing w:after="0"/>
              <w:rPr>
                <w:sz w:val="20"/>
                <w:szCs w:val="20"/>
                <w:color w:val="auto"/>
              </w:rPr>
            </w:pPr>
            <w:r>
              <w:rPr>
                <w:rFonts w:ascii="Arial" w:cs="Arial" w:eastAsia="Arial" w:hAnsi="Arial"/>
                <w:sz w:val="15"/>
                <w:szCs w:val="15"/>
                <w:color w:val="auto"/>
              </w:rPr>
              <w:t>Deferred revenue - other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154,929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162,593</w:t>
            </w:r>
          </w:p>
        </w:tc>
      </w:tr>
      <w:tr>
        <w:trPr>
          <w:trHeight w:val="215"/>
        </w:trPr>
        <w:tc>
          <w:tcPr>
            <w:tcW w:w="9080" w:type="dxa"/>
            <w:vAlign w:val="bottom"/>
            <w:shd w:val="clear" w:color="auto" w:fill="CCEEFF"/>
          </w:tcPr>
          <w:p>
            <w:pPr>
              <w:spacing w:after="0"/>
              <w:rPr>
                <w:sz w:val="20"/>
                <w:szCs w:val="20"/>
                <w:color w:val="auto"/>
              </w:rPr>
            </w:pPr>
            <w:r>
              <w:rPr>
                <w:rFonts w:ascii="Arial" w:cs="Arial" w:eastAsia="Arial" w:hAnsi="Arial"/>
                <w:sz w:val="15"/>
                <w:szCs w:val="15"/>
                <w:color w:val="auto"/>
              </w:rPr>
              <w:t>Facility lease obligations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159,534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159,508</w:t>
            </w:r>
          </w:p>
        </w:tc>
      </w:tr>
      <w:tr>
        <w:trPr>
          <w:trHeight w:val="201"/>
        </w:trPr>
        <w:tc>
          <w:tcPr>
            <w:tcW w:w="9080" w:type="dxa"/>
            <w:vAlign w:val="bottom"/>
          </w:tcPr>
          <w:p>
            <w:pPr>
              <w:spacing w:after="0"/>
              <w:rPr>
                <w:sz w:val="20"/>
                <w:szCs w:val="20"/>
                <w:color w:val="auto"/>
              </w:rPr>
            </w:pPr>
            <w:r>
              <w:rPr>
                <w:rFonts w:ascii="Arial" w:cs="Arial" w:eastAsia="Arial" w:hAnsi="Arial"/>
                <w:sz w:val="15"/>
                <w:szCs w:val="15"/>
                <w:color w:val="auto"/>
              </w:rPr>
              <w:t>Convertible senior notes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280,206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275,019</w:t>
            </w:r>
          </w:p>
        </w:tc>
      </w:tr>
      <w:tr>
        <w:trPr>
          <w:trHeight w:val="215"/>
        </w:trPr>
        <w:tc>
          <w:tcPr>
            <w:tcW w:w="9080" w:type="dxa"/>
            <w:vAlign w:val="bottom"/>
            <w:shd w:val="clear" w:color="auto" w:fill="CCEEFF"/>
          </w:tcPr>
          <w:p>
            <w:pPr>
              <w:spacing w:after="0"/>
              <w:rPr>
                <w:sz w:val="20"/>
                <w:szCs w:val="20"/>
                <w:color w:val="auto"/>
              </w:rPr>
            </w:pPr>
            <w:r>
              <w:rPr>
                <w:rFonts w:ascii="Arial" w:cs="Arial" w:eastAsia="Arial" w:hAnsi="Arial"/>
                <w:sz w:val="15"/>
                <w:szCs w:val="15"/>
                <w:color w:val="auto"/>
              </w:rPr>
              <w:t>Other long term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7,455</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6,443</w:t>
            </w:r>
          </w:p>
        </w:tc>
      </w:tr>
      <w:tr>
        <w:trPr>
          <w:trHeight w:val="193"/>
        </w:trPr>
        <w:tc>
          <w:tcPr>
            <w:tcW w:w="9080" w:type="dxa"/>
            <w:vAlign w:val="bottom"/>
          </w:tcPr>
          <w:p>
            <w:pPr>
              <w:ind w:left="520"/>
              <w:spacing w:after="0"/>
              <w:rPr>
                <w:sz w:val="20"/>
                <w:szCs w:val="20"/>
                <w:color w:val="auto"/>
              </w:rPr>
            </w:pPr>
            <w:r>
              <w:rPr>
                <w:rFonts w:ascii="Arial" w:cs="Arial" w:eastAsia="Arial" w:hAnsi="Arial"/>
                <w:sz w:val="15"/>
                <w:szCs w:val="15"/>
                <w:color w:val="auto"/>
              </w:rPr>
              <w:t>Total liabilities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846,135</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837,851</w:t>
            </w:r>
          </w:p>
        </w:tc>
      </w:tr>
      <w:tr>
        <w:trPr>
          <w:trHeight w:val="195"/>
        </w:trPr>
        <w:tc>
          <w:tcPr>
            <w:tcW w:w="9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8"/>
        </w:trPr>
        <w:tc>
          <w:tcPr>
            <w:tcW w:w="908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8"/>
        </w:trPr>
        <w:tc>
          <w:tcPr>
            <w:tcW w:w="9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8"/>
        </w:trPr>
        <w:tc>
          <w:tcPr>
            <w:tcW w:w="908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1"/>
        </w:trPr>
        <w:tc>
          <w:tcPr>
            <w:tcW w:w="9080" w:type="dxa"/>
            <w:vAlign w:val="bottom"/>
          </w:tcPr>
          <w:p>
            <w:pPr>
              <w:ind w:left="260"/>
              <w:spacing w:after="0"/>
              <w:rPr>
                <w:sz w:val="20"/>
                <w:szCs w:val="20"/>
                <w:color w:val="auto"/>
              </w:rPr>
            </w:pPr>
            <w:r>
              <w:rPr>
                <w:rFonts w:ascii="Arial" w:cs="Arial" w:eastAsia="Arial" w:hAnsi="Arial"/>
                <w:sz w:val="15"/>
                <w:szCs w:val="15"/>
                <w:color w:val="auto"/>
              </w:rPr>
              <w:t>Preferred stock, $.01 par value; 30,000,000 shares authorized; issued and outstanding - none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9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Class A Stock, convertible, $.001 par value; 40,000,000 shares authorized;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8"/>
        </w:trPr>
        <w:tc>
          <w:tcPr>
            <w:tcW w:w="90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shares issued and outstanding - 2,089,512 at March 31, 2012 and 2,109,512 at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2"/>
        </w:trPr>
        <w:tc>
          <w:tcPr>
            <w:tcW w:w="90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December 31, 2011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w:t>
            </w:r>
          </w:p>
        </w:tc>
      </w:tr>
      <w:tr>
        <w:trPr>
          <w:trHeight w:val="194"/>
        </w:trPr>
        <w:tc>
          <w:tcPr>
            <w:tcW w:w="9080" w:type="dxa"/>
            <w:vAlign w:val="bottom"/>
          </w:tcPr>
          <w:p>
            <w:pPr>
              <w:ind w:left="260"/>
              <w:spacing w:after="0"/>
              <w:rPr>
                <w:sz w:val="20"/>
                <w:szCs w:val="20"/>
                <w:color w:val="auto"/>
              </w:rPr>
            </w:pPr>
            <w:r>
              <w:rPr>
                <w:rFonts w:ascii="Arial" w:cs="Arial" w:eastAsia="Arial" w:hAnsi="Arial"/>
                <w:sz w:val="15"/>
                <w:szCs w:val="15"/>
                <w:color w:val="auto"/>
              </w:rPr>
              <w:t>Common Stock, $.001 par value; 160,000,000 shares authorized;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8"/>
        </w:trPr>
        <w:tc>
          <w:tcPr>
            <w:tcW w:w="9080" w:type="dxa"/>
            <w:vAlign w:val="bottom"/>
          </w:tcPr>
          <w:p>
            <w:pPr>
              <w:ind w:left="520"/>
              <w:spacing w:after="0"/>
              <w:rPr>
                <w:sz w:val="20"/>
                <w:szCs w:val="20"/>
                <w:color w:val="auto"/>
              </w:rPr>
            </w:pPr>
            <w:r>
              <w:rPr>
                <w:rFonts w:ascii="Arial" w:cs="Arial" w:eastAsia="Arial" w:hAnsi="Arial"/>
                <w:sz w:val="15"/>
                <w:szCs w:val="15"/>
                <w:color w:val="auto"/>
              </w:rPr>
              <w:t>shares issued and outstanding - 92,969,427 at March 31, 2012 and 90,692,071 at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9080" w:type="dxa"/>
            <w:vAlign w:val="bottom"/>
          </w:tcPr>
          <w:p>
            <w:pPr>
              <w:ind w:left="520"/>
              <w:spacing w:after="0"/>
              <w:rPr>
                <w:sz w:val="20"/>
                <w:szCs w:val="20"/>
                <w:color w:val="auto"/>
              </w:rPr>
            </w:pPr>
            <w:r>
              <w:rPr>
                <w:rFonts w:ascii="Arial" w:cs="Arial" w:eastAsia="Arial" w:hAnsi="Arial"/>
                <w:sz w:val="15"/>
                <w:szCs w:val="15"/>
                <w:color w:val="auto"/>
              </w:rPr>
              <w:t>December 31, 2011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5"/>
              <w:spacing w:after="0"/>
              <w:rPr>
                <w:sz w:val="20"/>
                <w:szCs w:val="20"/>
                <w:color w:val="auto"/>
              </w:rPr>
            </w:pPr>
            <w:r>
              <w:rPr>
                <w:rFonts w:ascii="Arial" w:cs="Arial" w:eastAsia="Arial" w:hAnsi="Arial"/>
                <w:sz w:val="15"/>
                <w:szCs w:val="15"/>
                <w:color w:val="auto"/>
              </w:rPr>
              <w:t>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91</w:t>
            </w:r>
          </w:p>
        </w:tc>
      </w:tr>
      <w:tr>
        <w:trPr>
          <w:trHeight w:val="215"/>
        </w:trPr>
        <w:tc>
          <w:tcPr>
            <w:tcW w:w="9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8"/>
              </w:rPr>
              <w:t>1,760,938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1,754,824</w:t>
            </w:r>
          </w:p>
        </w:tc>
      </w:tr>
      <w:tr>
        <w:trPr>
          <w:trHeight w:val="201"/>
        </w:trPr>
        <w:tc>
          <w:tcPr>
            <w:tcW w:w="9080" w:type="dxa"/>
            <w:vAlign w:val="bottom"/>
          </w:tcPr>
          <w:p>
            <w:pPr>
              <w:ind w:left="260"/>
              <w:spacing w:after="0"/>
              <w:rPr>
                <w:sz w:val="20"/>
                <w:szCs w:val="20"/>
                <w:color w:val="auto"/>
              </w:rPr>
            </w:pPr>
            <w:r>
              <w:rPr>
                <w:rFonts w:ascii="Arial" w:cs="Arial" w:eastAsia="Arial" w:hAnsi="Arial"/>
                <w:sz w:val="15"/>
                <w:szCs w:val="15"/>
                <w:color w:val="auto"/>
              </w:rPr>
              <w:t>Accumulated deficit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91"/>
              </w:rPr>
              <w:t>(1,255,672)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(1,267,323)</w:t>
            </w:r>
          </w:p>
        </w:tc>
      </w:tr>
      <w:tr>
        <w:trPr>
          <w:trHeight w:val="215"/>
        </w:trPr>
        <w:tc>
          <w:tcPr>
            <w:tcW w:w="90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(1,337)</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(1,862)</w:t>
            </w:r>
          </w:p>
        </w:tc>
      </w:tr>
      <w:tr>
        <w:trPr>
          <w:trHeight w:val="193"/>
        </w:trPr>
        <w:tc>
          <w:tcPr>
            <w:tcW w:w="908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504,024</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485,732</w:t>
            </w:r>
          </w:p>
        </w:tc>
      </w:tr>
      <w:tr>
        <w:trPr>
          <w:trHeight w:val="210"/>
        </w:trPr>
        <w:tc>
          <w:tcPr>
            <w:tcW w:w="9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8"/>
              </w:rPr>
              <w:t>1,350,159</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1,323,583</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266305" cy="22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1" w:right="219" w:bottom="1440" w:gutter="0" w:footer="0" w:header="0"/>
        </w:sectPr>
      </w:pPr>
    </w:p>
    <w:bookmarkStart w:id="3" w:name="page4"/>
    <w:bookmarkEnd w:id="3"/>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STATEMENTS OF OPERATIONS AND COMPREHENSIVE INCOME (LOSS) (Unaudited)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thousands, except per share data)</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6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4"/>
          </w:tcPr>
          <w:p>
            <w:pPr>
              <w:jc w:val="right"/>
              <w:ind w:right="45"/>
              <w:spacing w:after="0"/>
              <w:rPr>
                <w:sz w:val="20"/>
                <w:szCs w:val="20"/>
                <w:color w:val="auto"/>
              </w:rPr>
            </w:pPr>
            <w:r>
              <w:rPr>
                <w:rFonts w:ascii="Arial" w:cs="Arial" w:eastAsia="Arial" w:hAnsi="Arial"/>
                <w:sz w:val="15"/>
                <w:szCs w:val="15"/>
                <w:b w:val="1"/>
                <w:bCs w:val="1"/>
                <w:color w:val="auto"/>
                <w:w w:val="90"/>
              </w:rPr>
              <w:t>Three months ended March 31,</w:t>
            </w:r>
          </w:p>
        </w:tc>
      </w:tr>
      <w:tr>
        <w:trPr>
          <w:trHeight w:val="215"/>
        </w:trPr>
        <w:tc>
          <w:tcPr>
            <w:tcW w:w="69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b w:val="1"/>
                <w:bCs w:val="1"/>
                <w:color w:val="auto"/>
              </w:rPr>
              <w:t>2012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2011</w:t>
            </w:r>
          </w:p>
        </w:tc>
      </w:tr>
      <w:tr>
        <w:trPr>
          <w:trHeight w:val="195"/>
        </w:trPr>
        <w:tc>
          <w:tcPr>
            <w:tcW w:w="6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Condensed Statements of Operations</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6940" w:type="dxa"/>
            <w:vAlign w:val="bottom"/>
          </w:tcPr>
          <w:p>
            <w:pPr>
              <w:spacing w:after="0"/>
              <w:rPr>
                <w:sz w:val="20"/>
                <w:szCs w:val="20"/>
                <w:color w:val="auto"/>
              </w:rPr>
            </w:pPr>
            <w:r>
              <w:rPr>
                <w:rFonts w:ascii="Arial" w:cs="Arial" w:eastAsia="Arial" w:hAnsi="Arial"/>
                <w:sz w:val="15"/>
                <w:szCs w:val="15"/>
                <w:color w:val="auto"/>
              </w:rPr>
              <w:t>Revenues:</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5"/>
        </w:trPr>
        <w:tc>
          <w:tcPr>
            <w:tcW w:w="69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Net product sales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127,931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4,427</w:t>
            </w:r>
          </w:p>
        </w:tc>
      </w:tr>
      <w:tr>
        <w:trPr>
          <w:trHeight w:val="201"/>
        </w:trPr>
        <w:tc>
          <w:tcPr>
            <w:tcW w:w="6940" w:type="dxa"/>
            <w:vAlign w:val="bottom"/>
          </w:tcPr>
          <w:p>
            <w:pPr>
              <w:ind w:left="260"/>
              <w:spacing w:after="0"/>
              <w:rPr>
                <w:sz w:val="20"/>
                <w:szCs w:val="20"/>
                <w:color w:val="auto"/>
              </w:rPr>
            </w:pPr>
            <w:r>
              <w:rPr>
                <w:rFonts w:ascii="Arial" w:cs="Arial" w:eastAsia="Arial" w:hAnsi="Arial"/>
                <w:sz w:val="15"/>
                <w:szCs w:val="15"/>
                <w:color w:val="auto"/>
              </w:rPr>
              <w:t>Sanofi collaboration revenue</w:t>
            </w:r>
          </w:p>
        </w:tc>
        <w:tc>
          <w:tcPr>
            <w:tcW w:w="8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85,005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85,329</w:t>
            </w:r>
          </w:p>
        </w:tc>
      </w:tr>
      <w:tr>
        <w:trPr>
          <w:trHeight w:val="215"/>
        </w:trPr>
        <w:tc>
          <w:tcPr>
            <w:tcW w:w="69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Bayer HealthCare collaboration revenue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12,483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12,481</w:t>
            </w:r>
          </w:p>
        </w:tc>
      </w:tr>
      <w:tr>
        <w:trPr>
          <w:trHeight w:val="201"/>
        </w:trPr>
        <w:tc>
          <w:tcPr>
            <w:tcW w:w="6940" w:type="dxa"/>
            <w:vAlign w:val="bottom"/>
          </w:tcPr>
          <w:p>
            <w:pPr>
              <w:ind w:left="260"/>
              <w:spacing w:after="0"/>
              <w:rPr>
                <w:sz w:val="20"/>
                <w:szCs w:val="20"/>
                <w:color w:val="auto"/>
              </w:rPr>
            </w:pPr>
            <w:r>
              <w:rPr>
                <w:rFonts w:ascii="Arial" w:cs="Arial" w:eastAsia="Arial" w:hAnsi="Arial"/>
                <w:sz w:val="15"/>
                <w:szCs w:val="15"/>
                <w:color w:val="auto"/>
              </w:rPr>
              <w:t>Technology licensing</w:t>
            </w:r>
          </w:p>
        </w:tc>
        <w:tc>
          <w:tcPr>
            <w:tcW w:w="8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5,893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7,845</w:t>
            </w:r>
          </w:p>
        </w:tc>
      </w:tr>
      <w:tr>
        <w:trPr>
          <w:trHeight w:val="208"/>
        </w:trPr>
        <w:tc>
          <w:tcPr>
            <w:tcW w:w="69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Contract research and other</w:t>
            </w: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477</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2,122</w:t>
            </w:r>
          </w:p>
        </w:tc>
      </w:tr>
      <w:tr>
        <w:trPr>
          <w:trHeight w:val="200"/>
        </w:trPr>
        <w:tc>
          <w:tcPr>
            <w:tcW w:w="69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231,789</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112,204</w:t>
            </w:r>
          </w:p>
        </w:tc>
      </w:tr>
      <w:tr>
        <w:trPr>
          <w:trHeight w:val="195"/>
        </w:trPr>
        <w:tc>
          <w:tcPr>
            <w:tcW w:w="6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8"/>
        </w:trPr>
        <w:tc>
          <w:tcPr>
            <w:tcW w:w="6940" w:type="dxa"/>
            <w:vAlign w:val="bottom"/>
            <w:shd w:val="clear" w:color="auto" w:fill="CCEEFF"/>
          </w:tcPr>
          <w:p>
            <w:pPr>
              <w:spacing w:after="0"/>
              <w:rPr>
                <w:sz w:val="20"/>
                <w:szCs w:val="20"/>
                <w:color w:val="auto"/>
              </w:rPr>
            </w:pPr>
            <w:r>
              <w:rPr>
                <w:rFonts w:ascii="Arial" w:cs="Arial" w:eastAsia="Arial" w:hAnsi="Arial"/>
                <w:sz w:val="15"/>
                <w:szCs w:val="15"/>
                <w:color w:val="auto"/>
              </w:rPr>
              <w:t>Expenses: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1"/>
        </w:trPr>
        <w:tc>
          <w:tcPr>
            <w:tcW w:w="6940" w:type="dxa"/>
            <w:vAlign w:val="bottom"/>
          </w:tcPr>
          <w:p>
            <w:pPr>
              <w:ind w:left="260"/>
              <w:spacing w:after="0"/>
              <w:rPr>
                <w:sz w:val="20"/>
                <w:szCs w:val="20"/>
                <w:color w:val="auto"/>
              </w:rPr>
            </w:pPr>
            <w:r>
              <w:rPr>
                <w:rFonts w:ascii="Arial" w:cs="Arial" w:eastAsia="Arial" w:hAnsi="Arial"/>
                <w:sz w:val="15"/>
                <w:szCs w:val="15"/>
                <w:color w:val="auto"/>
              </w:rPr>
              <w:t>Research and development</w:t>
            </w:r>
          </w:p>
        </w:tc>
        <w:tc>
          <w:tcPr>
            <w:tcW w:w="8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138,862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129,392</w:t>
            </w:r>
          </w:p>
        </w:tc>
      </w:tr>
      <w:tr>
        <w:trPr>
          <w:trHeight w:val="215"/>
        </w:trPr>
        <w:tc>
          <w:tcPr>
            <w:tcW w:w="69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Selling, general, and administrative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58,428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23,411</w:t>
            </w:r>
          </w:p>
        </w:tc>
      </w:tr>
      <w:tr>
        <w:trPr>
          <w:trHeight w:val="201"/>
        </w:trPr>
        <w:tc>
          <w:tcPr>
            <w:tcW w:w="694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Cost of goods sold</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12,298</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382</w:t>
            </w:r>
          </w:p>
        </w:tc>
      </w:tr>
      <w:tr>
        <w:trPr>
          <w:trHeight w:val="200"/>
        </w:trPr>
        <w:tc>
          <w:tcPr>
            <w:tcW w:w="69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209,588</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153,185</w:t>
            </w:r>
          </w:p>
        </w:tc>
      </w:tr>
      <w:tr>
        <w:trPr>
          <w:trHeight w:val="195"/>
        </w:trPr>
        <w:tc>
          <w:tcPr>
            <w:tcW w:w="6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1"/>
        </w:trPr>
        <w:tc>
          <w:tcPr>
            <w:tcW w:w="6940" w:type="dxa"/>
            <w:vAlign w:val="bottom"/>
            <w:shd w:val="clear" w:color="auto" w:fill="CCEEFF"/>
          </w:tcPr>
          <w:p>
            <w:pPr>
              <w:spacing w:after="0"/>
              <w:rPr>
                <w:sz w:val="20"/>
                <w:szCs w:val="20"/>
                <w:color w:val="auto"/>
              </w:rPr>
            </w:pPr>
            <w:r>
              <w:rPr>
                <w:rFonts w:ascii="Arial" w:cs="Arial" w:eastAsia="Arial" w:hAnsi="Arial"/>
                <w:sz w:val="15"/>
                <w:szCs w:val="15"/>
                <w:color w:val="auto"/>
              </w:rPr>
              <w:t>Income (loss) from operations</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22,201</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(40,981)</w:t>
            </w:r>
          </w:p>
        </w:tc>
      </w:tr>
      <w:tr>
        <w:trPr>
          <w:trHeight w:val="195"/>
        </w:trPr>
        <w:tc>
          <w:tcPr>
            <w:tcW w:w="6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8"/>
        </w:trPr>
        <w:tc>
          <w:tcPr>
            <w:tcW w:w="694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1"/>
        </w:trPr>
        <w:tc>
          <w:tcPr>
            <w:tcW w:w="6940" w:type="dxa"/>
            <w:vAlign w:val="bottom"/>
          </w:tcPr>
          <w:p>
            <w:pPr>
              <w:ind w:left="260"/>
              <w:spacing w:after="0"/>
              <w:rPr>
                <w:sz w:val="20"/>
                <w:szCs w:val="20"/>
                <w:color w:val="auto"/>
              </w:rPr>
            </w:pPr>
            <w:r>
              <w:rPr>
                <w:rFonts w:ascii="Arial" w:cs="Arial" w:eastAsia="Arial" w:hAnsi="Arial"/>
                <w:sz w:val="15"/>
                <w:szCs w:val="15"/>
                <w:color w:val="auto"/>
              </w:rPr>
              <w:t>Investment income</w:t>
            </w:r>
          </w:p>
        </w:tc>
        <w:tc>
          <w:tcPr>
            <w:tcW w:w="8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610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1,037</w:t>
            </w:r>
          </w:p>
        </w:tc>
      </w:tr>
      <w:tr>
        <w:trPr>
          <w:trHeight w:val="208"/>
        </w:trPr>
        <w:tc>
          <w:tcPr>
            <w:tcW w:w="69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Interest expense</w:t>
            </w: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(11,160)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(3,719)</w:t>
            </w:r>
          </w:p>
        </w:tc>
      </w:tr>
      <w:tr>
        <w:trPr>
          <w:trHeight w:val="200"/>
        </w:trPr>
        <w:tc>
          <w:tcPr>
            <w:tcW w:w="69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(10,550)</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(2,682)</w:t>
            </w:r>
          </w:p>
        </w:tc>
      </w:tr>
      <w:tr>
        <w:trPr>
          <w:trHeight w:val="195"/>
        </w:trPr>
        <w:tc>
          <w:tcPr>
            <w:tcW w:w="6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8"/>
        </w:trPr>
        <w:tc>
          <w:tcPr>
            <w:tcW w:w="694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 before income tax benefit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11,651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(43,663)</w:t>
            </w:r>
          </w:p>
        </w:tc>
      </w:tr>
      <w:tr>
        <w:trPr>
          <w:trHeight w:val="208"/>
        </w:trPr>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1"/>
        </w:trPr>
        <w:tc>
          <w:tcPr>
            <w:tcW w:w="694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216</w:t>
            </w:r>
          </w:p>
        </w:tc>
      </w:tr>
      <w:tr>
        <w:trPr>
          <w:trHeight w:val="195"/>
        </w:trPr>
        <w:tc>
          <w:tcPr>
            <w:tcW w:w="6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1"/>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11,651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(43,447)</w:t>
            </w:r>
          </w:p>
        </w:tc>
      </w:tr>
      <w:tr>
        <w:trPr>
          <w:trHeight w:val="196"/>
        </w:trPr>
        <w:tc>
          <w:tcPr>
            <w:tcW w:w="6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8"/>
        </w:trPr>
        <w:tc>
          <w:tcPr>
            <w:tcW w:w="694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 per share - basic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0.12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(0.49)</w:t>
            </w:r>
          </w:p>
        </w:tc>
      </w:tr>
      <w:tr>
        <w:trPr>
          <w:trHeight w:val="194"/>
        </w:trPr>
        <w:tc>
          <w:tcPr>
            <w:tcW w:w="6940" w:type="dxa"/>
            <w:vAlign w:val="bottom"/>
          </w:tcPr>
          <w:p>
            <w:pPr>
              <w:spacing w:after="0"/>
              <w:rPr>
                <w:sz w:val="20"/>
                <w:szCs w:val="20"/>
                <w:color w:val="auto"/>
              </w:rPr>
            </w:pPr>
            <w:r>
              <w:rPr>
                <w:rFonts w:ascii="Arial" w:cs="Arial" w:eastAsia="Arial" w:hAnsi="Arial"/>
                <w:sz w:val="15"/>
                <w:szCs w:val="15"/>
                <w:color w:val="auto"/>
              </w:rPr>
              <w:t>Net income (loss) per share - diluted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0.11</w:t>
            </w:r>
          </w:p>
        </w:tc>
        <w:tc>
          <w:tcPr>
            <w:tcW w:w="24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(0.49)</w:t>
            </w:r>
          </w:p>
        </w:tc>
      </w:tr>
      <w:tr>
        <w:trPr>
          <w:trHeight w:val="222"/>
        </w:trPr>
        <w:tc>
          <w:tcPr>
            <w:tcW w:w="6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8"/>
        </w:trPr>
        <w:tc>
          <w:tcPr>
            <w:tcW w:w="694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outstanding - basic</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93,446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89,162</w:t>
            </w:r>
          </w:p>
        </w:tc>
      </w:tr>
      <w:tr>
        <w:trPr>
          <w:trHeight w:val="194"/>
        </w:trPr>
        <w:tc>
          <w:tcPr>
            <w:tcW w:w="6940" w:type="dxa"/>
            <w:vAlign w:val="bottom"/>
          </w:tcPr>
          <w:p>
            <w:pPr>
              <w:spacing w:after="0"/>
              <w:rPr>
                <w:sz w:val="20"/>
                <w:szCs w:val="20"/>
                <w:color w:val="auto"/>
              </w:rPr>
            </w:pPr>
            <w:r>
              <w:rPr>
                <w:rFonts w:ascii="Arial" w:cs="Arial" w:eastAsia="Arial" w:hAnsi="Arial"/>
                <w:sz w:val="15"/>
                <w:szCs w:val="15"/>
                <w:color w:val="auto"/>
              </w:rPr>
              <w:t>Weighted average shares outstanding - diluted</w:t>
            </w:r>
          </w:p>
        </w:tc>
        <w:tc>
          <w:tcPr>
            <w:tcW w:w="80" w:type="dxa"/>
            <w:vAlign w:val="bottom"/>
          </w:tcPr>
          <w:p>
            <w:pPr>
              <w:spacing w:after="0"/>
              <w:rPr>
                <w:sz w:val="16"/>
                <w:szCs w:val="16"/>
                <w:color w:val="auto"/>
              </w:rPr>
            </w:pP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107,734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color w:val="auto"/>
              </w:rPr>
              <w:t>89,162</w:t>
            </w:r>
          </w:p>
        </w:tc>
      </w:tr>
      <w:tr>
        <w:trPr>
          <w:trHeight w:val="222"/>
        </w:trPr>
        <w:tc>
          <w:tcPr>
            <w:tcW w:w="6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8"/>
        </w:trPr>
        <w:tc>
          <w:tcPr>
            <w:tcW w:w="6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Condensed Statements of Comprehensive Income (Loss)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1"/>
        </w:trPr>
        <w:tc>
          <w:tcPr>
            <w:tcW w:w="6940" w:type="dxa"/>
            <w:vAlign w:val="bottom"/>
          </w:tcPr>
          <w:p>
            <w:pPr>
              <w:spacing w:after="0"/>
              <w:rPr>
                <w:sz w:val="20"/>
                <w:szCs w:val="20"/>
                <w:color w:val="auto"/>
              </w:rPr>
            </w:pPr>
            <w:r>
              <w:rPr>
                <w:rFonts w:ascii="Arial" w:cs="Arial" w:eastAsia="Arial" w:hAnsi="Arial"/>
                <w:sz w:val="15"/>
                <w:szCs w:val="15"/>
                <w:color w:val="auto"/>
              </w:rPr>
              <w:t>Net income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5"/>
              <w:spacing w:after="0"/>
              <w:rPr>
                <w:sz w:val="20"/>
                <w:szCs w:val="20"/>
                <w:color w:val="auto"/>
              </w:rPr>
            </w:pPr>
            <w:r>
              <w:rPr>
                <w:rFonts w:ascii="Arial" w:cs="Arial" w:eastAsia="Arial" w:hAnsi="Arial"/>
                <w:sz w:val="15"/>
                <w:szCs w:val="15"/>
                <w:color w:val="auto"/>
              </w:rPr>
              <w:t>11,651</w:t>
            </w:r>
          </w:p>
        </w:tc>
        <w:tc>
          <w:tcPr>
            <w:tcW w:w="24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(43,447)</w:t>
            </w:r>
          </w:p>
        </w:tc>
      </w:tr>
      <w:tr>
        <w:trPr>
          <w:trHeight w:val="215"/>
        </w:trPr>
        <w:tc>
          <w:tcPr>
            <w:tcW w:w="694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 (loss):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1"/>
        </w:trPr>
        <w:tc>
          <w:tcPr>
            <w:tcW w:w="6940" w:type="dxa"/>
            <w:vAlign w:val="bottom"/>
          </w:tcPr>
          <w:p>
            <w:pPr>
              <w:ind w:left="260"/>
              <w:spacing w:after="0"/>
              <w:rPr>
                <w:sz w:val="20"/>
                <w:szCs w:val="20"/>
                <w:color w:val="auto"/>
              </w:rPr>
            </w:pPr>
            <w:r>
              <w:rPr>
                <w:rFonts w:ascii="Arial" w:cs="Arial" w:eastAsia="Arial" w:hAnsi="Arial"/>
                <w:sz w:val="15"/>
                <w:szCs w:val="15"/>
                <w:color w:val="auto"/>
              </w:rPr>
              <w:t>Unrealized gain on marketable securities, net of tax</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525</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316</w:t>
            </w:r>
          </w:p>
        </w:tc>
      </w:tr>
      <w:tr>
        <w:trPr>
          <w:trHeight w:val="195"/>
        </w:trPr>
        <w:tc>
          <w:tcPr>
            <w:tcW w:w="6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1"/>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Comprehensive income (loss)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12,176</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(43,131)</w:t>
            </w:r>
          </w:p>
        </w:tc>
      </w:tr>
    </w:tbl>
    <w:p>
      <w:pPr>
        <w:spacing w:after="0" w:line="393" w:lineRule="exact"/>
        <w:rPr>
          <w:sz w:val="20"/>
          <w:szCs w:val="20"/>
          <w:color w:val="auto"/>
        </w:rPr>
      </w:pPr>
    </w:p>
    <w:p>
      <w:pPr>
        <w:ind w:left="3400"/>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266305" cy="2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0300"/>
          </w:cols>
          <w:pgMar w:left="240" w:top="521" w:right="1359" w:bottom="1440" w:gutter="0" w:footer="0" w:header="0"/>
        </w:sectPr>
      </w:pPr>
    </w:p>
    <w:bookmarkStart w:id="4" w:name="page5"/>
    <w:bookmarkEnd w:id="4"/>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STATEMENTS OF STOCKHOLDERS' EQUITY (Unaudited)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the three months ended March 31, 2012 and 2011</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Accumulated</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Other</w:t>
            </w:r>
          </w:p>
        </w:tc>
        <w:tc>
          <w:tcPr>
            <w:tcW w:w="80" w:type="dxa"/>
            <w:vAlign w:val="bottom"/>
          </w:tcPr>
          <w:p>
            <w:pPr>
              <w:spacing w:after="0"/>
              <w:rPr>
                <w:sz w:val="18"/>
                <w:szCs w:val="18"/>
                <w:color w:val="auto"/>
              </w:rPr>
            </w:pPr>
          </w:p>
        </w:tc>
        <w:tc>
          <w:tcPr>
            <w:tcW w:w="960" w:type="dxa"/>
            <w:vAlign w:val="bottom"/>
          </w:tcPr>
          <w:p>
            <w:pPr>
              <w:jc w:val="center"/>
              <w:ind w:right="5"/>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bottom w:val="single" w:sz="8" w:color="auto"/>
            </w:tcBorders>
            <w:gridSpan w:val="3"/>
          </w:tcPr>
          <w:p>
            <w:pPr>
              <w:ind w:left="220"/>
              <w:spacing w:after="0"/>
              <w:rPr>
                <w:sz w:val="20"/>
                <w:szCs w:val="20"/>
                <w:color w:val="auto"/>
              </w:rPr>
            </w:pPr>
            <w:r>
              <w:rPr>
                <w:rFonts w:ascii="Arial" w:cs="Arial" w:eastAsia="Arial" w:hAnsi="Arial"/>
                <w:sz w:val="15"/>
                <w:szCs w:val="15"/>
                <w:b w:val="1"/>
                <w:bCs w:val="1"/>
                <w:color w:val="auto"/>
                <w:w w:val="93"/>
              </w:rPr>
              <w:t>Class A Stock</w:t>
            </w:r>
          </w:p>
        </w:tc>
        <w:tc>
          <w:tcPr>
            <w:tcW w:w="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gridSpan w:val="3"/>
          </w:tcPr>
          <w:p>
            <w:pPr>
              <w:ind w:left="200"/>
              <w:spacing w:after="0"/>
              <w:rPr>
                <w:sz w:val="20"/>
                <w:szCs w:val="20"/>
                <w:color w:val="auto"/>
              </w:rPr>
            </w:pPr>
            <w:r>
              <w:rPr>
                <w:rFonts w:ascii="Arial" w:cs="Arial" w:eastAsia="Arial" w:hAnsi="Arial"/>
                <w:sz w:val="15"/>
                <w:szCs w:val="15"/>
                <w:b w:val="1"/>
                <w:bCs w:val="1"/>
                <w:color w:val="auto"/>
                <w:w w:val="89"/>
              </w:rPr>
              <w:t>Common Stock</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Paid-in</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Accumulated</w:t>
            </w:r>
          </w:p>
        </w:tc>
        <w:tc>
          <w:tcPr>
            <w:tcW w:w="134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8"/>
              </w:rPr>
              <w:t>Comprehensive</w:t>
            </w:r>
          </w:p>
        </w:tc>
        <w:tc>
          <w:tcPr>
            <w:tcW w:w="80" w:type="dxa"/>
            <w:vAlign w:val="bottom"/>
          </w:tcPr>
          <w:p>
            <w:pPr>
              <w:spacing w:after="0"/>
              <w:rPr>
                <w:sz w:val="18"/>
                <w:szCs w:val="18"/>
                <w:color w:val="auto"/>
              </w:rPr>
            </w:pPr>
          </w:p>
        </w:tc>
        <w:tc>
          <w:tcPr>
            <w:tcW w:w="960" w:type="dxa"/>
            <w:vAlign w:val="bottom"/>
          </w:tcPr>
          <w:p>
            <w:pPr>
              <w:jc w:val="center"/>
              <w:ind w:right="5"/>
              <w:spacing w:after="0"/>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201"/>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w w:val="95"/>
              </w:rPr>
              <w:t>Shares</w:t>
            </w:r>
          </w:p>
        </w:tc>
        <w:tc>
          <w:tcPr>
            <w:tcW w:w="24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Arial" w:cs="Arial" w:eastAsia="Arial" w:hAnsi="Arial"/>
                <w:sz w:val="15"/>
                <w:szCs w:val="15"/>
                <w:b w:val="1"/>
                <w:bCs w:val="1"/>
                <w:color w:val="auto"/>
                <w:w w:val="88"/>
              </w:rPr>
              <w:t>Amount</w:t>
            </w:r>
          </w:p>
        </w:tc>
        <w:tc>
          <w:tcPr>
            <w:tcW w:w="220" w:type="dxa"/>
            <w:vAlign w:val="bottom"/>
          </w:tcPr>
          <w:p>
            <w:pPr>
              <w:spacing w:after="0"/>
              <w:rPr>
                <w:sz w:val="17"/>
                <w:szCs w:val="17"/>
                <w:color w:val="auto"/>
              </w:rPr>
            </w:pPr>
          </w:p>
        </w:tc>
        <w:tc>
          <w:tcPr>
            <w:tcW w:w="620" w:type="dxa"/>
            <w:vAlign w:val="bottom"/>
          </w:tcPr>
          <w:p>
            <w:pPr>
              <w:jc w:val="right"/>
              <w:ind w:right="5"/>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7"/>
                <w:szCs w:val="17"/>
                <w:color w:val="auto"/>
              </w:rPr>
            </w:pPr>
          </w:p>
        </w:tc>
        <w:tc>
          <w:tcPr>
            <w:tcW w:w="640" w:type="dxa"/>
            <w:vAlign w:val="bottom"/>
            <w:gridSpan w:val="3"/>
          </w:tcPr>
          <w:p>
            <w:pPr>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Capital</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Deficit</w:t>
            </w:r>
          </w:p>
        </w:tc>
        <w:tc>
          <w:tcPr>
            <w:tcW w:w="1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Income (Loss)</w:t>
            </w:r>
          </w:p>
        </w:tc>
        <w:tc>
          <w:tcPr>
            <w:tcW w:w="80" w:type="dxa"/>
            <w:vAlign w:val="bottom"/>
          </w:tcPr>
          <w:p>
            <w:pPr>
              <w:spacing w:after="0"/>
              <w:rPr>
                <w:sz w:val="17"/>
                <w:szCs w:val="17"/>
                <w:color w:val="auto"/>
              </w:rPr>
            </w:pPr>
          </w:p>
        </w:tc>
        <w:tc>
          <w:tcPr>
            <w:tcW w:w="960" w:type="dxa"/>
            <w:vAlign w:val="bottom"/>
          </w:tcPr>
          <w:p>
            <w:pPr>
              <w:jc w:val="center"/>
              <w:ind w:right="5"/>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Balance, December 31, 2011</w:t>
            </w: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2,109</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90,692</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91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$1,754,824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(1,267,323)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485,732</w:t>
            </w:r>
          </w:p>
        </w:tc>
        <w:tc>
          <w:tcPr>
            <w:tcW w:w="0" w:type="dxa"/>
            <w:vAlign w:val="bottom"/>
          </w:tcPr>
          <w:p>
            <w:pPr>
              <w:spacing w:after="0"/>
              <w:rPr>
                <w:sz w:val="1"/>
                <w:szCs w:val="1"/>
                <w:color w:val="auto"/>
              </w:rPr>
            </w:pPr>
          </w:p>
        </w:tc>
      </w:tr>
      <w:tr>
        <w:trPr>
          <w:trHeight w:val="194"/>
        </w:trPr>
        <w:tc>
          <w:tcPr>
            <w:tcW w:w="3440" w:type="dxa"/>
            <w:vAlign w:val="bottom"/>
          </w:tcPr>
          <w:p>
            <w:pPr>
              <w:spacing w:after="0"/>
              <w:rPr>
                <w:sz w:val="20"/>
                <w:szCs w:val="20"/>
                <w:color w:val="auto"/>
              </w:rPr>
            </w:pPr>
            <w:r>
              <w:rPr>
                <w:rFonts w:ascii="Arial" w:cs="Arial" w:eastAsia="Arial" w:hAnsi="Arial"/>
                <w:sz w:val="15"/>
                <w:szCs w:val="15"/>
                <w:color w:val="auto"/>
                <w:w w:val="93"/>
              </w:rPr>
              <w:t>Issuance of Common Stock in connection with exercise</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260"/>
              <w:spacing w:after="0"/>
              <w:rPr>
                <w:sz w:val="20"/>
                <w:szCs w:val="20"/>
                <w:color w:val="auto"/>
              </w:rPr>
            </w:pPr>
            <w:r>
              <w:rPr>
                <w:rFonts w:ascii="Arial" w:cs="Arial" w:eastAsia="Arial" w:hAnsi="Arial"/>
                <w:sz w:val="15"/>
                <w:szCs w:val="15"/>
                <w:color w:val="auto"/>
              </w:rPr>
              <w:t>of stock options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2,662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31,744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31,746</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w w:val="91"/>
              </w:rPr>
              <w:t>Common Stock tendered upon exercise of stock options</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in connection with employee tax obligations</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(49,078)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(49,078)</w:t>
            </w:r>
          </w:p>
        </w:tc>
        <w:tc>
          <w:tcPr>
            <w:tcW w:w="0" w:type="dxa"/>
            <w:vAlign w:val="bottom"/>
          </w:tcPr>
          <w:p>
            <w:pPr>
              <w:spacing w:after="0"/>
              <w:rPr>
                <w:sz w:val="1"/>
                <w:szCs w:val="1"/>
                <w:color w:val="auto"/>
              </w:rPr>
            </w:pPr>
          </w:p>
        </w:tc>
      </w:tr>
      <w:tr>
        <w:trPr>
          <w:trHeight w:val="194"/>
        </w:trPr>
        <w:tc>
          <w:tcPr>
            <w:tcW w:w="3440" w:type="dxa"/>
            <w:vAlign w:val="bottom"/>
          </w:tcPr>
          <w:p>
            <w:pPr>
              <w:spacing w:after="0"/>
              <w:rPr>
                <w:sz w:val="20"/>
                <w:szCs w:val="20"/>
                <w:color w:val="auto"/>
              </w:rPr>
            </w:pPr>
            <w:r>
              <w:rPr>
                <w:rFonts w:ascii="Arial" w:cs="Arial" w:eastAsia="Arial" w:hAnsi="Arial"/>
                <w:sz w:val="15"/>
                <w:szCs w:val="15"/>
                <w:color w:val="auto"/>
                <w:w w:val="91"/>
              </w:rPr>
              <w:t>Issuance of Common Stock in connection with Company</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260"/>
              <w:spacing w:after="0"/>
              <w:rPr>
                <w:sz w:val="20"/>
                <w:szCs w:val="20"/>
                <w:color w:val="auto"/>
              </w:rPr>
            </w:pPr>
            <w:r>
              <w:rPr>
                <w:rFonts w:ascii="Arial" w:cs="Arial" w:eastAsia="Arial" w:hAnsi="Arial"/>
                <w:sz w:val="15"/>
                <w:szCs w:val="15"/>
                <w:color w:val="auto"/>
              </w:rPr>
              <w:t>401(k) Savings Plan contribution</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Conversion of Class A Stock to Common Stock</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440" w:type="dxa"/>
            <w:vAlign w:val="bottom"/>
          </w:tcPr>
          <w:p>
            <w:pPr>
              <w:spacing w:after="0"/>
              <w:rPr>
                <w:sz w:val="20"/>
                <w:szCs w:val="20"/>
                <w:color w:val="auto"/>
              </w:rPr>
            </w:pPr>
            <w:r>
              <w:rPr>
                <w:rFonts w:ascii="Arial" w:cs="Arial" w:eastAsia="Arial" w:hAnsi="Arial"/>
                <w:sz w:val="15"/>
                <w:szCs w:val="15"/>
                <w:color w:val="auto"/>
              </w:rPr>
              <w:t>Stock-based compensation charges</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23,448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23,448</w:t>
            </w: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11,651</w:t>
            </w:r>
          </w:p>
        </w:tc>
        <w:tc>
          <w:tcPr>
            <w:tcW w:w="0" w:type="dxa"/>
            <w:vAlign w:val="bottom"/>
          </w:tcPr>
          <w:p>
            <w:pPr>
              <w:spacing w:after="0"/>
              <w:rPr>
                <w:sz w:val="1"/>
                <w:szCs w:val="1"/>
                <w:color w:val="auto"/>
              </w:rPr>
            </w:pPr>
          </w:p>
        </w:tc>
      </w:tr>
      <w:tr>
        <w:trPr>
          <w:trHeight w:val="201"/>
        </w:trPr>
        <w:tc>
          <w:tcPr>
            <w:tcW w:w="3440" w:type="dxa"/>
            <w:vAlign w:val="bottom"/>
          </w:tcPr>
          <w:p>
            <w:pPr>
              <w:spacing w:after="0"/>
              <w:rPr>
                <w:sz w:val="20"/>
                <w:szCs w:val="20"/>
                <w:color w:val="auto"/>
              </w:rPr>
            </w:pPr>
            <w:r>
              <w:rPr>
                <w:rFonts w:ascii="Arial" w:cs="Arial" w:eastAsia="Arial" w:hAnsi="Arial"/>
                <w:sz w:val="15"/>
                <w:szCs w:val="15"/>
                <w:color w:val="auto"/>
              </w:rPr>
              <w:t>Other comprehensive income, net of tax</w:t>
            </w:r>
          </w:p>
        </w:tc>
        <w:tc>
          <w:tcPr>
            <w:tcW w:w="2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525</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525</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March 31, 2012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2,089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92,969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93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$1,760,938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(1,255,672)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504,024</w:t>
            </w:r>
          </w:p>
        </w:tc>
        <w:tc>
          <w:tcPr>
            <w:tcW w:w="0" w:type="dxa"/>
            <w:vAlign w:val="bottom"/>
          </w:tcPr>
          <w:p>
            <w:pPr>
              <w:spacing w:after="0"/>
              <w:rPr>
                <w:sz w:val="1"/>
                <w:szCs w:val="1"/>
                <w:color w:val="auto"/>
              </w:rPr>
            </w:pPr>
          </w:p>
        </w:tc>
      </w:tr>
      <w:tr>
        <w:trPr>
          <w:trHeight w:val="196"/>
        </w:trPr>
        <w:tc>
          <w:tcPr>
            <w:tcW w:w="3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December 31, 2010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2,182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87,238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87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$1,575,780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(1,045,563)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527,815</w:t>
            </w:r>
          </w:p>
        </w:tc>
        <w:tc>
          <w:tcPr>
            <w:tcW w:w="0" w:type="dxa"/>
            <w:vAlign w:val="bottom"/>
          </w:tcPr>
          <w:p>
            <w:pPr>
              <w:spacing w:after="0"/>
              <w:rPr>
                <w:sz w:val="1"/>
                <w:szCs w:val="1"/>
                <w:color w:val="auto"/>
              </w:rPr>
            </w:pPr>
          </w:p>
        </w:tc>
      </w:tr>
      <w:tr>
        <w:trPr>
          <w:trHeight w:val="194"/>
        </w:trPr>
        <w:tc>
          <w:tcPr>
            <w:tcW w:w="3440" w:type="dxa"/>
            <w:vAlign w:val="bottom"/>
          </w:tcPr>
          <w:p>
            <w:pPr>
              <w:spacing w:after="0"/>
              <w:rPr>
                <w:sz w:val="20"/>
                <w:szCs w:val="20"/>
                <w:color w:val="auto"/>
              </w:rPr>
            </w:pPr>
            <w:r>
              <w:rPr>
                <w:rFonts w:ascii="Arial" w:cs="Arial" w:eastAsia="Arial" w:hAnsi="Arial"/>
                <w:sz w:val="15"/>
                <w:szCs w:val="15"/>
                <w:color w:val="auto"/>
                <w:w w:val="93"/>
              </w:rPr>
              <w:t>Issuance of Common Stock in connection with exercise</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260"/>
              <w:spacing w:after="0"/>
              <w:rPr>
                <w:sz w:val="20"/>
                <w:szCs w:val="20"/>
                <w:color w:val="auto"/>
              </w:rPr>
            </w:pPr>
            <w:r>
              <w:rPr>
                <w:rFonts w:ascii="Arial" w:cs="Arial" w:eastAsia="Arial" w:hAnsi="Arial"/>
                <w:sz w:val="15"/>
                <w:szCs w:val="15"/>
                <w:color w:val="auto"/>
              </w:rPr>
              <w:t>of stock options, net of shares tendered</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1,218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15,102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15,104</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w w:val="91"/>
              </w:rPr>
              <w:t>Issuance of Common Stock in connection with Company</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401(k) Savings Plan contribution</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3,405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3,405</w:t>
            </w:r>
          </w:p>
        </w:tc>
        <w:tc>
          <w:tcPr>
            <w:tcW w:w="0" w:type="dxa"/>
            <w:vAlign w:val="bottom"/>
          </w:tcPr>
          <w:p>
            <w:pPr>
              <w:spacing w:after="0"/>
              <w:rPr>
                <w:sz w:val="1"/>
                <w:szCs w:val="1"/>
                <w:color w:val="auto"/>
              </w:rPr>
            </w:pPr>
          </w:p>
        </w:tc>
      </w:tr>
      <w:tr>
        <w:trPr>
          <w:trHeight w:val="201"/>
        </w:trPr>
        <w:tc>
          <w:tcPr>
            <w:tcW w:w="3440" w:type="dxa"/>
            <w:vAlign w:val="bottom"/>
          </w:tcPr>
          <w:p>
            <w:pPr>
              <w:spacing w:after="0"/>
              <w:rPr>
                <w:sz w:val="20"/>
                <w:szCs w:val="20"/>
                <w:color w:val="auto"/>
              </w:rPr>
            </w:pPr>
            <w:r>
              <w:rPr>
                <w:rFonts w:ascii="Arial" w:cs="Arial" w:eastAsia="Arial" w:hAnsi="Arial"/>
                <w:sz w:val="15"/>
                <w:szCs w:val="15"/>
                <w:color w:val="auto"/>
              </w:rPr>
              <w:t>Stock-based compensation charges</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14,898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14,898</w:t>
            </w: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(43,447)</w:t>
            </w:r>
          </w:p>
        </w:tc>
        <w:tc>
          <w:tcPr>
            <w:tcW w:w="0" w:type="dxa"/>
            <w:vAlign w:val="bottom"/>
          </w:tcPr>
          <w:p>
            <w:pPr>
              <w:spacing w:after="0"/>
              <w:rPr>
                <w:sz w:val="1"/>
                <w:szCs w:val="1"/>
                <w:color w:val="auto"/>
              </w:rPr>
            </w:pPr>
          </w:p>
        </w:tc>
      </w:tr>
      <w:tr>
        <w:trPr>
          <w:trHeight w:val="201"/>
        </w:trPr>
        <w:tc>
          <w:tcPr>
            <w:tcW w:w="3440" w:type="dxa"/>
            <w:vAlign w:val="bottom"/>
          </w:tcPr>
          <w:p>
            <w:pPr>
              <w:spacing w:after="0"/>
              <w:rPr>
                <w:sz w:val="20"/>
                <w:szCs w:val="20"/>
                <w:color w:val="auto"/>
              </w:rPr>
            </w:pPr>
            <w:r>
              <w:rPr>
                <w:rFonts w:ascii="Arial" w:cs="Arial" w:eastAsia="Arial" w:hAnsi="Arial"/>
                <w:sz w:val="15"/>
                <w:szCs w:val="15"/>
                <w:color w:val="auto"/>
              </w:rPr>
              <w:t>Other comprehensive income, net of tax</w:t>
            </w:r>
          </w:p>
        </w:tc>
        <w:tc>
          <w:tcPr>
            <w:tcW w:w="2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March 31, 2011</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2,182</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88,548</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89</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$1,609,185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(1,089,010)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518,091</w:t>
            </w:r>
          </w:p>
        </w:tc>
        <w:tc>
          <w:tcPr>
            <w:tcW w:w="0" w:type="dxa"/>
            <w:vAlign w:val="bottom"/>
          </w:tcPr>
          <w:p>
            <w:pPr>
              <w:spacing w:after="0"/>
              <w:rPr>
                <w:sz w:val="1"/>
                <w:szCs w:val="1"/>
                <w:color w:val="auto"/>
              </w:rPr>
            </w:pPr>
          </w:p>
        </w:tc>
      </w:tr>
      <w:tr>
        <w:trPr>
          <w:trHeight w:val="24"/>
        </w:trPr>
        <w:tc>
          <w:tcPr>
            <w:tcW w:w="3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266305" cy="22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520"/>
          </w:cols>
          <w:pgMar w:left="240" w:top="521" w:right="13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STATEMENTS OF CASH FLOWS (Unaudited)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4"/>
          </w:tcPr>
          <w:p>
            <w:pPr>
              <w:jc w:val="right"/>
              <w:ind w:right="145"/>
              <w:spacing w:after="0"/>
              <w:rPr>
                <w:sz w:val="20"/>
                <w:szCs w:val="20"/>
                <w:color w:val="auto"/>
              </w:rPr>
            </w:pPr>
            <w:r>
              <w:rPr>
                <w:rFonts w:ascii="Arial" w:cs="Arial" w:eastAsia="Arial" w:hAnsi="Arial"/>
                <w:sz w:val="15"/>
                <w:szCs w:val="15"/>
                <w:b w:val="1"/>
                <w:bCs w:val="1"/>
                <w:color w:val="auto"/>
                <w:w w:val="93"/>
              </w:rPr>
              <w:t>Three months ended March 31,</w:t>
            </w:r>
          </w:p>
        </w:tc>
        <w:tc>
          <w:tcPr>
            <w:tcW w:w="20" w:type="dxa"/>
            <w:vAlign w:val="bottom"/>
          </w:tcPr>
          <w:p>
            <w:pPr>
              <w:spacing w:after="0"/>
              <w:rPr>
                <w:sz w:val="16"/>
                <w:szCs w:val="16"/>
                <w:color w:val="auto"/>
              </w:rPr>
            </w:pPr>
          </w:p>
        </w:tc>
      </w:tr>
      <w:tr>
        <w:trPr>
          <w:trHeight w:val="215"/>
        </w:trPr>
        <w:tc>
          <w:tcPr>
            <w:tcW w:w="8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2012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2011</w:t>
            </w:r>
          </w:p>
        </w:tc>
        <w:tc>
          <w:tcPr>
            <w:tcW w:w="20" w:type="dxa"/>
            <w:vAlign w:val="bottom"/>
          </w:tcPr>
          <w:p>
            <w:pPr>
              <w:spacing w:after="0"/>
              <w:rPr>
                <w:sz w:val="18"/>
                <w:szCs w:val="18"/>
                <w:color w:val="auto"/>
              </w:rPr>
            </w:pPr>
          </w:p>
        </w:tc>
      </w:tr>
      <w:tr>
        <w:trPr>
          <w:trHeight w:val="195"/>
        </w:trPr>
        <w:tc>
          <w:tcPr>
            <w:tcW w:w="876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operating activities:</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8760" w:type="dxa"/>
            <w:vAlign w:val="bottom"/>
          </w:tcPr>
          <w:p>
            <w:pPr>
              <w:ind w:left="260"/>
              <w:spacing w:after="0"/>
              <w:rPr>
                <w:sz w:val="20"/>
                <w:szCs w:val="20"/>
                <w:color w:val="auto"/>
              </w:rPr>
            </w:pPr>
            <w:r>
              <w:rPr>
                <w:rFonts w:ascii="Arial" w:cs="Arial" w:eastAsia="Arial" w:hAnsi="Arial"/>
                <w:sz w:val="15"/>
                <w:szCs w:val="15"/>
                <w:color w:val="auto"/>
              </w:rPr>
              <w:t>Net income (loss)</w:t>
            </w:r>
          </w:p>
        </w:tc>
        <w:tc>
          <w:tcPr>
            <w:tcW w:w="3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11,651</w:t>
            </w: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(43,447)</w:t>
            </w:r>
          </w:p>
        </w:tc>
        <w:tc>
          <w:tcPr>
            <w:tcW w:w="20" w:type="dxa"/>
            <w:vAlign w:val="bottom"/>
          </w:tcPr>
          <w:p>
            <w:pPr>
              <w:spacing w:after="0"/>
              <w:rPr>
                <w:sz w:val="17"/>
                <w:szCs w:val="17"/>
                <w:color w:val="auto"/>
              </w:rPr>
            </w:pPr>
          </w:p>
        </w:tc>
      </w:tr>
      <w:tr>
        <w:trPr>
          <w:trHeight w:val="181"/>
        </w:trPr>
        <w:tc>
          <w:tcPr>
            <w:tcW w:w="87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Adjustments to reconcile net income (loss) to net cash</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2"/>
        </w:trPr>
        <w:tc>
          <w:tcPr>
            <w:tcW w:w="87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used in operating activities: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1"/>
        </w:trPr>
        <w:tc>
          <w:tcPr>
            <w:tcW w:w="8760" w:type="dxa"/>
            <w:vAlign w:val="bottom"/>
          </w:tcPr>
          <w:p>
            <w:pPr>
              <w:ind w:left="52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8,416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6,978</w:t>
            </w:r>
          </w:p>
        </w:tc>
        <w:tc>
          <w:tcPr>
            <w:tcW w:w="20" w:type="dxa"/>
            <w:vAlign w:val="bottom"/>
          </w:tcPr>
          <w:p>
            <w:pPr>
              <w:spacing w:after="0"/>
              <w:rPr>
                <w:sz w:val="17"/>
                <w:szCs w:val="17"/>
                <w:color w:val="auto"/>
              </w:rPr>
            </w:pPr>
          </w:p>
        </w:tc>
      </w:tr>
      <w:tr>
        <w:trPr>
          <w:trHeight w:val="215"/>
        </w:trPr>
        <w:tc>
          <w:tcPr>
            <w:tcW w:w="87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Non-cash compensation expense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23,244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14,801</w:t>
            </w:r>
          </w:p>
        </w:tc>
        <w:tc>
          <w:tcPr>
            <w:tcW w:w="20" w:type="dxa"/>
            <w:vAlign w:val="bottom"/>
          </w:tcPr>
          <w:p>
            <w:pPr>
              <w:spacing w:after="0"/>
              <w:rPr>
                <w:sz w:val="18"/>
                <w:szCs w:val="18"/>
                <w:color w:val="auto"/>
              </w:rPr>
            </w:pPr>
          </w:p>
        </w:tc>
      </w:tr>
      <w:tr>
        <w:trPr>
          <w:trHeight w:val="201"/>
        </w:trPr>
        <w:tc>
          <w:tcPr>
            <w:tcW w:w="8760" w:type="dxa"/>
            <w:vAlign w:val="bottom"/>
          </w:tcPr>
          <w:p>
            <w:pPr>
              <w:ind w:left="520"/>
              <w:spacing w:after="0"/>
              <w:rPr>
                <w:sz w:val="20"/>
                <w:szCs w:val="20"/>
                <w:color w:val="auto"/>
              </w:rPr>
            </w:pPr>
            <w:r>
              <w:rPr>
                <w:rFonts w:ascii="Arial" w:cs="Arial" w:eastAsia="Arial" w:hAnsi="Arial"/>
                <w:sz w:val="15"/>
                <w:szCs w:val="15"/>
                <w:color w:val="auto"/>
              </w:rPr>
              <w:t>Other non-cash charges and expenses, net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5,863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582</w:t>
            </w:r>
          </w:p>
        </w:tc>
        <w:tc>
          <w:tcPr>
            <w:tcW w:w="20" w:type="dxa"/>
            <w:vAlign w:val="bottom"/>
          </w:tcPr>
          <w:p>
            <w:pPr>
              <w:spacing w:after="0"/>
              <w:rPr>
                <w:sz w:val="17"/>
                <w:szCs w:val="17"/>
                <w:color w:val="auto"/>
              </w:rPr>
            </w:pPr>
          </w:p>
        </w:tc>
      </w:tr>
      <w:tr>
        <w:trPr>
          <w:trHeight w:val="215"/>
        </w:trPr>
        <w:tc>
          <w:tcPr>
            <w:tcW w:w="87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Changes in assets and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8760" w:type="dxa"/>
            <w:vAlign w:val="bottom"/>
          </w:tcPr>
          <w:p>
            <w:pPr>
              <w:ind w:left="780"/>
              <w:spacing w:after="0"/>
              <w:rPr>
                <w:sz w:val="20"/>
                <w:szCs w:val="20"/>
                <w:color w:val="auto"/>
              </w:rPr>
            </w:pPr>
            <w:r>
              <w:rPr>
                <w:rFonts w:ascii="Arial" w:cs="Arial" w:eastAsia="Arial" w:hAnsi="Arial"/>
                <w:sz w:val="15"/>
                <w:szCs w:val="15"/>
                <w:color w:val="auto"/>
              </w:rPr>
              <w:t>Increase in Sanofi and trade accounts receivable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(135,312)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(4,317)</w:t>
            </w:r>
          </w:p>
        </w:tc>
        <w:tc>
          <w:tcPr>
            <w:tcW w:w="20" w:type="dxa"/>
            <w:vAlign w:val="bottom"/>
          </w:tcPr>
          <w:p>
            <w:pPr>
              <w:spacing w:after="0"/>
              <w:rPr>
                <w:sz w:val="17"/>
                <w:szCs w:val="17"/>
                <w:color w:val="auto"/>
              </w:rPr>
            </w:pPr>
          </w:p>
        </w:tc>
      </w:tr>
      <w:tr>
        <w:trPr>
          <w:trHeight w:val="215"/>
        </w:trPr>
        <w:tc>
          <w:tcPr>
            <w:tcW w:w="8760" w:type="dxa"/>
            <w:vAlign w:val="bottom"/>
            <w:shd w:val="clear" w:color="auto" w:fill="CCEEFF"/>
          </w:tcPr>
          <w:p>
            <w:pPr>
              <w:ind w:left="780"/>
              <w:spacing w:after="0"/>
              <w:rPr>
                <w:sz w:val="20"/>
                <w:szCs w:val="20"/>
                <w:color w:val="auto"/>
              </w:rPr>
            </w:pPr>
            <w:r>
              <w:rPr>
                <w:rFonts w:ascii="Arial" w:cs="Arial" w:eastAsia="Arial" w:hAnsi="Arial"/>
                <w:sz w:val="15"/>
                <w:szCs w:val="15"/>
                <w:color w:val="auto"/>
              </w:rPr>
              <w:t>(Increase) decrease in prepaid expenses and other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11,559</w:t>
            </w:r>
          </w:p>
        </w:tc>
        <w:tc>
          <w:tcPr>
            <w:tcW w:w="20" w:type="dxa"/>
            <w:vAlign w:val="bottom"/>
          </w:tcPr>
          <w:p>
            <w:pPr>
              <w:spacing w:after="0"/>
              <w:rPr>
                <w:sz w:val="18"/>
                <w:szCs w:val="18"/>
                <w:color w:val="auto"/>
              </w:rPr>
            </w:pPr>
          </w:p>
        </w:tc>
      </w:tr>
      <w:tr>
        <w:trPr>
          <w:trHeight w:val="201"/>
        </w:trPr>
        <w:tc>
          <w:tcPr>
            <w:tcW w:w="8760" w:type="dxa"/>
            <w:vAlign w:val="bottom"/>
          </w:tcPr>
          <w:p>
            <w:pPr>
              <w:ind w:left="780"/>
              <w:spacing w:after="0"/>
              <w:rPr>
                <w:sz w:val="20"/>
                <w:szCs w:val="20"/>
                <w:color w:val="auto"/>
              </w:rPr>
            </w:pPr>
            <w:r>
              <w:rPr>
                <w:rFonts w:ascii="Arial" w:cs="Arial" w:eastAsia="Arial" w:hAnsi="Arial"/>
                <w:sz w:val="15"/>
                <w:szCs w:val="15"/>
                <w:color w:val="auto"/>
              </w:rPr>
              <w:t>Decrease in deferred revenue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(9,126)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(10,310)</w:t>
            </w:r>
          </w:p>
        </w:tc>
        <w:tc>
          <w:tcPr>
            <w:tcW w:w="20" w:type="dxa"/>
            <w:vAlign w:val="bottom"/>
          </w:tcPr>
          <w:p>
            <w:pPr>
              <w:spacing w:after="0"/>
              <w:rPr>
                <w:sz w:val="17"/>
                <w:szCs w:val="17"/>
                <w:color w:val="auto"/>
              </w:rPr>
            </w:pPr>
          </w:p>
        </w:tc>
      </w:tr>
      <w:tr>
        <w:trPr>
          <w:trHeight w:val="215"/>
        </w:trPr>
        <w:tc>
          <w:tcPr>
            <w:tcW w:w="8760" w:type="dxa"/>
            <w:vAlign w:val="bottom"/>
            <w:shd w:val="clear" w:color="auto" w:fill="CCEEFF"/>
          </w:tcPr>
          <w:p>
            <w:pPr>
              <w:ind w:left="780"/>
              <w:spacing w:after="0"/>
              <w:rPr>
                <w:sz w:val="20"/>
                <w:szCs w:val="20"/>
                <w:color w:val="auto"/>
              </w:rPr>
            </w:pPr>
            <w:r>
              <w:rPr>
                <w:rFonts w:ascii="Arial" w:cs="Arial" w:eastAsia="Arial" w:hAnsi="Arial"/>
                <w:sz w:val="15"/>
                <w:szCs w:val="15"/>
                <w:color w:val="auto"/>
              </w:rPr>
              <w:t>Increase in accounts payable, accrued expenses, and other liabilities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12,710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13,574</w:t>
            </w:r>
          </w:p>
        </w:tc>
        <w:tc>
          <w:tcPr>
            <w:tcW w:w="20" w:type="dxa"/>
            <w:vAlign w:val="bottom"/>
          </w:tcPr>
          <w:p>
            <w:pPr>
              <w:spacing w:after="0"/>
              <w:rPr>
                <w:sz w:val="18"/>
                <w:szCs w:val="18"/>
                <w:color w:val="auto"/>
              </w:rPr>
            </w:pPr>
          </w:p>
        </w:tc>
      </w:tr>
      <w:tr>
        <w:trPr>
          <w:trHeight w:val="193"/>
        </w:trPr>
        <w:tc>
          <w:tcPr>
            <w:tcW w:w="8760" w:type="dxa"/>
            <w:vAlign w:val="bottom"/>
            <w:tcBorders>
              <w:bottom w:val="single" w:sz="8" w:color="CCEEFF"/>
            </w:tcBorders>
          </w:tcPr>
          <w:p>
            <w:pPr>
              <w:ind w:left="1040"/>
              <w:spacing w:after="0"/>
              <w:rPr>
                <w:sz w:val="20"/>
                <w:szCs w:val="20"/>
                <w:color w:val="auto"/>
              </w:rPr>
            </w:pPr>
            <w:r>
              <w:rPr>
                <w:rFonts w:ascii="Arial" w:cs="Arial" w:eastAsia="Arial" w:hAnsi="Arial"/>
                <w:sz w:val="15"/>
                <w:szCs w:val="15"/>
                <w:color w:val="auto"/>
              </w:rPr>
              <w:t>Total adjustments</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(98,692)</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32,867</w:t>
            </w:r>
          </w:p>
        </w:tc>
        <w:tc>
          <w:tcPr>
            <w:tcW w:w="20" w:type="dxa"/>
            <w:vAlign w:val="bottom"/>
          </w:tcPr>
          <w:p>
            <w:pPr>
              <w:spacing w:after="0"/>
              <w:rPr>
                <w:sz w:val="16"/>
                <w:szCs w:val="16"/>
                <w:color w:val="auto"/>
              </w:rPr>
            </w:pPr>
          </w:p>
        </w:tc>
      </w:tr>
      <w:tr>
        <w:trPr>
          <w:trHeight w:val="200"/>
        </w:trPr>
        <w:tc>
          <w:tcPr>
            <w:tcW w:w="876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Net cash used in operating activities</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(87,041)</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(10,580)</w:t>
            </w:r>
          </w:p>
        </w:tc>
        <w:tc>
          <w:tcPr>
            <w:tcW w:w="20" w:type="dxa"/>
            <w:vAlign w:val="bottom"/>
          </w:tcPr>
          <w:p>
            <w:pPr>
              <w:spacing w:after="0"/>
              <w:rPr>
                <w:sz w:val="17"/>
                <w:szCs w:val="17"/>
                <w:color w:val="auto"/>
              </w:rPr>
            </w:pPr>
          </w:p>
        </w:tc>
      </w:tr>
      <w:tr>
        <w:trPr>
          <w:trHeight w:val="195"/>
        </w:trPr>
        <w:tc>
          <w:tcPr>
            <w:tcW w:w="8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876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8760" w:type="dxa"/>
            <w:vAlign w:val="bottom"/>
          </w:tcPr>
          <w:p>
            <w:pPr>
              <w:ind w:left="260"/>
              <w:spacing w:after="0"/>
              <w:rPr>
                <w:sz w:val="20"/>
                <w:szCs w:val="20"/>
                <w:color w:val="auto"/>
              </w:rPr>
            </w:pPr>
            <w:r>
              <w:rPr>
                <w:rFonts w:ascii="Arial" w:cs="Arial" w:eastAsia="Arial" w:hAnsi="Arial"/>
                <w:sz w:val="15"/>
                <w:szCs w:val="15"/>
                <w:color w:val="auto"/>
              </w:rPr>
              <w:t>Purchases of marketable securities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(48,569)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(15,638)</w:t>
            </w:r>
          </w:p>
        </w:tc>
        <w:tc>
          <w:tcPr>
            <w:tcW w:w="20" w:type="dxa"/>
            <w:vAlign w:val="bottom"/>
          </w:tcPr>
          <w:p>
            <w:pPr>
              <w:spacing w:after="0"/>
              <w:rPr>
                <w:sz w:val="17"/>
                <w:szCs w:val="17"/>
                <w:color w:val="auto"/>
              </w:rPr>
            </w:pPr>
          </w:p>
        </w:tc>
      </w:tr>
      <w:tr>
        <w:trPr>
          <w:trHeight w:val="215"/>
        </w:trPr>
        <w:tc>
          <w:tcPr>
            <w:tcW w:w="87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Sales or maturities of marketable securities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75,853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58,119</w:t>
            </w:r>
          </w:p>
        </w:tc>
        <w:tc>
          <w:tcPr>
            <w:tcW w:w="20" w:type="dxa"/>
            <w:vAlign w:val="bottom"/>
          </w:tcPr>
          <w:p>
            <w:pPr>
              <w:spacing w:after="0"/>
              <w:rPr>
                <w:sz w:val="18"/>
                <w:szCs w:val="18"/>
                <w:color w:val="auto"/>
              </w:rPr>
            </w:pPr>
          </w:p>
        </w:tc>
      </w:tr>
      <w:tr>
        <w:trPr>
          <w:trHeight w:val="201"/>
        </w:trPr>
        <w:tc>
          <w:tcPr>
            <w:tcW w:w="8760" w:type="dxa"/>
            <w:vAlign w:val="bottom"/>
          </w:tcPr>
          <w:p>
            <w:pPr>
              <w:ind w:left="260"/>
              <w:spacing w:after="0"/>
              <w:rPr>
                <w:sz w:val="20"/>
                <w:szCs w:val="20"/>
                <w:color w:val="auto"/>
              </w:rPr>
            </w:pPr>
            <w:r>
              <w:rPr>
                <w:rFonts w:ascii="Arial" w:cs="Arial" w:eastAsia="Arial" w:hAnsi="Arial"/>
                <w:sz w:val="15"/>
                <w:szCs w:val="15"/>
                <w:color w:val="auto"/>
              </w:rPr>
              <w:t>(Increase) decrease in restricted cash and marketable securities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(463)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17"/>
                <w:szCs w:val="17"/>
                <w:color w:val="auto"/>
              </w:rPr>
            </w:pPr>
          </w:p>
        </w:tc>
      </w:tr>
      <w:tr>
        <w:trPr>
          <w:trHeight w:val="215"/>
        </w:trPr>
        <w:tc>
          <w:tcPr>
            <w:tcW w:w="87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Capital expenditures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(11,055)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(22,166)</w:t>
            </w:r>
          </w:p>
        </w:tc>
        <w:tc>
          <w:tcPr>
            <w:tcW w:w="20" w:type="dxa"/>
            <w:vAlign w:val="bottom"/>
          </w:tcPr>
          <w:p>
            <w:pPr>
              <w:spacing w:after="0"/>
              <w:rPr>
                <w:sz w:val="18"/>
                <w:szCs w:val="18"/>
                <w:color w:val="auto"/>
              </w:rPr>
            </w:pPr>
          </w:p>
        </w:tc>
      </w:tr>
      <w:tr>
        <w:trPr>
          <w:trHeight w:val="193"/>
        </w:trPr>
        <w:tc>
          <w:tcPr>
            <w:tcW w:w="8760" w:type="dxa"/>
            <w:vAlign w:val="bottom"/>
          </w:tcPr>
          <w:p>
            <w:pPr>
              <w:ind w:left="1040"/>
              <w:spacing w:after="0"/>
              <w:rPr>
                <w:sz w:val="20"/>
                <w:szCs w:val="20"/>
                <w:color w:val="auto"/>
              </w:rPr>
            </w:pPr>
            <w:r>
              <w:rPr>
                <w:rFonts w:ascii="Arial" w:cs="Arial" w:eastAsia="Arial" w:hAnsi="Arial"/>
                <w:sz w:val="15"/>
                <w:szCs w:val="15"/>
                <w:color w:val="auto"/>
              </w:rPr>
              <w:t>Net cash provided by investing activities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15,766</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20,347</w:t>
            </w:r>
          </w:p>
        </w:tc>
        <w:tc>
          <w:tcPr>
            <w:tcW w:w="20" w:type="dxa"/>
            <w:vAlign w:val="bottom"/>
          </w:tcPr>
          <w:p>
            <w:pPr>
              <w:spacing w:after="0"/>
              <w:rPr>
                <w:sz w:val="16"/>
                <w:szCs w:val="16"/>
                <w:color w:val="auto"/>
              </w:rPr>
            </w:pPr>
          </w:p>
        </w:tc>
      </w:tr>
      <w:tr>
        <w:trPr>
          <w:trHeight w:val="195"/>
        </w:trPr>
        <w:tc>
          <w:tcPr>
            <w:tcW w:w="8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876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financing activities: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8760" w:type="dxa"/>
            <w:vAlign w:val="bottom"/>
          </w:tcPr>
          <w:p>
            <w:pPr>
              <w:ind w:left="260"/>
              <w:spacing w:after="0"/>
              <w:rPr>
                <w:sz w:val="20"/>
                <w:szCs w:val="20"/>
                <w:color w:val="auto"/>
              </w:rPr>
            </w:pPr>
            <w:r>
              <w:rPr>
                <w:rFonts w:ascii="Arial" w:cs="Arial" w:eastAsia="Arial" w:hAnsi="Arial"/>
                <w:sz w:val="15"/>
                <w:szCs w:val="15"/>
                <w:color w:val="auto"/>
              </w:rPr>
              <w:t>Payments in connection with facility and capital lease obligations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(306)</w:t>
            </w:r>
          </w:p>
        </w:tc>
        <w:tc>
          <w:tcPr>
            <w:tcW w:w="20" w:type="dxa"/>
            <w:vAlign w:val="bottom"/>
          </w:tcPr>
          <w:p>
            <w:pPr>
              <w:spacing w:after="0"/>
              <w:rPr>
                <w:sz w:val="17"/>
                <w:szCs w:val="17"/>
                <w:color w:val="auto"/>
              </w:rPr>
            </w:pPr>
          </w:p>
        </w:tc>
      </w:tr>
      <w:tr>
        <w:trPr>
          <w:trHeight w:val="215"/>
        </w:trPr>
        <w:tc>
          <w:tcPr>
            <w:tcW w:w="87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Net proceeds from issuances of Common Stock</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31,828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14,406</w:t>
            </w:r>
          </w:p>
        </w:tc>
        <w:tc>
          <w:tcPr>
            <w:tcW w:w="20" w:type="dxa"/>
            <w:vAlign w:val="bottom"/>
          </w:tcPr>
          <w:p>
            <w:pPr>
              <w:spacing w:after="0"/>
              <w:rPr>
                <w:sz w:val="18"/>
                <w:szCs w:val="18"/>
                <w:color w:val="auto"/>
              </w:rPr>
            </w:pPr>
          </w:p>
        </w:tc>
      </w:tr>
      <w:tr>
        <w:trPr>
          <w:trHeight w:val="201"/>
        </w:trPr>
        <w:tc>
          <w:tcPr>
            <w:tcW w:w="876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Payments in connection with Common Stock tendered for employee tax obligations</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(49,078)</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(1,063)</w:t>
            </w:r>
          </w:p>
        </w:tc>
        <w:tc>
          <w:tcPr>
            <w:tcW w:w="20" w:type="dxa"/>
            <w:vAlign w:val="bottom"/>
          </w:tcPr>
          <w:p>
            <w:pPr>
              <w:spacing w:after="0"/>
              <w:rPr>
                <w:sz w:val="17"/>
                <w:szCs w:val="17"/>
                <w:color w:val="auto"/>
              </w:rPr>
            </w:pPr>
          </w:p>
        </w:tc>
      </w:tr>
      <w:tr>
        <w:trPr>
          <w:trHeight w:val="200"/>
        </w:trPr>
        <w:tc>
          <w:tcPr>
            <w:tcW w:w="8760" w:type="dxa"/>
            <w:vAlign w:val="bottom"/>
            <w:shd w:val="clear" w:color="auto" w:fill="CCEEFF"/>
          </w:tcPr>
          <w:p>
            <w:pPr>
              <w:ind w:left="1040"/>
              <w:spacing w:after="0"/>
              <w:rPr>
                <w:sz w:val="20"/>
                <w:szCs w:val="20"/>
                <w:color w:val="auto"/>
              </w:rPr>
            </w:pPr>
            <w:r>
              <w:rPr>
                <w:rFonts w:ascii="Arial" w:cs="Arial" w:eastAsia="Arial" w:hAnsi="Arial"/>
                <w:sz w:val="15"/>
                <w:szCs w:val="15"/>
                <w:color w:val="auto"/>
              </w:rPr>
              <w:t>Net cash (used in) provided by financing activities</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(17,750)</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13,037</w:t>
            </w:r>
          </w:p>
        </w:tc>
        <w:tc>
          <w:tcPr>
            <w:tcW w:w="20" w:type="dxa"/>
            <w:vAlign w:val="bottom"/>
          </w:tcPr>
          <w:p>
            <w:pPr>
              <w:spacing w:after="0"/>
              <w:rPr>
                <w:sz w:val="17"/>
                <w:szCs w:val="17"/>
                <w:color w:val="auto"/>
              </w:rPr>
            </w:pPr>
          </w:p>
        </w:tc>
      </w:tr>
      <w:tr>
        <w:trPr>
          <w:trHeight w:val="195"/>
        </w:trPr>
        <w:tc>
          <w:tcPr>
            <w:tcW w:w="8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8760" w:type="dxa"/>
            <w:vAlign w:val="bottom"/>
            <w:shd w:val="clear" w:color="auto" w:fill="CCEEFF"/>
          </w:tcPr>
          <w:p>
            <w:pPr>
              <w:spacing w:after="0"/>
              <w:rPr>
                <w:sz w:val="20"/>
                <w:szCs w:val="20"/>
                <w:color w:val="auto"/>
              </w:rPr>
            </w:pPr>
            <w:r>
              <w:rPr>
                <w:rFonts w:ascii="Arial" w:cs="Arial" w:eastAsia="Arial" w:hAnsi="Arial"/>
                <w:sz w:val="15"/>
                <w:szCs w:val="15"/>
                <w:color w:val="auto"/>
              </w:rPr>
              <w:t>Net (decrease) increase in cash and cash equivalents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(89,025)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22,804</w:t>
            </w:r>
          </w:p>
        </w:tc>
        <w:tc>
          <w:tcPr>
            <w:tcW w:w="20" w:type="dxa"/>
            <w:vAlign w:val="bottom"/>
          </w:tcPr>
          <w:p>
            <w:pPr>
              <w:spacing w:after="0"/>
              <w:rPr>
                <w:sz w:val="18"/>
                <w:szCs w:val="18"/>
                <w:color w:val="auto"/>
              </w:rPr>
            </w:pPr>
          </w:p>
        </w:tc>
      </w:tr>
      <w:tr>
        <w:trPr>
          <w:trHeight w:val="208"/>
        </w:trPr>
        <w:tc>
          <w:tcPr>
            <w:tcW w:w="8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87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beginning of period</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483,610</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112,572</w:t>
            </w:r>
          </w:p>
        </w:tc>
        <w:tc>
          <w:tcPr>
            <w:tcW w:w="20" w:type="dxa"/>
            <w:vAlign w:val="bottom"/>
          </w:tcPr>
          <w:p>
            <w:pPr>
              <w:spacing w:after="0"/>
              <w:rPr>
                <w:sz w:val="17"/>
                <w:szCs w:val="17"/>
                <w:color w:val="auto"/>
              </w:rPr>
            </w:pPr>
          </w:p>
        </w:tc>
      </w:tr>
      <w:tr>
        <w:trPr>
          <w:trHeight w:val="195"/>
        </w:trPr>
        <w:tc>
          <w:tcPr>
            <w:tcW w:w="8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7"/>
        </w:trPr>
        <w:tc>
          <w:tcPr>
            <w:tcW w:w="87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end of period</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394,585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135,376</w:t>
            </w:r>
          </w:p>
        </w:tc>
        <w:tc>
          <w:tcPr>
            <w:tcW w:w="20" w:type="dxa"/>
            <w:vAlign w:val="bottom"/>
          </w:tcPr>
          <w:p>
            <w:pPr>
              <w:spacing w:after="0"/>
              <w:rPr>
                <w:sz w:val="19"/>
                <w:szCs w:val="19"/>
                <w:color w:val="auto"/>
              </w:rPr>
            </w:pPr>
          </w:p>
        </w:tc>
      </w:tr>
      <w:tr>
        <w:trPr>
          <w:trHeight w:val="363"/>
        </w:trPr>
        <w:tc>
          <w:tcPr>
            <w:tcW w:w="8760" w:type="dxa"/>
            <w:vAlign w:val="bottom"/>
            <w:tcBorders>
              <w:top w:val="single" w:sz="8" w:color="CCEEFF"/>
            </w:tcBorders>
          </w:tcPr>
          <w:p>
            <w:pPr>
              <w:ind w:left="3400"/>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8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576"/>
        </w:trPr>
        <w:tc>
          <w:tcPr>
            <w:tcW w:w="8760" w:type="dxa"/>
            <w:vAlign w:val="bottom"/>
          </w:tcPr>
          <w:p>
            <w:pPr>
              <w:ind w:left="5680"/>
              <w:spacing w:after="0"/>
              <w:rPr>
                <w:sz w:val="20"/>
                <w:szCs w:val="20"/>
                <w:color w:val="auto"/>
              </w:rPr>
            </w:pPr>
            <w:r>
              <w:rPr>
                <w:rFonts w:ascii="Arial" w:cs="Arial" w:eastAsia="Arial" w:hAnsi="Arial"/>
                <w:sz w:val="15"/>
                <w:szCs w:val="15"/>
                <w:color w:val="auto"/>
              </w:rPr>
              <w:t>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876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9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21" w:right="19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Condensed Financial Statements (Unaudited)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(Unless otherwise noted, dollars in thousands, except per share data)</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Interim Financial Statements</w:t>
      </w:r>
    </w:p>
    <w:p>
      <w:pPr>
        <w:spacing w:after="0" w:line="225" w:lineRule="exact"/>
        <w:rPr>
          <w:sz w:val="20"/>
          <w:szCs w:val="20"/>
          <w:color w:val="auto"/>
        </w:rPr>
      </w:pPr>
    </w:p>
    <w:p>
      <w:pPr>
        <w:jc w:val="both"/>
        <w:ind w:right="20" w:firstLine="243"/>
        <w:spacing w:after="0" w:line="282" w:lineRule="auto"/>
        <w:rPr>
          <w:sz w:val="20"/>
          <w:szCs w:val="20"/>
          <w:color w:val="auto"/>
        </w:rPr>
      </w:pPr>
      <w:r>
        <w:rPr>
          <w:rFonts w:ascii="Arial" w:cs="Arial" w:eastAsia="Arial" w:hAnsi="Arial"/>
          <w:sz w:val="14"/>
          <w:szCs w:val="14"/>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2011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2011.</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Certain reclassifications have been made to prior period amounts to conform with the current period’s 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Product Revenue</w:t>
      </w:r>
    </w:p>
    <w:p>
      <w:pPr>
        <w:spacing w:after="0" w:line="203" w:lineRule="exact"/>
        <w:rPr>
          <w:sz w:val="20"/>
          <w:szCs w:val="20"/>
          <w:color w:val="auto"/>
        </w:rPr>
      </w:pPr>
    </w:p>
    <w:p>
      <w:pPr>
        <w:jc w:val="both"/>
        <w:ind w:right="20" w:firstLine="358"/>
        <w:spacing w:after="0" w:line="213" w:lineRule="auto"/>
        <w:rPr>
          <w:sz w:val="20"/>
          <w:szCs w:val="20"/>
          <w:color w:val="auto"/>
        </w:rPr>
      </w:pPr>
      <w:r>
        <w:rPr>
          <w:rFonts w:ascii="Arial" w:cs="Arial" w:eastAsia="Arial" w:hAnsi="Arial"/>
          <w:sz w:val="15"/>
          <w:szCs w:val="15"/>
          <w:color w:val="auto"/>
        </w:rPr>
        <w:t>In November 2011, the Company received marketing approval from the U.S. Food and Drug Administration (“FDA”) for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(aflibercept) Injection for the treatment of neovascular wet age-related macular degeneration (“wet AMD”). EYLEA net product sales totaled $123.5 million for the three months ended March 31, 2012.</w:t>
      </w:r>
    </w:p>
    <w:p>
      <w:pPr>
        <w:spacing w:after="0" w:line="181" w:lineRule="exact"/>
        <w:rPr>
          <w:sz w:val="20"/>
          <w:szCs w:val="20"/>
          <w:color w:val="auto"/>
        </w:rPr>
      </w:pPr>
    </w:p>
    <w:p>
      <w:pPr>
        <w:jc w:val="both"/>
        <w:ind w:right="20" w:firstLine="312"/>
        <w:spacing w:after="0" w:line="213" w:lineRule="auto"/>
        <w:rPr>
          <w:sz w:val="20"/>
          <w:szCs w:val="20"/>
          <w:color w:val="auto"/>
        </w:rPr>
      </w:pPr>
      <w:r>
        <w:rPr>
          <w:rFonts w:ascii="Arial" w:cs="Arial" w:eastAsia="Arial" w:hAnsi="Arial"/>
          <w:sz w:val="15"/>
          <w:szCs w:val="15"/>
          <w:color w:val="auto"/>
        </w:rPr>
        <w:t>In February 2008, the Company received marketing approval from the FDA for 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Injection for Subcutaneous Use for the treatment of Cryopyrin-Associated Periodic Syndromes (“CAPS”). ARCALYST net product sales totaled $4.4 million for both the three months ended March 31, 2012 and March 31, 2011.</w:t>
      </w:r>
    </w:p>
    <w:p>
      <w:pPr>
        <w:spacing w:after="0" w:line="203" w:lineRule="exact"/>
        <w:rPr>
          <w:sz w:val="20"/>
          <w:szCs w:val="20"/>
          <w:color w:val="auto"/>
        </w:rPr>
      </w:pPr>
    </w:p>
    <w:p>
      <w:pPr>
        <w:jc w:val="both"/>
        <w:ind w:right="20" w:firstLine="231"/>
        <w:spacing w:after="0" w:line="263" w:lineRule="auto"/>
        <w:rPr>
          <w:sz w:val="20"/>
          <w:szCs w:val="20"/>
          <w:color w:val="auto"/>
        </w:rPr>
      </w:pPr>
      <w:r>
        <w:rPr>
          <w:rFonts w:ascii="Arial" w:cs="Arial" w:eastAsia="Arial" w:hAnsi="Arial"/>
          <w:sz w:val="15"/>
          <w:szCs w:val="15"/>
          <w:color w:val="auto"/>
        </w:rPr>
        <w:t>The Company sells EYLEA in the United States to three distributors and several specialty pharmacies. The Company sells ARCALYST in the United States to two specialty pharmacies. Under these distribution models, the distributors and specialty pharmacies (collectively, the Company’s “customers”) generally take physical delivery of product. For EYLEA, the distributors and specialty pharmacies generally sell the product directly to healthcare providers; whereas for ARCALYST, the specialty pharmacies sell the product directly to patients. The Company records revenue from product sales upon delivery to its customers. For the three months ended March 31, 2012, the Company recorded 81% of its gross product revenue from sales to Besse Medical, a subsidiary of AmerisourceBergen Corporation.</w:t>
      </w:r>
    </w:p>
    <w:p>
      <w:pPr>
        <w:spacing w:after="0" w:line="188" w:lineRule="exact"/>
        <w:rPr>
          <w:sz w:val="20"/>
          <w:szCs w:val="20"/>
          <w:color w:val="auto"/>
        </w:rPr>
      </w:pPr>
    </w:p>
    <w:p>
      <w:pPr>
        <w:jc w:val="both"/>
        <w:ind w:right="20" w:firstLine="277"/>
        <w:spacing w:after="0" w:line="329" w:lineRule="auto"/>
        <w:rPr>
          <w:sz w:val="20"/>
          <w:szCs w:val="20"/>
          <w:color w:val="auto"/>
        </w:rPr>
      </w:pPr>
      <w:r>
        <w:rPr>
          <w:rFonts w:ascii="Arial" w:cs="Arial" w:eastAsia="Arial" w:hAnsi="Arial"/>
          <w:sz w:val="13"/>
          <w:szCs w:val="13"/>
          <w:color w:val="auto"/>
        </w:rPr>
        <w:t>Revenue from product sales are recorded net of applicable provisions for prompt pay discounts, rebates and chargebacks under governmental programs (including Medicaid), product returns, distribution-related fees, and other sales-related deductions. The following table summarizes the provisions, and credits/payments, for government rebates and chargebacks, distribution-related fees, and other sales-related deductions for the three months ended March 31, 2012; such amounts were not material for the three months ended March 31, 2011.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4"/>
              </w:rPr>
              <w:t>Distribution-</w:t>
            </w:r>
          </w:p>
        </w:tc>
        <w:tc>
          <w:tcPr>
            <w:tcW w:w="22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5"/>
                <w:szCs w:val="15"/>
                <w:b w:val="1"/>
                <w:bCs w:val="1"/>
                <w:color w:val="auto"/>
                <w:w w:val="88"/>
              </w:rPr>
              <w:t>Other Sales-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4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65"/>
              <w:spacing w:after="0"/>
              <w:rPr>
                <w:sz w:val="20"/>
                <w:szCs w:val="20"/>
                <w:color w:val="auto"/>
              </w:rPr>
            </w:pPr>
            <w:r>
              <w:rPr>
                <w:rFonts w:ascii="Arial" w:cs="Arial" w:eastAsia="Arial" w:hAnsi="Arial"/>
                <w:sz w:val="15"/>
                <w:szCs w:val="15"/>
                <w:b w:val="1"/>
                <w:bCs w:val="1"/>
                <w:color w:val="auto"/>
                <w:w w:val="95"/>
              </w:rPr>
              <w:t>Rebates &amp;</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65"/>
              <w:spacing w:after="0"/>
              <w:rPr>
                <w:sz w:val="20"/>
                <w:szCs w:val="20"/>
                <w:color w:val="auto"/>
              </w:rPr>
            </w:pPr>
            <w:r>
              <w:rPr>
                <w:rFonts w:ascii="Arial" w:cs="Arial" w:eastAsia="Arial" w:hAnsi="Arial"/>
                <w:sz w:val="15"/>
                <w:szCs w:val="15"/>
                <w:b w:val="1"/>
                <w:bCs w:val="1"/>
                <w:color w:val="auto"/>
                <w:w w:val="92"/>
              </w:rPr>
              <w:t>Related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25"/>
              <w:spacing w:after="0"/>
              <w:rPr>
                <w:sz w:val="20"/>
                <w:szCs w:val="20"/>
                <w:color w:val="auto"/>
              </w:rPr>
            </w:pPr>
            <w:r>
              <w:rPr>
                <w:rFonts w:ascii="Arial" w:cs="Arial" w:eastAsia="Arial" w:hAnsi="Arial"/>
                <w:sz w:val="15"/>
                <w:szCs w:val="15"/>
                <w:b w:val="1"/>
                <w:bCs w:val="1"/>
                <w:color w:val="auto"/>
                <w:w w:val="92"/>
              </w:rPr>
              <w:t>Related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16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3"/>
              </w:rPr>
              <w:t>Chargebacks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85"/>
              <w:spacing w:after="0"/>
              <w:rPr>
                <w:sz w:val="20"/>
                <w:szCs w:val="20"/>
                <w:color w:val="auto"/>
              </w:rPr>
            </w:pPr>
            <w:r>
              <w:rPr>
                <w:rFonts w:ascii="Arial" w:cs="Arial" w:eastAsia="Arial" w:hAnsi="Arial"/>
                <w:sz w:val="15"/>
                <w:szCs w:val="15"/>
                <w:b w:val="1"/>
                <w:bCs w:val="1"/>
                <w:color w:val="auto"/>
                <w:w w:val="81"/>
              </w:rPr>
              <w:t>Fees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5"/>
              <w:spacing w:after="0"/>
              <w:rPr>
                <w:sz w:val="20"/>
                <w:szCs w:val="20"/>
                <w:color w:val="auto"/>
              </w:rPr>
            </w:pPr>
            <w:r>
              <w:rPr>
                <w:rFonts w:ascii="Arial" w:cs="Arial" w:eastAsia="Arial" w:hAnsi="Arial"/>
                <w:sz w:val="15"/>
                <w:szCs w:val="15"/>
                <w:b w:val="1"/>
                <w:bCs w:val="1"/>
                <w:color w:val="auto"/>
                <w:w w:val="88"/>
              </w:rPr>
              <w:t>Deductions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8"/>
                <w:szCs w:val="18"/>
                <w:color w:val="auto"/>
              </w:rPr>
            </w:pPr>
          </w:p>
        </w:tc>
      </w:tr>
      <w:tr>
        <w:trPr>
          <w:trHeight w:val="207"/>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Balance as of December 31, 2011</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1,451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182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2,218</w:t>
            </w:r>
          </w:p>
        </w:tc>
        <w:tc>
          <w:tcPr>
            <w:tcW w:w="20" w:type="dxa"/>
            <w:vAlign w:val="bottom"/>
          </w:tcPr>
          <w:p>
            <w:pPr>
              <w:spacing w:after="0"/>
              <w:rPr>
                <w:sz w:val="17"/>
                <w:szCs w:val="17"/>
                <w:color w:val="auto"/>
              </w:rPr>
            </w:pPr>
          </w:p>
        </w:tc>
      </w:tr>
      <w:tr>
        <w:trPr>
          <w:trHeight w:val="201"/>
        </w:trPr>
        <w:tc>
          <w:tcPr>
            <w:tcW w:w="4160" w:type="dxa"/>
            <w:vAlign w:val="bottom"/>
          </w:tcPr>
          <w:p>
            <w:pPr>
              <w:ind w:left="260"/>
              <w:spacing w:after="0"/>
              <w:rPr>
                <w:sz w:val="20"/>
                <w:szCs w:val="20"/>
                <w:color w:val="auto"/>
              </w:rPr>
            </w:pPr>
            <w:r>
              <w:rPr>
                <w:rFonts w:ascii="Arial" w:cs="Arial" w:eastAsia="Arial" w:hAnsi="Arial"/>
                <w:sz w:val="15"/>
                <w:szCs w:val="15"/>
                <w:color w:val="auto"/>
              </w:rPr>
              <w:t>Provision related to current period sales</w:t>
            </w: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2,386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6,965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761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25"/>
              <w:spacing w:after="0"/>
              <w:rPr>
                <w:sz w:val="20"/>
                <w:szCs w:val="20"/>
                <w:color w:val="auto"/>
              </w:rPr>
            </w:pPr>
            <w:r>
              <w:rPr>
                <w:rFonts w:ascii="Arial" w:cs="Arial" w:eastAsia="Arial" w:hAnsi="Arial"/>
                <w:sz w:val="15"/>
                <w:szCs w:val="15"/>
                <w:color w:val="auto"/>
              </w:rPr>
              <w:t>10,112</w:t>
            </w:r>
          </w:p>
        </w:tc>
        <w:tc>
          <w:tcPr>
            <w:tcW w:w="20" w:type="dxa"/>
            <w:vAlign w:val="bottom"/>
          </w:tcPr>
          <w:p>
            <w:pPr>
              <w:spacing w:after="0"/>
              <w:rPr>
                <w:sz w:val="17"/>
                <w:szCs w:val="17"/>
                <w:color w:val="auto"/>
              </w:rPr>
            </w:pPr>
          </w:p>
        </w:tc>
      </w:tr>
      <w:tr>
        <w:trPr>
          <w:trHeight w:val="208"/>
        </w:trPr>
        <w:tc>
          <w:tcPr>
            <w:tcW w:w="41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Credits/payments</w:t>
            </w:r>
          </w:p>
        </w:tc>
        <w:tc>
          <w:tcPr>
            <w:tcW w:w="3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(3,563)</w:t>
            </w:r>
          </w:p>
        </w:tc>
        <w:tc>
          <w:tcPr>
            <w:tcW w:w="20" w:type="dxa"/>
            <w:vAlign w:val="bottom"/>
          </w:tcPr>
          <w:p>
            <w:pPr>
              <w:spacing w:after="0"/>
              <w:rPr>
                <w:sz w:val="18"/>
                <w:szCs w:val="18"/>
                <w:color w:val="auto"/>
              </w:rPr>
            </w:pPr>
          </w:p>
        </w:tc>
      </w:tr>
      <w:tr>
        <w:trPr>
          <w:trHeight w:val="210"/>
        </w:trPr>
        <w:tc>
          <w:tcPr>
            <w:tcW w:w="4160" w:type="dxa"/>
            <w:vAlign w:val="bottom"/>
          </w:tcPr>
          <w:p>
            <w:pPr>
              <w:spacing w:after="0"/>
              <w:rPr>
                <w:sz w:val="20"/>
                <w:szCs w:val="20"/>
                <w:color w:val="auto"/>
              </w:rPr>
            </w:pPr>
            <w:r>
              <w:rPr>
                <w:rFonts w:ascii="Arial" w:cs="Arial" w:eastAsia="Arial" w:hAnsi="Arial"/>
                <w:sz w:val="15"/>
                <w:szCs w:val="15"/>
                <w:color w:val="auto"/>
              </w:rPr>
              <w:t>Balance as of March 31, 2012</w:t>
            </w:r>
          </w:p>
        </w:tc>
        <w:tc>
          <w:tcPr>
            <w:tcW w:w="3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2,810</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5,509</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448</w:t>
            </w:r>
          </w:p>
        </w:tc>
        <w:tc>
          <w:tcPr>
            <w:tcW w:w="3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25"/>
              <w:spacing w:after="0"/>
              <w:rPr>
                <w:sz w:val="20"/>
                <w:szCs w:val="20"/>
                <w:color w:val="auto"/>
              </w:rPr>
            </w:pPr>
            <w:r>
              <w:rPr>
                <w:rFonts w:ascii="Arial" w:cs="Arial" w:eastAsia="Arial" w:hAnsi="Arial"/>
                <w:sz w:val="15"/>
                <w:szCs w:val="15"/>
                <w:color w:val="auto"/>
              </w:rPr>
              <w:t>8,767</w:t>
            </w:r>
          </w:p>
        </w:tc>
        <w:tc>
          <w:tcPr>
            <w:tcW w:w="20" w:type="dxa"/>
            <w:vAlign w:val="bottom"/>
          </w:tcPr>
          <w:p>
            <w:pPr>
              <w:spacing w:after="0"/>
              <w:rPr>
                <w:sz w:val="18"/>
                <w:szCs w:val="18"/>
                <w:color w:val="auto"/>
              </w:rPr>
            </w:pPr>
          </w:p>
        </w:tc>
      </w:tr>
      <w:tr>
        <w:trPr>
          <w:trHeight w:val="587"/>
        </w:trPr>
        <w:tc>
          <w:tcPr>
            <w:tcW w:w="4160" w:type="dxa"/>
            <w:vAlign w:val="bottom"/>
          </w:tcPr>
          <w:p>
            <w:pPr>
              <w:spacing w:after="0"/>
              <w:rPr>
                <w:sz w:val="24"/>
                <w:szCs w:val="24"/>
                <w:color w:val="auto"/>
              </w:rPr>
            </w:pPr>
          </w:p>
        </w:tc>
        <w:tc>
          <w:tcPr>
            <w:tcW w:w="3040" w:type="dxa"/>
            <w:vAlign w:val="bottom"/>
          </w:tcPr>
          <w:p>
            <w:pPr>
              <w:jc w:val="right"/>
              <w:ind w:right="1365"/>
              <w:spacing w:after="0"/>
              <w:rPr>
                <w:sz w:val="20"/>
                <w:szCs w:val="20"/>
                <w:color w:val="auto"/>
              </w:rPr>
            </w:pPr>
            <w:r>
              <w:rPr>
                <w:rFonts w:ascii="Arial" w:cs="Arial" w:eastAsia="Arial" w:hAnsi="Arial"/>
                <w:sz w:val="15"/>
                <w:szCs w:val="15"/>
                <w:color w:val="auto"/>
              </w:rPr>
              <w:t>7</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416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21" w:right="19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Condensed Financial Statements (Unaudited)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(Unless otherwise noted, dollars in thousands, except per share data)</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Per Share Data</w:t>
      </w:r>
    </w:p>
    <w:p>
      <w:pPr>
        <w:spacing w:after="0" w:line="225" w:lineRule="exact"/>
        <w:rPr>
          <w:sz w:val="20"/>
          <w:szCs w:val="20"/>
          <w:color w:val="auto"/>
        </w:rPr>
      </w:pPr>
    </w:p>
    <w:p>
      <w:pPr>
        <w:jc w:val="both"/>
        <w:ind w:firstLine="254"/>
        <w:spacing w:after="0" w:line="262" w:lineRule="auto"/>
        <w:rPr>
          <w:sz w:val="20"/>
          <w:szCs w:val="20"/>
          <w:color w:val="auto"/>
        </w:rPr>
      </w:pPr>
      <w:r>
        <w:rPr>
          <w:rFonts w:ascii="Arial" w:cs="Arial" w:eastAsia="Arial" w:hAnsi="Arial"/>
          <w:sz w:val="15"/>
          <w:szCs w:val="15"/>
          <w:color w:val="auto"/>
        </w:rPr>
        <w:t>The Company’s basic net income (loss) per share amounts have been computed by dividing net income (loss) by the weighted average number of shares of Common Stock and Class A Stock outstanding. Net income (loss) per share is presented on a combined basis, inclusive of Common Stock and Class A Stock outstanding, as each class of stock has equivalent economic rights. Diluted net income per share is based on the weighted-average number of shares of Common Stock and Class A Stock outstanding plus additional weighted-average common stock equivalent shares outstanding during the period when the effect is dilutive. For the three months ended March 31, 2011, the Company reported a net loss; therefore, no common stock equivalents were included in the computation of diluted net loss per share for this period, since such inclusion would have been antidilutive. The calculations of basic and diluted net income (loss) per share are as follows: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94"/>
              </w:rPr>
              <w:t>Three Months Ended March 31,</w:t>
            </w:r>
          </w:p>
        </w:tc>
      </w:tr>
      <w:tr>
        <w:trPr>
          <w:trHeight w:val="200"/>
        </w:trPr>
        <w:tc>
          <w:tcPr>
            <w:tcW w:w="20" w:type="dxa"/>
            <w:vAlign w:val="bottom"/>
          </w:tcPr>
          <w:p>
            <w:pPr>
              <w:spacing w:after="0"/>
              <w:rPr>
                <w:sz w:val="17"/>
                <w:szCs w:val="17"/>
                <w:color w:val="auto"/>
              </w:rPr>
            </w:pPr>
          </w:p>
        </w:tc>
        <w:tc>
          <w:tcPr>
            <w:tcW w:w="5140" w:type="dxa"/>
            <w:vAlign w:val="bottom"/>
            <w:tcBorders>
              <w:bottom w:val="single" w:sz="8" w:color="CCEEFF"/>
            </w:tcBorders>
          </w:tcPr>
          <w:p>
            <w:pPr>
              <w:spacing w:after="0"/>
              <w:rPr>
                <w:sz w:val="17"/>
                <w:szCs w:val="17"/>
                <w:color w:val="auto"/>
              </w:rPr>
            </w:pPr>
          </w:p>
        </w:tc>
        <w:tc>
          <w:tcPr>
            <w:tcW w:w="29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2012</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2011</w:t>
            </w:r>
          </w:p>
        </w:tc>
      </w:tr>
      <w:tr>
        <w:trPr>
          <w:trHeight w:val="195"/>
        </w:trPr>
        <w:tc>
          <w:tcPr>
            <w:tcW w:w="20" w:type="dxa"/>
            <w:vAlign w:val="bottom"/>
          </w:tcPr>
          <w:p>
            <w:pPr>
              <w:spacing w:after="0"/>
              <w:rPr>
                <w:sz w:val="16"/>
                <w:szCs w:val="16"/>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Numerator</w:t>
            </w:r>
          </w:p>
        </w:tc>
        <w:tc>
          <w:tcPr>
            <w:tcW w:w="2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4"/>
        </w:trPr>
        <w:tc>
          <w:tcPr>
            <w:tcW w:w="5160" w:type="dxa"/>
            <w:vAlign w:val="bottom"/>
            <w:gridSpan w:val="2"/>
          </w:tcPr>
          <w:p>
            <w:pPr>
              <w:spacing w:after="0"/>
              <w:rPr>
                <w:sz w:val="20"/>
                <w:szCs w:val="20"/>
                <w:color w:val="auto"/>
              </w:rPr>
            </w:pPr>
            <w:r>
              <w:rPr>
                <w:rFonts w:ascii="Arial" w:cs="Arial" w:eastAsia="Arial" w:hAnsi="Arial"/>
                <w:sz w:val="15"/>
                <w:szCs w:val="15"/>
                <w:color w:val="auto"/>
              </w:rPr>
              <w:t>Net income (loss) - basic and diluted</w:t>
            </w:r>
          </w:p>
        </w:tc>
        <w:tc>
          <w:tcPr>
            <w:tcW w:w="314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11,651</w:t>
            </w: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(43,447)</w:t>
            </w:r>
          </w:p>
        </w:tc>
      </w:tr>
      <w:tr>
        <w:trPr>
          <w:trHeight w:val="222"/>
        </w:trPr>
        <w:tc>
          <w:tcPr>
            <w:tcW w:w="5160" w:type="dxa"/>
            <w:vAlign w:val="bottom"/>
            <w:gridSpan w:val="2"/>
          </w:tcPr>
          <w:p>
            <w:pPr>
              <w:spacing w:after="0"/>
              <w:rPr>
                <w:sz w:val="19"/>
                <w:szCs w:val="19"/>
                <w:color w:val="auto"/>
              </w:rPr>
            </w:pPr>
          </w:p>
        </w:tc>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Denominator</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1"/>
        </w:trPr>
        <w:tc>
          <w:tcPr>
            <w:tcW w:w="5160" w:type="dxa"/>
            <w:vAlign w:val="bottom"/>
            <w:gridSpan w:val="2"/>
          </w:tcPr>
          <w:p>
            <w:pPr>
              <w:spacing w:after="0"/>
              <w:rPr>
                <w:sz w:val="20"/>
                <w:szCs w:val="20"/>
                <w:color w:val="auto"/>
              </w:rPr>
            </w:pPr>
            <w:r>
              <w:rPr>
                <w:rFonts w:ascii="Arial" w:cs="Arial" w:eastAsia="Arial" w:hAnsi="Arial"/>
                <w:sz w:val="15"/>
                <w:szCs w:val="15"/>
                <w:color w:val="auto"/>
              </w:rPr>
              <w:t>Weighted-average shares - basic</w:t>
            </w:r>
          </w:p>
        </w:tc>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93,446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89,162</w:t>
            </w:r>
          </w:p>
        </w:tc>
      </w:tr>
      <w:tr>
        <w:trPr>
          <w:trHeight w:val="215"/>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Effect of dilutive securities:</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140" w:type="dxa"/>
            <w:vAlign w:val="bottom"/>
          </w:tcPr>
          <w:p>
            <w:pPr>
              <w:ind w:left="240"/>
              <w:spacing w:after="0"/>
              <w:rPr>
                <w:sz w:val="20"/>
                <w:szCs w:val="20"/>
                <w:color w:val="auto"/>
              </w:rPr>
            </w:pPr>
            <w:r>
              <w:rPr>
                <w:rFonts w:ascii="Arial" w:cs="Arial" w:eastAsia="Arial" w:hAnsi="Arial"/>
                <w:sz w:val="15"/>
                <w:szCs w:val="15"/>
                <w:color w:val="auto"/>
              </w:rPr>
              <w:t>Stock options</w:t>
            </w:r>
          </w:p>
        </w:tc>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13,630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Restricted stock</w:t>
            </w:r>
          </w:p>
        </w:tc>
        <w:tc>
          <w:tcPr>
            <w:tcW w:w="2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658</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5140" w:type="dxa"/>
            <w:vAlign w:val="bottom"/>
            <w:tcBorders>
              <w:bottom w:val="single" w:sz="8" w:color="CCEEFF"/>
            </w:tcBorders>
          </w:tcPr>
          <w:p>
            <w:pPr>
              <w:ind w:left="520"/>
              <w:spacing w:after="0"/>
              <w:rPr>
                <w:sz w:val="20"/>
                <w:szCs w:val="20"/>
                <w:color w:val="auto"/>
              </w:rPr>
            </w:pPr>
            <w:r>
              <w:rPr>
                <w:rFonts w:ascii="Arial" w:cs="Arial" w:eastAsia="Arial" w:hAnsi="Arial"/>
                <w:sz w:val="15"/>
                <w:szCs w:val="15"/>
                <w:color w:val="auto"/>
              </w:rPr>
              <w:t>Dilutive potential shares</w:t>
            </w:r>
          </w:p>
        </w:tc>
        <w:tc>
          <w:tcPr>
            <w:tcW w:w="29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14,288</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shares - diluted</w:t>
            </w:r>
          </w:p>
        </w:tc>
        <w:tc>
          <w:tcPr>
            <w:tcW w:w="2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107,734</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89,162</w:t>
            </w: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 per share - basic</w:t>
            </w:r>
          </w:p>
        </w:tc>
        <w:tc>
          <w:tcPr>
            <w:tcW w:w="314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(0.49)</w:t>
            </w:r>
          </w:p>
        </w:tc>
      </w:tr>
      <w:tr>
        <w:trPr>
          <w:trHeight w:val="194"/>
        </w:trPr>
        <w:tc>
          <w:tcPr>
            <w:tcW w:w="5160" w:type="dxa"/>
            <w:vAlign w:val="bottom"/>
            <w:gridSpan w:val="2"/>
          </w:tcPr>
          <w:p>
            <w:pPr>
              <w:spacing w:after="0"/>
              <w:rPr>
                <w:sz w:val="20"/>
                <w:szCs w:val="20"/>
                <w:color w:val="auto"/>
              </w:rPr>
            </w:pPr>
            <w:r>
              <w:rPr>
                <w:rFonts w:ascii="Arial" w:cs="Arial" w:eastAsia="Arial" w:hAnsi="Arial"/>
                <w:sz w:val="15"/>
                <w:szCs w:val="15"/>
                <w:color w:val="auto"/>
              </w:rPr>
              <w:t>Net income (loss) per share - diluted</w:t>
            </w:r>
          </w:p>
        </w:tc>
        <w:tc>
          <w:tcPr>
            <w:tcW w:w="314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0.11</w:t>
            </w: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(0.49)</w:t>
            </w:r>
          </w:p>
        </w:tc>
      </w:tr>
    </w:tbl>
    <w:p>
      <w:pPr>
        <w:spacing w:after="0" w:line="200" w:lineRule="exact"/>
        <w:rPr>
          <w:sz w:val="20"/>
          <w:szCs w:val="20"/>
          <w:color w:val="auto"/>
        </w:rPr>
      </w:pPr>
    </w:p>
    <w:p>
      <w:pPr>
        <w:spacing w:after="0" w:line="223" w:lineRule="exact"/>
        <w:rPr>
          <w:sz w:val="20"/>
          <w:szCs w:val="20"/>
          <w:color w:val="auto"/>
        </w:rPr>
      </w:pPr>
    </w:p>
    <w:p>
      <w:pPr>
        <w:ind w:firstLine="231"/>
        <w:spacing w:after="0" w:line="281" w:lineRule="auto"/>
        <w:rPr>
          <w:sz w:val="20"/>
          <w:szCs w:val="20"/>
          <w:color w:val="auto"/>
        </w:rPr>
      </w:pPr>
      <w:r>
        <w:rPr>
          <w:rFonts w:ascii="Arial" w:cs="Arial" w:eastAsia="Arial" w:hAnsi="Arial"/>
          <w:sz w:val="15"/>
          <w:szCs w:val="15"/>
          <w:color w:val="auto"/>
        </w:rPr>
        <w:t>Shares issuable upon the exercise of stock options and warrants, vesting of restricted stock awards, and conversion of convertible senior notes, which have been excluded from the March 31, 2012 and 2011 diluted per share amounts because their effect would have been antidilutive, include the following:</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2140" w:type="dxa"/>
            <w:vAlign w:val="bottom"/>
            <w:gridSpan w:val="7"/>
          </w:tcPr>
          <w:p>
            <w:pPr>
              <w:ind w:left="80"/>
              <w:spacing w:after="0"/>
              <w:rPr>
                <w:sz w:val="20"/>
                <w:szCs w:val="20"/>
                <w:color w:val="auto"/>
              </w:rPr>
            </w:pPr>
            <w:r>
              <w:rPr>
                <w:rFonts w:ascii="Arial" w:cs="Arial" w:eastAsia="Arial" w:hAnsi="Arial"/>
                <w:sz w:val="15"/>
                <w:szCs w:val="15"/>
                <w:b w:val="1"/>
                <w:bCs w:val="1"/>
                <w:color w:val="auto"/>
                <w:w w:val="91"/>
              </w:rPr>
              <w:t>Three Months Ended March 31,</w:t>
            </w:r>
          </w:p>
        </w:tc>
      </w:tr>
      <w:tr>
        <w:trPr>
          <w:trHeight w:val="200"/>
        </w:trPr>
        <w:tc>
          <w:tcPr>
            <w:tcW w:w="20" w:type="dxa"/>
            <w:vAlign w:val="bottom"/>
          </w:tcPr>
          <w:p>
            <w:pPr>
              <w:spacing w:after="0"/>
              <w:rPr>
                <w:sz w:val="17"/>
                <w:szCs w:val="17"/>
                <w:color w:val="auto"/>
              </w:rPr>
            </w:pPr>
          </w:p>
        </w:tc>
        <w:tc>
          <w:tcPr>
            <w:tcW w:w="81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2012</w:t>
            </w:r>
          </w:p>
        </w:tc>
        <w:tc>
          <w:tcPr>
            <w:tcW w:w="2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b w:val="1"/>
                <w:bCs w:val="1"/>
                <w:color w:val="auto"/>
              </w:rPr>
              <w:t>2011</w:t>
            </w:r>
          </w:p>
        </w:tc>
        <w:tc>
          <w:tcPr>
            <w:tcW w:w="4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5"/>
                <w:szCs w:val="15"/>
                <w:color w:val="auto"/>
              </w:rPr>
              <w:t>Stock options: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Weighted average number, in thousands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22,378</w:t>
            </w:r>
          </w:p>
        </w:tc>
        <w:tc>
          <w:tcPr>
            <w:tcW w:w="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Weighted average exercise price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20.26</w:t>
            </w:r>
          </w:p>
        </w:tc>
        <w:tc>
          <w:tcPr>
            <w:tcW w:w="40" w:type="dxa"/>
            <w:vAlign w:val="bottom"/>
          </w:tcPr>
          <w:p>
            <w:pPr>
              <w:spacing w:after="0"/>
              <w:rPr>
                <w:sz w:val="19"/>
                <w:szCs w:val="19"/>
                <w:color w:val="auto"/>
              </w:rPr>
            </w:pPr>
          </w:p>
        </w:tc>
      </w:tr>
      <w:tr>
        <w:trPr>
          <w:trHeight w:val="208"/>
        </w:trPr>
        <w:tc>
          <w:tcPr>
            <w:tcW w:w="8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5"/>
                <w:szCs w:val="15"/>
                <w:color w:val="auto"/>
              </w:rPr>
              <w:t>Restricted stock:</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Weighted average number, in thousands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845</w:t>
            </w:r>
          </w:p>
        </w:tc>
        <w:tc>
          <w:tcPr>
            <w:tcW w:w="40" w:type="dxa"/>
            <w:vAlign w:val="bottom"/>
          </w:tcPr>
          <w:p>
            <w:pPr>
              <w:spacing w:after="0"/>
              <w:rPr>
                <w:sz w:val="19"/>
                <w:szCs w:val="19"/>
                <w:color w:val="auto"/>
              </w:rPr>
            </w:pPr>
          </w:p>
        </w:tc>
      </w:tr>
      <w:tr>
        <w:trPr>
          <w:trHeight w:val="208"/>
        </w:trPr>
        <w:tc>
          <w:tcPr>
            <w:tcW w:w="8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5"/>
                <w:szCs w:val="15"/>
                <w:color w:val="auto"/>
              </w:rPr>
              <w:t>Convertible senior notes: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Weighted average number, in thousands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08"/>
        </w:trPr>
        <w:tc>
          <w:tcPr>
            <w:tcW w:w="8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5"/>
                <w:szCs w:val="15"/>
                <w:color w:val="auto"/>
              </w:rPr>
              <w:t>Warrants: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Weighted average number, in thousands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Statement of Cash Flows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Supplemental disclosure of noncash investing and financing activities:</w:t>
      </w:r>
    </w:p>
    <w:p>
      <w:pPr>
        <w:spacing w:after="0" w:line="221" w:lineRule="exact"/>
        <w:rPr>
          <w:sz w:val="20"/>
          <w:szCs w:val="20"/>
          <w:color w:val="auto"/>
        </w:rPr>
      </w:pPr>
    </w:p>
    <w:p>
      <w:pPr>
        <w:ind w:firstLine="231"/>
        <w:spacing w:after="0" w:line="318" w:lineRule="auto"/>
        <w:rPr>
          <w:sz w:val="20"/>
          <w:szCs w:val="20"/>
          <w:color w:val="auto"/>
        </w:rPr>
      </w:pPr>
      <w:r>
        <w:rPr>
          <w:rFonts w:ascii="Arial" w:cs="Arial" w:eastAsia="Arial" w:hAnsi="Arial"/>
          <w:sz w:val="14"/>
          <w:szCs w:val="14"/>
          <w:color w:val="auto"/>
        </w:rPr>
        <w:t>Included in accounts payable and accrued expenses at March 31, 2012 and December 31, 2011 were $5.8 million and $6.2 million, respectively, of accrued capital expenditures. Included in accounts payable and accrued expenses at March 31, 2011 and December 31, 2010 were $5.7 million and $10.7 million, respectively, of accrued capital expenditures.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1" w:right="21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Condensed Financial Statements (Unaudited)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(Unless otherwise noted, dollars in thousands, except per share data)</w:t>
      </w:r>
    </w:p>
    <w:p>
      <w:pPr>
        <w:spacing w:after="0" w:line="216" w:lineRule="exact"/>
        <w:rPr>
          <w:sz w:val="20"/>
          <w:szCs w:val="20"/>
          <w:color w:val="auto"/>
        </w:rPr>
      </w:pPr>
    </w:p>
    <w:p>
      <w:pPr>
        <w:jc w:val="both"/>
        <w:ind w:right="20" w:firstLine="324"/>
        <w:spacing w:after="0" w:line="281" w:lineRule="auto"/>
        <w:rPr>
          <w:sz w:val="20"/>
          <w:szCs w:val="20"/>
          <w:color w:val="auto"/>
        </w:rPr>
      </w:pPr>
      <w:r>
        <w:rPr>
          <w:rFonts w:ascii="Arial" w:cs="Arial" w:eastAsia="Arial" w:hAnsi="Arial"/>
          <w:sz w:val="15"/>
          <w:szCs w:val="15"/>
          <w:color w:val="auto"/>
        </w:rPr>
        <w:t>Included in marketable securities at March 31, 2012 and December 31, 2011 were $1.0 million and $0.7 million, respectively, of accrued interest income. Included in marketable securities at March 31, 2011 and December 31, 2010 were $2.0 million and $1.4 million, respectively, of accrued interest income.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Marketable Securities</w:t>
      </w:r>
    </w:p>
    <w:p>
      <w:pPr>
        <w:spacing w:after="0" w:line="225" w:lineRule="exact"/>
        <w:rPr>
          <w:sz w:val="20"/>
          <w:szCs w:val="20"/>
          <w:color w:val="auto"/>
        </w:rPr>
      </w:pPr>
    </w:p>
    <w:p>
      <w:pPr>
        <w:jc w:val="both"/>
        <w:ind w:right="20" w:firstLine="231"/>
        <w:spacing w:after="0" w:line="265" w:lineRule="auto"/>
        <w:rPr>
          <w:sz w:val="20"/>
          <w:szCs w:val="20"/>
          <w:color w:val="auto"/>
        </w:rPr>
      </w:pPr>
      <w:r>
        <w:rPr>
          <w:rFonts w:ascii="Arial" w:cs="Arial" w:eastAsia="Arial" w:hAnsi="Arial"/>
          <w:sz w:val="15"/>
          <w:szCs w:val="15"/>
          <w:color w:val="auto"/>
        </w:rPr>
        <w:t>Marketable securities at March 31, 2012 and December 31, 2011 consisted of debt securities, as detailed below, and equity securities. The aggregate fair value of the equity securities was $3.6 million and $3.0 million at March 31, 2012 and December 31, 2011, respectively, and the aggregate cost basis was $4.0 million at both March 31, 2012 and December 31, 2011. The Company also held restricted marketable securities at both March 31, 2012 and December 31, 2011, which consisted of debt securities, as detailed below, that collateralize letters of credit and lease obligations.</w:t>
      </w:r>
    </w:p>
    <w:p>
      <w:pPr>
        <w:spacing w:after="0" w:line="186" w:lineRule="exact"/>
        <w:rPr>
          <w:sz w:val="20"/>
          <w:szCs w:val="20"/>
          <w:color w:val="auto"/>
        </w:rPr>
      </w:pPr>
    </w:p>
    <w:p>
      <w:pPr>
        <w:jc w:val="both"/>
        <w:ind w:right="20" w:firstLine="254"/>
        <w:spacing w:after="0" w:line="263" w:lineRule="auto"/>
        <w:rPr>
          <w:sz w:val="20"/>
          <w:szCs w:val="20"/>
          <w:color w:val="auto"/>
        </w:rPr>
      </w:pPr>
      <w:r>
        <w:rPr>
          <w:rFonts w:ascii="Arial" w:cs="Arial" w:eastAsia="Arial" w:hAnsi="Arial"/>
          <w:sz w:val="15"/>
          <w:szCs w:val="15"/>
          <w:color w:val="auto"/>
        </w:rPr>
        <w:t>The following tables summarize the amortized cost basis of debt securities included in marketable securities, the aggregate fair value of those securities, and gross unrealized gains and losses on those securities at March 31, 2012 and December 31, 2011. The Company classifies its debt securities, other than mortgage-backed securities, based on their contractual maturity dates. Maturities of mortgage-backed securities have been estimated based primarily on repayment characteristics and experience of the senior tranches that the Company holds. The debt securities listed at March 31, 2012, excluding mortgage-backed securities, mature at various dates through March 2015. The mortgage-backed securities listed at March 31, 2012 mature at various dates through March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Arial" w:cs="Arial" w:eastAsia="Arial" w:hAnsi="Arial"/>
                <w:sz w:val="15"/>
                <w:szCs w:val="15"/>
                <w:b w:val="1"/>
                <w:bCs w:val="1"/>
                <w:color w:val="auto"/>
              </w:rPr>
              <w:t>Amortized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Fair</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4"/>
          </w:tcPr>
          <w:p>
            <w:pPr>
              <w:ind w:left="100"/>
              <w:spacing w:after="0"/>
              <w:rPr>
                <w:sz w:val="20"/>
                <w:szCs w:val="20"/>
                <w:color w:val="auto"/>
              </w:rPr>
            </w:pPr>
            <w:r>
              <w:rPr>
                <w:rFonts w:ascii="Arial" w:cs="Arial" w:eastAsia="Arial" w:hAnsi="Arial"/>
                <w:sz w:val="15"/>
                <w:szCs w:val="15"/>
                <w:b w:val="1"/>
                <w:bCs w:val="1"/>
                <w:color w:val="auto"/>
              </w:rPr>
              <w:t>Unrealized</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180" w:type="dxa"/>
            <w:vAlign w:val="bottom"/>
          </w:tcPr>
          <w:p>
            <w:pPr>
              <w:spacing w:after="0"/>
              <w:rPr>
                <w:sz w:val="20"/>
                <w:szCs w:val="20"/>
                <w:color w:val="auto"/>
              </w:rPr>
            </w:pPr>
            <w:r>
              <w:rPr>
                <w:rFonts w:ascii="Arial" w:cs="Arial" w:eastAsia="Arial" w:hAnsi="Arial"/>
                <w:sz w:val="15"/>
                <w:szCs w:val="15"/>
                <w:b w:val="1"/>
                <w:bCs w:val="1"/>
                <w:color w:val="auto"/>
              </w:rPr>
              <w:t>At March 31, 2012</w:t>
            </w: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Arial" w:cs="Arial" w:eastAsia="Arial" w:hAnsi="Arial"/>
                <w:sz w:val="15"/>
                <w:szCs w:val="15"/>
                <w:b w:val="1"/>
                <w:bCs w:val="1"/>
                <w:color w:val="auto"/>
              </w:rPr>
              <w:t>Cost Basis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89"/>
              </w:rPr>
              <w:t>Value</w:t>
            </w:r>
          </w:p>
        </w:tc>
        <w:tc>
          <w:tcPr>
            <w:tcW w:w="500" w:type="dxa"/>
            <w:vAlign w:val="bottom"/>
            <w:gridSpan w:val="3"/>
          </w:tcPr>
          <w:p>
            <w:pPr>
              <w:spacing w:after="0"/>
              <w:rPr>
                <w:sz w:val="20"/>
                <w:szCs w:val="20"/>
                <w:color w:val="auto"/>
              </w:rPr>
            </w:pPr>
            <w:r>
              <w:rPr>
                <w:rFonts w:ascii="Arial" w:cs="Arial" w:eastAsia="Arial" w:hAnsi="Arial"/>
                <w:sz w:val="15"/>
                <w:szCs w:val="15"/>
                <w:b w:val="1"/>
                <w:bCs w:val="1"/>
                <w:color w:val="auto"/>
              </w:rPr>
              <w:t>Gains</w:t>
            </w:r>
          </w:p>
        </w:tc>
        <w:tc>
          <w:tcPr>
            <w:tcW w:w="120" w:type="dxa"/>
            <w:vAlign w:val="bottom"/>
          </w:tcPr>
          <w:p>
            <w:pPr>
              <w:spacing w:after="0"/>
              <w:rPr>
                <w:sz w:val="17"/>
                <w:szCs w:val="17"/>
                <w:color w:val="auto"/>
              </w:rPr>
            </w:pPr>
          </w:p>
        </w:tc>
        <w:tc>
          <w:tcPr>
            <w:tcW w:w="760" w:type="dxa"/>
            <w:vAlign w:val="bottom"/>
            <w:gridSpan w:val="3"/>
          </w:tcPr>
          <w:p>
            <w:pPr>
              <w:ind w:left="40"/>
              <w:spacing w:after="0"/>
              <w:rPr>
                <w:sz w:val="20"/>
                <w:szCs w:val="20"/>
                <w:color w:val="auto"/>
              </w:rPr>
            </w:pPr>
            <w:r>
              <w:rPr>
                <w:rFonts w:ascii="Arial" w:cs="Arial" w:eastAsia="Arial" w:hAnsi="Arial"/>
                <w:sz w:val="15"/>
                <w:szCs w:val="15"/>
                <w:b w:val="1"/>
                <w:bCs w:val="1"/>
                <w:color w:val="auto"/>
              </w:rPr>
              <w:t>(Losses)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25"/>
              <w:spacing w:after="0"/>
              <w:rPr>
                <w:sz w:val="20"/>
                <w:szCs w:val="20"/>
                <w:color w:val="auto"/>
              </w:rPr>
            </w:pPr>
            <w:r>
              <w:rPr>
                <w:rFonts w:ascii="Arial" w:cs="Arial" w:eastAsia="Arial" w:hAnsi="Arial"/>
                <w:sz w:val="15"/>
                <w:szCs w:val="15"/>
                <w:b w:val="1"/>
                <w:bCs w:val="1"/>
                <w:color w:val="auto"/>
                <w:w w:val="90"/>
              </w:rPr>
              <w:t>Net</w:t>
            </w:r>
          </w:p>
        </w:tc>
        <w:tc>
          <w:tcPr>
            <w:tcW w:w="20" w:type="dxa"/>
            <w:vAlign w:val="bottom"/>
          </w:tcPr>
          <w:p>
            <w:pPr>
              <w:spacing w:after="0"/>
              <w:rPr>
                <w:sz w:val="17"/>
                <w:szCs w:val="17"/>
                <w:color w:val="auto"/>
              </w:rPr>
            </w:pPr>
          </w:p>
        </w:tc>
      </w:tr>
      <w:tr>
        <w:trPr>
          <w:trHeight w:val="207"/>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i w:val="1"/>
                <w:iCs w:val="1"/>
                <w:color w:val="auto"/>
              </w:rPr>
              <w:t>Unrestricted</w:t>
            </w:r>
          </w:p>
        </w:tc>
        <w:tc>
          <w:tcPr>
            <w:tcW w:w="3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180" w:type="dxa"/>
            <w:vAlign w:val="bottom"/>
          </w:tcPr>
          <w:p>
            <w:pPr>
              <w:spacing w:after="0"/>
              <w:rPr>
                <w:sz w:val="20"/>
                <w:szCs w:val="20"/>
                <w:color w:val="auto"/>
              </w:rPr>
            </w:pPr>
            <w:r>
              <w:rPr>
                <w:rFonts w:ascii="Arial" w:cs="Arial" w:eastAsia="Arial" w:hAnsi="Arial"/>
                <w:sz w:val="15"/>
                <w:szCs w:val="15"/>
                <w:color w:val="auto"/>
              </w:rPr>
              <w:t>Maturities within one year:</w:t>
            </w: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41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U.S. government obligations</w:t>
            </w:r>
          </w:p>
        </w:tc>
        <w:tc>
          <w:tcPr>
            <w:tcW w:w="3740" w:type="dxa"/>
            <w:vAlign w:val="bottom"/>
            <w:gridSpan w:val="3"/>
            <w:shd w:val="clear" w:color="auto" w:fill="CCEEFF"/>
          </w:tcPr>
          <w:p>
            <w:pPr>
              <w:ind w:left="358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10,049</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18"/>
                <w:szCs w:val="18"/>
                <w:color w:val="auto"/>
              </w:rPr>
            </w:pPr>
          </w:p>
        </w:tc>
      </w:tr>
      <w:tr>
        <w:trPr>
          <w:trHeight w:val="194"/>
        </w:trPr>
        <w:tc>
          <w:tcPr>
            <w:tcW w:w="4180" w:type="dxa"/>
            <w:vAlign w:val="bottom"/>
          </w:tcPr>
          <w:p>
            <w:pPr>
              <w:ind w:left="260"/>
              <w:spacing w:after="0"/>
              <w:rPr>
                <w:sz w:val="20"/>
                <w:szCs w:val="20"/>
                <w:color w:val="auto"/>
              </w:rPr>
            </w:pPr>
            <w:r>
              <w:rPr>
                <w:rFonts w:ascii="Arial" w:cs="Arial" w:eastAsia="Arial" w:hAnsi="Arial"/>
                <w:sz w:val="15"/>
                <w:szCs w:val="15"/>
                <w:color w:val="auto"/>
              </w:rPr>
              <w:t>U.S. government guaranteed corporate</w:t>
            </w: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4180" w:type="dxa"/>
            <w:vAlign w:val="bottom"/>
          </w:tcPr>
          <w:p>
            <w:pPr>
              <w:ind w:left="520"/>
              <w:spacing w:after="0"/>
              <w:rPr>
                <w:sz w:val="20"/>
                <w:szCs w:val="20"/>
                <w:color w:val="auto"/>
              </w:rPr>
            </w:pPr>
            <w:r>
              <w:rPr>
                <w:rFonts w:ascii="Arial" w:cs="Arial" w:eastAsia="Arial" w:hAnsi="Arial"/>
                <w:sz w:val="15"/>
                <w:szCs w:val="15"/>
                <w:color w:val="auto"/>
              </w:rPr>
              <w:t>bonds</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15,285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15,324</w:t>
            </w:r>
          </w:p>
        </w:tc>
        <w:tc>
          <w:tcPr>
            <w:tcW w:w="12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25"/>
              <w:spacing w:after="0"/>
              <w:rPr>
                <w:sz w:val="20"/>
                <w:szCs w:val="20"/>
                <w:color w:val="auto"/>
              </w:rPr>
            </w:pPr>
            <w:r>
              <w:rPr>
                <w:rFonts w:ascii="Arial" w:cs="Arial" w:eastAsia="Arial" w:hAnsi="Arial"/>
                <w:sz w:val="15"/>
                <w:szCs w:val="15"/>
                <w:color w:val="auto"/>
              </w:rPr>
              <w:t>39</w:t>
            </w:r>
          </w:p>
        </w:tc>
        <w:tc>
          <w:tcPr>
            <w:tcW w:w="20" w:type="dxa"/>
            <w:vAlign w:val="bottom"/>
          </w:tcPr>
          <w:p>
            <w:pPr>
              <w:spacing w:after="0"/>
              <w:rPr>
                <w:sz w:val="18"/>
                <w:szCs w:val="18"/>
                <w:color w:val="auto"/>
              </w:rPr>
            </w:pPr>
          </w:p>
        </w:tc>
      </w:tr>
      <w:tr>
        <w:trPr>
          <w:trHeight w:val="201"/>
        </w:trPr>
        <w:tc>
          <w:tcPr>
            <w:tcW w:w="41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U.S. government guaranteed</w:t>
            </w:r>
          </w:p>
        </w:tc>
        <w:tc>
          <w:tcPr>
            <w:tcW w:w="3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4180" w:type="dxa"/>
            <w:vAlign w:val="bottom"/>
            <w:shd w:val="clear" w:color="auto" w:fill="CCEEFF"/>
          </w:tcPr>
          <w:p>
            <w:pPr>
              <w:ind w:left="520"/>
              <w:spacing w:after="0"/>
              <w:rPr>
                <w:sz w:val="20"/>
                <w:szCs w:val="20"/>
                <w:color w:val="auto"/>
              </w:rPr>
            </w:pPr>
            <w:r>
              <w:rPr>
                <w:rFonts w:ascii="Arial" w:cs="Arial" w:eastAsia="Arial" w:hAnsi="Arial"/>
                <w:sz w:val="15"/>
                <w:szCs w:val="15"/>
                <w:color w:val="auto"/>
              </w:rPr>
              <w:t>collateralized mortgage obligations</w:t>
            </w:r>
          </w:p>
        </w:tc>
        <w:tc>
          <w:tcPr>
            <w:tcW w:w="3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1"/>
        </w:trPr>
        <w:tc>
          <w:tcPr>
            <w:tcW w:w="4180" w:type="dxa"/>
            <w:vAlign w:val="bottom"/>
          </w:tcPr>
          <w:p>
            <w:pPr>
              <w:ind w:left="260"/>
              <w:spacing w:after="0"/>
              <w:rPr>
                <w:sz w:val="20"/>
                <w:szCs w:val="20"/>
                <w:color w:val="auto"/>
              </w:rPr>
            </w:pPr>
            <w:r>
              <w:rPr>
                <w:rFonts w:ascii="Arial" w:cs="Arial" w:eastAsia="Arial" w:hAnsi="Arial"/>
                <w:sz w:val="15"/>
                <w:szCs w:val="15"/>
                <w:color w:val="auto"/>
              </w:rPr>
              <w:t>Municipal bonds</w:t>
            </w: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12,147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12,152</w:t>
            </w:r>
          </w:p>
        </w:tc>
        <w:tc>
          <w:tcPr>
            <w:tcW w:w="120" w:type="dxa"/>
            <w:vAlign w:val="bottom"/>
          </w:tcPr>
          <w:p>
            <w:pPr>
              <w:spacing w:after="0"/>
              <w:rPr>
                <w:sz w:val="17"/>
                <w:szCs w:val="17"/>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5"/>
                <w:szCs w:val="15"/>
                <w:color w:val="auto"/>
              </w:rPr>
              <w:t>6</w:t>
            </w:r>
          </w:p>
        </w:tc>
        <w:tc>
          <w:tcPr>
            <w:tcW w:w="28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25"/>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7"/>
                <w:szCs w:val="17"/>
                <w:color w:val="auto"/>
              </w:rPr>
            </w:pPr>
          </w:p>
        </w:tc>
      </w:tr>
      <w:tr>
        <w:trPr>
          <w:trHeight w:val="20"/>
        </w:trPr>
        <w:tc>
          <w:tcPr>
            <w:tcW w:w="4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4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37,637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37,713</w:t>
            </w:r>
          </w:p>
        </w:tc>
        <w:tc>
          <w:tcPr>
            <w:tcW w:w="120" w:type="dxa"/>
            <w:vAlign w:val="bottom"/>
          </w:tcPr>
          <w:p>
            <w:pPr>
              <w:spacing w:after="0"/>
              <w:rPr>
                <w:sz w:val="17"/>
                <w:szCs w:val="17"/>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5"/>
                <w:szCs w:val="15"/>
                <w:color w:val="auto"/>
              </w:rPr>
              <w:t>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25"/>
              <w:spacing w:after="0"/>
              <w:rPr>
                <w:sz w:val="20"/>
                <w:szCs w:val="20"/>
                <w:color w:val="auto"/>
              </w:rPr>
            </w:pPr>
            <w:r>
              <w:rPr>
                <w:rFonts w:ascii="Arial" w:cs="Arial" w:eastAsia="Arial" w:hAnsi="Arial"/>
                <w:sz w:val="15"/>
                <w:szCs w:val="15"/>
                <w:color w:val="auto"/>
              </w:rPr>
              <w:t>76</w:t>
            </w:r>
          </w:p>
        </w:tc>
        <w:tc>
          <w:tcPr>
            <w:tcW w:w="20" w:type="dxa"/>
            <w:vAlign w:val="bottom"/>
          </w:tcPr>
          <w:p>
            <w:pPr>
              <w:spacing w:after="0"/>
              <w:rPr>
                <w:sz w:val="17"/>
                <w:szCs w:val="17"/>
                <w:color w:val="auto"/>
              </w:rPr>
            </w:pPr>
          </w:p>
        </w:tc>
      </w:tr>
      <w:tr>
        <w:trPr>
          <w:trHeight w:val="207"/>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Maturities after one year through five years:</w:t>
            </w:r>
          </w:p>
        </w:tc>
        <w:tc>
          <w:tcPr>
            <w:tcW w:w="3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180" w:type="dxa"/>
            <w:vAlign w:val="bottom"/>
          </w:tcPr>
          <w:p>
            <w:pPr>
              <w:ind w:left="260"/>
              <w:spacing w:after="0"/>
              <w:rPr>
                <w:sz w:val="20"/>
                <w:szCs w:val="20"/>
                <w:color w:val="auto"/>
              </w:rPr>
            </w:pPr>
            <w:r>
              <w:rPr>
                <w:rFonts w:ascii="Arial" w:cs="Arial" w:eastAsia="Arial" w:hAnsi="Arial"/>
                <w:sz w:val="15"/>
                <w:szCs w:val="15"/>
                <w:color w:val="auto"/>
              </w:rPr>
              <w:t>U.S. government obligations</w:t>
            </w: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250,719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w w:val="88"/>
              </w:rPr>
              <w:t>251,004</w:t>
            </w:r>
          </w:p>
        </w:tc>
        <w:tc>
          <w:tcPr>
            <w:tcW w:w="120" w:type="dxa"/>
            <w:vAlign w:val="bottom"/>
          </w:tcPr>
          <w:p>
            <w:pPr>
              <w:spacing w:after="0"/>
              <w:rPr>
                <w:sz w:val="17"/>
                <w:szCs w:val="17"/>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387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25"/>
              <w:spacing w:after="0"/>
              <w:rPr>
                <w:sz w:val="20"/>
                <w:szCs w:val="20"/>
                <w:color w:val="auto"/>
              </w:rPr>
            </w:pPr>
            <w:r>
              <w:rPr>
                <w:rFonts w:ascii="Arial" w:cs="Arial" w:eastAsia="Arial" w:hAnsi="Arial"/>
                <w:sz w:val="15"/>
                <w:szCs w:val="15"/>
                <w:color w:val="auto"/>
                <w:w w:val="87"/>
              </w:rPr>
              <w:t>285</w:t>
            </w:r>
          </w:p>
        </w:tc>
        <w:tc>
          <w:tcPr>
            <w:tcW w:w="20" w:type="dxa"/>
            <w:vAlign w:val="bottom"/>
          </w:tcPr>
          <w:p>
            <w:pPr>
              <w:spacing w:after="0"/>
              <w:rPr>
                <w:sz w:val="17"/>
                <w:szCs w:val="17"/>
                <w:color w:val="auto"/>
              </w:rPr>
            </w:pPr>
          </w:p>
        </w:tc>
      </w:tr>
      <w:tr>
        <w:trPr>
          <w:trHeight w:val="208"/>
        </w:trPr>
        <w:tc>
          <w:tcPr>
            <w:tcW w:w="41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Mortgage-backed securities</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4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250,822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w w:val="88"/>
              </w:rPr>
              <w:t>251,034</w:t>
            </w:r>
          </w:p>
        </w:tc>
        <w:tc>
          <w:tcPr>
            <w:tcW w:w="120" w:type="dxa"/>
            <w:vAlign w:val="bottom"/>
          </w:tcPr>
          <w:p>
            <w:pPr>
              <w:spacing w:after="0"/>
              <w:rPr>
                <w:sz w:val="17"/>
                <w:szCs w:val="17"/>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387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25"/>
              <w:spacing w:after="0"/>
              <w:rPr>
                <w:sz w:val="20"/>
                <w:szCs w:val="20"/>
                <w:color w:val="auto"/>
              </w:rPr>
            </w:pPr>
            <w:r>
              <w:rPr>
                <w:rFonts w:ascii="Arial" w:cs="Arial" w:eastAsia="Arial" w:hAnsi="Arial"/>
                <w:sz w:val="15"/>
                <w:szCs w:val="15"/>
                <w:color w:val="auto"/>
                <w:w w:val="87"/>
              </w:rPr>
              <w:t>212</w:t>
            </w:r>
          </w:p>
        </w:tc>
        <w:tc>
          <w:tcPr>
            <w:tcW w:w="20" w:type="dxa"/>
            <w:vAlign w:val="bottom"/>
          </w:tcPr>
          <w:p>
            <w:pPr>
              <w:spacing w:after="0"/>
              <w:rPr>
                <w:sz w:val="17"/>
                <w:szCs w:val="17"/>
                <w:color w:val="auto"/>
              </w:rPr>
            </w:pPr>
          </w:p>
        </w:tc>
      </w:tr>
      <w:tr>
        <w:trPr>
          <w:trHeight w:val="207"/>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Maturities after five years through ten years:</w:t>
            </w:r>
          </w:p>
        </w:tc>
        <w:tc>
          <w:tcPr>
            <w:tcW w:w="3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180" w:type="dxa"/>
            <w:vAlign w:val="bottom"/>
          </w:tcPr>
          <w:p>
            <w:pPr>
              <w:ind w:left="260"/>
              <w:spacing w:after="0"/>
              <w:rPr>
                <w:sz w:val="20"/>
                <w:szCs w:val="20"/>
                <w:color w:val="auto"/>
              </w:rPr>
            </w:pPr>
            <w:r>
              <w:rPr>
                <w:rFonts w:ascii="Arial" w:cs="Arial" w:eastAsia="Arial" w:hAnsi="Arial"/>
                <w:sz w:val="15"/>
                <w:szCs w:val="15"/>
                <w:color w:val="auto"/>
              </w:rPr>
              <w:t>Mortgage-backed securities</w:t>
            </w: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(69)</w:t>
            </w:r>
          </w:p>
        </w:tc>
        <w:tc>
          <w:tcPr>
            <w:tcW w:w="20" w:type="dxa"/>
            <w:vAlign w:val="bottom"/>
          </w:tcPr>
          <w:p>
            <w:pPr>
              <w:spacing w:after="0"/>
              <w:rPr>
                <w:sz w:val="17"/>
                <w:szCs w:val="17"/>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41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288,621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8"/>
              </w:rPr>
              <w:t>288,840</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464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87"/>
              </w:rPr>
              <w:t>219</w:t>
            </w:r>
          </w:p>
        </w:tc>
        <w:tc>
          <w:tcPr>
            <w:tcW w:w="20" w:type="dxa"/>
            <w:vAlign w:val="bottom"/>
          </w:tcPr>
          <w:p>
            <w:pPr>
              <w:spacing w:after="0"/>
              <w:rPr>
                <w:sz w:val="17"/>
                <w:szCs w:val="17"/>
                <w:color w:val="auto"/>
              </w:rPr>
            </w:pPr>
          </w:p>
        </w:tc>
      </w:tr>
      <w:tr>
        <w:trPr>
          <w:trHeight w:val="195"/>
        </w:trPr>
        <w:tc>
          <w:tcPr>
            <w:tcW w:w="41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418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Restricted</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4180" w:type="dxa"/>
            <w:vAlign w:val="bottom"/>
          </w:tcPr>
          <w:p>
            <w:pPr>
              <w:spacing w:after="0"/>
              <w:rPr>
                <w:sz w:val="20"/>
                <w:szCs w:val="20"/>
                <w:color w:val="auto"/>
              </w:rPr>
            </w:pPr>
            <w:r>
              <w:rPr>
                <w:rFonts w:ascii="Arial" w:cs="Arial" w:eastAsia="Arial" w:hAnsi="Arial"/>
                <w:sz w:val="15"/>
                <w:szCs w:val="15"/>
                <w:color w:val="auto"/>
              </w:rPr>
              <w:t>Maturities within one year:</w:t>
            </w: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41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U.S. government obligations</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3,335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8"/>
                <w:szCs w:val="18"/>
                <w:color w:val="auto"/>
              </w:rPr>
            </w:pPr>
          </w:p>
        </w:tc>
      </w:tr>
      <w:tr>
        <w:trPr>
          <w:trHeight w:val="208"/>
        </w:trPr>
        <w:tc>
          <w:tcPr>
            <w:tcW w:w="4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Maturities after one year through five years:</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4180" w:type="dxa"/>
            <w:vAlign w:val="bottom"/>
          </w:tcPr>
          <w:p>
            <w:pPr>
              <w:ind w:left="260"/>
              <w:spacing w:after="0"/>
              <w:rPr>
                <w:sz w:val="20"/>
                <w:szCs w:val="20"/>
                <w:color w:val="auto"/>
              </w:rPr>
            </w:pPr>
            <w:r>
              <w:rPr>
                <w:rFonts w:ascii="Arial" w:cs="Arial" w:eastAsia="Arial" w:hAnsi="Arial"/>
                <w:sz w:val="15"/>
                <w:szCs w:val="15"/>
                <w:color w:val="auto"/>
              </w:rPr>
              <w:t>U.S. government obligations</w:t>
            </w: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4,724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4,728</w:t>
            </w:r>
          </w:p>
        </w:tc>
        <w:tc>
          <w:tcPr>
            <w:tcW w:w="120" w:type="dxa"/>
            <w:vAlign w:val="bottom"/>
          </w:tcPr>
          <w:p>
            <w:pPr>
              <w:spacing w:after="0"/>
              <w:rPr>
                <w:sz w:val="17"/>
                <w:szCs w:val="17"/>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25"/>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7"/>
                <w:szCs w:val="17"/>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41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8,063</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7"/>
                <w:szCs w:val="17"/>
                <w:color w:val="auto"/>
              </w:rPr>
            </w:pPr>
          </w:p>
        </w:tc>
      </w:tr>
      <w:tr>
        <w:trPr>
          <w:trHeight w:val="195"/>
        </w:trPr>
        <w:tc>
          <w:tcPr>
            <w:tcW w:w="41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1"/>
        </w:trPr>
        <w:tc>
          <w:tcPr>
            <w:tcW w:w="4180" w:type="dxa"/>
            <w:vAlign w:val="bottom"/>
            <w:shd w:val="clear" w:color="auto" w:fill="CCEEFF"/>
          </w:tcPr>
          <w:p>
            <w:pPr>
              <w:spacing w:after="0"/>
              <w:rPr>
                <w:sz w:val="19"/>
                <w:szCs w:val="19"/>
                <w:color w:val="auto"/>
              </w:rPr>
            </w:pPr>
          </w:p>
        </w:tc>
        <w:tc>
          <w:tcPr>
            <w:tcW w:w="3740" w:type="dxa"/>
            <w:vAlign w:val="bottom"/>
            <w:gridSpan w:val="3"/>
            <w:shd w:val="clear" w:color="auto" w:fill="CCEEFF"/>
          </w:tcPr>
          <w:p>
            <w:pPr>
              <w:ind w:left="358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9"/>
              </w:rPr>
              <w:t>296,675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8"/>
              </w:rPr>
              <w:t>296,903</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477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87"/>
              </w:rPr>
              <w:t>228</w:t>
            </w:r>
          </w:p>
        </w:tc>
        <w:tc>
          <w:tcPr>
            <w:tcW w:w="20" w:type="dxa"/>
            <w:vAlign w:val="bottom"/>
          </w:tcPr>
          <w:p>
            <w:pPr>
              <w:spacing w:after="0"/>
              <w:rPr>
                <w:sz w:val="19"/>
                <w:szCs w:val="19"/>
                <w:color w:val="auto"/>
              </w:rPr>
            </w:pPr>
          </w:p>
        </w:tc>
      </w:tr>
      <w:tr>
        <w:trPr>
          <w:trHeight w:val="369"/>
        </w:trPr>
        <w:tc>
          <w:tcPr>
            <w:tcW w:w="4180" w:type="dxa"/>
            <w:vAlign w:val="bottom"/>
            <w:tcBorders>
              <w:top w:val="single" w:sz="8" w:color="CCEEFF"/>
            </w:tcBorders>
          </w:tcPr>
          <w:p>
            <w:pPr>
              <w:spacing w:after="0"/>
              <w:rPr>
                <w:sz w:val="24"/>
                <w:szCs w:val="24"/>
                <w:color w:val="auto"/>
              </w:rPr>
            </w:pPr>
          </w:p>
        </w:tc>
        <w:tc>
          <w:tcPr>
            <w:tcW w:w="3340" w:type="dxa"/>
            <w:vAlign w:val="bottom"/>
            <w:tcBorders>
              <w:top w:val="single" w:sz="8" w:color="CCEEFF"/>
            </w:tcBorders>
          </w:tcPr>
          <w:p>
            <w:pPr>
              <w:jc w:val="right"/>
              <w:ind w:right="1685"/>
              <w:spacing w:after="0"/>
              <w:rPr>
                <w:sz w:val="20"/>
                <w:szCs w:val="20"/>
                <w:color w:val="auto"/>
              </w:rPr>
            </w:pPr>
            <w:r>
              <w:rPr>
                <w:rFonts w:ascii="Arial" w:cs="Arial" w:eastAsia="Arial" w:hAnsi="Arial"/>
                <w:sz w:val="15"/>
                <w:szCs w:val="15"/>
                <w:color w:val="auto"/>
              </w:rPr>
              <w:t>9</w:t>
            </w: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418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-13335</wp:posOffset>
            </wp:positionV>
            <wp:extent cx="127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21" w:right="19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Condensed Financial Statements (Unaudited)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(Unless otherwise noted, dollars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5"/>
                <w:szCs w:val="15"/>
                <w:b w:val="1"/>
                <w:bCs w:val="1"/>
                <w:color w:val="auto"/>
              </w:rPr>
              <w:t>Amortized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4"/>
              </w:rPr>
              <w:t>Fair</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2"/>
              </w:rPr>
              <w:t>Unrealized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r>
      <w:tr>
        <w:trPr>
          <w:trHeight w:val="201"/>
        </w:trPr>
        <w:tc>
          <w:tcPr>
            <w:tcW w:w="7500" w:type="dxa"/>
            <w:vAlign w:val="bottom"/>
          </w:tcPr>
          <w:p>
            <w:pPr>
              <w:spacing w:after="0"/>
              <w:rPr>
                <w:sz w:val="20"/>
                <w:szCs w:val="20"/>
                <w:color w:val="auto"/>
              </w:rPr>
            </w:pPr>
            <w:r>
              <w:rPr>
                <w:rFonts w:ascii="Arial" w:cs="Arial" w:eastAsia="Arial" w:hAnsi="Arial"/>
                <w:sz w:val="15"/>
                <w:szCs w:val="15"/>
                <w:b w:val="1"/>
                <w:bCs w:val="1"/>
                <w:color w:val="auto"/>
              </w:rPr>
              <w:t>At December 31, 2011</w:t>
            </w:r>
          </w:p>
        </w:tc>
        <w:tc>
          <w:tcPr>
            <w:tcW w:w="22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5"/>
                <w:szCs w:val="15"/>
                <w:b w:val="1"/>
                <w:bCs w:val="1"/>
                <w:color w:val="auto"/>
              </w:rPr>
              <w:t>Cost Basis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4"/>
              </w:rPr>
              <w:t>Value</w:t>
            </w:r>
          </w:p>
        </w:tc>
        <w:tc>
          <w:tcPr>
            <w:tcW w:w="52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w w:val="91"/>
              </w:rPr>
              <w:t>Gains</w:t>
            </w:r>
          </w:p>
        </w:tc>
        <w:tc>
          <w:tcPr>
            <w:tcW w:w="140" w:type="dxa"/>
            <w:vAlign w:val="bottom"/>
          </w:tcPr>
          <w:p>
            <w:pPr>
              <w:spacing w:after="0"/>
              <w:rPr>
                <w:sz w:val="17"/>
                <w:szCs w:val="17"/>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4"/>
              </w:rPr>
              <w:t>(Losses)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25"/>
              <w:spacing w:after="0"/>
              <w:rPr>
                <w:sz w:val="20"/>
                <w:szCs w:val="20"/>
                <w:color w:val="auto"/>
              </w:rPr>
            </w:pPr>
            <w:r>
              <w:rPr>
                <w:rFonts w:ascii="Arial" w:cs="Arial" w:eastAsia="Arial" w:hAnsi="Arial"/>
                <w:sz w:val="15"/>
                <w:szCs w:val="15"/>
                <w:b w:val="1"/>
                <w:bCs w:val="1"/>
                <w:color w:val="auto"/>
                <w:w w:val="90"/>
              </w:rPr>
              <w:t>Net</w:t>
            </w:r>
          </w:p>
        </w:tc>
      </w:tr>
      <w:tr>
        <w:trPr>
          <w:trHeight w:val="207"/>
        </w:trPr>
        <w:tc>
          <w:tcPr>
            <w:tcW w:w="7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i w:val="1"/>
                <w:iCs w:val="1"/>
                <w:color w:val="auto"/>
              </w:rPr>
              <w:t>Unrestricted</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r>
      <w:tr>
        <w:trPr>
          <w:trHeight w:val="201"/>
        </w:trPr>
        <w:tc>
          <w:tcPr>
            <w:tcW w:w="7500" w:type="dxa"/>
            <w:vAlign w:val="bottom"/>
          </w:tcPr>
          <w:p>
            <w:pPr>
              <w:spacing w:after="0"/>
              <w:rPr>
                <w:sz w:val="20"/>
                <w:szCs w:val="20"/>
                <w:color w:val="auto"/>
              </w:rPr>
            </w:pPr>
            <w:r>
              <w:rPr>
                <w:rFonts w:ascii="Arial" w:cs="Arial" w:eastAsia="Arial" w:hAnsi="Arial"/>
                <w:sz w:val="15"/>
                <w:szCs w:val="15"/>
                <w:color w:val="auto"/>
              </w:rPr>
              <w:t>Maturities within one year: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5"/>
        </w:trPr>
        <w:tc>
          <w:tcPr>
            <w:tcW w:w="7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U.S. government obligations</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12,025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12,067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42</w:t>
            </w:r>
          </w:p>
        </w:tc>
      </w:tr>
      <w:tr>
        <w:trPr>
          <w:trHeight w:val="194"/>
        </w:trPr>
        <w:tc>
          <w:tcPr>
            <w:tcW w:w="7500" w:type="dxa"/>
            <w:vAlign w:val="bottom"/>
          </w:tcPr>
          <w:p>
            <w:pPr>
              <w:ind w:left="260"/>
              <w:spacing w:after="0"/>
              <w:rPr>
                <w:sz w:val="20"/>
                <w:szCs w:val="20"/>
                <w:color w:val="auto"/>
              </w:rPr>
            </w:pPr>
            <w:r>
              <w:rPr>
                <w:rFonts w:ascii="Arial" w:cs="Arial" w:eastAsia="Arial" w:hAnsi="Arial"/>
                <w:sz w:val="15"/>
                <w:szCs w:val="15"/>
                <w:color w:val="auto"/>
              </w:rPr>
              <w:t>U.S. government guaranteed corporate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5"/>
        </w:trPr>
        <w:tc>
          <w:tcPr>
            <w:tcW w:w="7500" w:type="dxa"/>
            <w:vAlign w:val="bottom"/>
          </w:tcPr>
          <w:p>
            <w:pPr>
              <w:ind w:left="520"/>
              <w:spacing w:after="0"/>
              <w:rPr>
                <w:sz w:val="20"/>
                <w:szCs w:val="20"/>
                <w:color w:val="auto"/>
              </w:rPr>
            </w:pPr>
            <w:r>
              <w:rPr>
                <w:rFonts w:ascii="Arial" w:cs="Arial" w:eastAsia="Arial" w:hAnsi="Arial"/>
                <w:sz w:val="15"/>
                <w:szCs w:val="15"/>
                <w:color w:val="auto"/>
              </w:rPr>
              <w:t>bonds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15,263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15,316</w:t>
            </w:r>
          </w:p>
        </w:tc>
        <w:tc>
          <w:tcPr>
            <w:tcW w:w="1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5"/>
                <w:szCs w:val="15"/>
                <w:color w:val="auto"/>
              </w:rPr>
              <w:t>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25"/>
              <w:spacing w:after="0"/>
              <w:rPr>
                <w:sz w:val="20"/>
                <w:szCs w:val="20"/>
                <w:color w:val="auto"/>
              </w:rPr>
            </w:pPr>
            <w:r>
              <w:rPr>
                <w:rFonts w:ascii="Arial" w:cs="Arial" w:eastAsia="Arial" w:hAnsi="Arial"/>
                <w:sz w:val="15"/>
                <w:szCs w:val="15"/>
                <w:color w:val="auto"/>
              </w:rPr>
              <w:t>53</w:t>
            </w:r>
          </w:p>
        </w:tc>
      </w:tr>
      <w:tr>
        <w:trPr>
          <w:trHeight w:val="201"/>
        </w:trPr>
        <w:tc>
          <w:tcPr>
            <w:tcW w:w="7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U.S. government guaranteed collateralized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22"/>
        </w:trPr>
        <w:tc>
          <w:tcPr>
            <w:tcW w:w="75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mortgage obligations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01"/>
        </w:trPr>
        <w:tc>
          <w:tcPr>
            <w:tcW w:w="7500" w:type="dxa"/>
            <w:vAlign w:val="bottom"/>
          </w:tcPr>
          <w:p>
            <w:pPr>
              <w:ind w:left="260"/>
              <w:spacing w:after="0"/>
              <w:rPr>
                <w:sz w:val="20"/>
                <w:szCs w:val="20"/>
                <w:color w:val="auto"/>
              </w:rPr>
            </w:pPr>
            <w:r>
              <w:rPr>
                <w:rFonts w:ascii="Arial" w:cs="Arial" w:eastAsia="Arial" w:hAnsi="Arial"/>
                <w:sz w:val="15"/>
                <w:szCs w:val="15"/>
                <w:color w:val="auto"/>
              </w:rPr>
              <w:t>Municipal bonds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15,314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15,326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25"/>
              <w:spacing w:after="0"/>
              <w:rPr>
                <w:sz w:val="20"/>
                <w:szCs w:val="20"/>
                <w:color w:val="auto"/>
              </w:rPr>
            </w:pPr>
            <w:r>
              <w:rPr>
                <w:rFonts w:ascii="Arial" w:cs="Arial" w:eastAsia="Arial" w:hAnsi="Arial"/>
                <w:sz w:val="15"/>
                <w:szCs w:val="15"/>
                <w:color w:val="auto"/>
              </w:rPr>
              <w:t>12</w:t>
            </w:r>
          </w:p>
        </w:tc>
      </w:tr>
      <w:tr>
        <w:trPr>
          <w:trHeight w:val="20"/>
        </w:trPr>
        <w:tc>
          <w:tcPr>
            <w:tcW w:w="7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00"/>
        </w:trPr>
        <w:tc>
          <w:tcPr>
            <w:tcW w:w="7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43,331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87"/>
              </w:rPr>
              <w:t>106</w:t>
            </w:r>
          </w:p>
        </w:tc>
      </w:tr>
      <w:tr>
        <w:trPr>
          <w:trHeight w:val="195"/>
        </w:trPr>
        <w:tc>
          <w:tcPr>
            <w:tcW w:w="7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r>
      <w:tr>
        <w:trPr>
          <w:trHeight w:val="208"/>
        </w:trPr>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Maturities after one year through five years: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1"/>
        </w:trPr>
        <w:tc>
          <w:tcPr>
            <w:tcW w:w="7500" w:type="dxa"/>
            <w:vAlign w:val="bottom"/>
          </w:tcPr>
          <w:p>
            <w:pPr>
              <w:ind w:left="260"/>
              <w:spacing w:after="0"/>
              <w:rPr>
                <w:sz w:val="20"/>
                <w:szCs w:val="20"/>
                <w:color w:val="auto"/>
              </w:rPr>
            </w:pPr>
            <w:r>
              <w:rPr>
                <w:rFonts w:ascii="Arial" w:cs="Arial" w:eastAsia="Arial" w:hAnsi="Arial"/>
                <w:sz w:val="15"/>
                <w:szCs w:val="15"/>
                <w:color w:val="auto"/>
              </w:rPr>
              <w:t>U.S. government obligations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272,433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w w:val="92"/>
              </w:rPr>
              <w:t>272,752</w:t>
            </w:r>
          </w:p>
        </w:tc>
        <w:tc>
          <w:tcPr>
            <w:tcW w:w="14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5"/>
                <w:szCs w:val="15"/>
                <w:color w:val="auto"/>
              </w:rPr>
              <w:t>400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25"/>
              <w:spacing w:after="0"/>
              <w:rPr>
                <w:sz w:val="20"/>
                <w:szCs w:val="20"/>
                <w:color w:val="auto"/>
              </w:rPr>
            </w:pPr>
            <w:r>
              <w:rPr>
                <w:rFonts w:ascii="Arial" w:cs="Arial" w:eastAsia="Arial" w:hAnsi="Arial"/>
                <w:sz w:val="15"/>
                <w:szCs w:val="15"/>
                <w:color w:val="auto"/>
                <w:w w:val="87"/>
              </w:rPr>
              <w:t>319</w:t>
            </w:r>
          </w:p>
        </w:tc>
      </w:tr>
      <w:tr>
        <w:trPr>
          <w:trHeight w:val="208"/>
        </w:trPr>
        <w:tc>
          <w:tcPr>
            <w:tcW w:w="7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Mortgage-backed securities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r>
      <w:tr>
        <w:trPr>
          <w:trHeight w:val="200"/>
        </w:trPr>
        <w:tc>
          <w:tcPr>
            <w:tcW w:w="7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w w:val="99"/>
              </w:rPr>
              <w:t>272,537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w w:val="92"/>
              </w:rPr>
              <w:t>272,780</w:t>
            </w:r>
          </w:p>
        </w:tc>
        <w:tc>
          <w:tcPr>
            <w:tcW w:w="14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5"/>
                <w:szCs w:val="15"/>
                <w:color w:val="auto"/>
              </w:rPr>
              <w:t>400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25"/>
              <w:spacing w:after="0"/>
              <w:rPr>
                <w:sz w:val="20"/>
                <w:szCs w:val="20"/>
                <w:color w:val="auto"/>
              </w:rPr>
            </w:pPr>
            <w:r>
              <w:rPr>
                <w:rFonts w:ascii="Arial" w:cs="Arial" w:eastAsia="Arial" w:hAnsi="Arial"/>
                <w:sz w:val="15"/>
                <w:szCs w:val="15"/>
                <w:color w:val="auto"/>
                <w:w w:val="87"/>
              </w:rPr>
              <w:t>243</w:t>
            </w:r>
          </w:p>
        </w:tc>
      </w:tr>
      <w:tr>
        <w:trPr>
          <w:trHeight w:val="195"/>
        </w:trPr>
        <w:tc>
          <w:tcPr>
            <w:tcW w:w="7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r>
      <w:tr>
        <w:trPr>
          <w:trHeight w:val="208"/>
        </w:trPr>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Maturities after five years through ten years: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1"/>
        </w:trPr>
        <w:tc>
          <w:tcPr>
            <w:tcW w:w="750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Mortgage-backed securities</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r>
      <w:tr>
        <w:trPr>
          <w:trHeight w:val="200"/>
        </w:trPr>
        <w:tc>
          <w:tcPr>
            <w:tcW w:w="7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9"/>
              </w:rPr>
              <w:t>315,926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2"/>
              </w:rPr>
              <w:t>316,198</w:t>
            </w: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508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87"/>
              </w:rPr>
              <w:t>272</w:t>
            </w:r>
          </w:p>
        </w:tc>
      </w:tr>
      <w:tr>
        <w:trPr>
          <w:trHeight w:val="195"/>
        </w:trPr>
        <w:tc>
          <w:tcPr>
            <w:tcW w:w="7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r>
      <w:tr>
        <w:trPr>
          <w:trHeight w:val="208"/>
        </w:trPr>
        <w:tc>
          <w:tcPr>
            <w:tcW w:w="750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Restricted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1"/>
        </w:trPr>
        <w:tc>
          <w:tcPr>
            <w:tcW w:w="7500" w:type="dxa"/>
            <w:vAlign w:val="bottom"/>
          </w:tcPr>
          <w:p>
            <w:pPr>
              <w:spacing w:after="0"/>
              <w:rPr>
                <w:sz w:val="20"/>
                <w:szCs w:val="20"/>
                <w:color w:val="auto"/>
              </w:rPr>
            </w:pPr>
            <w:r>
              <w:rPr>
                <w:rFonts w:ascii="Arial" w:cs="Arial" w:eastAsia="Arial" w:hAnsi="Arial"/>
                <w:sz w:val="15"/>
                <w:szCs w:val="15"/>
                <w:color w:val="auto"/>
              </w:rPr>
              <w:t>Maturities within one year: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5"/>
        </w:trPr>
        <w:tc>
          <w:tcPr>
            <w:tcW w:w="75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U.S. government obligations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3,357</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10</w:t>
            </w:r>
          </w:p>
        </w:tc>
      </w:tr>
      <w:tr>
        <w:trPr>
          <w:trHeight w:val="208"/>
        </w:trPr>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8"/>
        </w:trPr>
        <w:tc>
          <w:tcPr>
            <w:tcW w:w="7500" w:type="dxa"/>
            <w:vAlign w:val="bottom"/>
            <w:shd w:val="clear" w:color="auto" w:fill="CCEEFF"/>
          </w:tcPr>
          <w:p>
            <w:pPr>
              <w:spacing w:after="0"/>
              <w:rPr>
                <w:sz w:val="20"/>
                <w:szCs w:val="20"/>
                <w:color w:val="auto"/>
              </w:rPr>
            </w:pPr>
            <w:r>
              <w:rPr>
                <w:rFonts w:ascii="Arial" w:cs="Arial" w:eastAsia="Arial" w:hAnsi="Arial"/>
                <w:sz w:val="15"/>
                <w:szCs w:val="15"/>
                <w:color w:val="auto"/>
              </w:rPr>
              <w:t>Maturities after one year through five years: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1"/>
        </w:trPr>
        <w:tc>
          <w:tcPr>
            <w:tcW w:w="7500" w:type="dxa"/>
            <w:vAlign w:val="bottom"/>
          </w:tcPr>
          <w:p>
            <w:pPr>
              <w:ind w:left="260"/>
              <w:spacing w:after="0"/>
              <w:rPr>
                <w:sz w:val="20"/>
                <w:szCs w:val="20"/>
                <w:color w:val="auto"/>
              </w:rPr>
            </w:pPr>
            <w:r>
              <w:rPr>
                <w:rFonts w:ascii="Arial" w:cs="Arial" w:eastAsia="Arial" w:hAnsi="Arial"/>
                <w:sz w:val="15"/>
                <w:szCs w:val="15"/>
                <w:color w:val="auto"/>
              </w:rPr>
              <w:t>U.S. government obligations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2,572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2,583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5"/>
                <w:szCs w:val="15"/>
                <w:color w:val="auto"/>
              </w:rPr>
              <w:t>11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25"/>
              <w:spacing w:after="0"/>
              <w:rPr>
                <w:sz w:val="20"/>
                <w:szCs w:val="20"/>
                <w:color w:val="auto"/>
              </w:rPr>
            </w:pPr>
            <w:r>
              <w:rPr>
                <w:rFonts w:ascii="Arial" w:cs="Arial" w:eastAsia="Arial" w:hAnsi="Arial"/>
                <w:sz w:val="15"/>
                <w:szCs w:val="15"/>
                <w:color w:val="auto"/>
              </w:rPr>
              <w:t>11</w:t>
            </w:r>
          </w:p>
        </w:tc>
      </w:tr>
      <w:tr>
        <w:trPr>
          <w:trHeight w:val="20"/>
        </w:trPr>
        <w:tc>
          <w:tcPr>
            <w:tcW w:w="7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00"/>
        </w:trPr>
        <w:tc>
          <w:tcPr>
            <w:tcW w:w="7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21</w:t>
            </w:r>
          </w:p>
        </w:tc>
      </w:tr>
      <w:tr>
        <w:trPr>
          <w:trHeight w:val="195"/>
        </w:trPr>
        <w:tc>
          <w:tcPr>
            <w:tcW w:w="7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r>
      <w:tr>
        <w:trPr>
          <w:trHeight w:val="201"/>
        </w:trPr>
        <w:tc>
          <w:tcPr>
            <w:tcW w:w="7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321,845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322,138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529</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87"/>
              </w:rPr>
              <w:t>293</w:t>
            </w:r>
          </w:p>
        </w:tc>
      </w:tr>
      <w:tr>
        <w:trPr>
          <w:trHeight w:val="30"/>
        </w:trPr>
        <w:tc>
          <w:tcPr>
            <w:tcW w:w="7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20" w:firstLine="254"/>
        <w:spacing w:after="0" w:line="281" w:lineRule="auto"/>
        <w:rPr>
          <w:sz w:val="20"/>
          <w:szCs w:val="20"/>
          <w:color w:val="auto"/>
        </w:rPr>
      </w:pPr>
      <w:r>
        <w:rPr>
          <w:rFonts w:ascii="Arial" w:cs="Arial" w:eastAsia="Arial" w:hAnsi="Arial"/>
          <w:sz w:val="15"/>
          <w:szCs w:val="15"/>
          <w:color w:val="auto"/>
        </w:rPr>
        <w:t>At March 31, 2012 and December 31, 2011, marketable securities included an additional unrealized loss of $0.4 million and $1.0 million, respectively, related to one equity security in the Company’s marketable securities portfolio.</w:t>
      </w:r>
    </w:p>
    <w:p>
      <w:pPr>
        <w:spacing w:after="0" w:line="174" w:lineRule="exact"/>
        <w:rPr>
          <w:sz w:val="20"/>
          <w:szCs w:val="20"/>
          <w:color w:val="auto"/>
        </w:rPr>
      </w:pPr>
    </w:p>
    <w:p>
      <w:pPr>
        <w:jc w:val="both"/>
        <w:ind w:right="20" w:firstLine="324"/>
        <w:spacing w:after="0" w:line="318" w:lineRule="auto"/>
        <w:rPr>
          <w:sz w:val="20"/>
          <w:szCs w:val="20"/>
          <w:color w:val="auto"/>
        </w:rPr>
      </w:pPr>
      <w:r>
        <w:rPr>
          <w:rFonts w:ascii="Arial" w:cs="Arial" w:eastAsia="Arial" w:hAnsi="Arial"/>
          <w:sz w:val="14"/>
          <w:szCs w:val="14"/>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March 31, 2012 and December 31, 2011.</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1" w:right="21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Condensed Financial Statements (Unaudited)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(Unless otherwise noted, dollars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25"/>
              <w:spacing w:after="0"/>
              <w:rPr>
                <w:sz w:val="20"/>
                <w:szCs w:val="20"/>
                <w:color w:val="auto"/>
              </w:rPr>
            </w:pPr>
            <w:r>
              <w:rPr>
                <w:rFonts w:ascii="Arial" w:cs="Arial" w:eastAsia="Arial" w:hAnsi="Arial"/>
                <w:sz w:val="15"/>
                <w:szCs w:val="15"/>
                <w:b w:val="1"/>
                <w:bCs w:val="1"/>
                <w:color w:val="auto"/>
                <w:w w:val="90"/>
              </w:rPr>
              <w:t>Less than 12 Months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5"/>
                <w:szCs w:val="15"/>
                <w:b w:val="1"/>
                <w:bCs w:val="1"/>
                <w:color w:val="auto"/>
                <w:w w:val="92"/>
              </w:rPr>
              <w:t>12 Months or Greater</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Total</w:t>
            </w:r>
          </w:p>
        </w:tc>
        <w:tc>
          <w:tcPr>
            <w:tcW w:w="580" w:type="dxa"/>
            <w:vAlign w:val="bottom"/>
            <w:tcBorders>
              <w:bottom w:val="single" w:sz="8" w:color="auto"/>
            </w:tcBorders>
          </w:tcPr>
          <w:p>
            <w:pPr>
              <w:spacing w:after="0"/>
              <w:rPr>
                <w:sz w:val="17"/>
                <w:szCs w:val="17"/>
                <w:color w:val="auto"/>
              </w:rPr>
            </w:pPr>
          </w:p>
        </w:tc>
      </w:tr>
      <w:tr>
        <w:trPr>
          <w:trHeight w:val="193"/>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5"/>
              <w:spacing w:after="0"/>
              <w:rPr>
                <w:sz w:val="20"/>
                <w:szCs w:val="20"/>
                <w:color w:val="auto"/>
              </w:rPr>
            </w:pPr>
            <w:r>
              <w:rPr>
                <w:rFonts w:ascii="Arial" w:cs="Arial" w:eastAsia="Arial" w:hAnsi="Arial"/>
                <w:sz w:val="15"/>
                <w:szCs w:val="15"/>
                <w:b w:val="1"/>
                <w:bCs w:val="1"/>
                <w:color w:val="auto"/>
                <w:w w:val="89"/>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w w:val="97"/>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Unrealized</w:t>
            </w:r>
          </w:p>
        </w:tc>
      </w:tr>
      <w:tr>
        <w:trPr>
          <w:trHeight w:val="215"/>
        </w:trPr>
        <w:tc>
          <w:tcPr>
            <w:tcW w:w="6260" w:type="dxa"/>
            <w:vAlign w:val="bottom"/>
          </w:tcPr>
          <w:p>
            <w:pPr>
              <w:spacing w:after="0"/>
              <w:rPr>
                <w:sz w:val="20"/>
                <w:szCs w:val="20"/>
                <w:color w:val="auto"/>
              </w:rPr>
            </w:pPr>
            <w:r>
              <w:rPr>
                <w:rFonts w:ascii="Arial" w:cs="Arial" w:eastAsia="Arial" w:hAnsi="Arial"/>
                <w:sz w:val="15"/>
                <w:szCs w:val="15"/>
                <w:b w:val="1"/>
                <w:bCs w:val="1"/>
                <w:color w:val="auto"/>
              </w:rPr>
              <w:t>At March 31, 2012</w:t>
            </w:r>
          </w:p>
        </w:tc>
        <w:tc>
          <w:tcPr>
            <w:tcW w:w="880" w:type="dxa"/>
            <w:vAlign w:val="bottom"/>
            <w:gridSpan w:val="3"/>
          </w:tcPr>
          <w:p>
            <w:pPr>
              <w:ind w:left="120"/>
              <w:spacing w:after="0"/>
              <w:rPr>
                <w:sz w:val="20"/>
                <w:szCs w:val="20"/>
                <w:color w:val="auto"/>
              </w:rPr>
            </w:pPr>
            <w:r>
              <w:rPr>
                <w:rFonts w:ascii="Arial" w:cs="Arial" w:eastAsia="Arial" w:hAnsi="Arial"/>
                <w:sz w:val="15"/>
                <w:szCs w:val="15"/>
                <w:b w:val="1"/>
                <w:bCs w:val="1"/>
                <w:color w:val="auto"/>
              </w:rPr>
              <w:t>Fair Value</w:t>
            </w:r>
          </w:p>
        </w:tc>
        <w:tc>
          <w:tcPr>
            <w:tcW w:w="80" w:type="dxa"/>
            <w:vAlign w:val="bottom"/>
          </w:tcPr>
          <w:p>
            <w:pPr>
              <w:spacing w:after="0"/>
              <w:rPr>
                <w:sz w:val="18"/>
                <w:szCs w:val="18"/>
                <w:color w:val="auto"/>
              </w:rPr>
            </w:pPr>
          </w:p>
        </w:tc>
        <w:tc>
          <w:tcPr>
            <w:tcW w:w="780" w:type="dxa"/>
            <w:vAlign w:val="bottom"/>
          </w:tcPr>
          <w:p>
            <w:pPr>
              <w:jc w:val="right"/>
              <w:ind w:right="205"/>
              <w:spacing w:after="0"/>
              <w:rPr>
                <w:sz w:val="20"/>
                <w:szCs w:val="20"/>
                <w:color w:val="auto"/>
              </w:rPr>
            </w:pPr>
            <w:r>
              <w:rPr>
                <w:rFonts w:ascii="Arial" w:cs="Arial" w:eastAsia="Arial" w:hAnsi="Arial"/>
                <w:sz w:val="15"/>
                <w:szCs w:val="15"/>
                <w:b w:val="1"/>
                <w:bCs w:val="1"/>
                <w:color w:val="auto"/>
              </w:rPr>
              <w:t>Loss</w:t>
            </w:r>
          </w:p>
        </w:tc>
        <w:tc>
          <w:tcPr>
            <w:tcW w:w="100" w:type="dxa"/>
            <w:vAlign w:val="bottom"/>
          </w:tcPr>
          <w:p>
            <w:pPr>
              <w:spacing w:after="0"/>
              <w:rPr>
                <w:sz w:val="18"/>
                <w:szCs w:val="18"/>
                <w:color w:val="auto"/>
              </w:rPr>
            </w:pPr>
          </w:p>
        </w:tc>
        <w:tc>
          <w:tcPr>
            <w:tcW w:w="860" w:type="dxa"/>
            <w:vAlign w:val="bottom"/>
            <w:gridSpan w:val="3"/>
          </w:tcPr>
          <w:p>
            <w:pPr>
              <w:ind w:left="40"/>
              <w:spacing w:after="0"/>
              <w:rPr>
                <w:sz w:val="20"/>
                <w:szCs w:val="20"/>
                <w:color w:val="auto"/>
              </w:rPr>
            </w:pPr>
            <w:r>
              <w:rPr>
                <w:rFonts w:ascii="Arial" w:cs="Arial" w:eastAsia="Arial" w:hAnsi="Arial"/>
                <w:sz w:val="15"/>
                <w:szCs w:val="15"/>
                <w:b w:val="1"/>
                <w:bCs w:val="1"/>
                <w:color w:val="auto"/>
              </w:rPr>
              <w:t>Fair Value</w:t>
            </w:r>
          </w:p>
        </w:tc>
        <w:tc>
          <w:tcPr>
            <w:tcW w:w="180" w:type="dxa"/>
            <w:vAlign w:val="bottom"/>
          </w:tcPr>
          <w:p>
            <w:pPr>
              <w:spacing w:after="0"/>
              <w:rPr>
                <w:sz w:val="18"/>
                <w:szCs w:val="18"/>
                <w:color w:val="auto"/>
              </w:rPr>
            </w:pPr>
          </w:p>
        </w:tc>
        <w:tc>
          <w:tcPr>
            <w:tcW w:w="640" w:type="dxa"/>
            <w:vAlign w:val="bottom"/>
          </w:tcPr>
          <w:p>
            <w:pPr>
              <w:jc w:val="right"/>
              <w:ind w:right="185"/>
              <w:spacing w:after="0"/>
              <w:rPr>
                <w:sz w:val="20"/>
                <w:szCs w:val="20"/>
                <w:color w:val="auto"/>
              </w:rPr>
            </w:pPr>
            <w:r>
              <w:rPr>
                <w:rFonts w:ascii="Arial" w:cs="Arial" w:eastAsia="Arial" w:hAnsi="Arial"/>
                <w:sz w:val="15"/>
                <w:szCs w:val="15"/>
                <w:b w:val="1"/>
                <w:bCs w:val="1"/>
                <w:color w:val="auto"/>
              </w:rPr>
              <w:t>Loss</w:t>
            </w:r>
          </w:p>
        </w:tc>
        <w:tc>
          <w:tcPr>
            <w:tcW w:w="880" w:type="dxa"/>
            <w:vAlign w:val="bottom"/>
            <w:gridSpan w:val="4"/>
          </w:tcPr>
          <w:p>
            <w:pPr>
              <w:ind w:left="100"/>
              <w:spacing w:after="0"/>
              <w:rPr>
                <w:sz w:val="20"/>
                <w:szCs w:val="20"/>
                <w:color w:val="auto"/>
              </w:rPr>
            </w:pPr>
            <w:r>
              <w:rPr>
                <w:rFonts w:ascii="Arial" w:cs="Arial" w:eastAsia="Arial" w:hAnsi="Arial"/>
                <w:sz w:val="15"/>
                <w:szCs w:val="15"/>
                <w:b w:val="1"/>
                <w:bCs w:val="1"/>
                <w:color w:val="auto"/>
              </w:rPr>
              <w:t>Fair Value</w:t>
            </w:r>
          </w:p>
        </w:tc>
        <w:tc>
          <w:tcPr>
            <w:tcW w:w="200" w:type="dxa"/>
            <w:vAlign w:val="bottom"/>
          </w:tcPr>
          <w:p>
            <w:pPr>
              <w:spacing w:after="0"/>
              <w:rPr>
                <w:sz w:val="18"/>
                <w:szCs w:val="18"/>
                <w:color w:val="auto"/>
              </w:rPr>
            </w:pPr>
          </w:p>
        </w:tc>
        <w:tc>
          <w:tcPr>
            <w:tcW w:w="580" w:type="dxa"/>
            <w:vAlign w:val="bottom"/>
          </w:tcPr>
          <w:p>
            <w:pPr>
              <w:jc w:val="right"/>
              <w:ind w:right="165"/>
              <w:spacing w:after="0"/>
              <w:rPr>
                <w:sz w:val="20"/>
                <w:szCs w:val="20"/>
                <w:color w:val="auto"/>
              </w:rPr>
            </w:pPr>
            <w:r>
              <w:rPr>
                <w:rFonts w:ascii="Arial" w:cs="Arial" w:eastAsia="Arial" w:hAnsi="Arial"/>
                <w:sz w:val="15"/>
                <w:szCs w:val="15"/>
                <w:b w:val="1"/>
                <w:bCs w:val="1"/>
                <w:color w:val="auto"/>
                <w:w w:val="91"/>
              </w:rPr>
              <w:t>Loss</w:t>
            </w:r>
          </w:p>
        </w:tc>
      </w:tr>
      <w:tr>
        <w:trPr>
          <w:trHeight w:val="207"/>
        </w:trPr>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i w:val="1"/>
                <w:iCs w:val="1"/>
                <w:color w:val="auto"/>
              </w:rPr>
              <w:t>Unrestricted</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1"/>
        </w:trPr>
        <w:tc>
          <w:tcPr>
            <w:tcW w:w="6260" w:type="dxa"/>
            <w:vAlign w:val="bottom"/>
          </w:tcPr>
          <w:p>
            <w:pPr>
              <w:ind w:left="260"/>
              <w:spacing w:after="0"/>
              <w:rPr>
                <w:sz w:val="20"/>
                <w:szCs w:val="20"/>
                <w:color w:val="auto"/>
              </w:rPr>
            </w:pPr>
            <w:r>
              <w:rPr>
                <w:rFonts w:ascii="Arial" w:cs="Arial" w:eastAsia="Arial" w:hAnsi="Arial"/>
                <w:sz w:val="15"/>
                <w:szCs w:val="15"/>
                <w:color w:val="auto"/>
              </w:rPr>
              <w:t>U.S. government obligations</w:t>
            </w:r>
          </w:p>
        </w:tc>
        <w:tc>
          <w:tcPr>
            <w:tcW w:w="220" w:type="dxa"/>
            <w:vAlign w:val="bottom"/>
            <w:gridSpan w:val="2"/>
          </w:tcPr>
          <w:p>
            <w:pPr>
              <w:ind w:left="120"/>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5"/>
              <w:spacing w:after="0"/>
              <w:rPr>
                <w:sz w:val="20"/>
                <w:szCs w:val="20"/>
                <w:color w:val="auto"/>
              </w:rPr>
            </w:pPr>
            <w:r>
              <w:rPr>
                <w:rFonts w:ascii="Arial" w:cs="Arial" w:eastAsia="Arial" w:hAnsi="Arial"/>
                <w:sz w:val="15"/>
                <w:szCs w:val="15"/>
                <w:color w:val="auto"/>
                <w:w w:val="99"/>
              </w:rPr>
              <w:t>261,053</w:t>
            </w:r>
          </w:p>
        </w:tc>
        <w:tc>
          <w:tcPr>
            <w:tcW w:w="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261,053</w:t>
            </w:r>
          </w:p>
        </w:tc>
        <w:tc>
          <w:tcPr>
            <w:tcW w:w="10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215"/>
        </w:trPr>
        <w:tc>
          <w:tcPr>
            <w:tcW w:w="62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Municipal bonds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12,152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01"/>
        </w:trPr>
        <w:tc>
          <w:tcPr>
            <w:tcW w:w="6260" w:type="dxa"/>
            <w:vAlign w:val="bottom"/>
          </w:tcPr>
          <w:p>
            <w:pPr>
              <w:ind w:left="260"/>
              <w:spacing w:after="0"/>
              <w:rPr>
                <w:sz w:val="20"/>
                <w:szCs w:val="20"/>
                <w:color w:val="auto"/>
              </w:rPr>
            </w:pPr>
            <w:r>
              <w:rPr>
                <w:rFonts w:ascii="Arial" w:cs="Arial" w:eastAsia="Arial" w:hAnsi="Arial"/>
                <w:sz w:val="15"/>
                <w:szCs w:val="15"/>
                <w:color w:val="auto"/>
              </w:rPr>
              <w:t>Equity security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5"/>
              <w:spacing w:after="0"/>
              <w:rPr>
                <w:sz w:val="20"/>
                <w:szCs w:val="20"/>
                <w:color w:val="auto"/>
              </w:rPr>
            </w:pPr>
            <w:r>
              <w:rPr>
                <w:rFonts w:ascii="Arial" w:cs="Arial" w:eastAsia="Arial" w:hAnsi="Arial"/>
                <w:sz w:val="15"/>
                <w:szCs w:val="15"/>
                <w:color w:val="auto"/>
              </w:rPr>
              <w:t>3,611</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(434)</w:t>
            </w:r>
          </w:p>
        </w:tc>
      </w:tr>
      <w:tr>
        <w:trPr>
          <w:trHeight w:val="208"/>
        </w:trPr>
        <w:tc>
          <w:tcPr>
            <w:tcW w:w="62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Mortgage-backed securities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w:t>
            </w:r>
          </w:p>
        </w:tc>
      </w:tr>
      <w:tr>
        <w:trPr>
          <w:trHeight w:val="200"/>
        </w:trPr>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5"/>
              <w:spacing w:after="0"/>
              <w:rPr>
                <w:sz w:val="20"/>
                <w:szCs w:val="20"/>
                <w:color w:val="auto"/>
              </w:rPr>
            </w:pPr>
            <w:r>
              <w:rPr>
                <w:rFonts w:ascii="Arial" w:cs="Arial" w:eastAsia="Arial" w:hAnsi="Arial"/>
                <w:sz w:val="15"/>
                <w:szCs w:val="15"/>
                <w:color w:val="auto"/>
                <w:w w:val="99"/>
              </w:rPr>
              <w:t>276,816</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123</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276,939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(679)</w:t>
            </w:r>
          </w:p>
        </w:tc>
      </w:tr>
      <w:tr>
        <w:trPr>
          <w:trHeight w:val="195"/>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r>
      <w:tr>
        <w:trPr>
          <w:trHeight w:val="208"/>
        </w:trPr>
        <w:tc>
          <w:tcPr>
            <w:tcW w:w="626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Restricted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01"/>
        </w:trPr>
        <w:tc>
          <w:tcPr>
            <w:tcW w:w="626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U.S. government obligations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2,417</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r>
      <w:tr>
        <w:trPr>
          <w:trHeight w:val="200"/>
        </w:trPr>
        <w:tc>
          <w:tcPr>
            <w:tcW w:w="6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right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2,417</w:t>
            </w: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195"/>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1"/>
        </w:trPr>
        <w:tc>
          <w:tcPr>
            <w:tcW w:w="62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w:t>
            </w:r>
          </w:p>
        </w:tc>
        <w:tc>
          <w:tcPr>
            <w:tcW w:w="660" w:type="dxa"/>
            <w:vAlign w:val="bottom"/>
            <w:tcBorders>
              <w:right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99"/>
              </w:rPr>
              <w:t>279,233</w:t>
            </w:r>
          </w:p>
        </w:tc>
        <w:tc>
          <w:tcPr>
            <w:tcW w:w="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279,356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w:t>
            </w:r>
          </w:p>
        </w:tc>
      </w:tr>
      <w:tr>
        <w:trPr>
          <w:trHeight w:val="30"/>
        </w:trPr>
        <w:tc>
          <w:tcPr>
            <w:tcW w:w="6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5"/>
                <w:szCs w:val="15"/>
                <w:b w:val="1"/>
                <w:bCs w:val="1"/>
                <w:color w:val="auto"/>
                <w:w w:val="90"/>
              </w:rPr>
              <w:t>Less than 12 Months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25"/>
              <w:spacing w:after="0"/>
              <w:rPr>
                <w:sz w:val="20"/>
                <w:szCs w:val="20"/>
                <w:color w:val="auto"/>
              </w:rPr>
            </w:pPr>
            <w:r>
              <w:rPr>
                <w:rFonts w:ascii="Arial" w:cs="Arial" w:eastAsia="Arial" w:hAnsi="Arial"/>
                <w:sz w:val="15"/>
                <w:szCs w:val="15"/>
                <w:b w:val="1"/>
                <w:bCs w:val="1"/>
                <w:color w:val="auto"/>
                <w:w w:val="92"/>
              </w:rPr>
              <w:t>12 Months or Greater</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Total</w:t>
            </w:r>
          </w:p>
        </w:tc>
        <w:tc>
          <w:tcPr>
            <w:tcW w:w="580" w:type="dxa"/>
            <w:vAlign w:val="bottom"/>
            <w:tcBorders>
              <w:bottom w:val="single" w:sz="8" w:color="auto"/>
            </w:tcBorders>
          </w:tcPr>
          <w:p>
            <w:pPr>
              <w:spacing w:after="0"/>
              <w:rPr>
                <w:sz w:val="17"/>
                <w:szCs w:val="17"/>
                <w:color w:val="auto"/>
              </w:rPr>
            </w:pPr>
          </w:p>
        </w:tc>
      </w:tr>
      <w:tr>
        <w:trPr>
          <w:trHeight w:val="193"/>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b w:val="1"/>
                <w:bCs w:val="1"/>
                <w:color w:val="auto"/>
                <w:w w:val="92"/>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25"/>
              <w:spacing w:after="0"/>
              <w:rPr>
                <w:sz w:val="20"/>
                <w:szCs w:val="20"/>
                <w:color w:val="auto"/>
              </w:rPr>
            </w:pPr>
            <w:r>
              <w:rPr>
                <w:rFonts w:ascii="Arial" w:cs="Arial" w:eastAsia="Arial" w:hAnsi="Arial"/>
                <w:sz w:val="15"/>
                <w:szCs w:val="15"/>
                <w:b w:val="1"/>
                <w:bCs w:val="1"/>
                <w:color w:val="auto"/>
                <w:w w:val="89"/>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Unrealized</w:t>
            </w:r>
          </w:p>
        </w:tc>
      </w:tr>
      <w:tr>
        <w:trPr>
          <w:trHeight w:val="215"/>
        </w:trPr>
        <w:tc>
          <w:tcPr>
            <w:tcW w:w="6300" w:type="dxa"/>
            <w:vAlign w:val="bottom"/>
          </w:tcPr>
          <w:p>
            <w:pPr>
              <w:spacing w:after="0"/>
              <w:rPr>
                <w:sz w:val="20"/>
                <w:szCs w:val="20"/>
                <w:color w:val="auto"/>
              </w:rPr>
            </w:pPr>
            <w:r>
              <w:rPr>
                <w:rFonts w:ascii="Arial" w:cs="Arial" w:eastAsia="Arial" w:hAnsi="Arial"/>
                <w:sz w:val="15"/>
                <w:szCs w:val="15"/>
                <w:b w:val="1"/>
                <w:bCs w:val="1"/>
                <w:color w:val="auto"/>
              </w:rPr>
              <w:t>At December 31, 2011</w:t>
            </w: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5"/>
                <w:szCs w:val="15"/>
                <w:b w:val="1"/>
                <w:bCs w:val="1"/>
                <w:color w:val="auto"/>
              </w:rPr>
              <w:t>Fair Value</w:t>
            </w:r>
          </w:p>
        </w:tc>
        <w:tc>
          <w:tcPr>
            <w:tcW w:w="140" w:type="dxa"/>
            <w:vAlign w:val="bottom"/>
          </w:tcPr>
          <w:p>
            <w:pPr>
              <w:spacing w:after="0"/>
              <w:rPr>
                <w:sz w:val="18"/>
                <w:szCs w:val="18"/>
                <w:color w:val="auto"/>
              </w:rPr>
            </w:pPr>
          </w:p>
        </w:tc>
        <w:tc>
          <w:tcPr>
            <w:tcW w:w="620" w:type="dxa"/>
            <w:vAlign w:val="bottom"/>
          </w:tcPr>
          <w:p>
            <w:pPr>
              <w:jc w:val="right"/>
              <w:ind w:right="165"/>
              <w:spacing w:after="0"/>
              <w:rPr>
                <w:sz w:val="20"/>
                <w:szCs w:val="20"/>
                <w:color w:val="auto"/>
              </w:rPr>
            </w:pPr>
            <w:r>
              <w:rPr>
                <w:rFonts w:ascii="Arial" w:cs="Arial" w:eastAsia="Arial" w:hAnsi="Arial"/>
                <w:sz w:val="15"/>
                <w:szCs w:val="15"/>
                <w:b w:val="1"/>
                <w:bCs w:val="1"/>
                <w:color w:val="auto"/>
              </w:rPr>
              <w:t>Loss</w:t>
            </w:r>
          </w:p>
        </w:tc>
        <w:tc>
          <w:tcPr>
            <w:tcW w:w="100" w:type="dxa"/>
            <w:vAlign w:val="bottom"/>
          </w:tcPr>
          <w:p>
            <w:pPr>
              <w:spacing w:after="0"/>
              <w:rPr>
                <w:sz w:val="18"/>
                <w:szCs w:val="18"/>
                <w:color w:val="auto"/>
              </w:rPr>
            </w:pPr>
          </w:p>
        </w:tc>
        <w:tc>
          <w:tcPr>
            <w:tcW w:w="860" w:type="dxa"/>
            <w:vAlign w:val="bottom"/>
            <w:gridSpan w:val="2"/>
          </w:tcPr>
          <w:p>
            <w:pPr>
              <w:jc w:val="right"/>
              <w:ind w:right="65"/>
              <w:spacing w:after="0"/>
              <w:rPr>
                <w:sz w:val="20"/>
                <w:szCs w:val="20"/>
                <w:color w:val="auto"/>
              </w:rPr>
            </w:pPr>
            <w:r>
              <w:rPr>
                <w:rFonts w:ascii="Arial" w:cs="Arial" w:eastAsia="Arial" w:hAnsi="Arial"/>
                <w:sz w:val="15"/>
                <w:szCs w:val="15"/>
                <w:b w:val="1"/>
                <w:bCs w:val="1"/>
                <w:color w:val="auto"/>
                <w:w w:val="97"/>
              </w:rPr>
              <w:t>Fair Value</w:t>
            </w:r>
          </w:p>
        </w:tc>
        <w:tc>
          <w:tcPr>
            <w:tcW w:w="80" w:type="dxa"/>
            <w:vAlign w:val="bottom"/>
          </w:tcPr>
          <w:p>
            <w:pPr>
              <w:spacing w:after="0"/>
              <w:rPr>
                <w:sz w:val="18"/>
                <w:szCs w:val="18"/>
                <w:color w:val="auto"/>
              </w:rPr>
            </w:pPr>
          </w:p>
        </w:tc>
        <w:tc>
          <w:tcPr>
            <w:tcW w:w="800" w:type="dxa"/>
            <w:vAlign w:val="bottom"/>
          </w:tcPr>
          <w:p>
            <w:pPr>
              <w:jc w:val="right"/>
              <w:ind w:right="225"/>
              <w:spacing w:after="0"/>
              <w:rPr>
                <w:sz w:val="20"/>
                <w:szCs w:val="20"/>
                <w:color w:val="auto"/>
              </w:rPr>
            </w:pPr>
            <w:r>
              <w:rPr>
                <w:rFonts w:ascii="Arial" w:cs="Arial" w:eastAsia="Arial" w:hAnsi="Arial"/>
                <w:sz w:val="15"/>
                <w:szCs w:val="15"/>
                <w:b w:val="1"/>
                <w:bCs w:val="1"/>
                <w:color w:val="auto"/>
              </w:rPr>
              <w:t>Loss</w:t>
            </w:r>
          </w:p>
        </w:tc>
        <w:tc>
          <w:tcPr>
            <w:tcW w:w="880" w:type="dxa"/>
            <w:vAlign w:val="bottom"/>
            <w:gridSpan w:val="4"/>
          </w:tcPr>
          <w:p>
            <w:pPr>
              <w:ind w:left="100"/>
              <w:spacing w:after="0"/>
              <w:rPr>
                <w:sz w:val="20"/>
                <w:szCs w:val="20"/>
                <w:color w:val="auto"/>
              </w:rPr>
            </w:pPr>
            <w:r>
              <w:rPr>
                <w:rFonts w:ascii="Arial" w:cs="Arial" w:eastAsia="Arial" w:hAnsi="Arial"/>
                <w:sz w:val="15"/>
                <w:szCs w:val="15"/>
                <w:b w:val="1"/>
                <w:bCs w:val="1"/>
                <w:color w:val="auto"/>
              </w:rPr>
              <w:t>Fair Value</w:t>
            </w:r>
          </w:p>
        </w:tc>
        <w:tc>
          <w:tcPr>
            <w:tcW w:w="200" w:type="dxa"/>
            <w:vAlign w:val="bottom"/>
          </w:tcPr>
          <w:p>
            <w:pPr>
              <w:spacing w:after="0"/>
              <w:rPr>
                <w:sz w:val="18"/>
                <w:szCs w:val="18"/>
                <w:color w:val="auto"/>
              </w:rPr>
            </w:pPr>
          </w:p>
        </w:tc>
        <w:tc>
          <w:tcPr>
            <w:tcW w:w="580" w:type="dxa"/>
            <w:vAlign w:val="bottom"/>
          </w:tcPr>
          <w:p>
            <w:pPr>
              <w:jc w:val="right"/>
              <w:ind w:right="165"/>
              <w:spacing w:after="0"/>
              <w:rPr>
                <w:sz w:val="20"/>
                <w:szCs w:val="20"/>
                <w:color w:val="auto"/>
              </w:rPr>
            </w:pPr>
            <w:r>
              <w:rPr>
                <w:rFonts w:ascii="Arial" w:cs="Arial" w:eastAsia="Arial" w:hAnsi="Arial"/>
                <w:sz w:val="15"/>
                <w:szCs w:val="15"/>
                <w:b w:val="1"/>
                <w:bCs w:val="1"/>
                <w:color w:val="auto"/>
                <w:w w:val="91"/>
              </w:rPr>
              <w:t>Loss</w:t>
            </w:r>
          </w:p>
        </w:tc>
      </w:tr>
      <w:tr>
        <w:trPr>
          <w:trHeight w:val="207"/>
        </w:trPr>
        <w:tc>
          <w:tcPr>
            <w:tcW w:w="6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i w:val="1"/>
                <w:iCs w:val="1"/>
                <w:color w:val="auto"/>
              </w:rPr>
              <w:t>Unrestricted</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1"/>
        </w:trPr>
        <w:tc>
          <w:tcPr>
            <w:tcW w:w="6300" w:type="dxa"/>
            <w:vAlign w:val="bottom"/>
          </w:tcPr>
          <w:p>
            <w:pPr>
              <w:ind w:left="260"/>
              <w:spacing w:after="0"/>
              <w:rPr>
                <w:sz w:val="20"/>
                <w:szCs w:val="20"/>
                <w:color w:val="auto"/>
              </w:rPr>
            </w:pPr>
            <w:r>
              <w:rPr>
                <w:rFonts w:ascii="Arial" w:cs="Arial" w:eastAsia="Arial" w:hAnsi="Arial"/>
                <w:sz w:val="15"/>
                <w:szCs w:val="15"/>
                <w:color w:val="auto"/>
              </w:rPr>
              <w:t>U.S. government obligations</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103,529</w:t>
            </w:r>
          </w:p>
        </w:tc>
        <w:tc>
          <w:tcPr>
            <w:tcW w:w="140" w:type="dxa"/>
            <w:vAlign w:val="bottom"/>
          </w:tcPr>
          <w:p>
            <w:pPr>
              <w:jc w:val="right"/>
              <w:ind w:right="23"/>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103,529</w:t>
            </w:r>
          </w:p>
        </w:tc>
        <w:tc>
          <w:tcPr>
            <w:tcW w:w="10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(81)</w:t>
            </w:r>
          </w:p>
        </w:tc>
      </w:tr>
      <w:tr>
        <w:trPr>
          <w:trHeight w:val="201"/>
        </w:trPr>
        <w:tc>
          <w:tcPr>
            <w:tcW w:w="63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U.S. government guaranteed</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22"/>
        </w:trPr>
        <w:tc>
          <w:tcPr>
            <w:tcW w:w="63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collateralized mortgage obligations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623</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01"/>
        </w:trPr>
        <w:tc>
          <w:tcPr>
            <w:tcW w:w="6300" w:type="dxa"/>
            <w:vAlign w:val="bottom"/>
          </w:tcPr>
          <w:p>
            <w:pPr>
              <w:ind w:left="260"/>
              <w:spacing w:after="0"/>
              <w:rPr>
                <w:sz w:val="20"/>
                <w:szCs w:val="20"/>
                <w:color w:val="auto"/>
              </w:rPr>
            </w:pPr>
            <w:r>
              <w:rPr>
                <w:rFonts w:ascii="Arial" w:cs="Arial" w:eastAsia="Arial" w:hAnsi="Arial"/>
                <w:sz w:val="15"/>
                <w:szCs w:val="15"/>
                <w:color w:val="auto"/>
              </w:rPr>
              <w:t>Municipal bonds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4,603</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4,603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5"/>
        </w:trPr>
        <w:tc>
          <w:tcPr>
            <w:tcW w:w="63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Equity security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3,019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(1,025)</w:t>
            </w:r>
          </w:p>
        </w:tc>
      </w:tr>
      <w:tr>
        <w:trPr>
          <w:trHeight w:val="201"/>
        </w:trPr>
        <w:tc>
          <w:tcPr>
            <w:tcW w:w="6300" w:type="dxa"/>
            <w:vAlign w:val="bottom"/>
          </w:tcPr>
          <w:p>
            <w:pPr>
              <w:ind w:left="260"/>
              <w:spacing w:after="0"/>
              <w:rPr>
                <w:sz w:val="20"/>
                <w:szCs w:val="20"/>
                <w:color w:val="auto"/>
              </w:rPr>
            </w:pPr>
            <w:r>
              <w:rPr>
                <w:rFonts w:ascii="Arial" w:cs="Arial" w:eastAsia="Arial" w:hAnsi="Arial"/>
                <w:sz w:val="15"/>
                <w:szCs w:val="15"/>
                <w:color w:val="auto"/>
              </w:rPr>
              <w:t>Mortgage-backed securities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45"/>
              <w:spacing w:after="0"/>
              <w:rPr>
                <w:sz w:val="20"/>
                <w:szCs w:val="20"/>
                <w:color w:val="auto"/>
              </w:rPr>
            </w:pPr>
            <w:r>
              <w:rPr>
                <w:rFonts w:ascii="Arial" w:cs="Arial" w:eastAsia="Arial" w:hAnsi="Arial"/>
                <w:sz w:val="15"/>
                <w:szCs w:val="15"/>
                <w:color w:val="auto"/>
              </w:rPr>
              <w:t>116</w:t>
            </w:r>
          </w:p>
        </w:tc>
        <w:tc>
          <w:tcPr>
            <w:tcW w:w="8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(152)</w:t>
            </w:r>
          </w:p>
        </w:tc>
      </w:tr>
      <w:tr>
        <w:trPr>
          <w:trHeight w:val="20"/>
        </w:trPr>
        <w:tc>
          <w:tcPr>
            <w:tcW w:w="6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00"/>
        </w:trPr>
        <w:tc>
          <w:tcPr>
            <w:tcW w:w="63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111,774</w:t>
            </w:r>
          </w:p>
        </w:tc>
        <w:tc>
          <w:tcPr>
            <w:tcW w:w="140" w:type="dxa"/>
            <w:vAlign w:val="bottom"/>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right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116</w:t>
            </w:r>
          </w:p>
        </w:tc>
        <w:tc>
          <w:tcPr>
            <w:tcW w:w="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111,890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(1,260)</w:t>
            </w:r>
          </w:p>
        </w:tc>
      </w:tr>
      <w:tr>
        <w:trPr>
          <w:trHeight w:val="30"/>
        </w:trPr>
        <w:tc>
          <w:tcPr>
            <w:tcW w:w="6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231"/>
        <w:spacing w:after="0" w:line="281" w:lineRule="auto"/>
        <w:rPr>
          <w:sz w:val="20"/>
          <w:szCs w:val="20"/>
          <w:color w:val="auto"/>
        </w:rPr>
      </w:pPr>
      <w:r>
        <w:rPr>
          <w:rFonts w:ascii="Arial" w:cs="Arial" w:eastAsia="Arial" w:hAnsi="Arial"/>
          <w:sz w:val="15"/>
          <w:szCs w:val="15"/>
          <w:color w:val="auto"/>
        </w:rPr>
        <w:t>Realized gains and losses are included as a component of investment income. For the three months ended March 31, 2012 and 2011, total realized gains and losses on sales of marketable securities were not material.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1" w:right="21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Condensed Financial Statements (Unaudited)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(Unless otherwise noted, dollars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40" w:type="dxa"/>
            <w:vAlign w:val="bottom"/>
            <w:gridSpan w:val="9"/>
          </w:tcPr>
          <w:p>
            <w:pPr>
              <w:ind w:left="220"/>
              <w:spacing w:after="0"/>
              <w:rPr>
                <w:sz w:val="20"/>
                <w:szCs w:val="20"/>
                <w:color w:val="auto"/>
              </w:rPr>
            </w:pPr>
            <w:r>
              <w:rPr>
                <w:rFonts w:ascii="Arial" w:cs="Arial" w:eastAsia="Arial" w:hAnsi="Arial"/>
                <w:sz w:val="15"/>
                <w:szCs w:val="15"/>
                <w:color w:val="auto"/>
              </w:rPr>
              <w:t>The Company’s assets that are measured at fair value on a recurring basis</w:t>
            </w:r>
            <w:r>
              <w:rPr>
                <w:rFonts w:ascii="Arial" w:cs="Arial" w:eastAsia="Arial" w:hAnsi="Arial"/>
                <w:sz w:val="15"/>
                <w:szCs w:val="15"/>
                <w:i w:val="1"/>
                <w:iCs w:val="1"/>
                <w:color w:val="auto"/>
              </w:rPr>
              <w:t>,</w:t>
            </w:r>
            <w:r>
              <w:rPr>
                <w:rFonts w:ascii="Arial" w:cs="Arial" w:eastAsia="Arial" w:hAnsi="Arial"/>
                <w:sz w:val="15"/>
                <w:szCs w:val="15"/>
                <w:color w:val="auto"/>
              </w:rPr>
              <w:t xml:space="preserve"> at March 31, 2012 and December 31, 2011, were as follows: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88"/>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tcBorders>
              <w:bottom w:val="single" w:sz="8" w:color="auto"/>
            </w:tcBorders>
            <w:gridSpan w:val="8"/>
          </w:tcPr>
          <w:p>
            <w:pPr>
              <w:jc w:val="center"/>
              <w:spacing w:after="0"/>
              <w:rPr>
                <w:sz w:val="20"/>
                <w:szCs w:val="20"/>
                <w:color w:val="auto"/>
              </w:rPr>
            </w:pPr>
            <w:r>
              <w:rPr>
                <w:rFonts w:ascii="Arial" w:cs="Arial" w:eastAsia="Arial" w:hAnsi="Arial"/>
                <w:sz w:val="15"/>
                <w:szCs w:val="15"/>
                <w:b w:val="1"/>
                <w:bCs w:val="1"/>
                <w:color w:val="auto"/>
                <w:w w:val="91"/>
              </w:rPr>
              <w:t>Fair Value Measurements at Reporting Date Using</w:t>
            </w:r>
          </w:p>
        </w:tc>
      </w:tr>
      <w:tr>
        <w:trPr>
          <w:trHeight w:val="193"/>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8"/>
              </w:rPr>
              <w:t>Quoted Prices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Significant</w:t>
            </w:r>
          </w:p>
        </w:tc>
        <w:tc>
          <w:tcPr>
            <w:tcW w:w="1020" w:type="dxa"/>
            <w:vAlign w:val="bottom"/>
          </w:tcPr>
          <w:p>
            <w:pPr>
              <w:spacing w:after="0"/>
              <w:rPr>
                <w:sz w:val="16"/>
                <w:szCs w:val="16"/>
                <w:color w:val="auto"/>
              </w:rPr>
            </w:pPr>
          </w:p>
        </w:tc>
      </w:tr>
      <w:tr>
        <w:trPr>
          <w:trHeight w:val="208"/>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2"/>
              </w:rPr>
              <w:t>in Active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Other</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91"/>
              </w:rPr>
              <w:t>Significant</w:t>
            </w:r>
          </w:p>
        </w:tc>
      </w:tr>
      <w:tr>
        <w:trPr>
          <w:trHeight w:val="208"/>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6"/>
              </w:rPr>
              <w:t>Markets for</w:t>
            </w:r>
          </w:p>
        </w:tc>
        <w:tc>
          <w:tcPr>
            <w:tcW w:w="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0"/>
              </w:rPr>
              <w:t>Observable</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88"/>
              </w:rPr>
              <w:t>Unobservable</w:t>
            </w:r>
          </w:p>
        </w:tc>
      </w:tr>
      <w:tr>
        <w:trPr>
          <w:trHeight w:val="208"/>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ind w:left="100"/>
              <w:spacing w:after="0"/>
              <w:rPr>
                <w:sz w:val="20"/>
                <w:szCs w:val="20"/>
                <w:color w:val="auto"/>
              </w:rPr>
            </w:pPr>
            <w:r>
              <w:rPr>
                <w:rFonts w:ascii="Arial" w:cs="Arial" w:eastAsia="Arial" w:hAnsi="Arial"/>
                <w:sz w:val="15"/>
                <w:szCs w:val="15"/>
                <w:b w:val="1"/>
                <w:bCs w:val="1"/>
                <w:color w:val="auto"/>
              </w:rPr>
              <w:t>Identical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3"/>
              </w:rPr>
              <w:t>Inputs</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93"/>
              </w:rPr>
              <w:t>Inputs</w:t>
            </w:r>
          </w:p>
        </w:tc>
      </w:tr>
      <w:tr>
        <w:trPr>
          <w:trHeight w:val="215"/>
        </w:trPr>
        <w:tc>
          <w:tcPr>
            <w:tcW w:w="6980" w:type="dxa"/>
            <w:vAlign w:val="bottom"/>
          </w:tcPr>
          <w:p>
            <w:pPr>
              <w:spacing w:after="0"/>
              <w:rPr>
                <w:sz w:val="20"/>
                <w:szCs w:val="20"/>
                <w:color w:val="auto"/>
              </w:rPr>
            </w:pPr>
            <w:r>
              <w:rPr>
                <w:rFonts w:ascii="Arial" w:cs="Arial" w:eastAsia="Arial" w:hAnsi="Arial"/>
                <w:sz w:val="15"/>
                <w:szCs w:val="15"/>
                <w:b w:val="1"/>
                <w:bCs w:val="1"/>
                <w:color w:val="auto"/>
              </w:rPr>
              <w:t>At March 31, 2012</w:t>
            </w:r>
          </w:p>
        </w:tc>
        <w:tc>
          <w:tcPr>
            <w:tcW w:w="1020" w:type="dxa"/>
            <w:vAlign w:val="bottom"/>
            <w:gridSpan w:val="4"/>
          </w:tcPr>
          <w:p>
            <w:pPr>
              <w:ind w:left="220"/>
              <w:spacing w:after="0"/>
              <w:rPr>
                <w:sz w:val="20"/>
                <w:szCs w:val="20"/>
                <w:color w:val="auto"/>
              </w:rPr>
            </w:pPr>
            <w:r>
              <w:rPr>
                <w:rFonts w:ascii="Arial" w:cs="Arial" w:eastAsia="Arial" w:hAnsi="Arial"/>
                <w:sz w:val="15"/>
                <w:szCs w:val="15"/>
                <w:b w:val="1"/>
                <w:bCs w:val="1"/>
                <w:color w:val="auto"/>
              </w:rPr>
              <w:t>Fair 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(Level 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(Level 2)</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91"/>
              </w:rPr>
              <w:t>(Level 3)</w:t>
            </w:r>
          </w:p>
        </w:tc>
      </w:tr>
      <w:tr>
        <w:trPr>
          <w:trHeight w:val="207"/>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i w:val="1"/>
                <w:iCs w:val="1"/>
                <w:color w:val="auto"/>
              </w:rPr>
              <w:t>Unrestricted</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01"/>
        </w:trPr>
        <w:tc>
          <w:tcPr>
            <w:tcW w:w="6980" w:type="dxa"/>
            <w:vAlign w:val="bottom"/>
          </w:tcPr>
          <w:p>
            <w:pPr>
              <w:spacing w:after="0"/>
              <w:rPr>
                <w:sz w:val="20"/>
                <w:szCs w:val="20"/>
                <w:color w:val="auto"/>
              </w:rPr>
            </w:pPr>
            <w:r>
              <w:rPr>
                <w:rFonts w:ascii="Arial" w:cs="Arial" w:eastAsia="Arial" w:hAnsi="Arial"/>
                <w:sz w:val="15"/>
                <w:szCs w:val="15"/>
                <w:color w:val="auto"/>
              </w:rPr>
              <w:t>Available-for-sale marketable securities: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6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U.S. government obligations</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261,053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261,053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4"/>
        </w:trPr>
        <w:tc>
          <w:tcPr>
            <w:tcW w:w="6980" w:type="dxa"/>
            <w:vAlign w:val="bottom"/>
          </w:tcPr>
          <w:p>
            <w:pPr>
              <w:ind w:left="300"/>
              <w:spacing w:after="0"/>
              <w:rPr>
                <w:sz w:val="20"/>
                <w:szCs w:val="20"/>
                <w:color w:val="auto"/>
              </w:rPr>
            </w:pPr>
            <w:r>
              <w:rPr>
                <w:rFonts w:ascii="Arial" w:cs="Arial" w:eastAsia="Arial" w:hAnsi="Arial"/>
                <w:sz w:val="15"/>
                <w:szCs w:val="15"/>
                <w:color w:val="auto"/>
              </w:rPr>
              <w:t>U.S. government guaranteed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5"/>
        </w:trPr>
        <w:tc>
          <w:tcPr>
            <w:tcW w:w="6980" w:type="dxa"/>
            <w:vAlign w:val="bottom"/>
          </w:tcPr>
          <w:p>
            <w:pPr>
              <w:ind w:left="600"/>
              <w:spacing w:after="0"/>
              <w:rPr>
                <w:sz w:val="20"/>
                <w:szCs w:val="20"/>
                <w:color w:val="auto"/>
              </w:rPr>
            </w:pPr>
            <w:r>
              <w:rPr>
                <w:rFonts w:ascii="Arial" w:cs="Arial" w:eastAsia="Arial" w:hAnsi="Arial"/>
                <w:sz w:val="15"/>
                <w:szCs w:val="15"/>
                <w:color w:val="auto"/>
              </w:rPr>
              <w:t>corporate bonds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15,324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15,324</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1"/>
        </w:trPr>
        <w:tc>
          <w:tcPr>
            <w:tcW w:w="6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U.S. government guaranteed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2"/>
        </w:trPr>
        <w:tc>
          <w:tcPr>
            <w:tcW w:w="6980" w:type="dxa"/>
            <w:vAlign w:val="bottom"/>
            <w:shd w:val="clear" w:color="auto" w:fill="CCEEFF"/>
          </w:tcPr>
          <w:p>
            <w:pPr>
              <w:ind w:left="600"/>
              <w:spacing w:after="0"/>
              <w:rPr>
                <w:sz w:val="20"/>
                <w:szCs w:val="20"/>
                <w:color w:val="auto"/>
              </w:rPr>
            </w:pPr>
            <w:r>
              <w:rPr>
                <w:rFonts w:ascii="Arial" w:cs="Arial" w:eastAsia="Arial" w:hAnsi="Arial"/>
                <w:sz w:val="15"/>
                <w:szCs w:val="15"/>
                <w:color w:val="auto"/>
              </w:rPr>
              <w:t>collateralized mortgage obligations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1"/>
        </w:trPr>
        <w:tc>
          <w:tcPr>
            <w:tcW w:w="6980" w:type="dxa"/>
            <w:vAlign w:val="bottom"/>
          </w:tcPr>
          <w:p>
            <w:pPr>
              <w:ind w:left="300"/>
              <w:spacing w:after="0"/>
              <w:rPr>
                <w:sz w:val="20"/>
                <w:szCs w:val="20"/>
                <w:color w:val="auto"/>
              </w:rPr>
            </w:pPr>
            <w:r>
              <w:rPr>
                <w:rFonts w:ascii="Arial" w:cs="Arial" w:eastAsia="Arial" w:hAnsi="Arial"/>
                <w:sz w:val="15"/>
                <w:szCs w:val="15"/>
                <w:color w:val="auto"/>
              </w:rPr>
              <w:t>Municipal bonds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12,152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12,152</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6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Mortgage-backed 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1"/>
        </w:trPr>
        <w:tc>
          <w:tcPr>
            <w:tcW w:w="6980" w:type="dxa"/>
            <w:vAlign w:val="bottom"/>
          </w:tcPr>
          <w:p>
            <w:pPr>
              <w:ind w:left="300"/>
              <w:spacing w:after="0"/>
              <w:rPr>
                <w:sz w:val="20"/>
                <w:szCs w:val="20"/>
                <w:color w:val="auto"/>
              </w:rPr>
            </w:pPr>
            <w:r>
              <w:rPr>
                <w:rFonts w:ascii="Arial" w:cs="Arial" w:eastAsia="Arial" w:hAnsi="Arial"/>
                <w:sz w:val="15"/>
                <w:szCs w:val="15"/>
                <w:color w:val="auto"/>
              </w:rPr>
              <w:t>Equity security</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3,611</w:t>
            </w:r>
          </w:p>
        </w:tc>
        <w:tc>
          <w:tcPr>
            <w:tcW w:w="12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3,611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6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292,451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3,611</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288,840</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r>
      <w:tr>
        <w:trPr>
          <w:trHeight w:val="195"/>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698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Restricted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1"/>
        </w:trPr>
        <w:tc>
          <w:tcPr>
            <w:tcW w:w="6980" w:type="dxa"/>
            <w:vAlign w:val="bottom"/>
          </w:tcPr>
          <w:p>
            <w:pPr>
              <w:spacing w:after="0"/>
              <w:rPr>
                <w:sz w:val="20"/>
                <w:szCs w:val="20"/>
                <w:color w:val="auto"/>
              </w:rPr>
            </w:pPr>
            <w:r>
              <w:rPr>
                <w:rFonts w:ascii="Arial" w:cs="Arial" w:eastAsia="Arial" w:hAnsi="Arial"/>
                <w:sz w:val="15"/>
                <w:szCs w:val="15"/>
                <w:color w:val="auto"/>
              </w:rPr>
              <w:t>Available-for-sale marketable securities: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8"/>
        </w:trPr>
        <w:tc>
          <w:tcPr>
            <w:tcW w:w="6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U.S. government obligations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8,063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1"/>
        </w:trPr>
        <w:tc>
          <w:tcPr>
            <w:tcW w:w="6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300,514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3,611</w:t>
            </w:r>
          </w:p>
        </w:tc>
        <w:tc>
          <w:tcPr>
            <w:tcW w:w="22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296,903</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30"/>
        </w:trPr>
        <w:tc>
          <w:tcPr>
            <w:tcW w:w="6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240" w:type="dxa"/>
            <w:vAlign w:val="bottom"/>
            <w:gridSpan w:val="2"/>
            <w:shd w:val="clear" w:color="auto" w:fill="CCEEFF"/>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1260" w:type="dxa"/>
            <w:vAlign w:val="bottom"/>
            <w:gridSpan w:val="2"/>
            <w:shd w:val="clear" w:color="auto" w:fill="CCEEFF"/>
          </w:tcPr>
          <w:p>
            <w:pPr>
              <w:spacing w:after="0"/>
              <w:rPr>
                <w:sz w:val="2"/>
                <w:szCs w:val="2"/>
                <w:color w:val="auto"/>
              </w:rPr>
            </w:pPr>
          </w:p>
        </w:tc>
      </w:tr>
      <w:tr>
        <w:trPr>
          <w:trHeight w:val="409"/>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tcBorders>
              <w:bottom w:val="single" w:sz="8" w:color="auto"/>
            </w:tcBorders>
            <w:gridSpan w:val="8"/>
          </w:tcPr>
          <w:p>
            <w:pPr>
              <w:jc w:val="center"/>
              <w:spacing w:after="0"/>
              <w:rPr>
                <w:sz w:val="20"/>
                <w:szCs w:val="20"/>
                <w:color w:val="auto"/>
              </w:rPr>
            </w:pPr>
            <w:r>
              <w:rPr>
                <w:rFonts w:ascii="Arial" w:cs="Arial" w:eastAsia="Arial" w:hAnsi="Arial"/>
                <w:sz w:val="15"/>
                <w:szCs w:val="15"/>
                <w:b w:val="1"/>
                <w:bCs w:val="1"/>
                <w:color w:val="auto"/>
                <w:w w:val="91"/>
              </w:rPr>
              <w:t>Fair Value Measurements at Reporting Date Using</w:t>
            </w:r>
          </w:p>
        </w:tc>
      </w:tr>
      <w:tr>
        <w:trPr>
          <w:trHeight w:val="193"/>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8"/>
              </w:rPr>
              <w:t>Quoted Prices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Significant</w:t>
            </w:r>
          </w:p>
        </w:tc>
        <w:tc>
          <w:tcPr>
            <w:tcW w:w="1020" w:type="dxa"/>
            <w:vAlign w:val="bottom"/>
          </w:tcPr>
          <w:p>
            <w:pPr>
              <w:spacing w:after="0"/>
              <w:rPr>
                <w:sz w:val="16"/>
                <w:szCs w:val="16"/>
                <w:color w:val="auto"/>
              </w:rPr>
            </w:pPr>
          </w:p>
        </w:tc>
      </w:tr>
      <w:tr>
        <w:trPr>
          <w:trHeight w:val="208"/>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2"/>
              </w:rPr>
              <w:t>in Active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Other</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91"/>
              </w:rPr>
              <w:t>Significant</w:t>
            </w:r>
          </w:p>
        </w:tc>
      </w:tr>
      <w:tr>
        <w:trPr>
          <w:trHeight w:val="208"/>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6"/>
              </w:rPr>
              <w:t>Markets for</w:t>
            </w:r>
          </w:p>
        </w:tc>
        <w:tc>
          <w:tcPr>
            <w:tcW w:w="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0"/>
              </w:rPr>
              <w:t>Observable</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88"/>
              </w:rPr>
              <w:t>Unobservable</w:t>
            </w:r>
          </w:p>
        </w:tc>
      </w:tr>
      <w:tr>
        <w:trPr>
          <w:trHeight w:val="208"/>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ind w:left="100"/>
              <w:spacing w:after="0"/>
              <w:rPr>
                <w:sz w:val="20"/>
                <w:szCs w:val="20"/>
                <w:color w:val="auto"/>
              </w:rPr>
            </w:pPr>
            <w:r>
              <w:rPr>
                <w:rFonts w:ascii="Arial" w:cs="Arial" w:eastAsia="Arial" w:hAnsi="Arial"/>
                <w:sz w:val="15"/>
                <w:szCs w:val="15"/>
                <w:b w:val="1"/>
                <w:bCs w:val="1"/>
                <w:color w:val="auto"/>
              </w:rPr>
              <w:t>Identical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3"/>
              </w:rPr>
              <w:t>Inputs</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93"/>
              </w:rPr>
              <w:t>Inputs</w:t>
            </w:r>
          </w:p>
        </w:tc>
      </w:tr>
      <w:tr>
        <w:trPr>
          <w:trHeight w:val="215"/>
        </w:trPr>
        <w:tc>
          <w:tcPr>
            <w:tcW w:w="6980" w:type="dxa"/>
            <w:vAlign w:val="bottom"/>
          </w:tcPr>
          <w:p>
            <w:pPr>
              <w:spacing w:after="0"/>
              <w:rPr>
                <w:sz w:val="20"/>
                <w:szCs w:val="20"/>
                <w:color w:val="auto"/>
              </w:rPr>
            </w:pPr>
            <w:r>
              <w:rPr>
                <w:rFonts w:ascii="Arial" w:cs="Arial" w:eastAsia="Arial" w:hAnsi="Arial"/>
                <w:sz w:val="15"/>
                <w:szCs w:val="15"/>
                <w:b w:val="1"/>
                <w:bCs w:val="1"/>
                <w:color w:val="auto"/>
              </w:rPr>
              <w:t>At December 31, 2011</w:t>
            </w:r>
          </w:p>
        </w:tc>
        <w:tc>
          <w:tcPr>
            <w:tcW w:w="1020" w:type="dxa"/>
            <w:vAlign w:val="bottom"/>
            <w:gridSpan w:val="4"/>
          </w:tcPr>
          <w:p>
            <w:pPr>
              <w:ind w:left="220"/>
              <w:spacing w:after="0"/>
              <w:rPr>
                <w:sz w:val="20"/>
                <w:szCs w:val="20"/>
                <w:color w:val="auto"/>
              </w:rPr>
            </w:pPr>
            <w:r>
              <w:rPr>
                <w:rFonts w:ascii="Arial" w:cs="Arial" w:eastAsia="Arial" w:hAnsi="Arial"/>
                <w:sz w:val="15"/>
                <w:szCs w:val="15"/>
                <w:b w:val="1"/>
                <w:bCs w:val="1"/>
                <w:color w:val="auto"/>
              </w:rPr>
              <w:t>Fair 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(Level 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(Level 2)</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auto"/>
                <w:w w:val="91"/>
              </w:rPr>
              <w:t>(Level 3)</w:t>
            </w:r>
          </w:p>
        </w:tc>
      </w:tr>
      <w:tr>
        <w:trPr>
          <w:trHeight w:val="207"/>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i w:val="1"/>
                <w:iCs w:val="1"/>
                <w:color w:val="auto"/>
              </w:rPr>
              <w:t>Unrestricted</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01"/>
        </w:trPr>
        <w:tc>
          <w:tcPr>
            <w:tcW w:w="6980" w:type="dxa"/>
            <w:vAlign w:val="bottom"/>
          </w:tcPr>
          <w:p>
            <w:pPr>
              <w:spacing w:after="0"/>
              <w:rPr>
                <w:sz w:val="20"/>
                <w:szCs w:val="20"/>
                <w:color w:val="auto"/>
              </w:rPr>
            </w:pPr>
            <w:r>
              <w:rPr>
                <w:rFonts w:ascii="Arial" w:cs="Arial" w:eastAsia="Arial" w:hAnsi="Arial"/>
                <w:sz w:val="15"/>
                <w:szCs w:val="15"/>
                <w:color w:val="auto"/>
              </w:rPr>
              <w:t>Available-for-sale marketable securities: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6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U.S. government obligations</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284,819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284,819</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4"/>
        </w:trPr>
        <w:tc>
          <w:tcPr>
            <w:tcW w:w="6980" w:type="dxa"/>
            <w:vAlign w:val="bottom"/>
          </w:tcPr>
          <w:p>
            <w:pPr>
              <w:ind w:left="300"/>
              <w:spacing w:after="0"/>
              <w:rPr>
                <w:sz w:val="20"/>
                <w:szCs w:val="20"/>
                <w:color w:val="auto"/>
              </w:rPr>
            </w:pPr>
            <w:r>
              <w:rPr>
                <w:rFonts w:ascii="Arial" w:cs="Arial" w:eastAsia="Arial" w:hAnsi="Arial"/>
                <w:sz w:val="15"/>
                <w:szCs w:val="15"/>
                <w:color w:val="auto"/>
              </w:rPr>
              <w:t>U.S. government guaranteed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5"/>
        </w:trPr>
        <w:tc>
          <w:tcPr>
            <w:tcW w:w="6980" w:type="dxa"/>
            <w:vAlign w:val="bottom"/>
          </w:tcPr>
          <w:p>
            <w:pPr>
              <w:ind w:left="600"/>
              <w:spacing w:after="0"/>
              <w:rPr>
                <w:sz w:val="20"/>
                <w:szCs w:val="20"/>
                <w:color w:val="auto"/>
              </w:rPr>
            </w:pPr>
            <w:r>
              <w:rPr>
                <w:rFonts w:ascii="Arial" w:cs="Arial" w:eastAsia="Arial" w:hAnsi="Arial"/>
                <w:sz w:val="15"/>
                <w:szCs w:val="15"/>
                <w:color w:val="auto"/>
              </w:rPr>
              <w:t>corporate bonds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15,316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15,316</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1"/>
        </w:trPr>
        <w:tc>
          <w:tcPr>
            <w:tcW w:w="6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U.S. government guaranteed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2"/>
        </w:trPr>
        <w:tc>
          <w:tcPr>
            <w:tcW w:w="6980" w:type="dxa"/>
            <w:vAlign w:val="bottom"/>
            <w:shd w:val="clear" w:color="auto" w:fill="CCEEFF"/>
          </w:tcPr>
          <w:p>
            <w:pPr>
              <w:ind w:left="600"/>
              <w:spacing w:after="0"/>
              <w:rPr>
                <w:sz w:val="20"/>
                <w:szCs w:val="20"/>
                <w:color w:val="auto"/>
              </w:rPr>
            </w:pPr>
            <w:r>
              <w:rPr>
                <w:rFonts w:ascii="Arial" w:cs="Arial" w:eastAsia="Arial" w:hAnsi="Arial"/>
                <w:sz w:val="15"/>
                <w:szCs w:val="15"/>
                <w:color w:val="auto"/>
              </w:rPr>
              <w:t>collateralized mortgage obligations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1"/>
        </w:trPr>
        <w:tc>
          <w:tcPr>
            <w:tcW w:w="6980" w:type="dxa"/>
            <w:vAlign w:val="bottom"/>
          </w:tcPr>
          <w:p>
            <w:pPr>
              <w:ind w:left="300"/>
              <w:spacing w:after="0"/>
              <w:rPr>
                <w:sz w:val="20"/>
                <w:szCs w:val="20"/>
                <w:color w:val="auto"/>
              </w:rPr>
            </w:pPr>
            <w:r>
              <w:rPr>
                <w:rFonts w:ascii="Arial" w:cs="Arial" w:eastAsia="Arial" w:hAnsi="Arial"/>
                <w:sz w:val="15"/>
                <w:szCs w:val="15"/>
                <w:color w:val="auto"/>
              </w:rPr>
              <w:t>Municipal bonds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15,326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15,326</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6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Mortgage-backed 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1"/>
        </w:trPr>
        <w:tc>
          <w:tcPr>
            <w:tcW w:w="6980" w:type="dxa"/>
            <w:vAlign w:val="bottom"/>
          </w:tcPr>
          <w:p>
            <w:pPr>
              <w:ind w:left="300"/>
              <w:spacing w:after="0"/>
              <w:rPr>
                <w:sz w:val="20"/>
                <w:szCs w:val="20"/>
                <w:color w:val="auto"/>
              </w:rPr>
            </w:pPr>
            <w:r>
              <w:rPr>
                <w:rFonts w:ascii="Arial" w:cs="Arial" w:eastAsia="Arial" w:hAnsi="Arial"/>
                <w:sz w:val="15"/>
                <w:szCs w:val="15"/>
                <w:color w:val="auto"/>
              </w:rPr>
              <w:t>Equity security</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3,019</w:t>
            </w:r>
          </w:p>
        </w:tc>
        <w:tc>
          <w:tcPr>
            <w:tcW w:w="12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3,019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6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319,217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3,019</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316,198</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r>
      <w:tr>
        <w:trPr>
          <w:trHeight w:val="195"/>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698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Restricted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1"/>
        </w:trPr>
        <w:tc>
          <w:tcPr>
            <w:tcW w:w="6980" w:type="dxa"/>
            <w:vAlign w:val="bottom"/>
          </w:tcPr>
          <w:p>
            <w:pPr>
              <w:spacing w:after="0"/>
              <w:rPr>
                <w:sz w:val="20"/>
                <w:szCs w:val="20"/>
                <w:color w:val="auto"/>
              </w:rPr>
            </w:pPr>
            <w:r>
              <w:rPr>
                <w:rFonts w:ascii="Arial" w:cs="Arial" w:eastAsia="Arial" w:hAnsi="Arial"/>
                <w:sz w:val="15"/>
                <w:szCs w:val="15"/>
                <w:color w:val="auto"/>
              </w:rPr>
              <w:t>Available-for-sale marketable securities: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8"/>
        </w:trPr>
        <w:tc>
          <w:tcPr>
            <w:tcW w:w="6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U.S. government obligations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325,157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3,019</w:t>
            </w:r>
          </w:p>
        </w:tc>
        <w:tc>
          <w:tcPr>
            <w:tcW w:w="220" w:type="dxa"/>
            <w:vAlign w:val="bottom"/>
          </w:tcPr>
          <w:p>
            <w:pPr>
              <w:spacing w:after="0"/>
              <w:rPr>
                <w:sz w:val="18"/>
                <w:szCs w:val="18"/>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322,138</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266"/>
        <w:spacing w:after="0" w:line="265" w:lineRule="auto"/>
        <w:rPr>
          <w:sz w:val="20"/>
          <w:szCs w:val="20"/>
          <w:color w:val="auto"/>
        </w:rPr>
      </w:pPr>
      <w:r>
        <w:rPr>
          <w:rFonts w:ascii="Arial" w:cs="Arial" w:eastAsia="Arial" w:hAnsi="Arial"/>
          <w:sz w:val="15"/>
          <w:szCs w:val="15"/>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The Company did not record any charges for other-than-temporary impairment of its Level 2 marketable securities during the three months ended March 31, 2012 or 2011.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1" w:right="21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Condensed Financial Statements (Unaudited)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(Unless otherwise noted, dollars in thousands, except per share data)</w:t>
      </w:r>
    </w:p>
    <w:p>
      <w:pPr>
        <w:spacing w:after="0" w:line="216" w:lineRule="exact"/>
        <w:rPr>
          <w:sz w:val="20"/>
          <w:szCs w:val="20"/>
          <w:color w:val="auto"/>
        </w:rPr>
      </w:pPr>
    </w:p>
    <w:p>
      <w:pPr>
        <w:jc w:val="both"/>
        <w:ind w:right="20" w:firstLine="301"/>
        <w:spacing w:after="0" w:line="290" w:lineRule="auto"/>
        <w:rPr>
          <w:sz w:val="20"/>
          <w:szCs w:val="20"/>
          <w:color w:val="auto"/>
        </w:rPr>
      </w:pPr>
      <w:r>
        <w:rPr>
          <w:rFonts w:ascii="Arial" w:cs="Arial" w:eastAsia="Arial" w:hAnsi="Arial"/>
          <w:sz w:val="14"/>
          <w:szCs w:val="14"/>
          <w:color w:val="auto"/>
        </w:rPr>
        <w:t>The Company holds one Level 3 marketable security, which had a fair value of $0 at March 31, 2012 and December 31, 2011. This Level 3 security was valued using information provided by the Company’s investment advisors and other sources, including quoted bid prices which took into consideration the security’s lack of liquidity. There were no purchases, sales, or maturities of Level 3 marketable securities and no unrealized gains or losses related to Level 3 marketable securities for the three months ended March 31, 2012 and 2011. There were no transfers of marketable securities between Levels 1, 2, or 3 classifications during the three months ended March 31, 2012 and 2011.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60" w:type="dxa"/>
            <w:vAlign w:val="bottom"/>
            <w:gridSpan w:val="2"/>
          </w:tcPr>
          <w:p>
            <w:pPr>
              <w:spacing w:after="0"/>
              <w:rPr>
                <w:sz w:val="20"/>
                <w:szCs w:val="20"/>
                <w:color w:val="auto"/>
              </w:rPr>
            </w:pPr>
            <w:r>
              <w:rPr>
                <w:rFonts w:ascii="Arial" w:cs="Arial" w:eastAsia="Arial" w:hAnsi="Arial"/>
                <w:sz w:val="15"/>
                <w:szCs w:val="15"/>
                <w:b w:val="1"/>
                <w:bCs w:val="1"/>
                <w:color w:val="auto"/>
              </w:rPr>
              <w:t>6. Inventory</w:t>
            </w: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3"/>
        </w:trPr>
        <w:tc>
          <w:tcPr>
            <w:tcW w:w="7160" w:type="dxa"/>
            <w:vAlign w:val="bottom"/>
            <w:gridSpan w:val="2"/>
          </w:tcPr>
          <w:p>
            <w:pPr>
              <w:ind w:left="220"/>
              <w:spacing w:after="0"/>
              <w:rPr>
                <w:sz w:val="20"/>
                <w:szCs w:val="20"/>
                <w:color w:val="auto"/>
              </w:rPr>
            </w:pPr>
            <w:r>
              <w:rPr>
                <w:rFonts w:ascii="Arial" w:cs="Arial" w:eastAsia="Arial" w:hAnsi="Arial"/>
                <w:sz w:val="15"/>
                <w:szCs w:val="15"/>
                <w:color w:val="auto"/>
              </w:rPr>
              <w:t>Inventories as of March 31, 2012 and December 31, 2011 consist of the following:</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1"/>
        </w:trPr>
        <w:tc>
          <w:tcPr>
            <w:tcW w:w="5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840" w:type="dxa"/>
            <w:vAlign w:val="bottom"/>
            <w:gridSpan w:val="4"/>
          </w:tcPr>
          <w:p>
            <w:pPr>
              <w:ind w:left="1960"/>
              <w:spacing w:after="0"/>
              <w:rPr>
                <w:sz w:val="20"/>
                <w:szCs w:val="20"/>
                <w:color w:val="auto"/>
              </w:rPr>
            </w:pPr>
            <w:r>
              <w:rPr>
                <w:rFonts w:ascii="Arial" w:cs="Arial" w:eastAsia="Arial" w:hAnsi="Arial"/>
                <w:sz w:val="15"/>
                <w:szCs w:val="15"/>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5"/>
                <w:szCs w:val="15"/>
                <w:b w:val="1"/>
                <w:bCs w:val="1"/>
                <w:color w:val="auto"/>
                <w:w w:val="88"/>
              </w:rPr>
              <w:t>December 31,</w:t>
            </w:r>
          </w:p>
        </w:tc>
      </w:tr>
      <w:tr>
        <w:trPr>
          <w:trHeight w:val="215"/>
        </w:trPr>
        <w:tc>
          <w:tcPr>
            <w:tcW w:w="580" w:type="dxa"/>
            <w:vAlign w:val="bottom"/>
          </w:tcPr>
          <w:p>
            <w:pPr>
              <w:spacing w:after="0"/>
              <w:rPr>
                <w:sz w:val="18"/>
                <w:szCs w:val="18"/>
                <w:color w:val="auto"/>
              </w:rPr>
            </w:pPr>
          </w:p>
        </w:tc>
        <w:tc>
          <w:tcPr>
            <w:tcW w:w="658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2012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2011</w:t>
            </w:r>
          </w:p>
        </w:tc>
        <w:tc>
          <w:tcPr>
            <w:tcW w:w="20" w:type="dxa"/>
            <w:vAlign w:val="bottom"/>
          </w:tcPr>
          <w:p>
            <w:pPr>
              <w:spacing w:after="0"/>
              <w:rPr>
                <w:sz w:val="18"/>
                <w:szCs w:val="18"/>
                <w:color w:val="auto"/>
              </w:rPr>
            </w:pPr>
          </w:p>
        </w:tc>
      </w:tr>
      <w:tr>
        <w:trPr>
          <w:trHeight w:val="207"/>
        </w:trPr>
        <w:tc>
          <w:tcPr>
            <w:tcW w:w="580" w:type="dxa"/>
            <w:vAlign w:val="bottom"/>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Raw materials</w:t>
            </w:r>
          </w:p>
        </w:tc>
        <w:tc>
          <w:tcPr>
            <w:tcW w:w="2080" w:type="dxa"/>
            <w:vAlign w:val="bottom"/>
            <w:gridSpan w:val="2"/>
            <w:shd w:val="clear" w:color="auto" w:fill="CCEEFF"/>
          </w:tcPr>
          <w:p>
            <w:pPr>
              <w:ind w:left="19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1,608</w:t>
            </w:r>
          </w:p>
        </w:tc>
        <w:tc>
          <w:tcPr>
            <w:tcW w:w="20" w:type="dxa"/>
            <w:vAlign w:val="bottom"/>
          </w:tcPr>
          <w:p>
            <w:pPr>
              <w:spacing w:after="0"/>
              <w:rPr>
                <w:sz w:val="17"/>
                <w:szCs w:val="17"/>
                <w:color w:val="auto"/>
              </w:rPr>
            </w:pPr>
          </w:p>
        </w:tc>
      </w:tr>
      <w:tr>
        <w:trPr>
          <w:trHeight w:val="201"/>
        </w:trPr>
        <w:tc>
          <w:tcPr>
            <w:tcW w:w="7160" w:type="dxa"/>
            <w:vAlign w:val="bottom"/>
            <w:gridSpan w:val="2"/>
          </w:tcPr>
          <w:p>
            <w:pPr>
              <w:ind w:left="560"/>
              <w:spacing w:after="0"/>
              <w:rPr>
                <w:sz w:val="20"/>
                <w:szCs w:val="20"/>
                <w:color w:val="auto"/>
              </w:rPr>
            </w:pPr>
            <w:r>
              <w:rPr>
                <w:rFonts w:ascii="Arial" w:cs="Arial" w:eastAsia="Arial" w:hAnsi="Arial"/>
                <w:sz w:val="15"/>
                <w:szCs w:val="15"/>
                <w:color w:val="auto"/>
              </w:rPr>
              <w:t>Work in process</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16,616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10,806</w:t>
            </w:r>
          </w:p>
        </w:tc>
        <w:tc>
          <w:tcPr>
            <w:tcW w:w="2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1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1,142</w:t>
            </w:r>
          </w:p>
        </w:tc>
        <w:tc>
          <w:tcPr>
            <w:tcW w:w="20" w:type="dxa"/>
            <w:vAlign w:val="bottom"/>
          </w:tcPr>
          <w:p>
            <w:pPr>
              <w:spacing w:after="0"/>
              <w:rPr>
                <w:sz w:val="18"/>
                <w:szCs w:val="18"/>
                <w:color w:val="auto"/>
              </w:rPr>
            </w:pPr>
          </w:p>
        </w:tc>
      </w:tr>
      <w:tr>
        <w:trPr>
          <w:trHeight w:val="200"/>
        </w:trPr>
        <w:tc>
          <w:tcPr>
            <w:tcW w:w="58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80" w:type="dxa"/>
            <w:vAlign w:val="bottom"/>
            <w:gridSpan w:val="2"/>
          </w:tcPr>
          <w:p>
            <w:pPr>
              <w:ind w:left="19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20,617</w:t>
            </w:r>
          </w:p>
        </w:tc>
        <w:tc>
          <w:tcPr>
            <w:tcW w:w="2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13,556</w:t>
            </w:r>
          </w:p>
        </w:tc>
        <w:tc>
          <w:tcPr>
            <w:tcW w:w="20" w:type="dxa"/>
            <w:vAlign w:val="bottom"/>
          </w:tcPr>
          <w:p>
            <w:pPr>
              <w:spacing w:after="0"/>
              <w:rPr>
                <w:sz w:val="17"/>
                <w:szCs w:val="17"/>
                <w:color w:val="auto"/>
              </w:rPr>
            </w:pPr>
          </w:p>
        </w:tc>
      </w:tr>
      <w:tr>
        <w:trPr>
          <w:trHeight w:val="30"/>
        </w:trPr>
        <w:tc>
          <w:tcPr>
            <w:tcW w:w="5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254"/>
        <w:spacing w:after="0" w:line="281" w:lineRule="auto"/>
        <w:rPr>
          <w:sz w:val="20"/>
          <w:szCs w:val="20"/>
          <w:color w:val="auto"/>
        </w:rPr>
      </w:pPr>
      <w:r>
        <w:rPr>
          <w:rFonts w:ascii="Arial" w:cs="Arial" w:eastAsia="Arial" w:hAnsi="Arial"/>
          <w:sz w:val="15"/>
          <w:szCs w:val="15"/>
          <w:color w:val="auto"/>
        </w:rPr>
        <w:t>At March 31, 2012, $6.2 million of inventories were included in prepaid expenses and other current assets and $14.4 million of inventories were included in other assets. At December 31, 2011, $3.5 million of inventories were included in prepaid expenses and other current assets and $10.1 million of inventories were included in other assets.</w:t>
      </w:r>
    </w:p>
    <w:p>
      <w:pPr>
        <w:spacing w:after="0" w:line="174" w:lineRule="exact"/>
        <w:rPr>
          <w:sz w:val="20"/>
          <w:szCs w:val="20"/>
          <w:color w:val="auto"/>
        </w:rPr>
      </w:pPr>
    </w:p>
    <w:p>
      <w:pPr>
        <w:jc w:val="both"/>
        <w:ind w:firstLine="277"/>
        <w:spacing w:after="0" w:line="281" w:lineRule="auto"/>
        <w:rPr>
          <w:sz w:val="20"/>
          <w:szCs w:val="20"/>
          <w:color w:val="auto"/>
        </w:rPr>
      </w:pPr>
      <w:r>
        <w:rPr>
          <w:rFonts w:ascii="Arial" w:cs="Arial" w:eastAsia="Arial" w:hAnsi="Arial"/>
          <w:sz w:val="15"/>
          <w:szCs w:val="15"/>
          <w:color w:val="auto"/>
        </w:rPr>
        <w:t>For the three months ended March 31, 2012, cost of goods sold included inventory write-downs and reserves totaling $1.9 million. For the three months ended March 31, 2011, there were no inventory write-downs or reserves included in cost of goods sold.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20" w:type="dxa"/>
            <w:vAlign w:val="bottom"/>
            <w:gridSpan w:val="2"/>
          </w:tcPr>
          <w:p>
            <w:pPr>
              <w:spacing w:after="0"/>
              <w:rPr>
                <w:sz w:val="20"/>
                <w:szCs w:val="20"/>
                <w:color w:val="auto"/>
              </w:rPr>
            </w:pPr>
            <w:r>
              <w:rPr>
                <w:rFonts w:ascii="Arial" w:cs="Arial" w:eastAsia="Arial" w:hAnsi="Arial"/>
                <w:sz w:val="15"/>
                <w:szCs w:val="15"/>
                <w:b w:val="1"/>
                <w:bCs w:val="1"/>
                <w:color w:val="auto"/>
              </w:rPr>
              <w:t>7. Accounts Payable and Accrued Expenses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3"/>
        </w:trPr>
        <w:tc>
          <w:tcPr>
            <w:tcW w:w="8020" w:type="dxa"/>
            <w:vAlign w:val="bottom"/>
            <w:gridSpan w:val="2"/>
          </w:tcPr>
          <w:p>
            <w:pPr>
              <w:ind w:left="220"/>
              <w:spacing w:after="0"/>
              <w:rPr>
                <w:sz w:val="20"/>
                <w:szCs w:val="20"/>
                <w:color w:val="auto"/>
              </w:rPr>
            </w:pPr>
            <w:r>
              <w:rPr>
                <w:rFonts w:ascii="Arial" w:cs="Arial" w:eastAsia="Arial" w:hAnsi="Arial"/>
                <w:sz w:val="15"/>
                <w:szCs w:val="15"/>
                <w:color w:val="auto"/>
              </w:rPr>
              <w:t>Accounts payable and accrued expenses as of March 31, 2012 and December 31, 2011 consist of the following:</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1"/>
        </w:trPr>
        <w:tc>
          <w:tcPr>
            <w:tcW w:w="5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980" w:type="dxa"/>
            <w:vAlign w:val="bottom"/>
            <w:gridSpan w:val="4"/>
          </w:tcPr>
          <w:p>
            <w:pPr>
              <w:ind w:left="1100"/>
              <w:spacing w:after="0"/>
              <w:rPr>
                <w:sz w:val="20"/>
                <w:szCs w:val="20"/>
                <w:color w:val="auto"/>
              </w:rPr>
            </w:pPr>
            <w:r>
              <w:rPr>
                <w:rFonts w:ascii="Arial" w:cs="Arial" w:eastAsia="Arial" w:hAnsi="Arial"/>
                <w:sz w:val="15"/>
                <w:szCs w:val="15"/>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5"/>
                <w:szCs w:val="15"/>
                <w:b w:val="1"/>
                <w:bCs w:val="1"/>
                <w:color w:val="auto"/>
                <w:w w:val="88"/>
              </w:rPr>
              <w:t>December 31,</w:t>
            </w:r>
          </w:p>
        </w:tc>
      </w:tr>
      <w:tr>
        <w:trPr>
          <w:trHeight w:val="215"/>
        </w:trPr>
        <w:tc>
          <w:tcPr>
            <w:tcW w:w="580" w:type="dxa"/>
            <w:vAlign w:val="bottom"/>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2012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2011</w:t>
            </w:r>
          </w:p>
        </w:tc>
        <w:tc>
          <w:tcPr>
            <w:tcW w:w="20" w:type="dxa"/>
            <w:vAlign w:val="bottom"/>
          </w:tcPr>
          <w:p>
            <w:pPr>
              <w:spacing w:after="0"/>
              <w:rPr>
                <w:sz w:val="18"/>
                <w:szCs w:val="18"/>
                <w:color w:val="auto"/>
              </w:rPr>
            </w:pPr>
          </w:p>
        </w:tc>
      </w:tr>
      <w:tr>
        <w:trPr>
          <w:trHeight w:val="207"/>
        </w:trPr>
        <w:tc>
          <w:tcPr>
            <w:tcW w:w="580" w:type="dxa"/>
            <w:vAlign w:val="bottom"/>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25,390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27,736</w:t>
            </w:r>
          </w:p>
        </w:tc>
        <w:tc>
          <w:tcPr>
            <w:tcW w:w="20" w:type="dxa"/>
            <w:vAlign w:val="bottom"/>
          </w:tcPr>
          <w:p>
            <w:pPr>
              <w:spacing w:after="0"/>
              <w:rPr>
                <w:sz w:val="17"/>
                <w:szCs w:val="17"/>
                <w:color w:val="auto"/>
              </w:rPr>
            </w:pPr>
          </w:p>
        </w:tc>
      </w:tr>
      <w:tr>
        <w:trPr>
          <w:trHeight w:val="201"/>
        </w:trPr>
        <w:tc>
          <w:tcPr>
            <w:tcW w:w="8020" w:type="dxa"/>
            <w:vAlign w:val="bottom"/>
            <w:gridSpan w:val="2"/>
          </w:tcPr>
          <w:p>
            <w:pPr>
              <w:ind w:left="560"/>
              <w:spacing w:after="0"/>
              <w:rPr>
                <w:sz w:val="20"/>
                <w:szCs w:val="20"/>
                <w:color w:val="auto"/>
              </w:rPr>
            </w:pPr>
            <w:r>
              <w:rPr>
                <w:rFonts w:ascii="Arial" w:cs="Arial" w:eastAsia="Arial" w:hAnsi="Arial"/>
                <w:sz w:val="15"/>
                <w:szCs w:val="15"/>
                <w:color w:val="auto"/>
              </w:rPr>
              <w:t>Accrued payroll and related costs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34,336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42,835</w:t>
            </w:r>
          </w:p>
        </w:tc>
        <w:tc>
          <w:tcPr>
            <w:tcW w:w="20" w:type="dxa"/>
            <w:vAlign w:val="bottom"/>
          </w:tcPr>
          <w:p>
            <w:pPr>
              <w:spacing w:after="0"/>
              <w:rPr>
                <w:sz w:val="17"/>
                <w:szCs w:val="17"/>
                <w:color w:val="auto"/>
              </w:rPr>
            </w:pPr>
          </w:p>
        </w:tc>
      </w:tr>
      <w:tr>
        <w:trPr>
          <w:trHeight w:val="215"/>
        </w:trPr>
        <w:tc>
          <w:tcPr>
            <w:tcW w:w="58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Accrued clinical trial expense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9,850</w:t>
            </w:r>
          </w:p>
        </w:tc>
        <w:tc>
          <w:tcPr>
            <w:tcW w:w="20" w:type="dxa"/>
            <w:vAlign w:val="bottom"/>
          </w:tcPr>
          <w:p>
            <w:pPr>
              <w:spacing w:after="0"/>
              <w:rPr>
                <w:sz w:val="18"/>
                <w:szCs w:val="18"/>
                <w:color w:val="auto"/>
              </w:rPr>
            </w:pPr>
          </w:p>
        </w:tc>
      </w:tr>
      <w:tr>
        <w:trPr>
          <w:trHeight w:val="201"/>
        </w:trPr>
        <w:tc>
          <w:tcPr>
            <w:tcW w:w="8020" w:type="dxa"/>
            <w:vAlign w:val="bottom"/>
            <w:gridSpan w:val="2"/>
          </w:tcPr>
          <w:p>
            <w:pPr>
              <w:ind w:left="560"/>
              <w:spacing w:after="0"/>
              <w:rPr>
                <w:sz w:val="20"/>
                <w:szCs w:val="20"/>
                <w:color w:val="auto"/>
              </w:rPr>
            </w:pPr>
            <w:r>
              <w:rPr>
                <w:rFonts w:ascii="Arial" w:cs="Arial" w:eastAsia="Arial" w:hAnsi="Arial"/>
                <w:sz w:val="15"/>
                <w:szCs w:val="15"/>
                <w:color w:val="auto"/>
              </w:rPr>
              <w:t>Accrued sales-related deductions and royalties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17,456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3,947</w:t>
            </w:r>
          </w:p>
        </w:tc>
        <w:tc>
          <w:tcPr>
            <w:tcW w:w="2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Other accrued expenses and liabilities</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18,199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11,257</w:t>
            </w:r>
          </w:p>
        </w:tc>
        <w:tc>
          <w:tcPr>
            <w:tcW w:w="20" w:type="dxa"/>
            <w:vAlign w:val="bottom"/>
          </w:tcPr>
          <w:p>
            <w:pPr>
              <w:spacing w:after="0"/>
              <w:rPr>
                <w:sz w:val="18"/>
                <w:szCs w:val="18"/>
                <w:color w:val="auto"/>
              </w:rPr>
            </w:pPr>
          </w:p>
        </w:tc>
      </w:tr>
      <w:tr>
        <w:trPr>
          <w:trHeight w:val="200"/>
        </w:trPr>
        <w:tc>
          <w:tcPr>
            <w:tcW w:w="58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220" w:type="dxa"/>
            <w:vAlign w:val="bottom"/>
            <w:gridSpan w:val="2"/>
          </w:tcPr>
          <w:p>
            <w:pPr>
              <w:ind w:left="110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2"/>
              </w:rPr>
              <w:t>106,723</w:t>
            </w:r>
          </w:p>
        </w:tc>
        <w:tc>
          <w:tcPr>
            <w:tcW w:w="2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95,625</w:t>
            </w:r>
          </w:p>
        </w:tc>
        <w:tc>
          <w:tcPr>
            <w:tcW w:w="20" w:type="dxa"/>
            <w:vAlign w:val="bottom"/>
          </w:tcPr>
          <w:p>
            <w:pPr>
              <w:spacing w:after="0"/>
              <w:rPr>
                <w:sz w:val="17"/>
                <w:szCs w:val="17"/>
                <w:color w:val="auto"/>
              </w:rPr>
            </w:pPr>
          </w:p>
        </w:tc>
      </w:tr>
      <w:tr>
        <w:trPr>
          <w:trHeight w:val="30"/>
        </w:trPr>
        <w:tc>
          <w:tcPr>
            <w:tcW w:w="5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Income Taxes</w:t>
      </w:r>
    </w:p>
    <w:p>
      <w:pPr>
        <w:spacing w:after="0" w:line="225" w:lineRule="exact"/>
        <w:rPr>
          <w:sz w:val="20"/>
          <w:szCs w:val="20"/>
          <w:color w:val="auto"/>
        </w:rPr>
      </w:pPr>
    </w:p>
    <w:p>
      <w:pPr>
        <w:jc w:val="both"/>
        <w:ind w:firstLine="312"/>
        <w:spacing w:after="0" w:line="329" w:lineRule="auto"/>
        <w:rPr>
          <w:sz w:val="20"/>
          <w:szCs w:val="20"/>
          <w:color w:val="auto"/>
        </w:rPr>
      </w:pPr>
      <w:r>
        <w:rPr>
          <w:rFonts w:ascii="Arial" w:cs="Arial" w:eastAsia="Arial" w:hAnsi="Arial"/>
          <w:sz w:val="13"/>
          <w:szCs w:val="13"/>
          <w:color w:val="auto"/>
        </w:rPr>
        <w:t>For the three months ended March 31, 2012, income tax expense relating to the Company’s pre-tax income was fully offset by a reversal of a portion of the Company’s valuation allowance. The Company continues to recognize a full valuation allowance against its net operating loss carry-forward and other deferred tax assets since the Company has an extended history of losses. For the three months ended March 31, 2011, the Company incurred a net loss for tax purposes and recognized a full valuation allowance against deferred tax assets.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1" w:right="21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Condensed Financial Statements (Unaudited)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(Unless otherwise noted, dollars in thousands, except per share data)</w:t>
      </w:r>
    </w:p>
    <w:p>
      <w:pPr>
        <w:spacing w:after="0" w:line="216" w:lineRule="exact"/>
        <w:rPr>
          <w:sz w:val="20"/>
          <w:szCs w:val="20"/>
          <w:color w:val="auto"/>
        </w:rPr>
      </w:pPr>
    </w:p>
    <w:p>
      <w:pPr>
        <w:jc w:val="both"/>
        <w:ind w:firstLine="312"/>
        <w:spacing w:after="0" w:line="281" w:lineRule="auto"/>
        <w:rPr>
          <w:sz w:val="20"/>
          <w:szCs w:val="20"/>
          <w:color w:val="auto"/>
        </w:rPr>
      </w:pPr>
      <w:r>
        <w:rPr>
          <w:rFonts w:ascii="Arial" w:cs="Arial" w:eastAsia="Arial" w:hAnsi="Arial"/>
          <w:sz w:val="15"/>
          <w:szCs w:val="15"/>
          <w:color w:val="auto"/>
        </w:rPr>
        <w:t>For the three months ended March 31, 2011, the Company recognized an income tax benefit of $0.2 million in connection with the net tax effect of the change in the Company’s unrealized gain/(loss) on “available-for-sale” marketable securities, which is included in other comprehensive income (loss).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Legal Matters</w:t>
      </w:r>
    </w:p>
    <w:p>
      <w:pPr>
        <w:spacing w:after="0" w:line="225" w:lineRule="exact"/>
        <w:rPr>
          <w:sz w:val="20"/>
          <w:szCs w:val="20"/>
          <w:color w:val="auto"/>
        </w:rPr>
      </w:pPr>
    </w:p>
    <w:p>
      <w:pPr>
        <w:jc w:val="both"/>
        <w:ind w:firstLine="335"/>
        <w:spacing w:after="0" w:line="269" w:lineRule="auto"/>
        <w:rPr>
          <w:sz w:val="20"/>
          <w:szCs w:val="20"/>
          <w:color w:val="auto"/>
        </w:rPr>
      </w:pPr>
      <w:r>
        <w:rPr>
          <w:rFonts w:ascii="Arial" w:cs="Arial" w:eastAsia="Arial" w:hAnsi="Arial"/>
          <w:sz w:val="15"/>
          <w:szCs w:val="15"/>
          <w:color w:val="auto"/>
        </w:rPr>
        <w:t>From time to time, the Company is a party to legal proceedings in the course of the Company’s business. The Company does not expect any such current ordinary course legal proceedings to have a material adverse effect on the Company’s business or financial condition. Costs associated with the Company’s involvement in legal proceedings are expensed as incurred.</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Genentech Patent Litigation</w:t>
      </w:r>
    </w:p>
    <w:p>
      <w:pPr>
        <w:spacing w:after="0" w:line="221" w:lineRule="exact"/>
        <w:rPr>
          <w:sz w:val="20"/>
          <w:szCs w:val="20"/>
          <w:color w:val="auto"/>
        </w:rPr>
      </w:pPr>
    </w:p>
    <w:p>
      <w:pPr>
        <w:jc w:val="both"/>
        <w:ind w:firstLine="335"/>
        <w:spacing w:after="0" w:line="285" w:lineRule="auto"/>
        <w:rPr>
          <w:sz w:val="20"/>
          <w:szCs w:val="20"/>
          <w:color w:val="auto"/>
        </w:rPr>
      </w:pPr>
      <w:r>
        <w:rPr>
          <w:rFonts w:ascii="Arial" w:cs="Arial" w:eastAsia="Arial" w:hAnsi="Arial"/>
          <w:sz w:val="13"/>
          <w:szCs w:val="13"/>
          <w:color w:val="auto"/>
        </w:rPr>
        <w:t>The Company is aware of issued patents and pending patent applications owned by Genentech that claim certain chimeric VEGF receptors. The Company does not believe that ZALTRAP</w:t>
      </w:r>
      <w:r>
        <w:rPr>
          <w:rFonts w:ascii="Arial" w:cs="Arial" w:eastAsia="Arial" w:hAnsi="Arial"/>
          <w:sz w:val="21"/>
          <w:szCs w:val="21"/>
          <w:color w:val="auto"/>
          <w:vertAlign w:val="superscript"/>
        </w:rPr>
        <w:t>®</w:t>
      </w:r>
      <w:r>
        <w:rPr>
          <w:rFonts w:ascii="Arial" w:cs="Arial" w:eastAsia="Arial" w:hAnsi="Arial"/>
          <w:sz w:val="13"/>
          <w:szCs w:val="13"/>
          <w:color w:val="auto"/>
        </w:rPr>
        <w:t xml:space="preserve"> or EYLEA infringe any valid claim in these patents or patent applications. The Company is involved in five patent litigations with Genentech, two in the United States and three in Europe. In November 2010, the Company commenced a lawsuit against Genentech in the U.S. District Court for the Southern District of New York (the “Court”), seeking a declaratory judgment that no activities relating to the Company’s VEGF Trap infringe any valid claim of certain Genentech patents referred to as the Davis-Smyth patents (the “First Davis-Smyth Case”). Genentech answered the complaint and asserted counterclaims that the Company’s prior or planned activities relating to VEGF Trap have infringed or will infringe claims of four of the five Davis-Smyth patents and requested a judgment against the Company for damages, including for willful infringement, and other relief as the Court deems appropriate.</w:t>
      </w:r>
    </w:p>
    <w:p>
      <w:pPr>
        <w:spacing w:after="0" w:line="178" w:lineRule="exact"/>
        <w:rPr>
          <w:sz w:val="20"/>
          <w:szCs w:val="20"/>
          <w:color w:val="auto"/>
        </w:rPr>
      </w:pPr>
    </w:p>
    <w:p>
      <w:pPr>
        <w:jc w:val="both"/>
        <w:ind w:firstLine="254"/>
        <w:spacing w:after="0" w:line="279" w:lineRule="auto"/>
        <w:rPr>
          <w:sz w:val="20"/>
          <w:szCs w:val="20"/>
          <w:color w:val="auto"/>
        </w:rPr>
      </w:pPr>
      <w:r>
        <w:rPr>
          <w:rFonts w:ascii="Arial" w:cs="Arial" w:eastAsia="Arial" w:hAnsi="Arial"/>
          <w:sz w:val="14"/>
          <w:szCs w:val="14"/>
          <w:color w:val="auto"/>
        </w:rPr>
        <w:t>On December 31, 2011, the Company entered into a Non-Exclusive License and Partial Settlement Agreement with Genentech (the “Genentech Agreement”) that covers making, using, and selling EYLEA in the United States for the prevention and treatment of human eye diseases and disorders in the United States, and ends the litigation relating to those matters. Under the Genentech Agreement, the Company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the Company to make payments to Genentech based on U.S. sales of EYLEA through May 7, 2016, the date the Davis-Smyth patents expire. The Company will make a lump-sum payment of $60 million once cumulative U.S. sales of EYLEA reach $400 million. The Company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five Davis-Smyth patents. On December 23, 2011, Genentech initiated a related case in the Court against Regeneron and Sanofi alleging infringement of four of the five Davis-Smyth Patents by activities relating to VEGF Trap (but excluding EYLEA) (the “Second Davis-Smyth Case”). As in the First Davis-Smyth Case, in the new complaint Genentech requests a judgment against the Company for damages, including for willful infringement, and other relief as the Court deems appropriate.</w:t>
      </w:r>
    </w:p>
    <w:p>
      <w:pPr>
        <w:spacing w:after="0" w:line="181"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5"/>
          <w:szCs w:val="15"/>
          <w:color w:val="auto"/>
        </w:rPr>
        <w:t>The Company believes Genentech's remaining claims in the First Davis Smyth Case and the Second Davis Smyth Case are without merit and intends to continue to defend against all of Genentech’s remaining claims vigorously. As this litigation is at an early stage, at this time the Company is not able to predict the probability of the outcome or an estimate of loss, if any, related to these matters.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1" w:right="219" w:bottom="1440" w:gutter="0" w:footer="0" w:header="0"/>
        </w:sectPr>
      </w:pPr>
    </w:p>
    <w:bookmarkStart w:id="14" w:name="page15"/>
    <w:bookmarkEnd w:id="14"/>
    <w:p>
      <w:pPr>
        <w:ind w:left="8"/>
        <w:spacing w:after="0"/>
        <w:rPr>
          <w:sz w:val="20"/>
          <w:szCs w:val="20"/>
          <w:color w:val="auto"/>
        </w:rPr>
      </w:pPr>
      <w:r>
        <w:rPr>
          <w:rFonts w:ascii="Arial" w:cs="Arial" w:eastAsia="Arial" w:hAnsi="Arial"/>
          <w:sz w:val="15"/>
          <w:szCs w:val="15"/>
          <w:b w:val="1"/>
          <w:bCs w:val="1"/>
          <w:color w:val="auto"/>
        </w:rPr>
        <w:t>REGENERON PHARMACEUTICALS, INC.</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Notes to Condensed Financial Statements (Unaudited)</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(Unless otherwise noted, dollars in thousands, except per share data)</w:t>
      </w:r>
    </w:p>
    <w:p>
      <w:pPr>
        <w:spacing w:after="0" w:line="216" w:lineRule="exact"/>
        <w:rPr>
          <w:sz w:val="20"/>
          <w:szCs w:val="20"/>
          <w:color w:val="auto"/>
        </w:rPr>
      </w:pPr>
    </w:p>
    <w:p>
      <w:pPr>
        <w:jc w:val="both"/>
        <w:ind w:left="8" w:firstLine="254"/>
        <w:spacing w:after="0" w:line="263" w:lineRule="auto"/>
        <w:rPr>
          <w:sz w:val="20"/>
          <w:szCs w:val="20"/>
          <w:color w:val="auto"/>
        </w:rPr>
      </w:pPr>
      <w:r>
        <w:rPr>
          <w:rFonts w:ascii="Arial" w:cs="Arial" w:eastAsia="Arial" w:hAnsi="Arial"/>
          <w:sz w:val="15"/>
          <w:szCs w:val="15"/>
          <w:color w:val="auto"/>
        </w:rPr>
        <w:t>The Company has initiated patent-related actions against Genentech in Germany, the United Kingdom, and Italy relating in each case to a patent that expires on October 28, 2012. The Company may initiate other actions in other countries outside the United States, which could have similar or other adverse outcomes that would materially harm its business and which, irrespective of the outcomes, may also entail significant costs and expenses. In the United Kingdom, an adverse decision dated March 22, 2012 is under appeal. This decision found the designation of European patent EP 1 238 986 in the United Kingdom to be valid and potential acts relating to VEGF Trap Eye in the United Kingdom before expiration of the patent on October 28, 2012 to infringe this patent.</w:t>
      </w:r>
    </w:p>
    <w:p>
      <w:pPr>
        <w:spacing w:after="0" w:line="161" w:lineRule="exact"/>
        <w:rPr>
          <w:sz w:val="20"/>
          <w:szCs w:val="20"/>
          <w:color w:val="auto"/>
        </w:rPr>
      </w:pPr>
    </w:p>
    <w:p>
      <w:pPr>
        <w:ind w:left="8" w:right="8740" w:hanging="8"/>
        <w:spacing w:after="0" w:line="615" w:lineRule="auto"/>
        <w:tabs>
          <w:tab w:leader="none" w:pos="233"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Recently Issued Accounting Standards Presentation of comprehensive income</w:t>
      </w:r>
    </w:p>
    <w:p>
      <w:pPr>
        <w:spacing w:after="0" w:line="1" w:lineRule="exact"/>
        <w:rPr>
          <w:sz w:val="20"/>
          <w:szCs w:val="20"/>
          <w:color w:val="auto"/>
        </w:rPr>
      </w:pPr>
    </w:p>
    <w:p>
      <w:pPr>
        <w:jc w:val="both"/>
        <w:ind w:left="8" w:firstLine="358"/>
        <w:spacing w:after="0" w:line="262" w:lineRule="auto"/>
        <w:rPr>
          <w:sz w:val="20"/>
          <w:szCs w:val="20"/>
          <w:color w:val="auto"/>
        </w:rPr>
      </w:pPr>
      <w:r>
        <w:rPr>
          <w:rFonts w:ascii="Arial" w:cs="Arial" w:eastAsia="Arial" w:hAnsi="Arial"/>
          <w:sz w:val="15"/>
          <w:szCs w:val="15"/>
          <w:color w:val="auto"/>
        </w:rPr>
        <w:t>In June and December 2011, the Financial Accounting Standards Board (“FASB”) amended its authoritative guidance on the presentation of comprehensive income. Under the amendments, an entity has the option to present comprehensive income and net income either in a single continuous statement of comprehensive income or in two separate but consecutive statements. This amendment, therefore, eliminated the option to present the components of other comprehensive income as part of the statement of changes in stockholders' equity. The amendment did not change the items that must be reported in other comprehensive income or when an item of other comprehensive income must be reclassified to net income. The Company adopted this amended guidance for the fiscal year beginning January 1, 2012. As this guidance relates to presentation only, the adoption of this guidance did not have any other effect on the Company's financial statements.</w:t>
      </w:r>
    </w:p>
    <w:p>
      <w:pPr>
        <w:spacing w:after="0" w:line="16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8662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8"/>
          </w:cols>
          <w:pgMar w:left="232" w:top="521" w:right="21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416"/>
        <w:spacing w:after="0" w:line="300" w:lineRule="auto"/>
        <w:rPr>
          <w:sz w:val="20"/>
          <w:szCs w:val="20"/>
          <w:color w:val="auto"/>
        </w:rPr>
      </w:pPr>
      <w:r>
        <w:rPr>
          <w:rFonts w:ascii="Arial" w:cs="Arial" w:eastAsia="Arial" w:hAnsi="Arial"/>
          <w:sz w:val="13"/>
          <w:szCs w:val="13"/>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from these forward-looking statements. These statements concern, and these risks and uncertainties include, among</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other things, the success of our commercialization of EYLEA</w:t>
      </w:r>
      <w:r>
        <w:rPr>
          <w:rFonts w:ascii="Arial" w:cs="Arial" w:eastAsia="Arial" w:hAnsi="Arial"/>
          <w:sz w:val="23"/>
          <w:szCs w:val="23"/>
          <w:i w:val="1"/>
          <w:iCs w:val="1"/>
          <w:color w:val="auto"/>
          <w:vertAlign w:val="superscript"/>
        </w:rPr>
        <w:t>®</w:t>
      </w:r>
      <w:r>
        <w:rPr>
          <w:rFonts w:ascii="Arial" w:cs="Arial" w:eastAsia="Arial" w:hAnsi="Arial"/>
          <w:sz w:val="14"/>
          <w:szCs w:val="14"/>
          <w:i w:val="1"/>
          <w:iCs w:val="1"/>
          <w:color w:val="auto"/>
        </w:rPr>
        <w:t>, the nature, timing, and possible success of and therapeutic applications for our product candidates and research programs now underway or planned, the likelihood and timing of possible regulatory approval and commercial launch of our late-stage product candidates, determinations by regulatory and administrative governmental authorities which may delay or restrict our ability to continue to develop or commercialize our product and drug candidates, competing drugs that may be superior to our product and drug candidates, uncertainty of market acceptance of our product and drug candidates, unanticipated expenses, the availability and cost of capital, the costs of developing, producing, and selling products, the potential for any collaboration agreement, including our agreements with Sanofi and Bayer HealthCare LLC, to be canceled or terminated without any product success, and risks associated with third-party intellectual property and pending or future litigation relating thereto. These statements are made by us based on management's current beliefs and judgment. In evaluating such statements, shareholders and potential investors should specifically consider the various factors identified under the caption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25" w:lineRule="exact"/>
        <w:rPr>
          <w:sz w:val="20"/>
          <w:szCs w:val="20"/>
          <w:color w:val="auto"/>
        </w:rPr>
      </w:pPr>
    </w:p>
    <w:p>
      <w:pPr>
        <w:jc w:val="both"/>
        <w:ind w:firstLine="289"/>
        <w:spacing w:after="0" w:line="281" w:lineRule="auto"/>
        <w:rPr>
          <w:sz w:val="20"/>
          <w:szCs w:val="20"/>
          <w:color w:val="auto"/>
        </w:rPr>
      </w:pPr>
      <w:r>
        <w:rPr>
          <w:rFonts w:ascii="Arial" w:cs="Arial" w:eastAsia="Arial" w:hAnsi="Arial"/>
          <w:sz w:val="15"/>
          <w:szCs w:val="15"/>
          <w:color w:val="auto"/>
        </w:rPr>
        <w:t>Regeneron Pharmaceuticals, Inc. is a fully integrated biopharmaceutical company that discovers, invents, develops, manufactures, and commercializes medicines for the treatment of serious medical conditions. We currently have two marketed products:</w:t>
      </w:r>
    </w:p>
    <w:p>
      <w:pPr>
        <w:spacing w:after="0" w:line="152" w:lineRule="exact"/>
        <w:rPr>
          <w:sz w:val="20"/>
          <w:szCs w:val="20"/>
          <w:color w:val="auto"/>
        </w:rPr>
      </w:pPr>
    </w:p>
    <w:p>
      <w:pPr>
        <w:ind w:left="460" w:right="20"/>
        <w:spacing w:after="0" w:line="213" w:lineRule="auto"/>
        <w:rPr>
          <w:sz w:val="20"/>
          <w:szCs w:val="20"/>
          <w:color w:val="auto"/>
        </w:rPr>
      </w:pPr>
      <w:r>
        <w:rPr>
          <w:rFonts w:ascii="Arial" w:cs="Arial" w:eastAsia="Arial" w:hAnsi="Arial"/>
          <w:sz w:val="15"/>
          <w:szCs w:val="15"/>
          <w:color w:val="auto"/>
        </w:rPr>
        <w:t>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(aflibercept) Injection, known in the scientific literature as VEGF Trap-Eye, which is available in the United States for the treatment of neovascular age-related macular degeneration (wet AMD). Wet AMD is the leading cause of acquired blindness for people over the age of 65 in the United States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spacing w:after="0" w:line="211" w:lineRule="auto"/>
        <w:rPr>
          <w:sz w:val="20"/>
          <w:szCs w:val="20"/>
          <w:color w:val="auto"/>
        </w:rPr>
      </w:pPr>
      <w:r>
        <w:rPr>
          <w:rFonts w:ascii="Arial" w:cs="Arial" w:eastAsia="Arial" w:hAnsi="Arial"/>
          <w:sz w:val="15"/>
          <w:szCs w:val="15"/>
          <w:color w:val="auto"/>
        </w:rPr>
        <w:t>ARCALYST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(rilonacept) Injection for Subcutaneous Use, which is available by prescription in the United States for the treatment of Cryopyrin-Associated Periodic Syndromes (CAPS), including Familial Cold Auto-inflammatory Syndrome (FCAS) and Muckle-Wells Syndrome (MWS), in adults and children 12 and 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183" w:lineRule="exact"/>
        <w:rPr>
          <w:sz w:val="20"/>
          <w:szCs w:val="20"/>
          <w:color w:val="auto"/>
        </w:rPr>
      </w:pPr>
    </w:p>
    <w:p>
      <w:pPr>
        <w:ind w:firstLine="231"/>
        <w:spacing w:after="0" w:line="281" w:lineRule="auto"/>
        <w:rPr>
          <w:sz w:val="20"/>
          <w:szCs w:val="20"/>
          <w:color w:val="auto"/>
        </w:rPr>
      </w:pPr>
      <w:r>
        <w:rPr>
          <w:rFonts w:ascii="Arial" w:cs="Arial" w:eastAsia="Arial" w:hAnsi="Arial"/>
          <w:sz w:val="15"/>
          <w:szCs w:val="15"/>
          <w:color w:val="auto"/>
        </w:rPr>
        <w:t>Net product sales of our two marketed products totaled $127.9 million in the first quarter of 2012, which contributed to our overall net income of $11.7 million. Our operating results over the next several years will be largely dependent upon our ability to successfully commercialize EYLEA and the market penetration it achieves.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have 13 product candidates in clinical development, all of which were discovered in our research laboratories. Our Trap-based, late-stage programs are: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EYLEA, which is being developed for the treatment of additional serious eye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-73025</wp:posOffset>
            </wp:positionV>
            <wp:extent cx="54610" cy="54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right="2140"/>
        <w:spacing w:after="0" w:line="211" w:lineRule="auto"/>
        <w:rPr>
          <w:sz w:val="20"/>
          <w:szCs w:val="20"/>
          <w:color w:val="auto"/>
        </w:rPr>
      </w:pPr>
      <w:r>
        <w:rPr>
          <w:rFonts w:ascii="Arial" w:cs="Arial" w:eastAsia="Arial" w:hAnsi="Arial"/>
          <w:sz w:val="15"/>
          <w:szCs w:val="15"/>
          <w:color w:val="auto"/>
        </w:rPr>
        <w:t>ZALTRAP</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(aflibercept), known in the scientific literature as VEGF Trap, which is being developed in oncology in collaboration with Sanofi; and ARCALYST, which is being developed for the prevention of gout flares in patients initiating uric acid-lowering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-83820</wp:posOffset>
            </wp:positionV>
            <wp:extent cx="54610" cy="54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Our antibody-based clinical programs include ten fully human monoclonal antibodies. The following seven are being developed in collaboration with Sanofi:</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Sarilumab (REGN88), an antibody to the interleukin-6 receptor (IL-6R), which is being developed in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-73025</wp:posOffset>
            </wp:positionV>
            <wp:extent cx="54610" cy="54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5"/>
          <w:szCs w:val="15"/>
          <w:color w:val="auto"/>
        </w:rPr>
        <w:t>REGN727, an antibody to Proprotein Convertase Subtilisin/Kexin type 9 (PCSK9), which is being developed for low-density lipoprotein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-76200</wp:posOffset>
            </wp:positionV>
            <wp:extent cx="54610" cy="54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1" w:right="219" w:bottom="1440" w:gutter="0" w:footer="0" w:header="0"/>
        </w:sectPr>
      </w:pPr>
    </w:p>
    <w:bookmarkStart w:id="16" w:name="page17"/>
    <w:bookmarkEnd w:id="16"/>
    <w:p>
      <w:pPr>
        <w:ind w:left="468" w:right="3020"/>
        <w:spacing w:after="0" w:line="263" w:lineRule="auto"/>
        <w:rPr>
          <w:sz w:val="20"/>
          <w:szCs w:val="20"/>
          <w:color w:val="auto"/>
        </w:rPr>
      </w:pPr>
      <w:r>
        <w:rPr>
          <w:rFonts w:ascii="Arial" w:cs="Arial" w:eastAsia="Arial" w:hAnsi="Arial"/>
          <w:sz w:val="15"/>
          <w:szCs w:val="15"/>
          <w:color w:val="auto"/>
        </w:rPr>
        <w:t>REGN668, an antibody to the interleukin-4 receptor (IL-4R), which is being developed in atopic dermatitis and eosinophilic asthma; REGN421, an antibody to Delta-like ligand-4 (Dll4), a novel angiogenesis target, which is being developed in oncology; REGN910, an antibody to Angiopoietin-2 (ANG2), another novel angiogenesis target, which is being developed in oncology; REGN728, an antibody in clinical development against an undisclosed target; and REGN1033, an antibody in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-563880</wp:posOffset>
            </wp:positionV>
            <wp:extent cx="54610" cy="54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170815</wp:posOffset>
            </wp:positionH>
            <wp:positionV relativeFrom="paragraph">
              <wp:posOffset>-446405</wp:posOffset>
            </wp:positionV>
            <wp:extent cx="54610" cy="54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170815</wp:posOffset>
            </wp:positionH>
            <wp:positionV relativeFrom="paragraph">
              <wp:posOffset>-328930</wp:posOffset>
            </wp:positionV>
            <wp:extent cx="54610" cy="54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170815</wp:posOffset>
            </wp:positionH>
            <wp:positionV relativeFrom="paragraph">
              <wp:posOffset>-211455</wp:posOffset>
            </wp:positionV>
            <wp:extent cx="54610" cy="54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170815</wp:posOffset>
            </wp:positionH>
            <wp:positionV relativeFrom="paragraph">
              <wp:posOffset>-93980</wp:posOffset>
            </wp:positionV>
            <wp:extent cx="54610" cy="54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168" w:lineRule="exact"/>
        <w:rPr>
          <w:sz w:val="20"/>
          <w:szCs w:val="20"/>
          <w:color w:val="auto"/>
        </w:rPr>
      </w:pPr>
    </w:p>
    <w:p>
      <w:pPr>
        <w:ind w:left="228"/>
        <w:spacing w:after="0"/>
        <w:rPr>
          <w:sz w:val="20"/>
          <w:szCs w:val="20"/>
          <w:color w:val="auto"/>
        </w:rPr>
      </w:pPr>
      <w:r>
        <w:rPr>
          <w:rFonts w:ascii="Arial" w:cs="Arial" w:eastAsia="Arial" w:hAnsi="Arial"/>
          <w:sz w:val="15"/>
          <w:szCs w:val="15"/>
          <w:color w:val="auto"/>
        </w:rPr>
        <w:t>In addition, we are developing the following three antibodies independently:</w:t>
      </w:r>
    </w:p>
    <w:p>
      <w:pPr>
        <w:spacing w:after="0" w:line="197" w:lineRule="exact"/>
        <w:rPr>
          <w:sz w:val="20"/>
          <w:szCs w:val="20"/>
          <w:color w:val="auto"/>
        </w:rPr>
      </w:pPr>
    </w:p>
    <w:p>
      <w:pPr>
        <w:ind w:left="468" w:right="2860"/>
        <w:spacing w:after="0" w:line="269" w:lineRule="auto"/>
        <w:rPr>
          <w:sz w:val="20"/>
          <w:szCs w:val="20"/>
          <w:color w:val="auto"/>
        </w:rPr>
      </w:pPr>
      <w:r>
        <w:rPr>
          <w:rFonts w:ascii="Arial" w:cs="Arial" w:eastAsia="Arial" w:hAnsi="Arial"/>
          <w:sz w:val="15"/>
          <w:szCs w:val="15"/>
          <w:color w:val="auto"/>
        </w:rPr>
        <w:t>REGN475, an antibody to Nerve Growth Factor (NGF), which is being developed for the treatment of pain (currently on clinical hold); REGN846, an antibody in clinical development against an undisclosed target, which is being developed in atopic dermatitis; and REGN1154, an antibody in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-331470</wp:posOffset>
            </wp:positionV>
            <wp:extent cx="54610" cy="54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170815</wp:posOffset>
            </wp:positionH>
            <wp:positionV relativeFrom="paragraph">
              <wp:posOffset>-214630</wp:posOffset>
            </wp:positionV>
            <wp:extent cx="54610" cy="54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170815</wp:posOffset>
            </wp:positionH>
            <wp:positionV relativeFrom="paragraph">
              <wp:posOffset>-97155</wp:posOffset>
            </wp:positionV>
            <wp:extent cx="54610" cy="54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163" w:lineRule="exact"/>
        <w:rPr>
          <w:sz w:val="20"/>
          <w:szCs w:val="20"/>
          <w:color w:val="auto"/>
        </w:rPr>
      </w:pPr>
    </w:p>
    <w:p>
      <w:pPr>
        <w:jc w:val="both"/>
        <w:ind w:left="8" w:firstLine="347"/>
        <w:spacing w:after="0" w:line="269" w:lineRule="auto"/>
        <w:rPr>
          <w:sz w:val="20"/>
          <w:szCs w:val="20"/>
          <w:color w:val="auto"/>
        </w:rPr>
      </w:pPr>
      <w:r>
        <w:rPr>
          <w:rFonts w:ascii="Arial" w:cs="Arial" w:eastAsia="Arial" w:hAnsi="Arial"/>
          <w:sz w:val="15"/>
          <w:szCs w:val="15"/>
          <w:color w:val="auto"/>
        </w:rPr>
        <w:t>Our core business strategy is to maintain a strong foundation in basic scientific research and discovery-enabling technologies, and to combine that foundation with our clinical development, manufacturing, and commercial capabilities. Our long-term objective is to build a successful, integrated, multi-product biopharmaceutical company that provides patients and medical professionals with innovative options for preventing and treating human diseases.</w:t>
      </w:r>
    </w:p>
    <w:p>
      <w:pPr>
        <w:spacing w:after="0" w:line="183" w:lineRule="exact"/>
        <w:rPr>
          <w:sz w:val="20"/>
          <w:szCs w:val="20"/>
          <w:color w:val="auto"/>
        </w:rPr>
      </w:pPr>
    </w:p>
    <w:p>
      <w:pPr>
        <w:jc w:val="both"/>
        <w:ind w:left="8" w:firstLine="289"/>
        <w:spacing w:after="0" w:line="241" w:lineRule="auto"/>
        <w:rPr>
          <w:sz w:val="20"/>
          <w:szCs w:val="20"/>
          <w:color w:val="auto"/>
        </w:rPr>
      </w:pPr>
      <w:r>
        <w:rPr>
          <w:rFonts w:ascii="Arial" w:cs="Arial" w:eastAsia="Arial" w:hAnsi="Arial"/>
          <w:sz w:val="13"/>
          <w:szCs w:val="13"/>
          <w:color w:val="auto"/>
        </w:rPr>
        <w:t xml:space="preserve">We believe that our ability to develop product candidates is enhanced by the application of our </w:t>
      </w:r>
      <w:r>
        <w:rPr>
          <w:rFonts w:ascii="Arial" w:cs="Arial" w:eastAsia="Arial" w:hAnsi="Arial"/>
          <w:sz w:val="13"/>
          <w:szCs w:val="13"/>
          <w:i w:val="1"/>
          <w:iCs w:val="1"/>
          <w:color w:val="auto"/>
        </w:rPr>
        <w:t>VelociSuite™</w:t>
      </w:r>
      <w:r>
        <w:rPr>
          <w:rFonts w:ascii="Arial" w:cs="Arial" w:eastAsia="Arial" w:hAnsi="Arial"/>
          <w:sz w:val="13"/>
          <w:szCs w:val="13"/>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3"/>
          <w:szCs w:val="13"/>
          <w:i w:val="1"/>
          <w:iCs w:val="1"/>
          <w:color w:val="auto"/>
        </w:rPr>
        <w:t>VelociGene</w:t>
      </w:r>
      <w:r>
        <w:rPr>
          <w:rFonts w:ascii="Arial" w:cs="Arial" w:eastAsia="Arial" w:hAnsi="Arial"/>
          <w:sz w:val="21"/>
          <w:szCs w:val="21"/>
          <w:color w:val="auto"/>
          <w:vertAlign w:val="superscript"/>
        </w:rPr>
        <w:t>®</w:t>
      </w:r>
      <w:r>
        <w:rPr>
          <w:rFonts w:ascii="Arial" w:cs="Arial" w:eastAsia="Arial" w:hAnsi="Arial"/>
          <w:sz w:val="13"/>
          <w:szCs w:val="13"/>
          <w:color w:val="auto"/>
        </w:rPr>
        <w:t xml:space="preserve"> technology to understand the role of these proteins in normal physiology, as well as in models of disease. Our human monoclonal antibody technology (</w:t>
      </w:r>
      <w:r>
        <w:rPr>
          <w:rFonts w:ascii="Arial" w:cs="Arial" w:eastAsia="Arial" w:hAnsi="Arial"/>
          <w:sz w:val="13"/>
          <w:szCs w:val="13"/>
          <w:i w:val="1"/>
          <w:iCs w:val="1"/>
          <w:color w:val="auto"/>
        </w:rPr>
        <w:t>VelocImmune</w:t>
      </w:r>
      <w:r>
        <w:rPr>
          <w:rFonts w:ascii="Arial" w:cs="Arial" w:eastAsia="Arial" w:hAnsi="Arial"/>
          <w:sz w:val="21"/>
          <w:szCs w:val="21"/>
          <w:color w:val="auto"/>
          <w:vertAlign w:val="superscript"/>
        </w:rPr>
        <w:t>®</w:t>
      </w:r>
      <w:r>
        <w:rPr>
          <w:rFonts w:ascii="Arial" w:cs="Arial" w:eastAsia="Arial" w:hAnsi="Arial"/>
          <w:sz w:val="13"/>
          <w:szCs w:val="13"/>
          <w:color w:val="auto"/>
        </w:rPr>
        <w:t>) and cell line</w:t>
      </w:r>
    </w:p>
    <w:p>
      <w:pPr>
        <w:jc w:val="both"/>
        <w:ind w:left="8"/>
        <w:spacing w:after="0" w:line="229" w:lineRule="auto"/>
        <w:rPr>
          <w:sz w:val="20"/>
          <w:szCs w:val="20"/>
          <w:color w:val="auto"/>
        </w:rPr>
      </w:pPr>
      <w:r>
        <w:rPr>
          <w:rFonts w:ascii="Arial" w:cs="Arial" w:eastAsia="Arial" w:hAnsi="Arial"/>
          <w:sz w:val="15"/>
          <w:szCs w:val="15"/>
          <w:color w:val="auto"/>
        </w:rPr>
        <w:t>expression technologies (</w:t>
      </w:r>
      <w:r>
        <w:rPr>
          <w:rFonts w:ascii="Arial" w:cs="Arial" w:eastAsia="Arial" w:hAnsi="Arial"/>
          <w:sz w:val="15"/>
          <w:szCs w:val="15"/>
          <w:i w:val="1"/>
          <w:iCs w:val="1"/>
          <w:color w:val="auto"/>
        </w:rPr>
        <w:t>VelociMab</w:t>
      </w:r>
      <w:r>
        <w:rPr>
          <w:rFonts w:ascii="Arial" w:cs="Arial" w:eastAsia="Arial" w:hAnsi="Arial"/>
          <w:sz w:val="25"/>
          <w:szCs w:val="25"/>
          <w:color w:val="auto"/>
          <w:vertAlign w:val="superscript"/>
        </w:rPr>
        <w:t>®</w:t>
      </w:r>
      <w:r>
        <w:rPr>
          <w:rFonts w:ascii="Arial" w:cs="Arial" w:eastAsia="Arial" w:hAnsi="Arial"/>
          <w:sz w:val="15"/>
          <w:szCs w:val="15"/>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5"/>
          <w:szCs w:val="15"/>
          <w:i w:val="1"/>
          <w:iCs w:val="1"/>
          <w:color w:val="auto"/>
        </w:rPr>
        <w:t>VelocImmune</w:t>
      </w:r>
      <w:r>
        <w:rPr>
          <w:rFonts w:ascii="Arial" w:cs="Arial" w:eastAsia="Arial" w:hAnsi="Arial"/>
          <w:sz w:val="15"/>
          <w:szCs w:val="15"/>
          <w:color w:val="auto"/>
        </w:rPr>
        <w:t>. Under the terms of our antibody collaboration with Sanofi, which was expanded during 2009, we plan to advance a total of 20 to 30 candidates into clinical development over the life of the agreement. We continue to invest in the development of enabling technologies to assist in our efforts to identify, develop, manufacture, and commercialize new product candidates.</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5"/>
          <w:szCs w:val="15"/>
          <w:b w:val="1"/>
          <w:bCs w:val="1"/>
          <w:u w:val="single" w:color="auto"/>
          <w:color w:val="auto"/>
        </w:rPr>
        <w:t>Commercial Products:</w:t>
      </w:r>
    </w:p>
    <w:p>
      <w:pPr>
        <w:spacing w:after="0" w:line="236"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EYLEA (aflibercept) Injection – wet AMD</w:t>
      </w:r>
    </w:p>
    <w:p>
      <w:pPr>
        <w:spacing w:after="0" w:line="232" w:lineRule="exact"/>
        <w:rPr>
          <w:sz w:val="20"/>
          <w:szCs w:val="20"/>
          <w:color w:val="auto"/>
        </w:rPr>
      </w:pPr>
    </w:p>
    <w:p>
      <w:pPr>
        <w:jc w:val="both"/>
        <w:ind w:left="8" w:right="20" w:firstLine="277"/>
        <w:spacing w:after="0" w:line="269" w:lineRule="auto"/>
        <w:rPr>
          <w:sz w:val="20"/>
          <w:szCs w:val="20"/>
          <w:color w:val="auto"/>
        </w:rPr>
      </w:pPr>
      <w:r>
        <w:rPr>
          <w:rFonts w:ascii="Arial" w:cs="Arial" w:eastAsia="Arial" w:hAnsi="Arial"/>
          <w:sz w:val="15"/>
          <w:szCs w:val="15"/>
          <w:color w:val="auto"/>
        </w:rPr>
        <w:t>In November 2011, we received U.S. marketing approval from the U.S. Food and Drug Administration (FDA) for EYLEA Injection for the treatment of patients with wet AMD. The approval of EYLEA was granted by the FDA under a Priority Review, a designation that is given to drugs that offer significant advances in treatment, or provide a treatment where no adequate therapy exists. Net product sales of EYLEA in the first quarter of 2012 were $123.5 million.</w:t>
      </w:r>
    </w:p>
    <w:p>
      <w:pPr>
        <w:spacing w:after="0" w:line="183" w:lineRule="exact"/>
        <w:rPr>
          <w:sz w:val="20"/>
          <w:szCs w:val="20"/>
          <w:color w:val="auto"/>
        </w:rPr>
      </w:pPr>
    </w:p>
    <w:p>
      <w:pPr>
        <w:ind w:left="248"/>
        <w:spacing w:after="0"/>
        <w:rPr>
          <w:sz w:val="20"/>
          <w:szCs w:val="20"/>
          <w:color w:val="auto"/>
        </w:rPr>
      </w:pPr>
      <w:r>
        <w:rPr>
          <w:rFonts w:ascii="Arial" w:cs="Arial" w:eastAsia="Arial" w:hAnsi="Arial"/>
          <w:sz w:val="14"/>
          <w:szCs w:val="14"/>
          <w:color w:val="auto"/>
        </w:rPr>
        <w:t>EYLEA, known in the scientific literature as VEGF Trap-Eye, is a fusion protein locally administered in the eye that is designed to bind Vascular Endothelial Growth Factor-A (VEGF-</w:t>
      </w:r>
    </w:p>
    <w:p>
      <w:pPr>
        <w:spacing w:after="0" w:line="29" w:lineRule="exact"/>
        <w:rPr>
          <w:sz w:val="20"/>
          <w:szCs w:val="20"/>
          <w:color w:val="auto"/>
        </w:rPr>
      </w:pPr>
    </w:p>
    <w:p>
      <w:pPr>
        <w:ind w:left="8" w:right="20" w:hanging="8"/>
        <w:spacing w:after="0" w:line="274" w:lineRule="auto"/>
        <w:tabs>
          <w:tab w:leader="none" w:pos="205" w:val="left"/>
        </w:tabs>
        <w:numPr>
          <w:ilvl w:val="0"/>
          <w:numId w:val="4"/>
        </w:numPr>
        <w:rPr>
          <w:rFonts w:ascii="Arial" w:cs="Arial" w:eastAsia="Arial" w:hAnsi="Arial"/>
          <w:sz w:val="15"/>
          <w:szCs w:val="15"/>
          <w:color w:val="auto"/>
        </w:rPr>
      </w:pPr>
      <w:r>
        <w:rPr>
          <w:rFonts w:ascii="Arial" w:cs="Arial" w:eastAsia="Arial" w:hAnsi="Arial"/>
          <w:sz w:val="15"/>
          <w:szCs w:val="15"/>
          <w:color w:val="auto"/>
        </w:rPr>
        <w:t>and Placental Growth Factor (PlGF) proteins that are involved in the abnormal growth of new blood vessels. The abnormal growth of new blood vessels could leak blood and fluid, which causes disruption and dysfunction of the retina creating distortion and/or blind spots in central vision.</w:t>
      </w:r>
    </w:p>
    <w:p>
      <w:pPr>
        <w:spacing w:after="0" w:line="179" w:lineRule="exact"/>
        <w:rPr>
          <w:sz w:val="20"/>
          <w:szCs w:val="20"/>
          <w:color w:val="auto"/>
        </w:rPr>
      </w:pPr>
    </w:p>
    <w:p>
      <w:pPr>
        <w:jc w:val="both"/>
        <w:ind w:left="8" w:firstLine="266"/>
        <w:spacing w:after="0" w:line="263" w:lineRule="auto"/>
        <w:rPr>
          <w:sz w:val="20"/>
          <w:szCs w:val="20"/>
          <w:color w:val="auto"/>
        </w:rPr>
      </w:pPr>
      <w:r>
        <w:rPr>
          <w:rFonts w:ascii="Arial" w:cs="Arial" w:eastAsia="Arial" w:hAnsi="Arial"/>
          <w:sz w:val="15"/>
          <w:szCs w:val="15"/>
          <w:color w:val="auto"/>
        </w:rPr>
        <w:t>We are collaborating with Bayer HealthCare on the global development of EYLEA. In February 2012, Bayer HealthCare received marketing approval in Australia for EYLEA for the treatment of patients with wet AMD, and is expected to launch in the second half of 2012. Bayer HealthCare has also submitted applications for marketing authorization in the European Union, Japan, and other countries for wet AMD, and expects regulatory decisions beginning in the second half of 2012. Bayer HealthCare will market EYLEA outside the United States, where the companies will share equally the profits from any future sales of EYLEA. We maintain exclusive rights to EYLEA in the United States and are entitled to all profits from any such sales.</w:t>
      </w:r>
    </w:p>
    <w:p>
      <w:pPr>
        <w:spacing w:after="0" w:line="16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8662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8"/>
          </w:cols>
          <w:pgMar w:left="232" w:top="491" w:right="21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i w:val="1"/>
          <w:iCs w:val="1"/>
          <w:color w:val="auto"/>
        </w:rPr>
        <w:t>ARCALYST – CAPS</w:t>
      </w:r>
    </w:p>
    <w:p>
      <w:pPr>
        <w:spacing w:after="0" w:line="221" w:lineRule="exact"/>
        <w:rPr>
          <w:sz w:val="20"/>
          <w:szCs w:val="20"/>
          <w:color w:val="auto"/>
        </w:rPr>
      </w:pPr>
    </w:p>
    <w:p>
      <w:pPr>
        <w:jc w:val="both"/>
        <w:ind w:firstLine="289"/>
        <w:spacing w:after="0" w:line="281" w:lineRule="auto"/>
        <w:rPr>
          <w:sz w:val="20"/>
          <w:szCs w:val="20"/>
          <w:color w:val="auto"/>
        </w:rPr>
      </w:pPr>
      <w:r>
        <w:rPr>
          <w:rFonts w:ascii="Arial" w:cs="Arial" w:eastAsia="Arial" w:hAnsi="Arial"/>
          <w:sz w:val="15"/>
          <w:szCs w:val="15"/>
          <w:color w:val="auto"/>
        </w:rPr>
        <w:t>Net product sales of ARCALYST (rilonacept) for the treatment of CAPS were $4.4 million in the first quarters of both 2012 and 2011. We do not expect future net product sales of ARCALYST for the treatment of CAPS to be significant.</w:t>
      </w:r>
    </w:p>
    <w:p>
      <w:pPr>
        <w:spacing w:after="0" w:line="174" w:lineRule="exact"/>
        <w:rPr>
          <w:sz w:val="20"/>
          <w:szCs w:val="20"/>
          <w:color w:val="auto"/>
        </w:rPr>
      </w:pPr>
    </w:p>
    <w:p>
      <w:pPr>
        <w:jc w:val="both"/>
        <w:ind w:firstLine="301"/>
        <w:spacing w:after="0" w:line="265" w:lineRule="auto"/>
        <w:rPr>
          <w:sz w:val="20"/>
          <w:szCs w:val="20"/>
          <w:color w:val="auto"/>
        </w:rPr>
      </w:pPr>
      <w:r>
        <w:rPr>
          <w:rFonts w:ascii="Arial" w:cs="Arial" w:eastAsia="Arial" w:hAnsi="Arial"/>
          <w:sz w:val="15"/>
          <w:szCs w:val="15"/>
          <w:color w:val="auto"/>
        </w:rPr>
        <w:t>ARCALYST is a protein-based product designed to bind the interleukin-1 (called IL-1) cytokine and prevent its interaction with cell surface receptors. ARCALYST is available by prescription in the United States for the treatment of CAPS, including FCAS and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Clinical Programs: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1. EYLEA – Ophthalmologic Diseases</w:t>
      </w:r>
    </w:p>
    <w:p>
      <w:pPr>
        <w:spacing w:after="0" w:line="221" w:lineRule="exact"/>
        <w:rPr>
          <w:sz w:val="20"/>
          <w:szCs w:val="20"/>
          <w:color w:val="auto"/>
        </w:rPr>
      </w:pPr>
    </w:p>
    <w:p>
      <w:pPr>
        <w:jc w:val="both"/>
        <w:ind w:firstLine="277"/>
        <w:spacing w:after="0" w:line="265" w:lineRule="auto"/>
        <w:rPr>
          <w:sz w:val="20"/>
          <w:szCs w:val="20"/>
          <w:color w:val="auto"/>
        </w:rPr>
      </w:pPr>
      <w:r>
        <w:rPr>
          <w:rFonts w:ascii="Arial" w:cs="Arial" w:eastAsia="Arial" w:hAnsi="Arial"/>
          <w:sz w:val="15"/>
          <w:szCs w:val="15"/>
          <w:color w:val="auto"/>
        </w:rPr>
        <w:t>We, together with our ex-U.S. collaborator Bayer HealthCare, are evaluating EYLEA in Phase 3 programs in patients with central retinal vein occlusion (CRVO), branch retinal vein occlusion (BRVO), diabetic macular edema (DME), and choroidal neovascularisation (CNV) of the retina as a result of pathologic myopia. Wet AMD, diabetic retinopathy (which includes DME), and retinal vein occlusion are three of the leading causes of adult blindness in the developed world. In these conditions, severe visual loss is caused by a combination of retinal edema and neovascular proliferation.</w:t>
      </w:r>
    </w:p>
    <w:p>
      <w:pPr>
        <w:spacing w:after="0" w:line="18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color w:val="auto"/>
        </w:rPr>
        <w:t>In November 2011, we received U.S. marketing approval from the FDA for EYLEA Injection for the treatment of patients with wet AMD. In 2011, Bayer HealthCare submitted regulatory applications for marketing approval of EYLEA in wet AMD in the European Union, Japan, and other countries. In February 2012, Bayer HealthCare received marketing approval in Australia for EYLEA for the treatment of patients with wet AMD.</w:t>
      </w:r>
    </w:p>
    <w:p>
      <w:pPr>
        <w:spacing w:after="0" w:line="183" w:lineRule="exact"/>
        <w:rPr>
          <w:sz w:val="20"/>
          <w:szCs w:val="20"/>
          <w:color w:val="auto"/>
        </w:rPr>
      </w:pPr>
    </w:p>
    <w:p>
      <w:pPr>
        <w:jc w:val="both"/>
        <w:ind w:right="20" w:firstLine="277"/>
        <w:spacing w:after="0" w:line="281" w:lineRule="auto"/>
        <w:rPr>
          <w:sz w:val="20"/>
          <w:szCs w:val="20"/>
          <w:color w:val="auto"/>
        </w:rPr>
      </w:pPr>
      <w:r>
        <w:rPr>
          <w:rFonts w:ascii="Arial" w:cs="Arial" w:eastAsia="Arial" w:hAnsi="Arial"/>
          <w:sz w:val="15"/>
          <w:szCs w:val="15"/>
          <w:color w:val="auto"/>
        </w:rPr>
        <w:t>A study to fulfill a post-marketing requirement by the FDA, RE-VIEW (</w:t>
      </w:r>
      <w:r>
        <w:rPr>
          <w:rFonts w:ascii="Arial" w:cs="Arial" w:eastAsia="Arial" w:hAnsi="Arial"/>
          <w:sz w:val="15"/>
          <w:szCs w:val="15"/>
          <w:u w:val="single" w:color="auto"/>
          <w:color w:val="auto"/>
        </w:rPr>
        <w:t>R</w:t>
      </w:r>
      <w:r>
        <w:rPr>
          <w:rFonts w:ascii="Arial" w:cs="Arial" w:eastAsia="Arial" w:hAnsi="Arial"/>
          <w:sz w:val="15"/>
          <w:szCs w:val="15"/>
          <w:color w:val="auto"/>
        </w:rPr>
        <w:t xml:space="preserve">igorous </w:t>
      </w:r>
      <w:r>
        <w:rPr>
          <w:rFonts w:ascii="Arial" w:cs="Arial" w:eastAsia="Arial" w:hAnsi="Arial"/>
          <w:sz w:val="15"/>
          <w:szCs w:val="15"/>
          <w:u w:val="single" w:color="auto"/>
          <w:color w:val="auto"/>
        </w:rPr>
        <w:t>E</w:t>
      </w:r>
      <w:r>
        <w:rPr>
          <w:rFonts w:ascii="Arial" w:cs="Arial" w:eastAsia="Arial" w:hAnsi="Arial"/>
          <w:sz w:val="15"/>
          <w:szCs w:val="15"/>
          <w:color w:val="auto"/>
        </w:rPr>
        <w:t xml:space="preserve">valuation of </w:t>
      </w:r>
      <w:r>
        <w:rPr>
          <w:rFonts w:ascii="Arial" w:cs="Arial" w:eastAsia="Arial" w:hAnsi="Arial"/>
          <w:sz w:val="15"/>
          <w:szCs w:val="15"/>
          <w:u w:val="single" w:color="auto"/>
          <w:color w:val="auto"/>
        </w:rPr>
        <w:t>V</w:t>
      </w:r>
      <w:r>
        <w:rPr>
          <w:rFonts w:ascii="Arial" w:cs="Arial" w:eastAsia="Arial" w:hAnsi="Arial"/>
          <w:sz w:val="15"/>
          <w:szCs w:val="15"/>
          <w:color w:val="auto"/>
        </w:rPr>
        <w:t xml:space="preserve">ision and safety with </w:t>
      </w:r>
      <w:r>
        <w:rPr>
          <w:rFonts w:ascii="Arial" w:cs="Arial" w:eastAsia="Arial" w:hAnsi="Arial"/>
          <w:sz w:val="15"/>
          <w:szCs w:val="15"/>
          <w:u w:val="single" w:color="auto"/>
          <w:color w:val="auto"/>
        </w:rPr>
        <w:t>I</w:t>
      </w:r>
      <w:r>
        <w:rPr>
          <w:rFonts w:ascii="Arial" w:cs="Arial" w:eastAsia="Arial" w:hAnsi="Arial"/>
          <w:sz w:val="15"/>
          <w:szCs w:val="15"/>
          <w:color w:val="auto"/>
        </w:rPr>
        <w:t xml:space="preserve">ntravitreal aflibercept injection dosed </w:t>
      </w:r>
      <w:r>
        <w:rPr>
          <w:rFonts w:ascii="Arial" w:cs="Arial" w:eastAsia="Arial" w:hAnsi="Arial"/>
          <w:sz w:val="15"/>
          <w:szCs w:val="15"/>
          <w:u w:val="single" w:color="auto"/>
          <w:color w:val="auto"/>
        </w:rPr>
        <w:t>E</w:t>
      </w:r>
      <w:r>
        <w:rPr>
          <w:rFonts w:ascii="Arial" w:cs="Arial" w:eastAsia="Arial" w:hAnsi="Arial"/>
          <w:sz w:val="15"/>
          <w:szCs w:val="15"/>
          <w:color w:val="auto"/>
        </w:rPr>
        <w:t xml:space="preserve">very 8 </w:t>
      </w:r>
      <w:r>
        <w:rPr>
          <w:rFonts w:ascii="Arial" w:cs="Arial" w:eastAsia="Arial" w:hAnsi="Arial"/>
          <w:sz w:val="15"/>
          <w:szCs w:val="15"/>
          <w:u w:val="single" w:color="auto"/>
          <w:color w:val="auto"/>
        </w:rPr>
        <w:t>W</w:t>
      </w:r>
      <w:r>
        <w:rPr>
          <w:rFonts w:ascii="Arial" w:cs="Arial" w:eastAsia="Arial" w:hAnsi="Arial"/>
          <w:sz w:val="15"/>
          <w:szCs w:val="15"/>
          <w:color w:val="auto"/>
        </w:rPr>
        <w:t>eeks over 2 years in wet AMD), will evaluate the effect of EYLEA on corneal endothelium and is expected to be initiated in the fourth quarter of 2012.</w:t>
      </w:r>
    </w:p>
    <w:p>
      <w:pPr>
        <w:spacing w:after="0" w:line="174" w:lineRule="exact"/>
        <w:rPr>
          <w:sz w:val="20"/>
          <w:szCs w:val="20"/>
          <w:color w:val="auto"/>
        </w:rPr>
      </w:pPr>
    </w:p>
    <w:p>
      <w:pPr>
        <w:jc w:val="both"/>
        <w:ind w:right="20" w:firstLine="266"/>
        <w:spacing w:after="0" w:line="297" w:lineRule="auto"/>
        <w:rPr>
          <w:sz w:val="20"/>
          <w:szCs w:val="20"/>
          <w:color w:val="auto"/>
        </w:rPr>
      </w:pPr>
      <w:r>
        <w:rPr>
          <w:rFonts w:ascii="Arial" w:cs="Arial" w:eastAsia="Arial" w:hAnsi="Arial"/>
          <w:sz w:val="14"/>
          <w:szCs w:val="14"/>
          <w:color w:val="auto"/>
        </w:rPr>
        <w:t>In November 2011, we submitted a supplemental Biologics License Application (sBLA) for U.S. regulatory approval of EYLEA in CRVO based on the positive results in the Phase 3 COPERNICUS and GALILEO studies. Under the Prescription Drug User Fee Act (PDUFA), we were granted a target date for an FDA decision on our EYLEA supplemental BLA of September 23, 2012. Bayer HealthCare plans to submit regulatory applications in this indication in Europe in late 2012 or early 2013 and in Japan during the second half of 2012.</w:t>
      </w:r>
    </w:p>
    <w:p>
      <w:pPr>
        <w:spacing w:after="0" w:line="165" w:lineRule="exact"/>
        <w:rPr>
          <w:sz w:val="20"/>
          <w:szCs w:val="20"/>
          <w:color w:val="auto"/>
        </w:rPr>
      </w:pPr>
    </w:p>
    <w:p>
      <w:pPr>
        <w:jc w:val="both"/>
        <w:ind w:right="20" w:firstLine="254"/>
        <w:spacing w:after="0" w:line="265" w:lineRule="auto"/>
        <w:rPr>
          <w:sz w:val="20"/>
          <w:szCs w:val="20"/>
          <w:color w:val="auto"/>
        </w:rPr>
      </w:pPr>
      <w:r>
        <w:rPr>
          <w:rFonts w:ascii="Arial" w:cs="Arial" w:eastAsia="Arial" w:hAnsi="Arial"/>
          <w:sz w:val="15"/>
          <w:szCs w:val="15"/>
          <w:color w:val="auto"/>
        </w:rPr>
        <w:t>In the second quarter of 2011, we and Bayer HealthCare initiated Phase 3 studies to evaluate the safety and efficacy of EYLEA in DME. We are conducting one of these studies, called VISTA-DME, in the United States. Bayer HealthCare is conducting the second study, named VIVID-DME in Europe, Japan, and Australia. The VISTA-DME trial was fully enrolled in early 2012. An additional Phase 3 safety study in Japan was initiated in the first quarter of 2012 by Bayer HealthCare (VIVID-Japan). This study anticipates the enrollment of approximately 65 patients and is required for approval in Japan.</w:t>
      </w:r>
    </w:p>
    <w:p>
      <w:pPr>
        <w:spacing w:after="0" w:line="186" w:lineRule="exact"/>
        <w:rPr>
          <w:sz w:val="20"/>
          <w:szCs w:val="20"/>
          <w:color w:val="auto"/>
        </w:rPr>
      </w:pPr>
    </w:p>
    <w:p>
      <w:pPr>
        <w:jc w:val="both"/>
        <w:ind w:firstLine="266"/>
        <w:spacing w:after="0" w:line="318" w:lineRule="auto"/>
        <w:rPr>
          <w:sz w:val="20"/>
          <w:szCs w:val="20"/>
          <w:color w:val="auto"/>
        </w:rPr>
      </w:pPr>
      <w:r>
        <w:rPr>
          <w:rFonts w:ascii="Arial" w:cs="Arial" w:eastAsia="Arial" w:hAnsi="Arial"/>
          <w:sz w:val="14"/>
          <w:szCs w:val="14"/>
          <w:color w:val="auto"/>
        </w:rPr>
        <w:t>In the first quarter of 2011, we and Bayer HealthCare initiated a Phase 3 trial in Asia in collaboration with the Singapore Eye Research Institute (SERI) investigating the efficacy and safety of EYLEA in patients with CNV of the retina as a result of pathologic myopia. The study, which will enroll approximately 110 patients, has started in Japan.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60" w:right="219" w:bottom="1440" w:gutter="0" w:footer="0" w:header="0"/>
        </w:sectPr>
      </w:pPr>
    </w:p>
    <w:bookmarkStart w:id="18" w:name="page19"/>
    <w:bookmarkEnd w:id="18"/>
    <w:p>
      <w:pPr>
        <w:jc w:val="both"/>
        <w:ind w:right="20" w:firstLine="243"/>
        <w:spacing w:after="0" w:line="318" w:lineRule="auto"/>
        <w:rPr>
          <w:sz w:val="20"/>
          <w:szCs w:val="20"/>
          <w:color w:val="auto"/>
        </w:rPr>
      </w:pPr>
      <w:r>
        <w:rPr>
          <w:rFonts w:ascii="Arial" w:cs="Arial" w:eastAsia="Arial" w:hAnsi="Arial"/>
          <w:sz w:val="14"/>
          <w:szCs w:val="14"/>
          <w:color w:val="auto"/>
        </w:rPr>
        <w:t>In the fourth quarter of 2011, we and Bayer HealthCare initiated a Phase 3 trial, known as SIGHT, evaluating the efficacy and safety of EYLEA in neovascular wet AMD in China. The trial is expected to include approximately 300 patients and will be the largest retinal trial conducted in China. The SIGHT trial is being led by Bayer HealthCare.</w:t>
      </w:r>
    </w:p>
    <w:p>
      <w:pPr>
        <w:spacing w:after="0" w:line="163" w:lineRule="exact"/>
        <w:rPr>
          <w:sz w:val="20"/>
          <w:szCs w:val="20"/>
          <w:color w:val="auto"/>
        </w:rPr>
      </w:pPr>
    </w:p>
    <w:p>
      <w:pPr>
        <w:jc w:val="both"/>
        <w:ind w:firstLine="266"/>
        <w:spacing w:after="0" w:line="269" w:lineRule="auto"/>
        <w:rPr>
          <w:sz w:val="20"/>
          <w:szCs w:val="20"/>
          <w:color w:val="auto"/>
        </w:rPr>
      </w:pPr>
      <w:r>
        <w:rPr>
          <w:rFonts w:ascii="Arial" w:cs="Arial" w:eastAsia="Arial" w:hAnsi="Arial"/>
          <w:sz w:val="15"/>
          <w:szCs w:val="15"/>
          <w:color w:val="auto"/>
        </w:rPr>
        <w:t>We recently initiated a multinational study of EYLEA in patients with BRVO (VIBRANT). Patients will be treated with six monthly intravitreal injections of either EYLEA 2.0 mg or sham injections. The primary endpoint of the VIBRANT study is improvement in visual acuity versus baseline after six months of treatment as measured by the Early Treatment Diabetic Retinopathy Study (ETDRS) eye chart.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Collaboration with Bayer HealthCare</w:t>
      </w:r>
    </w:p>
    <w:p>
      <w:pPr>
        <w:spacing w:after="0" w:line="225" w:lineRule="exact"/>
        <w:rPr>
          <w:sz w:val="20"/>
          <w:szCs w:val="20"/>
          <w:color w:val="auto"/>
        </w:rPr>
      </w:pPr>
    </w:p>
    <w:p>
      <w:pPr>
        <w:jc w:val="both"/>
        <w:ind w:firstLine="254"/>
        <w:spacing w:after="0" w:line="260" w:lineRule="auto"/>
        <w:rPr>
          <w:sz w:val="20"/>
          <w:szCs w:val="20"/>
          <w:color w:val="auto"/>
        </w:rPr>
      </w:pPr>
      <w:r>
        <w:rPr>
          <w:rFonts w:ascii="Arial" w:cs="Arial" w:eastAsia="Arial" w:hAnsi="Arial"/>
          <w:sz w:val="15"/>
          <w:szCs w:val="15"/>
          <w:color w:val="auto"/>
        </w:rPr>
        <w:t>In October 2006, we entered into a license and collaboration agreement with Bayer HealthCare for the global development and commercialization outside the United States of EYLEA. Under the agreement, we and Bayer HealthCare collaborate on, and share the costs of, the development of EYLEA through an integrated global plan. Bayer HealthCare will market EYLEA outside the United States, where the companies will share equally in profits from any future sales of EYLEA. Commencing on the first commercial sale of EYLEA in a major market country outside the United States, we will be obligated to reimburse Bayer HealthCare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HealthCare at a faster rate. Within the United States, we retain exclusive commercialization rights to EYLEA and are entitled to all profits from any such sales. We have received $60 million in development milestone payments and can earn up to $50 million in future milestone payments related to marketing approvals of EYLEA in major market countries outside the United States. We can also earn up to $135 million in sales milestone payments if total annual sales of EYLEA outside the United States achieve certain specified levels starting at $200 million.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 ZALTRAP (aflibercept) also known as VEGF Trap – Oncology</w:t>
      </w:r>
    </w:p>
    <w:p>
      <w:pPr>
        <w:spacing w:after="0" w:line="221" w:lineRule="exact"/>
        <w:rPr>
          <w:sz w:val="20"/>
          <w:szCs w:val="20"/>
          <w:color w:val="auto"/>
        </w:rPr>
      </w:pPr>
    </w:p>
    <w:p>
      <w:pPr>
        <w:jc w:val="both"/>
        <w:ind w:right="20" w:firstLine="289"/>
        <w:spacing w:after="0" w:line="281" w:lineRule="auto"/>
        <w:rPr>
          <w:sz w:val="20"/>
          <w:szCs w:val="20"/>
          <w:color w:val="auto"/>
        </w:rPr>
      </w:pPr>
      <w:r>
        <w:rPr>
          <w:rFonts w:ascii="Arial" w:cs="Arial" w:eastAsia="Arial" w:hAnsi="Arial"/>
          <w:sz w:val="15"/>
          <w:szCs w:val="15"/>
          <w:color w:val="auto"/>
        </w:rPr>
        <w:t>ZALTRAP is a fusion protein that is designed to bind all forms of VEGF-A, VEGF-B, and PlGF, and prevent their interaction with cell surface receptors. VEGF-A (and to a lesser degree, PlGF) is required for the growth of new blood vessels (a process known as angiogenesis) that are needed for tumors to grow.</w:t>
      </w:r>
    </w:p>
    <w:p>
      <w:pPr>
        <w:spacing w:after="0" w:line="174" w:lineRule="exact"/>
        <w:rPr>
          <w:sz w:val="20"/>
          <w:szCs w:val="20"/>
          <w:color w:val="auto"/>
        </w:rPr>
      </w:pPr>
    </w:p>
    <w:p>
      <w:pPr>
        <w:jc w:val="both"/>
        <w:ind w:firstLine="231"/>
        <w:spacing w:after="0" w:line="286" w:lineRule="auto"/>
        <w:rPr>
          <w:sz w:val="20"/>
          <w:szCs w:val="20"/>
          <w:color w:val="auto"/>
        </w:rPr>
      </w:pPr>
      <w:r>
        <w:rPr>
          <w:rFonts w:ascii="Arial" w:cs="Arial" w:eastAsia="Arial" w:hAnsi="Arial"/>
          <w:sz w:val="14"/>
          <w:szCs w:val="14"/>
          <w:color w:val="auto"/>
        </w:rPr>
        <w:t>ZALTRAP is being developed globally in cancer indications in collaboration with Sanofi. In April 2011, we and Sanofi announced that the Phase 3 VELOUR trial evaluating ZALTRAP in combination with the FOLFIRI chemotherapy regimen [folinic acid (leucovorin), 5-fluorouracil, and irinotecan] versus a regimen of FOLFIRI plus placebo met its primary endpoint of improving overall survival (OS) in previously treated metastatic colorectal cancer (mCRC) patients. Based upon the positive VELOUR data, Sanofi submitted regulatory applications for marketing approval of ZALTRAP for the treatment of previously-treated mCRC patients to the European Medicines Agency (EMA) in December 2011 and to the FDA in February 2012. Under PDUFA, we were granted Priority Review of the BLA for ZALTRAP with a target date for an FDA decision of August 4, 2012.</w:t>
      </w:r>
    </w:p>
    <w:p>
      <w:pPr>
        <w:spacing w:after="0" w:line="185" w:lineRule="exact"/>
        <w:rPr>
          <w:sz w:val="20"/>
          <w:szCs w:val="20"/>
          <w:color w:val="auto"/>
        </w:rPr>
      </w:pPr>
    </w:p>
    <w:p>
      <w:pPr>
        <w:jc w:val="both"/>
        <w:ind w:firstLine="312"/>
        <w:spacing w:after="0" w:line="269" w:lineRule="auto"/>
        <w:rPr>
          <w:sz w:val="20"/>
          <w:szCs w:val="20"/>
          <w:color w:val="auto"/>
        </w:rPr>
      </w:pPr>
      <w:r>
        <w:rPr>
          <w:rFonts w:ascii="Arial" w:cs="Arial" w:eastAsia="Arial" w:hAnsi="Arial"/>
          <w:sz w:val="15"/>
          <w:szCs w:val="15"/>
          <w:color w:val="auto"/>
        </w:rPr>
        <w:t>Another randomized, double-blind Phase 3 trial (VENICE), evaluated ZALTRAP as a first-line treatment for metastatic androgen-independent prostate cancer in combination with docetaxel/prednisone. We and Sanofi recently announced that the results from the Phase 3 VENICE trial did not meet the pre-specified criterion of improvement in overall survival. The safety profile was generally consistent with previous studies of ZALTRAP in combination with docetaxel.</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ZALTRAP Collaboration with Sanofi</w:t>
      </w:r>
    </w:p>
    <w:p>
      <w:pPr>
        <w:spacing w:after="0" w:line="225" w:lineRule="exact"/>
        <w:rPr>
          <w:sz w:val="20"/>
          <w:szCs w:val="20"/>
          <w:color w:val="auto"/>
        </w:rPr>
      </w:pPr>
    </w:p>
    <w:p>
      <w:pPr>
        <w:jc w:val="both"/>
        <w:ind w:firstLine="289"/>
        <w:spacing w:after="0" w:line="286" w:lineRule="auto"/>
        <w:rPr>
          <w:sz w:val="20"/>
          <w:szCs w:val="20"/>
          <w:color w:val="auto"/>
        </w:rPr>
      </w:pPr>
      <w:r>
        <w:rPr>
          <w:rFonts w:ascii="Arial" w:cs="Arial" w:eastAsia="Arial" w:hAnsi="Arial"/>
          <w:sz w:val="14"/>
          <w:szCs w:val="14"/>
          <w:color w:val="auto"/>
        </w:rPr>
        <w:t>We and Sanofi globally collaborate on the development and commercialization of ZALTRAP. Under the terms of our September 2003 collaboration agreement, as amended, we and Sanofi will share co-promotion rights and profits on sales, if any, of ZALTRAP outside of Japan for disease indications included in our collaboration. In Japan, we are entitled to a royalty of approximately 35% on annual sales of ZALTRAP, subject to certain potential adjustments. We may also receive up to $400 million in milestone payments upon receipt of specified marketing approvals, including up to $360 million related to the receipt of marketing approvals for up to eight ZALTRAP oncology and other indications in the United States or the European Union and up to $40 million related to the receipt of marketing approvals for up to five oncology indications in Japan.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19" w:name="page20"/>
    <w:bookmarkEnd w:id="19"/>
    <w:p>
      <w:pPr>
        <w:jc w:val="both"/>
        <w:ind w:firstLine="281"/>
        <w:spacing w:after="0" w:line="324" w:lineRule="auto"/>
        <w:rPr>
          <w:sz w:val="20"/>
          <w:szCs w:val="20"/>
          <w:color w:val="auto"/>
        </w:rPr>
      </w:pPr>
      <w:r>
        <w:rPr>
          <w:rFonts w:ascii="Arial" w:cs="Arial" w:eastAsia="Arial" w:hAnsi="Arial"/>
          <w:sz w:val="13"/>
          <w:szCs w:val="13"/>
          <w:color w:val="auto"/>
        </w:rPr>
        <w:t>Under the ZALTRAP collaboration agreement, as amended, agreed upon worldwide development expenses incurred by both companies during the term of the agreement will be funded by Sanofi. If the collaboration becomes profitable, we will be obligated to reimburse Sanofi out of our share of ZALTRAP profits for 50% of the development expenses that they funded. The</w:t>
      </w:r>
    </w:p>
    <w:p>
      <w:pPr>
        <w:spacing w:after="0" w:line="1"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reimbursement payment in any quarter will equal 5% of the then outstanding repayment obligation, but never more than our share of the ZALTRAP profits in the quarter unless we elect to reimburse Sanofi at a faster rate.</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3. ARCALYST (rilonacept) – Inflammatory Diseases</w:t>
      </w:r>
    </w:p>
    <w:p>
      <w:pPr>
        <w:spacing w:after="0" w:line="221" w:lineRule="exact"/>
        <w:rPr>
          <w:sz w:val="20"/>
          <w:szCs w:val="20"/>
          <w:color w:val="auto"/>
        </w:rPr>
      </w:pPr>
    </w:p>
    <w:p>
      <w:pPr>
        <w:jc w:val="both"/>
        <w:ind w:firstLine="254"/>
        <w:spacing w:after="0" w:line="262" w:lineRule="auto"/>
        <w:rPr>
          <w:sz w:val="20"/>
          <w:szCs w:val="20"/>
          <w:color w:val="auto"/>
        </w:rPr>
      </w:pPr>
      <w:r>
        <w:rPr>
          <w:rFonts w:ascii="Arial" w:cs="Arial" w:eastAsia="Arial" w:hAnsi="Arial"/>
          <w:sz w:val="15"/>
          <w:szCs w:val="15"/>
          <w:color w:val="auto"/>
        </w:rPr>
        <w:t>ARCALYST is being developed for the prevention of gout flares in patients initiating uric acid-lowering therapy. Gout, a disease in which IL-1 may play an important role in pain and inflammation, is a very painful and common form of arthritis that results from high levels of uric acid, a bodily waste product normally excreted by the kidneys. The elevated uric acid can lead to formation of urate crystals in the joints of the toes, ankles, knees, wrists, fingers, and elbows. Uric acid-lowering therapy, most commonly allopurinol, is prescribed to eliminate the urate crystals and prevent them from reforming. Paradoxically, the initiation of uric acid-lowering therapy often triggers an increase in the frequency of gout attacks in the first several months of treatment, which may lead to discontinuation of therapy. The break-up of urate crystals can result in stimulation of inflammatory mediators, including IL-1, resulting in acute flares of joint pain and inflammation. These painful flares generally persist for at least five days.</w:t>
      </w:r>
    </w:p>
    <w:p>
      <w:pPr>
        <w:spacing w:after="0" w:line="188" w:lineRule="exact"/>
        <w:rPr>
          <w:sz w:val="20"/>
          <w:szCs w:val="20"/>
          <w:color w:val="auto"/>
        </w:rPr>
      </w:pPr>
    </w:p>
    <w:p>
      <w:pPr>
        <w:jc w:val="both"/>
        <w:ind w:firstLine="254"/>
        <w:spacing w:after="0" w:line="315" w:lineRule="auto"/>
        <w:rPr>
          <w:sz w:val="20"/>
          <w:szCs w:val="20"/>
          <w:color w:val="auto"/>
        </w:rPr>
      </w:pPr>
      <w:r>
        <w:rPr>
          <w:rFonts w:ascii="Arial" w:cs="Arial" w:eastAsia="Arial" w:hAnsi="Arial"/>
          <w:sz w:val="13"/>
          <w:szCs w:val="13"/>
          <w:color w:val="auto"/>
        </w:rPr>
        <w:t>We conducted a Phase 3 clinical development program with ARCALYST in gout patients initiating uric acid-lowering therapy. The program consisted of three studies: PRE-SURGE 1, PRE-SURGE 2, and RE-SURGE. Based on the positive results of these studies, we submitted a supplemental BLA for U.S. regulatory approval of ARCALYST for the prevention of gout flares in patients initiating uric acid-lowering therapy. In November 2011, the FDA accepted for review our supplemental BLA. Under PDUFA, we were granted a target date for an FDA</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decision on the ARCALYST supplemental BLA of July 30, 2012. The FDA will hold an advisory committee meeting to discuss the ARCALYST BLA on May 8, 2012.</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also initiated a long-term safety study in this setting, known as UPSURGE, during the fourth quarter of 2011. We own worldwide rights to ARCALYST.</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4. Sarilumab (REGN88; IL-6R Antibody) for inflammatory diseases</w:t>
      </w:r>
    </w:p>
    <w:p>
      <w:pPr>
        <w:spacing w:after="0" w:line="199" w:lineRule="exact"/>
        <w:rPr>
          <w:sz w:val="20"/>
          <w:szCs w:val="20"/>
          <w:color w:val="auto"/>
        </w:rPr>
      </w:pPr>
    </w:p>
    <w:p>
      <w:pPr>
        <w:jc w:val="both"/>
        <w:ind w:firstLine="254"/>
        <w:spacing w:after="0" w:line="213" w:lineRule="auto"/>
        <w:rPr>
          <w:sz w:val="20"/>
          <w:szCs w:val="20"/>
          <w:color w:val="auto"/>
        </w:rPr>
      </w:pPr>
      <w:r>
        <w:rPr>
          <w:rFonts w:ascii="Arial" w:cs="Arial" w:eastAsia="Arial" w:hAnsi="Arial"/>
          <w:sz w:val="15"/>
          <w:szCs w:val="15"/>
          <w:color w:val="auto"/>
        </w:rPr>
        <w:t>IL-6 is a key cytokine involved in the pathogenesis of rheumatoid arthritis, causing inflammation and joint destruction. A therapeutic antibody to IL-6R, ACTEMRA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(tocilizumab), a registered trademark of Chugai Seiyaku Kabushiki Kaisha, has been approved for the treatment of rheumatoid arthritis.</w:t>
      </w:r>
    </w:p>
    <w:p>
      <w:pPr>
        <w:spacing w:after="0" w:line="215" w:lineRule="exact"/>
        <w:rPr>
          <w:sz w:val="20"/>
          <w:szCs w:val="20"/>
          <w:color w:val="auto"/>
        </w:rPr>
      </w:pPr>
    </w:p>
    <w:p>
      <w:pPr>
        <w:jc w:val="both"/>
        <w:ind w:firstLine="312"/>
        <w:spacing w:after="0" w:line="286" w:lineRule="auto"/>
        <w:rPr>
          <w:sz w:val="20"/>
          <w:szCs w:val="20"/>
          <w:color w:val="auto"/>
        </w:rPr>
      </w:pPr>
      <w:r>
        <w:rPr>
          <w:rFonts w:ascii="Arial" w:cs="Arial" w:eastAsia="Arial" w:hAnsi="Arial"/>
          <w:sz w:val="14"/>
          <w:szCs w:val="14"/>
          <w:color w:val="auto"/>
        </w:rPr>
        <w:t xml:space="preserve">Sarilumab is a fully human monoclonal antibody to IL-6R generated using our </w:t>
      </w:r>
      <w:r>
        <w:rPr>
          <w:rFonts w:ascii="Arial" w:cs="Arial" w:eastAsia="Arial" w:hAnsi="Arial"/>
          <w:sz w:val="14"/>
          <w:szCs w:val="14"/>
          <w:i w:val="1"/>
          <w:iCs w:val="1"/>
          <w:color w:val="auto"/>
        </w:rPr>
        <w:t>VelocImmune</w:t>
      </w:r>
      <w:r>
        <w:rPr>
          <w:rFonts w:ascii="Arial" w:cs="Arial" w:eastAsia="Arial" w:hAnsi="Arial"/>
          <w:sz w:val="14"/>
          <w:szCs w:val="14"/>
          <w:color w:val="auto"/>
        </w:rPr>
        <w:t xml:space="preserve"> technology. In July 2011, we and Sanofi announced that in the Phase 2b stage of the MOBILITY trial in rheumatoid arthritis, patients treated with sarilumab in combination with a standard RA treatment, methotrexate (MTX), achieved a significant and clinically meaningful improvement in signs and symptoms of moderate-to-severe RA compared to patients treated with MTX alone. The primary endpoint of the study was the proportion of patients achieving at least a 20% improvement in RA symptoms (ACR20) after 12 weeks. During the third quarter of 2011, we and Sanofi initiated the Phase 3 stage of the Phase 2/3 MOBILITY study in patients with rheumatoid arthritis. In addition, we and Sanofi plan to initiate additional Phase 3 studies of sarilumab in the second half of 2012.</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5. REGN727 (PCSK9 Antibody) for LDL cholesterol reduction</w:t>
      </w:r>
    </w:p>
    <w:p>
      <w:pPr>
        <w:spacing w:after="0" w:line="221" w:lineRule="exact"/>
        <w:rPr>
          <w:sz w:val="20"/>
          <w:szCs w:val="20"/>
          <w:color w:val="auto"/>
        </w:rPr>
      </w:pPr>
    </w:p>
    <w:p>
      <w:pPr>
        <w:jc w:val="both"/>
        <w:ind w:firstLine="231"/>
        <w:spacing w:after="0" w:line="286" w:lineRule="auto"/>
        <w:rPr>
          <w:sz w:val="20"/>
          <w:szCs w:val="20"/>
          <w:color w:val="auto"/>
        </w:rPr>
      </w:pPr>
      <w:r>
        <w:rPr>
          <w:rFonts w:ascii="Arial" w:cs="Arial" w:eastAsia="Arial" w:hAnsi="Arial"/>
          <w:sz w:val="14"/>
          <w:szCs w:val="14"/>
          <w:color w:val="auto"/>
        </w:rPr>
        <w:t xml:space="preserve">Elevated LDL cholesterol (“bad cholesterol”) level is a validated risk factor leading to cardiovascular disease. Statins are a class of drugs that lower LDL cholesterol by up regulating the expression of the LDL receptor (LDLR), which removes LDL from circulation. PCSK9 is a naturally occurring secreted protein that also modulates LDL cholesterol levels through its interaction with the LDL receptor. In a landmark study published in the </w:t>
      </w:r>
      <w:r>
        <w:rPr>
          <w:rFonts w:ascii="Arial" w:cs="Arial" w:eastAsia="Arial" w:hAnsi="Arial"/>
          <w:sz w:val="14"/>
          <w:szCs w:val="14"/>
          <w:i w:val="1"/>
          <w:iCs w:val="1"/>
          <w:color w:val="auto"/>
        </w:rPr>
        <w:t>New England Journal of Medicine</w:t>
      </w:r>
      <w:r>
        <w:rPr>
          <w:rFonts w:ascii="Arial" w:cs="Arial" w:eastAsia="Arial" w:hAnsi="Arial"/>
          <w:sz w:val="14"/>
          <w:szCs w:val="14"/>
          <w:color w:val="auto"/>
        </w:rPr>
        <w:t xml:space="preserve"> in March 2006, patients with lower than normal PCSK9 levels due to a genetic abnormality not only had significantly lower levels of LDL cholesterol, but also a significant reduction in the risk of coronary heart disease. We used our </w:t>
      </w:r>
      <w:r>
        <w:rPr>
          <w:rFonts w:ascii="Arial" w:cs="Arial" w:eastAsia="Arial" w:hAnsi="Arial"/>
          <w:sz w:val="14"/>
          <w:szCs w:val="14"/>
          <w:i w:val="1"/>
          <w:iCs w:val="1"/>
          <w:color w:val="auto"/>
        </w:rPr>
        <w:t>VelocImmune</w:t>
      </w:r>
      <w:r>
        <w:rPr>
          <w:rFonts w:ascii="Arial" w:cs="Arial" w:eastAsia="Arial" w:hAnsi="Arial"/>
          <w:sz w:val="14"/>
          <w:szCs w:val="14"/>
          <w:color w:val="auto"/>
        </w:rPr>
        <w:t xml:space="preserve"> technology to generate a fully human monoclonal antibody inhibitor of PCSK9, called REGN727, that is intended to lower LDL cholesterol.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60" w:right="219" w:bottom="1440" w:gutter="0" w:footer="0" w:header="0"/>
        </w:sectPr>
      </w:pPr>
    </w:p>
    <w:bookmarkStart w:id="20" w:name="page21"/>
    <w:bookmarkEnd w:id="20"/>
    <w:p>
      <w:pPr>
        <w:jc w:val="both"/>
        <w:ind w:firstLine="254"/>
        <w:spacing w:after="0" w:line="262" w:lineRule="auto"/>
        <w:rPr>
          <w:sz w:val="20"/>
          <w:szCs w:val="20"/>
          <w:color w:val="auto"/>
        </w:rPr>
      </w:pPr>
      <w:r>
        <w:rPr>
          <w:rFonts w:ascii="Arial" w:cs="Arial" w:eastAsia="Arial" w:hAnsi="Arial"/>
          <w:sz w:val="15"/>
          <w:szCs w:val="15"/>
          <w:color w:val="auto"/>
        </w:rPr>
        <w:t xml:space="preserve">In March, data from the Phase 1 program were published in the </w:t>
      </w:r>
      <w:r>
        <w:rPr>
          <w:rFonts w:ascii="Arial" w:cs="Arial" w:eastAsia="Arial" w:hAnsi="Arial"/>
          <w:sz w:val="15"/>
          <w:szCs w:val="15"/>
          <w:i w:val="1"/>
          <w:iCs w:val="1"/>
          <w:color w:val="auto"/>
        </w:rPr>
        <w:t>New England Journal of Medicine</w:t>
      </w:r>
      <w:r>
        <w:rPr>
          <w:rFonts w:ascii="Arial" w:cs="Arial" w:eastAsia="Arial" w:hAnsi="Arial"/>
          <w:sz w:val="15"/>
          <w:szCs w:val="15"/>
          <w:color w:val="auto"/>
        </w:rPr>
        <w:t>. In addition, data from two Phase 2 trials were presented at the American College of Cardiology Annual Meeting, one of which was also published online in the Journal of the American College of Cardiology. The trial presented at a late-breaking clinical trials session and published on-line, “Study DFI11565,” was a Phase 2 dose-finding clinical trial, and enrolled 183 patients with elevated LDL-C (greater than or equal to 100 mg/dL) despite being on a stable dose of atorvastatin. The objective of the study was to evaluate the effect of adding REGN727 to existing statin therapy. Across the five different dose regimens tested, patients receiving REGN727 for 12 weeks achieved and sustained a mean LDL-C reduction from baseline of 40% to 72%, compared to 5% in patients receiving placebo (p&lt;0.0001). Patients in the study were followed for a total of 20 weeks for safety.</w:t>
      </w:r>
    </w:p>
    <w:p>
      <w:pPr>
        <w:spacing w:after="0" w:line="188" w:lineRule="exact"/>
        <w:rPr>
          <w:sz w:val="20"/>
          <w:szCs w:val="20"/>
          <w:color w:val="auto"/>
        </w:rPr>
      </w:pPr>
    </w:p>
    <w:p>
      <w:pPr>
        <w:jc w:val="both"/>
        <w:ind w:firstLine="266"/>
        <w:spacing w:after="0" w:line="329" w:lineRule="auto"/>
        <w:rPr>
          <w:sz w:val="20"/>
          <w:szCs w:val="20"/>
          <w:color w:val="auto"/>
        </w:rPr>
      </w:pPr>
      <w:r>
        <w:rPr>
          <w:rFonts w:ascii="Arial" w:cs="Arial" w:eastAsia="Arial" w:hAnsi="Arial"/>
          <w:sz w:val="13"/>
          <w:szCs w:val="13"/>
          <w:color w:val="auto"/>
        </w:rPr>
        <w:t>The most common adverse events (AEs) with REGN727 were injection site reactions. Serious AEs occurred in one patient receiving placebo and three patients in the active treatment arms, including a patient on active treatment who experienced a skin rash diagnosed as leukocytoclastic vasculitis. Six patients, all on active treatment, prematurely discontinued therapy due to AEs. Muscle complaints were infrequent and similar across all treatment groups. There were no significant elevations in liver enzymes or other lab values in patients on active treatment.</w:t>
      </w:r>
    </w:p>
    <w:p>
      <w:pPr>
        <w:spacing w:after="0" w:line="148" w:lineRule="exact"/>
        <w:rPr>
          <w:sz w:val="20"/>
          <w:szCs w:val="20"/>
          <w:color w:val="auto"/>
        </w:rPr>
      </w:pPr>
    </w:p>
    <w:p>
      <w:pPr>
        <w:jc w:val="both"/>
        <w:ind w:firstLine="266"/>
        <w:spacing w:after="0" w:line="261" w:lineRule="auto"/>
        <w:rPr>
          <w:sz w:val="20"/>
          <w:szCs w:val="20"/>
          <w:color w:val="auto"/>
        </w:rPr>
      </w:pPr>
      <w:r>
        <w:rPr>
          <w:rFonts w:ascii="Arial" w:cs="Arial" w:eastAsia="Arial" w:hAnsi="Arial"/>
          <w:sz w:val="15"/>
          <w:szCs w:val="15"/>
          <w:color w:val="auto"/>
        </w:rPr>
        <w:t>Data from a second trial, “Study DFI11566,” were also presented at an oral session of the ACC meeting. The study enrolled patients with primary hypercholesterolemia with elevated LDL-C (greater than or equal to 100 mg/dL) who were on a stable low dose of atorvastatin (10 mg). The primary objective of the study was to compare the effect on LDL-C lowering of switching to a high dose of atorvastatin alone (80 mg) versus a high dose of atorvastatin combined with REGN727. Patients who received REGN727 plus atorvastatin 80 mg achieved a mean reduction of 73% in LDL-C, compared to a mean reduction of 17% for patients who switched to atorvastatin 80 mg alone (p&lt;0.001) after eight weeks. The study also included a third arm in which REGN727 was added to the stable low dose of atorvastatin. Patients in this arm achieved a 66% reduction in mean LDL-C. Patients in the study were followed for a total of 16 weeks for safety. In this trial, the most common AE with REGN727 was infection. There was one serious AE in the REGN727 plus atorvastatin 80 mg group (dehydration) that was deemed not to be treatment-related.</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Data from a third Phase 2 trial will be presented at the European Atherosclerosis Society Congress in May 2012.</w:t>
      </w:r>
    </w:p>
    <w:p>
      <w:pPr>
        <w:spacing w:after="0" w:line="221" w:lineRule="exact"/>
        <w:rPr>
          <w:sz w:val="20"/>
          <w:szCs w:val="20"/>
          <w:color w:val="auto"/>
        </w:rPr>
      </w:pPr>
    </w:p>
    <w:p>
      <w:pPr>
        <w:jc w:val="both"/>
        <w:ind w:right="20" w:firstLine="301"/>
        <w:spacing w:after="0" w:line="281" w:lineRule="auto"/>
        <w:rPr>
          <w:sz w:val="20"/>
          <w:szCs w:val="20"/>
          <w:color w:val="auto"/>
        </w:rPr>
      </w:pPr>
      <w:r>
        <w:rPr>
          <w:rFonts w:ascii="Arial" w:cs="Arial" w:eastAsia="Arial" w:hAnsi="Arial"/>
          <w:sz w:val="15"/>
          <w:szCs w:val="15"/>
          <w:color w:val="auto"/>
        </w:rPr>
        <w:t>A long-term safety and tolerability study of REGN727 (NCT01507831) is ongoing in patients with hypercholesterolemia who are not adequately controlled with their current lipid-modifying therapy. We intend to initiate Phase 3 clinical studies for REGN727 in the second quarter of 2012.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6. REGN668 (IL-4R Antibody) for allergic and immune conditions</w:t>
      </w:r>
    </w:p>
    <w:p>
      <w:pPr>
        <w:spacing w:after="0" w:line="22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5"/>
          <w:szCs w:val="15"/>
          <w:color w:val="auto"/>
        </w:rPr>
        <w:t>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asthma and atopic dermatitis.</w:t>
      </w:r>
    </w:p>
    <w:p>
      <w:pPr>
        <w:spacing w:after="0" w:line="186"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5"/>
          <w:szCs w:val="15"/>
          <w:color w:val="auto"/>
        </w:rPr>
        <w:t xml:space="preserve">REGN668 is a fully human monoclonal antibody generated using our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that is designed to bind to IL-4R. REGN668 is in a Phase 1b study in patients with atopic dermatitis and a Phase 2 study in eosinophilic asthma.</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7. REGN421 (Dll4 Antibody) for advanced malignancies</w:t>
      </w:r>
    </w:p>
    <w:p>
      <w:pPr>
        <w:spacing w:after="0" w:line="221" w:lineRule="exact"/>
        <w:rPr>
          <w:sz w:val="20"/>
          <w:szCs w:val="20"/>
          <w:color w:val="auto"/>
        </w:rPr>
      </w:pPr>
    </w:p>
    <w:p>
      <w:pPr>
        <w:jc w:val="both"/>
        <w:ind w:firstLine="243"/>
        <w:spacing w:after="0" w:line="313" w:lineRule="auto"/>
        <w:rPr>
          <w:sz w:val="20"/>
          <w:szCs w:val="20"/>
          <w:color w:val="auto"/>
        </w:rPr>
      </w:pPr>
      <w:r>
        <w:rPr>
          <w:rFonts w:ascii="Arial" w:cs="Arial" w:eastAsia="Arial" w:hAnsi="Arial"/>
          <w:sz w:val="13"/>
          <w:szCs w:val="13"/>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3"/>
          <w:szCs w:val="13"/>
          <w:i w:val="1"/>
          <w:iCs w:val="1"/>
          <w:color w:val="auto"/>
        </w:rPr>
        <w:t>Nature</w:t>
      </w:r>
      <w:r>
        <w:rPr>
          <w:rFonts w:ascii="Arial" w:cs="Arial" w:eastAsia="Arial" w:hAnsi="Arial"/>
          <w:sz w:val="13"/>
          <w:szCs w:val="13"/>
          <w:color w:val="auto"/>
        </w:rPr>
        <w:t>, we reported data from a preclinical study demonstrating that blocking an important cell signaling molecule, known as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21" w:name="page22"/>
    <w:bookmarkEnd w:id="21"/>
    <w:p>
      <w:pPr>
        <w:ind w:left="228"/>
        <w:spacing w:after="0"/>
        <w:rPr>
          <w:sz w:val="20"/>
          <w:szCs w:val="20"/>
          <w:color w:val="auto"/>
        </w:rPr>
      </w:pPr>
      <w:r>
        <w:rPr>
          <w:rFonts w:ascii="Arial" w:cs="Arial" w:eastAsia="Arial" w:hAnsi="Arial"/>
          <w:sz w:val="15"/>
          <w:szCs w:val="15"/>
          <w:color w:val="auto"/>
        </w:rPr>
        <w:t xml:space="preserve">REGN421 is a fully human monoclonal antibody to Dll4 generated using our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and is in Phase 1 clinical development.</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8. REGN910 (ANG2 Antibody) for oncology</w:t>
      </w:r>
    </w:p>
    <w:p>
      <w:pPr>
        <w:spacing w:after="0" w:line="221" w:lineRule="exact"/>
        <w:rPr>
          <w:sz w:val="20"/>
          <w:szCs w:val="20"/>
          <w:color w:val="auto"/>
        </w:rPr>
      </w:pPr>
    </w:p>
    <w:p>
      <w:pPr>
        <w:ind w:left="8" w:firstLine="289"/>
        <w:spacing w:after="0" w:line="281" w:lineRule="auto"/>
        <w:rPr>
          <w:sz w:val="20"/>
          <w:szCs w:val="20"/>
          <w:color w:val="auto"/>
        </w:rPr>
      </w:pPr>
      <w:r>
        <w:rPr>
          <w:rFonts w:ascii="Arial" w:cs="Arial" w:eastAsia="Arial" w:hAnsi="Arial"/>
          <w:sz w:val="15"/>
          <w:szCs w:val="15"/>
          <w:color w:val="auto"/>
        </w:rPr>
        <w:t>The angiopoietins, which were discovered at Regeneron, are ligands for the endothelial cell receptor Tie2 and are essential for vascular development and angiogenesis. Unlike other family members, angiopoietin 2 (ANG2) is strongly upregulated by endothelial cells at sites of angiogenesis and vascular remodeling, including tumors.</w:t>
      </w:r>
    </w:p>
    <w:p>
      <w:pPr>
        <w:spacing w:after="0" w:line="174" w:lineRule="exact"/>
        <w:rPr>
          <w:sz w:val="20"/>
          <w:szCs w:val="20"/>
          <w:color w:val="auto"/>
        </w:rPr>
      </w:pPr>
    </w:p>
    <w:p>
      <w:pPr>
        <w:ind w:left="8" w:right="20" w:firstLine="324"/>
        <w:spacing w:after="0" w:line="281" w:lineRule="auto"/>
        <w:rPr>
          <w:sz w:val="20"/>
          <w:szCs w:val="20"/>
          <w:color w:val="auto"/>
        </w:rPr>
      </w:pPr>
      <w:r>
        <w:rPr>
          <w:rFonts w:ascii="Arial" w:cs="Arial" w:eastAsia="Arial" w:hAnsi="Arial"/>
          <w:sz w:val="15"/>
          <w:szCs w:val="15"/>
          <w:color w:val="auto"/>
        </w:rPr>
        <w:t xml:space="preserve">REGN910 is a fully human monoclonal antibody generated using our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that is designed to block ANG2. REGN910 is in Phase 1 clinical development in oncology.</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9. REGN728</w:t>
      </w:r>
    </w:p>
    <w:p>
      <w:pPr>
        <w:spacing w:after="0" w:line="232" w:lineRule="exact"/>
        <w:rPr>
          <w:sz w:val="20"/>
          <w:szCs w:val="20"/>
          <w:color w:val="auto"/>
        </w:rPr>
      </w:pPr>
    </w:p>
    <w:p>
      <w:pPr>
        <w:ind w:left="228"/>
        <w:spacing w:after="0"/>
        <w:rPr>
          <w:sz w:val="20"/>
          <w:szCs w:val="20"/>
          <w:color w:val="auto"/>
        </w:rPr>
      </w:pPr>
      <w:r>
        <w:rPr>
          <w:rFonts w:ascii="Arial" w:cs="Arial" w:eastAsia="Arial" w:hAnsi="Arial"/>
          <w:sz w:val="15"/>
          <w:szCs w:val="15"/>
          <w:color w:val="auto"/>
        </w:rPr>
        <w:t xml:space="preserve">REGN728, a fully human monoclonal antibody generated using our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against an undisclosed target, has completed a Phase 1 study.</w:t>
      </w:r>
    </w:p>
    <w:p>
      <w:pPr>
        <w:spacing w:after="0" w:line="197" w:lineRule="exact"/>
        <w:rPr>
          <w:sz w:val="20"/>
          <w:szCs w:val="20"/>
          <w:color w:val="auto"/>
        </w:rPr>
      </w:pPr>
    </w:p>
    <w:p>
      <w:pPr>
        <w:ind w:left="228" w:hanging="228"/>
        <w:spacing w:after="0"/>
        <w:tabs>
          <w:tab w:leader="none" w:pos="228"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REGN1033</w:t>
      </w:r>
    </w:p>
    <w:p>
      <w:pPr>
        <w:spacing w:after="0" w:line="220" w:lineRule="exact"/>
        <w:rPr>
          <w:rFonts w:ascii="Arial" w:cs="Arial" w:eastAsia="Arial" w:hAnsi="Arial"/>
          <w:sz w:val="15"/>
          <w:szCs w:val="15"/>
          <w:b w:val="1"/>
          <w:bCs w:val="1"/>
          <w:i w:val="1"/>
          <w:iCs w:val="1"/>
          <w:color w:val="auto"/>
        </w:rPr>
      </w:pPr>
    </w:p>
    <w:p>
      <w:pPr>
        <w:ind w:left="228"/>
        <w:spacing w:after="0"/>
        <w:rPr>
          <w:rFonts w:ascii="Arial" w:cs="Arial" w:eastAsia="Arial" w:hAnsi="Arial"/>
          <w:sz w:val="15"/>
          <w:szCs w:val="15"/>
          <w:b w:val="1"/>
          <w:bCs w:val="1"/>
          <w:i w:val="1"/>
          <w:iCs w:val="1"/>
          <w:color w:val="auto"/>
        </w:rPr>
      </w:pPr>
      <w:r>
        <w:rPr>
          <w:rFonts w:ascii="Arial" w:cs="Arial" w:eastAsia="Arial" w:hAnsi="Arial"/>
          <w:sz w:val="13"/>
          <w:szCs w:val="13"/>
          <w:color w:val="auto"/>
        </w:rPr>
        <w:t xml:space="preserve">In January 2012, we initiated a Phase 1 clinical study for REGN1033, a fully human monoclonal antibody generated using our </w:t>
      </w:r>
      <w:r>
        <w:rPr>
          <w:rFonts w:ascii="Arial" w:cs="Arial" w:eastAsia="Arial" w:hAnsi="Arial"/>
          <w:sz w:val="13"/>
          <w:szCs w:val="13"/>
          <w:i w:val="1"/>
          <w:iCs w:val="1"/>
          <w:color w:val="auto"/>
        </w:rPr>
        <w:t>VelocImmune</w:t>
      </w:r>
      <w:r>
        <w:rPr>
          <w:rFonts w:ascii="Arial" w:cs="Arial" w:eastAsia="Arial" w:hAnsi="Arial"/>
          <w:sz w:val="13"/>
          <w:szCs w:val="13"/>
          <w:color w:val="auto"/>
        </w:rPr>
        <w:t xml:space="preserve"> technology, against an undisclosed target.</w:t>
      </w:r>
    </w:p>
    <w:p>
      <w:pPr>
        <w:spacing w:after="0" w:line="220" w:lineRule="exact"/>
        <w:rPr>
          <w:rFonts w:ascii="Arial" w:cs="Arial" w:eastAsia="Arial" w:hAnsi="Arial"/>
          <w:sz w:val="15"/>
          <w:szCs w:val="15"/>
          <w:b w:val="1"/>
          <w:bCs w:val="1"/>
          <w:i w:val="1"/>
          <w:iCs w:val="1"/>
          <w:color w:val="auto"/>
        </w:rPr>
      </w:pPr>
    </w:p>
    <w:p>
      <w:pPr>
        <w:ind w:left="208" w:hanging="208"/>
        <w:spacing w:after="0"/>
        <w:tabs>
          <w:tab w:leader="none" w:pos="208"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REGN475 (NGF Antibody) for pain</w:t>
      </w:r>
    </w:p>
    <w:p>
      <w:pPr>
        <w:spacing w:after="0" w:line="232" w:lineRule="exact"/>
        <w:rPr>
          <w:sz w:val="20"/>
          <w:szCs w:val="20"/>
          <w:color w:val="auto"/>
        </w:rPr>
      </w:pPr>
    </w:p>
    <w:p>
      <w:pPr>
        <w:jc w:val="both"/>
        <w:ind w:left="8" w:right="20" w:firstLine="231"/>
        <w:spacing w:after="0" w:line="361" w:lineRule="auto"/>
        <w:rPr>
          <w:sz w:val="20"/>
          <w:szCs w:val="20"/>
          <w:color w:val="auto"/>
        </w:rPr>
      </w:pPr>
      <w:r>
        <w:rPr>
          <w:rFonts w:ascii="Arial" w:cs="Arial" w:eastAsia="Arial" w:hAnsi="Arial"/>
          <w:sz w:val="13"/>
          <w:szCs w:val="13"/>
          <w:color w:val="auto"/>
        </w:rPr>
        <w:t xml:space="preserve">REGN475 is a fully human monoclonal antibody to NGF, generated using our </w:t>
      </w:r>
      <w:r>
        <w:rPr>
          <w:rFonts w:ascii="Arial" w:cs="Arial" w:eastAsia="Arial" w:hAnsi="Arial"/>
          <w:sz w:val="13"/>
          <w:szCs w:val="13"/>
          <w:i w:val="1"/>
          <w:iCs w:val="1"/>
          <w:color w:val="auto"/>
        </w:rPr>
        <w:t>VelocImmune</w:t>
      </w:r>
      <w:r>
        <w:rPr>
          <w:rFonts w:ascii="Arial" w:cs="Arial" w:eastAsia="Arial" w:hAnsi="Arial"/>
          <w:sz w:val="13"/>
          <w:szCs w:val="13"/>
          <w:color w:val="auto"/>
        </w:rPr>
        <w:t xml:space="preserve"> technology, which is designed to block pain sensitization in neurons. Preclinical experiments indicate that REGN475 specifically binds to and blocks NGF activity and does not bind to or block cell signaling for closely related neurotrophins such as NT-3, NT-4, or BDNF.</w:t>
      </w:r>
    </w:p>
    <w:p>
      <w:pPr>
        <w:spacing w:after="0" w:line="128" w:lineRule="exact"/>
        <w:rPr>
          <w:sz w:val="20"/>
          <w:szCs w:val="20"/>
          <w:color w:val="auto"/>
        </w:rPr>
      </w:pPr>
    </w:p>
    <w:p>
      <w:pPr>
        <w:jc w:val="both"/>
        <w:ind w:left="8" w:firstLine="254"/>
        <w:spacing w:after="0" w:line="281" w:lineRule="auto"/>
        <w:rPr>
          <w:sz w:val="20"/>
          <w:szCs w:val="20"/>
          <w:color w:val="auto"/>
        </w:rPr>
      </w:pPr>
      <w:r>
        <w:rPr>
          <w:rFonts w:ascii="Arial" w:cs="Arial" w:eastAsia="Arial" w:hAnsi="Arial"/>
          <w:sz w:val="15"/>
          <w:szCs w:val="15"/>
          <w:color w:val="auto"/>
        </w:rPr>
        <w:t>In May 2010, we announced positive results from an interim analysis of a randomized, double-blind, four-arm, placebo-controlled Phase 2 trial in 217 patients with osteoarthritis of the knee. In July 2010, we presented additional results from this trial through 16 weeks.</w:t>
      </w:r>
    </w:p>
    <w:p>
      <w:pPr>
        <w:spacing w:after="0" w:line="174" w:lineRule="exact"/>
        <w:rPr>
          <w:sz w:val="20"/>
          <w:szCs w:val="20"/>
          <w:color w:val="auto"/>
        </w:rPr>
      </w:pPr>
    </w:p>
    <w:p>
      <w:pPr>
        <w:jc w:val="both"/>
        <w:ind w:left="8" w:firstLine="347"/>
        <w:spacing w:after="0" w:line="269" w:lineRule="auto"/>
        <w:rPr>
          <w:sz w:val="20"/>
          <w:szCs w:val="20"/>
          <w:color w:val="auto"/>
        </w:rPr>
      </w:pPr>
      <w:r>
        <w:rPr>
          <w:rFonts w:ascii="Arial" w:cs="Arial" w:eastAsia="Arial" w:hAnsi="Arial"/>
          <w:sz w:val="15"/>
          <w:szCs w:val="15"/>
          <w:color w:val="auto"/>
        </w:rPr>
        <w:t>In December 2010, the FDA placed REGN475 and other investigational agents targeting NGF on clinical hold after a case of rapidly progressive osteoarthritis leading to joint replacement was seen in another company’s anti-NGF program. At that time, the FDA expressed concern that this case, which followed previously-reported cases of joint replacements in patients on an anti-NGF drug candidate being developed by a different pharmaceutical company, provided evidence to suggest a class effect.</w:t>
      </w:r>
    </w:p>
    <w:p>
      <w:pPr>
        <w:spacing w:after="0" w:line="183" w:lineRule="exact"/>
        <w:rPr>
          <w:sz w:val="20"/>
          <w:szCs w:val="20"/>
          <w:color w:val="auto"/>
        </w:rPr>
      </w:pPr>
    </w:p>
    <w:p>
      <w:pPr>
        <w:jc w:val="both"/>
        <w:ind w:left="8" w:firstLine="231"/>
        <w:spacing w:after="0" w:line="265" w:lineRule="auto"/>
        <w:rPr>
          <w:sz w:val="20"/>
          <w:szCs w:val="20"/>
          <w:color w:val="auto"/>
        </w:rPr>
      </w:pPr>
      <w:r>
        <w:rPr>
          <w:rFonts w:ascii="Arial" w:cs="Arial" w:eastAsia="Arial" w:hAnsi="Arial"/>
          <w:sz w:val="15"/>
          <w:szCs w:val="15"/>
          <w:color w:val="auto"/>
        </w:rPr>
        <w:t>An FDA Arthritis Advisory Committee met on March 12, 2012 to discuss possible safety issues related to anti-NGF compounds and voted unanimously in favor of a role for the ongoing development of anti-NGF agents in osteoarthritis. The Arthritis Advisory Committee also voted twenty to one in favor of a role for development of anti-NGF agents to manage the pain associated with conditions for which there are no agents with demonstrated analgesic efficacy. The committee's recommendation will be considered by the FDA, but is not binding on the FDA.</w:t>
      </w:r>
    </w:p>
    <w:p>
      <w:pPr>
        <w:spacing w:after="0" w:line="186" w:lineRule="exact"/>
        <w:rPr>
          <w:sz w:val="20"/>
          <w:szCs w:val="20"/>
          <w:color w:val="auto"/>
        </w:rPr>
      </w:pPr>
    </w:p>
    <w:p>
      <w:pPr>
        <w:ind w:left="228"/>
        <w:spacing w:after="0"/>
        <w:rPr>
          <w:sz w:val="20"/>
          <w:szCs w:val="20"/>
          <w:color w:val="auto"/>
        </w:rPr>
      </w:pPr>
      <w:r>
        <w:rPr>
          <w:rFonts w:ascii="Arial" w:cs="Arial" w:eastAsia="Arial" w:hAnsi="Arial"/>
          <w:sz w:val="15"/>
          <w:szCs w:val="15"/>
          <w:color w:val="auto"/>
        </w:rPr>
        <w:t>There are currently no ongoing trials with REGN475 that are either enrolling or treating patients, but we are finalizing plans to initiate new trials, subject to FDA approval.</w:t>
      </w:r>
    </w:p>
    <w:p>
      <w:pPr>
        <w:spacing w:after="0" w:line="221" w:lineRule="exact"/>
        <w:rPr>
          <w:sz w:val="20"/>
          <w:szCs w:val="20"/>
          <w:color w:val="auto"/>
        </w:rPr>
      </w:pPr>
    </w:p>
    <w:p>
      <w:pPr>
        <w:jc w:val="both"/>
        <w:ind w:left="8" w:right="20" w:firstLine="301"/>
        <w:spacing w:after="0" w:line="318" w:lineRule="auto"/>
        <w:rPr>
          <w:sz w:val="20"/>
          <w:szCs w:val="20"/>
          <w:color w:val="auto"/>
        </w:rPr>
      </w:pPr>
      <w:r>
        <w:rPr>
          <w:rFonts w:ascii="Arial" w:cs="Arial" w:eastAsia="Arial" w:hAnsi="Arial"/>
          <w:sz w:val="14"/>
          <w:szCs w:val="14"/>
          <w:color w:val="auto"/>
        </w:rPr>
        <w:t>In February 2012, Sanofi elected not to continue co-development of REGN475, and Regeneron now has sole global rights to REGN475. Under the terms of our agreement, Sanofi remains obligated to fund agreed-upon REGN475 development costs through the end of 2012 and is entitled to receive a mid-single digit royalty on any future sales of REGN475.</w:t>
      </w:r>
    </w:p>
    <w:p>
      <w:pPr>
        <w:spacing w:after="0" w:line="12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8662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8"/>
          </w:cols>
          <w:pgMar w:left="232" w:top="548" w:right="21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i w:val="1"/>
          <w:iCs w:val="1"/>
          <w:color w:val="auto"/>
        </w:rPr>
        <w:t>12. REGN846</w:t>
      </w:r>
    </w:p>
    <w:p>
      <w:pPr>
        <w:spacing w:after="0" w:line="221" w:lineRule="exact"/>
        <w:rPr>
          <w:sz w:val="20"/>
          <w:szCs w:val="20"/>
          <w:color w:val="auto"/>
        </w:rPr>
      </w:pPr>
    </w:p>
    <w:p>
      <w:pPr>
        <w:jc w:val="both"/>
        <w:ind w:firstLine="243"/>
        <w:spacing w:after="0" w:line="265" w:lineRule="auto"/>
        <w:rPr>
          <w:sz w:val="20"/>
          <w:szCs w:val="20"/>
          <w:color w:val="auto"/>
        </w:rPr>
      </w:pPr>
      <w:r>
        <w:rPr>
          <w:rFonts w:ascii="Arial" w:cs="Arial" w:eastAsia="Arial" w:hAnsi="Arial"/>
          <w:sz w:val="15"/>
          <w:szCs w:val="15"/>
          <w:color w:val="auto"/>
        </w:rPr>
        <w:t xml:space="preserve">REGN846 is a fully human monoclonal antibody generated using our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against an undisclosed target, and is being evaluated in a Phase 2a study in patients with atopic dermatitis. In July 2011, Sanofi elected not to continue co-development of REGN846, and Regeneron now has sole global rights to REGN846. Under the terms of our agreement, Sanofi remains obligated to fund agreed-upon REGN846 clinical costs through conclusion of a planned proof-of-concept trial and is entitled to receive a mid-single digit royalty on any future sales of REGN846.</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13. REGN1154</w:t>
      </w:r>
    </w:p>
    <w:p>
      <w:pPr>
        <w:spacing w:after="0" w:line="221" w:lineRule="exact"/>
        <w:rPr>
          <w:sz w:val="20"/>
          <w:szCs w:val="20"/>
          <w:color w:val="auto"/>
        </w:rPr>
      </w:pPr>
    </w:p>
    <w:p>
      <w:pPr>
        <w:jc w:val="both"/>
        <w:ind w:firstLine="266"/>
        <w:spacing w:after="0" w:line="269" w:lineRule="auto"/>
        <w:rPr>
          <w:sz w:val="20"/>
          <w:szCs w:val="20"/>
          <w:color w:val="auto"/>
        </w:rPr>
      </w:pPr>
      <w:r>
        <w:rPr>
          <w:rFonts w:ascii="Arial" w:cs="Arial" w:eastAsia="Arial" w:hAnsi="Arial"/>
          <w:sz w:val="15"/>
          <w:szCs w:val="15"/>
          <w:color w:val="auto"/>
        </w:rPr>
        <w:t xml:space="preserve">REGN1154 is a fully human monoclonal antibody generated using our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against an undisclosed target. In March 2012, we initiated a Phase 1 clinical study in Australia. Sanofi decided not to opt-in to the REGN1154 program and we have sole global rights. Under the terms of our agreement, Sanofi is entitled to receive a mid-single digit royalty on any future sales of REGN1154.</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Research and Development Technologies:</w:t>
      </w:r>
    </w:p>
    <w:p>
      <w:pPr>
        <w:spacing w:after="0" w:line="225" w:lineRule="exact"/>
        <w:rPr>
          <w:sz w:val="20"/>
          <w:szCs w:val="20"/>
          <w:color w:val="auto"/>
        </w:rPr>
      </w:pPr>
    </w:p>
    <w:p>
      <w:pPr>
        <w:jc w:val="both"/>
        <w:ind w:firstLine="243"/>
        <w:spacing w:after="0" w:line="309" w:lineRule="auto"/>
        <w:rPr>
          <w:sz w:val="20"/>
          <w:szCs w:val="20"/>
          <w:color w:val="auto"/>
        </w:rPr>
      </w:pPr>
      <w:r>
        <w:rPr>
          <w:rFonts w:ascii="Arial" w:cs="Arial" w:eastAsia="Arial" w:hAnsi="Arial"/>
          <w:sz w:val="13"/>
          <w:szCs w:val="13"/>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Our scientists have developed two different technologies to design protein therapeutics to block the action of specific cell surface or secreted proteins. The first technology, termed the</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“Trap” technology, was used to generate our two approved products, ARCALYST and EYLEA, as well as ZALTRAP, for which regulatory applications for marketing approval have been submitted. These novel “Traps” are composed of fusions between two distinct receptor components and the constant region of an antibody molecule called the “Fc region”, resulting in high affinity product candidates. </w:t>
      </w:r>
      <w:r>
        <w:rPr>
          <w:rFonts w:ascii="Arial" w:cs="Arial" w:eastAsia="Arial" w:hAnsi="Arial"/>
          <w:sz w:val="15"/>
          <w:szCs w:val="15"/>
          <w:i w:val="1"/>
          <w:iCs w:val="1"/>
          <w:color w:val="auto"/>
        </w:rPr>
        <w:t>VelociSuite</w:t>
      </w:r>
      <w:r>
        <w:rPr>
          <w:rFonts w:ascii="Arial" w:cs="Arial" w:eastAsia="Arial" w:hAnsi="Arial"/>
          <w:sz w:val="15"/>
          <w:szCs w:val="15"/>
          <w:color w:val="auto"/>
        </w:rPr>
        <w:t xml:space="preserve"> is our second technology platform; it is used for discovering, developing, and producing fully human monoclonal antibodies that can address both secreted and cell-surface targets.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VelociSuite</w:t>
      </w:r>
    </w:p>
    <w:p>
      <w:pPr>
        <w:spacing w:after="0" w:line="199" w:lineRule="exact"/>
        <w:rPr>
          <w:sz w:val="20"/>
          <w:szCs w:val="20"/>
          <w:color w:val="auto"/>
        </w:rPr>
      </w:pPr>
    </w:p>
    <w:p>
      <w:pPr>
        <w:jc w:val="both"/>
        <w:ind w:firstLine="370"/>
        <w:spacing w:after="0" w:line="239" w:lineRule="auto"/>
        <w:rPr>
          <w:sz w:val="20"/>
          <w:szCs w:val="20"/>
          <w:color w:val="auto"/>
        </w:rPr>
      </w:pPr>
      <w:r>
        <w:rPr>
          <w:rFonts w:ascii="Arial" w:cs="Arial" w:eastAsia="Arial" w:hAnsi="Arial"/>
          <w:sz w:val="15"/>
          <w:szCs w:val="15"/>
          <w:i w:val="1"/>
          <w:iCs w:val="1"/>
          <w:color w:val="auto"/>
        </w:rPr>
        <w:t xml:space="preserve">VelociSuite </w:t>
      </w:r>
      <w:r>
        <w:rPr>
          <w:rFonts w:ascii="Arial" w:cs="Arial" w:eastAsia="Arial" w:hAnsi="Arial"/>
          <w:sz w:val="15"/>
          <w:szCs w:val="15"/>
          <w:color w:val="auto"/>
        </w:rPr>
        <w:t>consists of</w:t>
      </w:r>
      <w:r>
        <w:rPr>
          <w:rFonts w:ascii="Arial" w:cs="Arial" w:eastAsia="Arial" w:hAnsi="Arial"/>
          <w:sz w:val="15"/>
          <w:szCs w:val="15"/>
          <w:i w:val="1"/>
          <w:iCs w:val="1"/>
          <w:color w:val="auto"/>
        </w:rPr>
        <w:t xml:space="preserve"> VelocImmune, VelociGene, VelociMouse</w:t>
      </w:r>
      <w:r>
        <w:rPr>
          <w:rFonts w:ascii="Arial" w:cs="Arial" w:eastAsia="Arial" w:hAnsi="Arial"/>
          <w:sz w:val="25"/>
          <w:szCs w:val="25"/>
          <w:i w:val="1"/>
          <w:iCs w:val="1"/>
          <w:color w:val="auto"/>
          <w:vertAlign w:val="superscript"/>
        </w:rPr>
        <w:t>®</w:t>
      </w:r>
      <w:r>
        <w:rPr>
          <w:rFonts w:ascii="Arial" w:cs="Arial" w:eastAsia="Arial" w:hAnsi="Arial"/>
          <w:sz w:val="15"/>
          <w:szCs w:val="15"/>
          <w:i w:val="1"/>
          <w:iCs w:val="1"/>
          <w:color w:val="auto"/>
        </w:rPr>
        <w:t>, and VelociMab</w:t>
      </w:r>
      <w:r>
        <w:rPr>
          <w:rFonts w:ascii="Arial" w:cs="Arial" w:eastAsia="Arial" w:hAnsi="Arial"/>
          <w:sz w:val="15"/>
          <w:szCs w:val="15"/>
          <w:color w:val="auto"/>
        </w:rPr>
        <w:t>. The</w:t>
      </w:r>
      <w:r>
        <w:rPr>
          <w:rFonts w:ascii="Arial" w:cs="Arial" w:eastAsia="Arial" w:hAnsi="Arial"/>
          <w:sz w:val="15"/>
          <w:szCs w:val="15"/>
          <w:i w:val="1"/>
          <w:iCs w:val="1"/>
          <w:color w:val="auto"/>
        </w:rPr>
        <w:t xml:space="preserve"> VelocImmune </w:t>
      </w:r>
      <w:r>
        <w:rPr>
          <w:rFonts w:ascii="Arial" w:cs="Arial" w:eastAsia="Arial" w:hAnsi="Arial"/>
          <w:sz w:val="15"/>
          <w:szCs w:val="15"/>
          <w:color w:val="auto"/>
        </w:rPr>
        <w:t>mouse platform is utilized to produce fully human monoclonal antibodies.</w:t>
      </w:r>
      <w:r>
        <w:rPr>
          <w:rFonts w:ascii="Arial" w:cs="Arial" w:eastAsia="Arial" w:hAnsi="Arial"/>
          <w:sz w:val="15"/>
          <w:szCs w:val="15"/>
          <w:i w:val="1"/>
          <w:iCs w:val="1"/>
          <w:color w:val="auto"/>
        </w:rPr>
        <w:t xml:space="preserve"> VelocImmune </w:t>
      </w:r>
      <w:r>
        <w:rPr>
          <w:rFonts w:ascii="Arial" w:cs="Arial" w:eastAsia="Arial" w:hAnsi="Arial"/>
          <w:sz w:val="15"/>
          <w:szCs w:val="15"/>
          <w:color w:val="auto"/>
        </w:rPr>
        <w:t>was generated by exploiting our</w:t>
      </w:r>
      <w:r>
        <w:rPr>
          <w:rFonts w:ascii="Arial" w:cs="Arial" w:eastAsia="Arial" w:hAnsi="Arial"/>
          <w:sz w:val="15"/>
          <w:szCs w:val="15"/>
          <w:i w:val="1"/>
          <w:iCs w:val="1"/>
          <w:color w:val="auto"/>
        </w:rPr>
        <w:t xml:space="preserve"> VelociGene </w:t>
      </w:r>
      <w:r>
        <w:rPr>
          <w:rFonts w:ascii="Arial" w:cs="Arial" w:eastAsia="Arial" w:hAnsi="Arial"/>
          <w:sz w:val="15"/>
          <w:szCs w:val="15"/>
          <w:color w:val="auto"/>
        </w:rPr>
        <w:t>technology (see below), in a process in which six megabases of mouse immune gene loci were replaced, or “humanized,” with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corresponding human immune gene loci.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mice can be used to generate efficiently fully human monoclonal antibodies to targets of therapeutic interest.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and our entire </w:t>
      </w:r>
      <w:r>
        <w:rPr>
          <w:rFonts w:ascii="Arial" w:cs="Arial" w:eastAsia="Arial" w:hAnsi="Arial"/>
          <w:sz w:val="15"/>
          <w:szCs w:val="15"/>
          <w:i w:val="1"/>
          <w:iCs w:val="1"/>
          <w:color w:val="auto"/>
        </w:rPr>
        <w:t>VelociSuite</w:t>
      </w:r>
      <w:r>
        <w:rPr>
          <w:rFonts w:ascii="Arial" w:cs="Arial" w:eastAsia="Arial" w:hAnsi="Arial"/>
          <w:sz w:val="15"/>
          <w:szCs w:val="15"/>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to produce our next generation of drug candidates for preclinical and clinical development.</w:t>
      </w:r>
    </w:p>
    <w:p>
      <w:pPr>
        <w:spacing w:after="0" w:line="218" w:lineRule="exact"/>
        <w:rPr>
          <w:sz w:val="20"/>
          <w:szCs w:val="20"/>
          <w:color w:val="auto"/>
        </w:rPr>
      </w:pPr>
    </w:p>
    <w:p>
      <w:pPr>
        <w:jc w:val="both"/>
        <w:ind w:firstLine="289"/>
        <w:spacing w:after="0" w:line="262" w:lineRule="auto"/>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VelociGene</w:t>
      </w:r>
      <w:r>
        <w:rPr>
          <w:rFonts w:ascii="Arial" w:cs="Arial" w:eastAsia="Arial" w:hAnsi="Arial"/>
          <w:sz w:val="15"/>
          <w:szCs w:val="15"/>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5"/>
          <w:szCs w:val="15"/>
          <w:i w:val="1"/>
          <w:iCs w:val="1"/>
          <w:color w:val="auto"/>
        </w:rPr>
        <w:t>VelociGene</w:t>
      </w:r>
      <w:r>
        <w:rPr>
          <w:rFonts w:ascii="Arial" w:cs="Arial" w:eastAsia="Arial" w:hAnsi="Arial"/>
          <w:sz w:val="15"/>
          <w:szCs w:val="15"/>
          <w:color w:val="auto"/>
        </w:rPr>
        <w:t xml:space="preserve"> offers the opportunity to humanize targets by replacing the mouse gene with the human homolog. Thus, </w:t>
      </w:r>
      <w:r>
        <w:rPr>
          <w:rFonts w:ascii="Arial" w:cs="Arial" w:eastAsia="Arial" w:hAnsi="Arial"/>
          <w:sz w:val="15"/>
          <w:szCs w:val="15"/>
          <w:i w:val="1"/>
          <w:iCs w:val="1"/>
          <w:color w:val="auto"/>
        </w:rPr>
        <w:t>VelociGene</w:t>
      </w:r>
      <w:r>
        <w:rPr>
          <w:rFonts w:ascii="Arial" w:cs="Arial" w:eastAsia="Arial" w:hAnsi="Arial"/>
          <w:sz w:val="15"/>
          <w:szCs w:val="15"/>
          <w:color w:val="auto"/>
        </w:rPr>
        <w:t xml:space="preserve"> allows scientists to rapidly identify the physical and biological effects of deleting or over-expressing the target gene, as well as to characterize and test potential therapeutic molecules.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5" w:right="219" w:bottom="1440" w:gutter="0" w:footer="0" w:header="0"/>
        </w:sectPr>
      </w:pPr>
    </w:p>
    <w:bookmarkStart w:id="23" w:name="page24"/>
    <w:bookmarkEnd w:id="23"/>
    <w:p>
      <w:pPr>
        <w:jc w:val="both"/>
        <w:ind w:right="20" w:firstLine="295"/>
        <w:spacing w:after="0" w:line="301"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i w:val="1"/>
          <w:iCs w:val="1"/>
          <w:color w:val="auto"/>
        </w:rPr>
        <w:t>VelociMouse</w:t>
      </w:r>
      <w:r>
        <w:rPr>
          <w:rFonts w:ascii="Arial" w:cs="Arial" w:eastAsia="Arial" w:hAnsi="Arial"/>
          <w:sz w:val="14"/>
          <w:szCs w:val="14"/>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w:t>
      </w:r>
    </w:p>
    <w:p>
      <w:pPr>
        <w:spacing w:after="0" w:line="1"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 xml:space="preserve">Furthermore, mice developed using our </w:t>
      </w:r>
      <w:r>
        <w:rPr>
          <w:rFonts w:ascii="Arial" w:cs="Arial" w:eastAsia="Arial" w:hAnsi="Arial"/>
          <w:sz w:val="15"/>
          <w:szCs w:val="15"/>
          <w:i w:val="1"/>
          <w:iCs w:val="1"/>
          <w:color w:val="auto"/>
        </w:rPr>
        <w:t>VelociMouse</w:t>
      </w:r>
      <w:r>
        <w:rPr>
          <w:rFonts w:ascii="Arial" w:cs="Arial" w:eastAsia="Arial" w:hAnsi="Arial"/>
          <w:sz w:val="15"/>
          <w:szCs w:val="15"/>
          <w:color w:val="auto"/>
        </w:rPr>
        <w:t xml:space="preserve"> technology are suitable for direct phenotyping or other studies. We have also developed our </w:t>
      </w:r>
      <w:r>
        <w:rPr>
          <w:rFonts w:ascii="Arial" w:cs="Arial" w:eastAsia="Arial" w:hAnsi="Arial"/>
          <w:sz w:val="15"/>
          <w:szCs w:val="15"/>
          <w:i w:val="1"/>
          <w:iCs w:val="1"/>
          <w:color w:val="auto"/>
        </w:rPr>
        <w:t>VelociMab</w:t>
      </w:r>
      <w:r>
        <w:rPr>
          <w:rFonts w:ascii="Arial" w:cs="Arial" w:eastAsia="Arial" w:hAnsi="Arial"/>
          <w:sz w:val="15"/>
          <w:szCs w:val="15"/>
          <w:color w:val="auto"/>
        </w:rPr>
        <w:t xml:space="preserve"> platform for the rapid screening of antibodies and rapid generation of expression cell lines for our Traps and our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human monoclonal antibodies.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Antibody Collaboration and License Agreements</w:t>
      </w:r>
    </w:p>
    <w:p>
      <w:pPr>
        <w:spacing w:after="0" w:line="22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5"/>
          <w:szCs w:val="15"/>
          <w:b w:val="1"/>
          <w:bCs w:val="1"/>
          <w:color w:val="auto"/>
        </w:rPr>
        <w:t xml:space="preserve">Sanofi. </w:t>
      </w:r>
      <w:r>
        <w:rPr>
          <w:rFonts w:ascii="Arial" w:cs="Arial" w:eastAsia="Arial" w:hAnsi="Arial"/>
          <w:sz w:val="15"/>
          <w:szCs w:val="15"/>
          <w:color w:val="auto"/>
        </w:rPr>
        <w:t>In November 2007, we and Sanofi entered into a global, strategic collaboration to discover, develop, and commercialize fully human monoclonal antibodies. The collaboration is</w:t>
      </w:r>
      <w:r>
        <w:rPr>
          <w:rFonts w:ascii="Arial" w:cs="Arial" w:eastAsia="Arial" w:hAnsi="Arial"/>
          <w:sz w:val="15"/>
          <w:szCs w:val="15"/>
          <w:b w:val="1"/>
          <w:bCs w:val="1"/>
          <w:color w:val="auto"/>
        </w:rPr>
        <w:t xml:space="preserve"> </w:t>
      </w:r>
      <w:r>
        <w:rPr>
          <w:rFonts w:ascii="Arial" w:cs="Arial" w:eastAsia="Arial" w:hAnsi="Arial"/>
          <w:sz w:val="15"/>
          <w:szCs w:val="15"/>
          <w:color w:val="auto"/>
        </w:rPr>
        <w:t>governed by a Discovery and Preclinical Development Agreement and a License and Collaboration Agreement. In connection with the execution of the discovery agreement in 2007, we received a non-refundable, up-front payment of $85.0 million from Sanofi. Pursuant to the collaboration, Sanofi is funding our research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w:t>
      </w:r>
    </w:p>
    <w:p>
      <w:pPr>
        <w:spacing w:after="0" w:line="188" w:lineRule="exact"/>
        <w:rPr>
          <w:sz w:val="20"/>
          <w:szCs w:val="20"/>
          <w:color w:val="auto"/>
        </w:rPr>
      </w:pPr>
    </w:p>
    <w:p>
      <w:pPr>
        <w:jc w:val="both"/>
        <w:ind w:firstLine="266"/>
        <w:spacing w:after="0" w:line="284" w:lineRule="auto"/>
        <w:rPr>
          <w:sz w:val="20"/>
          <w:szCs w:val="20"/>
          <w:color w:val="auto"/>
        </w:rPr>
      </w:pPr>
      <w:r>
        <w:rPr>
          <w:rFonts w:ascii="Arial" w:cs="Arial" w:eastAsia="Arial" w:hAnsi="Arial"/>
          <w:sz w:val="14"/>
          <w:szCs w:val="14"/>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175" w:lineRule="exact"/>
        <w:rPr>
          <w:sz w:val="20"/>
          <w:szCs w:val="20"/>
          <w:color w:val="auto"/>
        </w:rPr>
      </w:pPr>
    </w:p>
    <w:p>
      <w:pPr>
        <w:jc w:val="both"/>
        <w:ind w:right="20" w:firstLine="243"/>
        <w:spacing w:after="0" w:line="290" w:lineRule="auto"/>
        <w:rPr>
          <w:sz w:val="20"/>
          <w:szCs w:val="20"/>
          <w:color w:val="auto"/>
        </w:rPr>
      </w:pPr>
      <w:r>
        <w:rPr>
          <w:rFonts w:ascii="Arial" w:cs="Arial" w:eastAsia="Arial" w:hAnsi="Arial"/>
          <w:sz w:val="14"/>
          <w:szCs w:val="14"/>
          <w:color w:val="auto"/>
        </w:rPr>
        <w:t>Sanofi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(Sanofi)/35% (us) and ending at 55% (Sanofi)/45% (us), and will share losses outside the United States at 55% (Sanofi)/45%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170" w:lineRule="exact"/>
        <w:rPr>
          <w:sz w:val="20"/>
          <w:szCs w:val="20"/>
          <w:color w:val="auto"/>
        </w:rPr>
      </w:pPr>
    </w:p>
    <w:p>
      <w:pPr>
        <w:jc w:val="both"/>
        <w:ind w:firstLine="254"/>
        <w:spacing w:after="0" w:line="281" w:lineRule="auto"/>
        <w:rPr>
          <w:sz w:val="20"/>
          <w:szCs w:val="20"/>
          <w:color w:val="auto"/>
        </w:rPr>
      </w:pPr>
      <w:r>
        <w:rPr>
          <w:rFonts w:ascii="Arial" w:cs="Arial" w:eastAsia="Arial" w:hAnsi="Arial"/>
          <w:sz w:val="15"/>
          <w:szCs w:val="15"/>
          <w:color w:val="auto"/>
        </w:rPr>
        <w:t>In November 2009, we and Sanofi amended these agreements to expand and extend our antibody collaboration. The goal of the expanded collaboration is to advance a total of 20 to 30 new antibody product candidates into clinical development from 2010 through 2017.</w:t>
      </w:r>
    </w:p>
    <w:p>
      <w:pPr>
        <w:spacing w:after="0" w:line="174" w:lineRule="exact"/>
        <w:rPr>
          <w:sz w:val="20"/>
          <w:szCs w:val="20"/>
          <w:color w:val="auto"/>
        </w:rPr>
      </w:pPr>
    </w:p>
    <w:p>
      <w:pPr>
        <w:jc w:val="both"/>
        <w:ind w:firstLine="266"/>
        <w:spacing w:after="0" w:line="290" w:lineRule="auto"/>
        <w:rPr>
          <w:sz w:val="20"/>
          <w:szCs w:val="20"/>
          <w:color w:val="auto"/>
        </w:rPr>
      </w:pPr>
      <w:r>
        <w:rPr>
          <w:rFonts w:ascii="Arial" w:cs="Arial" w:eastAsia="Arial" w:hAnsi="Arial"/>
          <w:sz w:val="14"/>
          <w:szCs w:val="14"/>
          <w:color w:val="auto"/>
        </w:rPr>
        <w:t>Under the amended discovery agreement, Sanofi agreed to fund up to $160 million per year of our antibody discovery activities over the period from 2010-2017, subject to a one-time option for Sanofi to adjust the maximum reimbursement amount down to $120 million per year commencing in 2014 if over the prior two years certain specified criteria were not satisfied. Sanofi has an option to extend the discovery program for up to an additional three years after 2017 for further antibody development and preclinical activities. Pursuant to the collaboration, Sanofi is also obligated to fund up to $30 million of agreed-upon costs we incur to expand our manufacturing capacity at our Rensselaer, New York facilities.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60" w:right="219" w:bottom="1440" w:gutter="0" w:footer="0" w:header="0"/>
        </w:sectPr>
      </w:pPr>
    </w:p>
    <w:bookmarkStart w:id="24" w:name="page25"/>
    <w:bookmarkEnd w:id="24"/>
    <w:p>
      <w:pPr>
        <w:jc w:val="both"/>
        <w:ind w:firstLine="277"/>
        <w:spacing w:after="0" w:line="318" w:lineRule="auto"/>
        <w:rPr>
          <w:sz w:val="20"/>
          <w:szCs w:val="20"/>
          <w:color w:val="auto"/>
        </w:rPr>
      </w:pPr>
      <w:r>
        <w:rPr>
          <w:rFonts w:ascii="Arial" w:cs="Arial" w:eastAsia="Arial" w:hAnsi="Arial"/>
          <w:sz w:val="14"/>
          <w:szCs w:val="14"/>
          <w:color w:val="auto"/>
        </w:rPr>
        <w:t>From the collaboration's inception in November 2007 through March 31, 2012, Sanofi has funded a total of $519.2 million of our costs under the discovery agreement and a total of $436.6 million of our development costs under the license agreement, or a total of $955.8 million in funding for our antibody research and development activities during this period.</w:t>
      </w:r>
    </w:p>
    <w:p>
      <w:pPr>
        <w:spacing w:after="0" w:line="163" w:lineRule="exact"/>
        <w:rPr>
          <w:sz w:val="20"/>
          <w:szCs w:val="20"/>
          <w:color w:val="auto"/>
        </w:rPr>
      </w:pPr>
    </w:p>
    <w:p>
      <w:pPr>
        <w:jc w:val="both"/>
        <w:ind w:firstLine="254"/>
        <w:spacing w:after="0" w:line="329" w:lineRule="auto"/>
        <w:rPr>
          <w:sz w:val="20"/>
          <w:szCs w:val="20"/>
          <w:color w:val="auto"/>
        </w:rPr>
      </w:pPr>
      <w:r>
        <w:rPr>
          <w:rFonts w:ascii="Arial" w:cs="Arial" w:eastAsia="Arial" w:hAnsi="Arial"/>
          <w:sz w:val="13"/>
          <w:szCs w:val="13"/>
          <w:color w:val="auto"/>
        </w:rPr>
        <w:t xml:space="preserve">In August 2008, we entered into an agreement with Sanofi to use our </w:t>
      </w:r>
      <w:r>
        <w:rPr>
          <w:rFonts w:ascii="Arial" w:cs="Arial" w:eastAsia="Arial" w:hAnsi="Arial"/>
          <w:sz w:val="13"/>
          <w:szCs w:val="13"/>
          <w:i w:val="1"/>
          <w:iCs w:val="1"/>
          <w:color w:val="auto"/>
        </w:rPr>
        <w:t>VelociGene</w:t>
      </w:r>
      <w:r>
        <w:rPr>
          <w:rFonts w:ascii="Arial" w:cs="Arial" w:eastAsia="Arial" w:hAnsi="Arial"/>
          <w:sz w:val="13"/>
          <w:szCs w:val="13"/>
          <w:color w:val="auto"/>
        </w:rPr>
        <w:t xml:space="preserve"> platform to supply Sanofi with genetically modified mammalian models of gene function and disease. Under this agreement, Sanofi is required to pay us a minimum of $21.5 million for the term of the agreement, which extends through December 2012, for knock-out and transgenic models of gene function for target genes identified by Sanofi. Sanofi will use these models for its internal research programs that are outside of the scope of our antibody collaboration.</w:t>
      </w:r>
    </w:p>
    <w:p>
      <w:pPr>
        <w:spacing w:after="0" w:line="144"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4"/>
          <w:szCs w:val="14"/>
          <w:b w:val="1"/>
          <w:bCs w:val="1"/>
          <w:color w:val="auto"/>
        </w:rPr>
        <w:t xml:space="preserve">Astellas Pharma Inc. </w:t>
      </w:r>
      <w:r>
        <w:rPr>
          <w:rFonts w:ascii="Arial" w:cs="Arial" w:eastAsia="Arial" w:hAnsi="Arial"/>
          <w:sz w:val="14"/>
          <w:szCs w:val="14"/>
          <w:color w:val="auto"/>
        </w:rPr>
        <w:t>In March 2007, we entered into a six-year, non-exclusive license agreement with Astellas Pharma Inc. to allow Astellas to utilize our</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VelocImmune</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 in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its internal research programs to discover human monoclonal antibodies. Under the terms of the agreement, Astellas made a $20.0 million annual, non-refundable payment to us in each of the second quarters of 2007, 2008, 2009, and 2010.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 digit royalty on any future sales of antibody products discovered by Astellas using our </w:t>
      </w:r>
      <w:r>
        <w:rPr>
          <w:rFonts w:ascii="Arial" w:cs="Arial" w:eastAsia="Arial" w:hAnsi="Arial"/>
          <w:sz w:val="14"/>
          <w:szCs w:val="14"/>
          <w:i w:val="1"/>
          <w:iCs w:val="1"/>
          <w:color w:val="auto"/>
        </w:rPr>
        <w:t>VelocImmune</w:t>
      </w:r>
      <w:r>
        <w:rPr>
          <w:rFonts w:ascii="Arial" w:cs="Arial" w:eastAsia="Arial" w:hAnsi="Arial"/>
          <w:sz w:val="14"/>
          <w:szCs w:val="14"/>
          <w:color w:val="auto"/>
        </w:rPr>
        <w:t xml:space="preserve"> technology.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Royalty Agreement with Novartis Pharma AG</w:t>
      </w:r>
    </w:p>
    <w:p>
      <w:pPr>
        <w:spacing w:after="0" w:line="225" w:lineRule="exact"/>
        <w:rPr>
          <w:sz w:val="20"/>
          <w:szCs w:val="20"/>
          <w:color w:val="auto"/>
        </w:rPr>
      </w:pPr>
    </w:p>
    <w:p>
      <w:pPr>
        <w:jc w:val="both"/>
        <w:ind w:firstLine="266"/>
        <w:spacing w:after="0" w:line="313" w:lineRule="auto"/>
        <w:rPr>
          <w:sz w:val="20"/>
          <w:szCs w:val="20"/>
          <w:color w:val="auto"/>
        </w:rPr>
      </w:pPr>
      <w:r>
        <w:rPr>
          <w:rFonts w:ascii="Arial" w:cs="Arial" w:eastAsia="Arial" w:hAnsi="Arial"/>
          <w:sz w:val="13"/>
          <w:szCs w:val="13"/>
          <w:color w:val="auto"/>
        </w:rPr>
        <w:t>Under a June 2009 agreement with Novartis (that replaced a previous collaboration and license agreement), we receive royalties on worldwide sales of Novartis’ canakinumab, a fully human anti-interleukin-IL1ß antibody. The royalty rates in the agreement start at 4% and reach 15% when annual sales exceed $1.5 billion. Canakinumab is marketed for the treatment of CAPS, has completed Phase 3 development for gout, and is in earlier stage development for atherosclerosis and other inflammatory diseases. We are unable to predict whether canakinumab will be approved for gout or any other indication in addition to CAPS, or whether, even if approved, canakinumab for such indication(s) will be successfully commercialized. Accordingly, we are unable to predict whether these royalties will ever contribute materially to our results of operations or financial condition. To date these royalties have been minimal.</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Programs</w:t>
      </w:r>
    </w:p>
    <w:p>
      <w:pPr>
        <w:spacing w:after="0" w:line="225" w:lineRule="exact"/>
        <w:rPr>
          <w:sz w:val="20"/>
          <w:szCs w:val="20"/>
          <w:color w:val="auto"/>
        </w:rPr>
      </w:pPr>
    </w:p>
    <w:p>
      <w:pPr>
        <w:jc w:val="both"/>
        <w:ind w:right="20" w:firstLine="324"/>
        <w:spacing w:after="0" w:line="281" w:lineRule="auto"/>
        <w:rPr>
          <w:sz w:val="20"/>
          <w:szCs w:val="20"/>
          <w:color w:val="auto"/>
        </w:rPr>
      </w:pPr>
      <w:r>
        <w:rPr>
          <w:rFonts w:ascii="Arial" w:cs="Arial" w:eastAsia="Arial" w:hAnsi="Arial"/>
          <w:sz w:val="15"/>
          <w:szCs w:val="15"/>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General:</w:t>
      </w:r>
    </w:p>
    <w:p>
      <w:pPr>
        <w:spacing w:after="0" w:line="225" w:lineRule="exact"/>
        <w:rPr>
          <w:sz w:val="20"/>
          <w:szCs w:val="20"/>
          <w:color w:val="auto"/>
        </w:rPr>
      </w:pPr>
    </w:p>
    <w:p>
      <w:pPr>
        <w:jc w:val="both"/>
        <w:ind w:firstLine="347"/>
        <w:spacing w:after="0" w:line="265" w:lineRule="auto"/>
        <w:rPr>
          <w:sz w:val="20"/>
          <w:szCs w:val="20"/>
          <w:color w:val="auto"/>
        </w:rPr>
      </w:pPr>
      <w:r>
        <w:rPr>
          <w:rFonts w:ascii="Arial" w:cs="Arial" w:eastAsia="Arial" w:hAnsi="Arial"/>
          <w:sz w:val="15"/>
          <w:szCs w:val="15"/>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86" w:lineRule="exact"/>
        <w:rPr>
          <w:sz w:val="20"/>
          <w:szCs w:val="20"/>
          <w:color w:val="auto"/>
        </w:rPr>
      </w:pPr>
    </w:p>
    <w:p>
      <w:pPr>
        <w:jc w:val="both"/>
        <w:ind w:firstLine="312"/>
        <w:spacing w:after="0" w:line="281" w:lineRule="auto"/>
        <w:rPr>
          <w:sz w:val="20"/>
          <w:szCs w:val="20"/>
          <w:color w:val="auto"/>
        </w:rPr>
      </w:pPr>
      <w:r>
        <w:rPr>
          <w:rFonts w:ascii="Arial" w:cs="Arial" w:eastAsia="Arial" w:hAnsi="Arial"/>
          <w:sz w:val="15"/>
          <w:szCs w:val="15"/>
          <w:color w:val="auto"/>
        </w:rPr>
        <w:t>We expect to incur substantial costs to prepare for potential commercialization of ARCALYST for the treatment of gout flares in patients initiating uric acid-lowering therapy and ZALTRAP for the treatment of previously-treated mCRC patients and, if one or both receive regulatory approval, to fund the launch of the product(s).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25" w:name="page26"/>
    <w:bookmarkEnd w:id="25"/>
    <w:p>
      <w:pPr>
        <w:jc w:val="both"/>
        <w:ind w:firstLine="254"/>
        <w:spacing w:after="0" w:line="307" w:lineRule="auto"/>
        <w:rPr>
          <w:sz w:val="20"/>
          <w:szCs w:val="20"/>
          <w:color w:val="auto"/>
        </w:rPr>
      </w:pPr>
      <w:r>
        <w:rPr>
          <w:rFonts w:ascii="Arial" w:cs="Arial" w:eastAsia="Arial" w:hAnsi="Arial"/>
          <w:sz w:val="13"/>
          <w:szCs w:val="13"/>
          <w:color w:val="auto"/>
        </w:rPr>
        <w:t>Since our inception in 1988, we have generally incurred net losses (up until this quarter) and negative cash flows from operations. Our ability to generate profits and positive cash flow from operations over the next several years depends significantly on our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may expand and require additional resources. Our operating results may fluctuate from quarter to quarter and will depend on, among other factors, the net sales of our marketed products, as well as the scope and progress of our research and development efforts, the timing of certain expenses, the continuation of our collaborations with Sanofi and Bayer HealthCare, and the amount of reimbursement that we receive from collaborators. We cannot predict whether or when ZALTRAP or new indications for our marketed products will receive regulatory approval or, if any such approval is received, whether we will be able to successfully commercialize such product(s) and whether or when they may become profitable.</w:t>
      </w:r>
    </w:p>
    <w:p>
      <w:pPr>
        <w:spacing w:after="0" w:line="164" w:lineRule="exact"/>
        <w:rPr>
          <w:sz w:val="20"/>
          <w:szCs w:val="20"/>
          <w:color w:val="auto"/>
        </w:rPr>
      </w:pPr>
    </w:p>
    <w:p>
      <w:pPr>
        <w:jc w:val="both"/>
        <w:ind w:firstLine="231"/>
        <w:spacing w:after="0" w:line="281" w:lineRule="auto"/>
        <w:rPr>
          <w:sz w:val="20"/>
          <w:szCs w:val="20"/>
          <w:color w:val="auto"/>
        </w:rPr>
      </w:pPr>
      <w:r>
        <w:rPr>
          <w:rFonts w:ascii="Arial" w:cs="Arial" w:eastAsia="Arial" w:hAnsi="Arial"/>
          <w:sz w:val="15"/>
          <w:szCs w:val="15"/>
          <w:color w:val="auto"/>
        </w:rPr>
        <w:t>The planning, execution, and results of our clinical programs are significant factors that can affect our operating and financial results. In our clinical programs, key events in 2012 to date were, and plans for the next 12 months are, as follows: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u w:val="single" w:color="auto"/>
          <w:color w:val="auto"/>
        </w:rPr>
        <w:t>Trap-based Clinical Programs:</w:t>
      </w:r>
    </w:p>
    <w:p>
      <w:pPr>
        <w:spacing w:after="0" w:line="205" w:lineRule="exact"/>
        <w:rPr>
          <w:sz w:val="20"/>
          <w:szCs w:val="20"/>
          <w:color w:val="auto"/>
        </w:rPr>
      </w:pPr>
    </w:p>
    <w:p>
      <w:pPr>
        <w:ind w:left="8240"/>
        <w:spacing w:after="0"/>
        <w:rPr>
          <w:sz w:val="20"/>
          <w:szCs w:val="20"/>
          <w:color w:val="auto"/>
        </w:rPr>
      </w:pPr>
      <w:r>
        <w:rPr>
          <w:rFonts w:ascii="Arial" w:cs="Arial" w:eastAsia="Arial" w:hAnsi="Arial"/>
          <w:sz w:val="15"/>
          <w:szCs w:val="15"/>
          <w:b w:val="1"/>
          <w:bCs w:val="1"/>
          <w:color w:val="auto"/>
        </w:rPr>
        <w:t>2012-13 Plans</w:t>
      </w:r>
    </w:p>
    <w:p>
      <w:pPr>
        <w:spacing w:after="0" w:line="24" w:lineRule="exact"/>
        <w:rPr>
          <w:sz w:val="20"/>
          <w:szCs w:val="20"/>
          <w:color w:val="auto"/>
        </w:rPr>
      </w:pPr>
    </w:p>
    <w:p>
      <w:pPr>
        <w:ind w:left="2320"/>
        <w:spacing w:after="0"/>
        <w:tabs>
          <w:tab w:leader="none" w:pos="8120" w:val="left"/>
        </w:tabs>
        <w:rPr>
          <w:sz w:val="20"/>
          <w:szCs w:val="20"/>
          <w:color w:val="auto"/>
        </w:rPr>
      </w:pPr>
      <w:r>
        <w:rPr>
          <w:rFonts w:ascii="Arial" w:cs="Arial" w:eastAsia="Arial" w:hAnsi="Arial"/>
          <w:sz w:val="15"/>
          <w:szCs w:val="15"/>
          <w:b w:val="1"/>
          <w:bCs w:val="1"/>
          <w:u w:val="single" w:color="auto"/>
          <w:color w:val="auto"/>
        </w:rPr>
        <w:t>2012 Events to Date</w:t>
      </w:r>
      <w:r>
        <w:rPr>
          <w:sz w:val="20"/>
          <w:szCs w:val="20"/>
          <w:color w:val="auto"/>
        </w:rPr>
        <w:tab/>
      </w:r>
      <w:r>
        <w:rPr>
          <w:rFonts w:ascii="Arial" w:cs="Arial" w:eastAsia="Arial" w:hAnsi="Arial"/>
          <w:sz w:val="13"/>
          <w:szCs w:val="13"/>
          <w:b w:val="1"/>
          <w:bCs w:val="1"/>
          <w:u w:val="single" w:color="auto"/>
          <w:color w:val="auto"/>
        </w:rPr>
        <w:t>(next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26630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EYLEA</w:t>
      </w:r>
    </w:p>
    <w:p>
      <w:pPr>
        <w:sectPr>
          <w:pgSz w:w="11900" w:h="16838" w:orient="portrait"/>
          <w:cols w:equalWidth="0" w:num="1">
            <w:col w:w="11440"/>
          </w:cols>
          <w:pgMar w:left="240" w:top="548" w:right="219" w:bottom="1440" w:gutter="0" w:footer="0" w:header="0"/>
        </w:sectPr>
      </w:pPr>
    </w:p>
    <w:p>
      <w:pPr>
        <w:spacing w:after="0" w:line="36" w:lineRule="exact"/>
        <w:rPr>
          <w:sz w:val="20"/>
          <w:szCs w:val="20"/>
          <w:color w:val="auto"/>
        </w:rPr>
      </w:pPr>
    </w:p>
    <w:p>
      <w:pPr>
        <w:ind w:left="880" w:right="200"/>
        <w:spacing w:after="0" w:line="260" w:lineRule="auto"/>
        <w:rPr>
          <w:sz w:val="20"/>
          <w:szCs w:val="20"/>
          <w:color w:val="auto"/>
        </w:rPr>
      </w:pPr>
      <w:r>
        <w:rPr>
          <w:rFonts w:ascii="Arial" w:cs="Arial" w:eastAsia="Arial" w:hAnsi="Arial"/>
          <w:sz w:val="15"/>
          <w:szCs w:val="15"/>
          <w:color w:val="auto"/>
        </w:rPr>
        <w:t>Bayer HealthCare received Australian approval for EYLEA for the treatment of patients with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-200660</wp:posOffset>
            </wp:positionV>
            <wp:extent cx="54610" cy="54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880" w:right="400"/>
        <w:spacing w:after="0" w:line="257" w:lineRule="auto"/>
        <w:rPr>
          <w:sz w:val="20"/>
          <w:szCs w:val="20"/>
          <w:color w:val="auto"/>
        </w:rPr>
      </w:pPr>
      <w:r>
        <w:rPr>
          <w:rFonts w:ascii="Arial" w:cs="Arial" w:eastAsia="Arial" w:hAnsi="Arial"/>
          <w:sz w:val="15"/>
          <w:szCs w:val="15"/>
          <w:color w:val="auto"/>
        </w:rPr>
        <w:t>Bayer HealthCare continued to pursue regulatory applications for marketing approval for EYLEA for the treatment of wet AMD in various countries Initiated Phase 3 study in BRVO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-318770</wp:posOffset>
            </wp:positionV>
            <wp:extent cx="54610" cy="54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-83820</wp:posOffset>
            </wp:positionV>
            <wp:extent cx="54610" cy="54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color w:val="auto"/>
        </w:rPr>
        <w:t>Completed enrollment of VISTA-DME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-76200</wp:posOffset>
            </wp:positionV>
            <wp:extent cx="54610" cy="54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EMA decision on regulatory application for the treatment of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54610" cy="54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257" w:lineRule="auto"/>
        <w:rPr>
          <w:sz w:val="20"/>
          <w:szCs w:val="20"/>
          <w:color w:val="auto"/>
        </w:rPr>
      </w:pPr>
      <w:r>
        <w:rPr>
          <w:rFonts w:ascii="Arial" w:cs="Arial" w:eastAsia="Arial" w:hAnsi="Arial"/>
          <w:sz w:val="15"/>
          <w:szCs w:val="15"/>
          <w:color w:val="auto"/>
        </w:rPr>
        <w:t>Japan authority decision on regulatory application for the treatment of wet AMD Target date for FDA decision on supplemental BLA for the treatment of CRVO is September 23,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-318770</wp:posOffset>
            </wp:positionV>
            <wp:extent cx="54610" cy="54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-201295</wp:posOffset>
            </wp:positionV>
            <wp:extent cx="54610" cy="54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Complete enrollment of VIVID-DME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-76200</wp:posOffset>
            </wp:positionV>
            <wp:extent cx="54610" cy="54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352" w:lineRule="exact"/>
        <w:rPr>
          <w:sz w:val="20"/>
          <w:szCs w:val="20"/>
          <w:color w:val="auto"/>
        </w:rPr>
      </w:pPr>
    </w:p>
    <w:p>
      <w:pPr>
        <w:sectPr>
          <w:pgSz w:w="11900" w:h="16838" w:orient="portrait"/>
          <w:cols w:equalWidth="0" w:num="2">
            <w:col w:w="5860" w:space="720"/>
            <w:col w:w="4860"/>
          </w:cols>
          <w:pgMar w:left="240" w:top="548" w:right="21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5840" w:type="dxa"/>
            <w:vAlign w:val="bottom"/>
            <w:tcBorders>
              <w:top w:val="single" w:sz="8" w:color="auto"/>
            </w:tcBorders>
          </w:tcPr>
          <w:p>
            <w:pPr>
              <w:ind w:left="220"/>
              <w:spacing w:after="0"/>
              <w:rPr>
                <w:sz w:val="20"/>
                <w:szCs w:val="20"/>
                <w:color w:val="auto"/>
              </w:rPr>
            </w:pPr>
            <w:r>
              <w:rPr>
                <w:rFonts w:ascii="Arial" w:cs="Arial" w:eastAsia="Arial" w:hAnsi="Arial"/>
                <w:sz w:val="15"/>
                <w:szCs w:val="15"/>
                <w:b w:val="1"/>
                <w:bCs w:val="1"/>
                <w:i w:val="1"/>
                <w:iCs w:val="1"/>
                <w:color w:val="auto"/>
              </w:rPr>
              <w:t>ZALTRAP</w:t>
            </w:r>
          </w:p>
        </w:tc>
        <w:tc>
          <w:tcPr>
            <w:tcW w:w="5600" w:type="dxa"/>
            <w:vAlign w:val="bottom"/>
            <w:tcBorders>
              <w:top w:val="single" w:sz="8" w:color="auto"/>
            </w:tcBorders>
          </w:tcPr>
          <w:p>
            <w:pPr>
              <w:spacing w:after="0"/>
              <w:rPr>
                <w:sz w:val="16"/>
                <w:szCs w:val="16"/>
                <w:color w:val="auto"/>
              </w:rPr>
            </w:pPr>
          </w:p>
        </w:tc>
      </w:tr>
      <w:tr>
        <w:trPr>
          <w:trHeight w:val="185"/>
        </w:trPr>
        <w:tc>
          <w:tcPr>
            <w:tcW w:w="5840" w:type="dxa"/>
            <w:vAlign w:val="bottom"/>
          </w:tcPr>
          <w:p>
            <w:pPr>
              <w:ind w:left="880"/>
              <w:spacing w:after="0"/>
              <w:rPr>
                <w:sz w:val="20"/>
                <w:szCs w:val="20"/>
                <w:color w:val="auto"/>
              </w:rPr>
            </w:pPr>
            <w:r>
              <w:rPr>
                <w:rFonts w:ascii="Arial" w:cs="Arial" w:eastAsia="Arial" w:hAnsi="Arial"/>
                <w:sz w:val="15"/>
                <w:szCs w:val="15"/>
                <w:color w:val="auto"/>
              </w:rPr>
              <w:t>FDA granted Priority Review for the BLA for the treatment of mCRC</w:t>
            </w:r>
          </w:p>
        </w:tc>
        <w:tc>
          <w:tcPr>
            <w:tcW w:w="5600" w:type="dxa"/>
            <w:vAlign w:val="bottom"/>
          </w:tcPr>
          <w:p>
            <w:pPr>
              <w:ind w:left="740"/>
              <w:spacing w:after="0"/>
              <w:rPr>
                <w:sz w:val="20"/>
                <w:szCs w:val="20"/>
                <w:color w:val="auto"/>
              </w:rPr>
            </w:pPr>
            <w:r>
              <w:rPr>
                <w:rFonts w:ascii="Arial" w:cs="Arial" w:eastAsia="Arial" w:hAnsi="Arial"/>
                <w:sz w:val="15"/>
                <w:szCs w:val="15"/>
                <w:color w:val="auto"/>
                <w:w w:val="95"/>
              </w:rPr>
              <w:t>Target date for FDA decision on BLA for the treatment of mCRC is August 4,</w:t>
            </w:r>
          </w:p>
        </w:tc>
      </w:tr>
      <w:tr>
        <w:trPr>
          <w:trHeight w:val="185"/>
        </w:trPr>
        <w:tc>
          <w:tcPr>
            <w:tcW w:w="5840" w:type="dxa"/>
            <w:vAlign w:val="bottom"/>
          </w:tcPr>
          <w:p>
            <w:pPr>
              <w:ind w:left="880"/>
              <w:spacing w:after="0"/>
              <w:rPr>
                <w:sz w:val="20"/>
                <w:szCs w:val="20"/>
                <w:color w:val="auto"/>
              </w:rPr>
            </w:pPr>
            <w:r>
              <w:rPr>
                <w:rFonts w:ascii="Arial" w:cs="Arial" w:eastAsia="Arial" w:hAnsi="Arial"/>
                <w:sz w:val="15"/>
                <w:szCs w:val="15"/>
                <w:color w:val="auto"/>
              </w:rPr>
              <w:t>Reported final results in the Phase 3 VENICE trial in prostate cancer</w:t>
            </w:r>
          </w:p>
        </w:tc>
        <w:tc>
          <w:tcPr>
            <w:tcW w:w="5600" w:type="dxa"/>
            <w:vAlign w:val="bottom"/>
          </w:tcPr>
          <w:p>
            <w:pPr>
              <w:ind w:left="740"/>
              <w:spacing w:after="0"/>
              <w:rPr>
                <w:sz w:val="20"/>
                <w:szCs w:val="20"/>
                <w:color w:val="auto"/>
              </w:rPr>
            </w:pPr>
            <w:r>
              <w:rPr>
                <w:rFonts w:ascii="Arial" w:cs="Arial" w:eastAsia="Arial" w:hAnsi="Arial"/>
                <w:sz w:val="15"/>
                <w:szCs w:val="15"/>
                <w:color w:val="auto"/>
              </w:rPr>
              <w:t>2012</w:t>
            </w:r>
          </w:p>
        </w:tc>
      </w:tr>
      <w:tr>
        <w:trPr>
          <w:trHeight w:val="190"/>
        </w:trPr>
        <w:tc>
          <w:tcPr>
            <w:tcW w:w="5840" w:type="dxa"/>
            <w:vAlign w:val="bottom"/>
          </w:tcPr>
          <w:p>
            <w:pPr>
              <w:spacing w:after="0"/>
              <w:rPr>
                <w:sz w:val="16"/>
                <w:szCs w:val="16"/>
                <w:color w:val="auto"/>
              </w:rPr>
            </w:pPr>
          </w:p>
        </w:tc>
        <w:tc>
          <w:tcPr>
            <w:tcW w:w="5600" w:type="dxa"/>
            <w:vAlign w:val="bottom"/>
          </w:tcPr>
          <w:p>
            <w:pPr>
              <w:ind w:left="740"/>
              <w:spacing w:after="0"/>
              <w:rPr>
                <w:sz w:val="20"/>
                <w:szCs w:val="20"/>
                <w:color w:val="auto"/>
              </w:rPr>
            </w:pPr>
            <w:r>
              <w:rPr>
                <w:rFonts w:ascii="Arial" w:cs="Arial" w:eastAsia="Arial" w:hAnsi="Arial"/>
                <w:sz w:val="15"/>
                <w:szCs w:val="15"/>
                <w:color w:val="auto"/>
              </w:rPr>
              <w:t>EMA decision on regulatory applications in mCRC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26630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-318770</wp:posOffset>
            </wp:positionV>
            <wp:extent cx="54610" cy="54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-201295</wp:posOffset>
            </wp:positionV>
            <wp:extent cx="54610" cy="54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4056380</wp:posOffset>
            </wp:positionH>
            <wp:positionV relativeFrom="paragraph">
              <wp:posOffset>-318770</wp:posOffset>
            </wp:positionV>
            <wp:extent cx="54610" cy="54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4056380</wp:posOffset>
            </wp:positionH>
            <wp:positionV relativeFrom="paragraph">
              <wp:posOffset>-83820</wp:posOffset>
            </wp:positionV>
            <wp:extent cx="54610" cy="54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5"/>
          <w:szCs w:val="15"/>
          <w:b w:val="1"/>
          <w:bCs w:val="1"/>
          <w:i w:val="1"/>
          <w:iCs w:val="1"/>
          <w:color w:val="auto"/>
        </w:rPr>
        <w:t>ARCALYST</w:t>
      </w:r>
    </w:p>
    <w:p>
      <w:pPr>
        <w:spacing w:after="0" w:line="12"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FDA Advisory Committee to discuss ARCALYST supplemental BLA for gout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4056380</wp:posOffset>
            </wp:positionH>
            <wp:positionV relativeFrom="paragraph">
              <wp:posOffset>-68580</wp:posOffset>
            </wp:positionV>
            <wp:extent cx="54610" cy="54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Arial" w:cs="Arial" w:eastAsia="Arial" w:hAnsi="Arial"/>
          <w:sz w:val="15"/>
          <w:szCs w:val="15"/>
          <w:color w:val="auto"/>
        </w:rPr>
        <w:t>on May 8, 2012</w:t>
      </w:r>
    </w:p>
    <w:p>
      <w:pPr>
        <w:spacing w:after="0" w:line="12"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Target date for FDA decision on ARCALYST supplemental BLA for gout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4056380</wp:posOffset>
            </wp:positionH>
            <wp:positionV relativeFrom="paragraph">
              <wp:posOffset>-68580</wp:posOffset>
            </wp:positionV>
            <wp:extent cx="54610" cy="54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Arial" w:cs="Arial" w:eastAsia="Arial" w:hAnsi="Arial"/>
          <w:sz w:val="15"/>
          <w:szCs w:val="15"/>
          <w:color w:val="auto"/>
        </w:rPr>
        <w:t>July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26630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81"/>
        </w:trPr>
        <w:tc>
          <w:tcPr>
            <w:tcW w:w="7560" w:type="dxa"/>
            <w:vAlign w:val="bottom"/>
            <w:gridSpan w:val="3"/>
          </w:tcPr>
          <w:p>
            <w:pPr>
              <w:ind w:left="220"/>
              <w:spacing w:after="0"/>
              <w:rPr>
                <w:sz w:val="20"/>
                <w:szCs w:val="20"/>
                <w:color w:val="auto"/>
              </w:rPr>
            </w:pPr>
            <w:r>
              <w:rPr>
                <w:rFonts w:ascii="Arial" w:cs="Arial" w:eastAsia="Arial" w:hAnsi="Arial"/>
                <w:sz w:val="15"/>
                <w:szCs w:val="15"/>
                <w:b w:val="1"/>
                <w:bCs w:val="1"/>
                <w:i w:val="1"/>
                <w:iCs w:val="1"/>
                <w:color w:val="auto"/>
              </w:rPr>
              <w:t>Antibody-based Clinical Programs:</w:t>
            </w:r>
          </w:p>
        </w:tc>
        <w:tc>
          <w:tcPr>
            <w:tcW w:w="3880" w:type="dxa"/>
            <w:vAlign w:val="bottom"/>
          </w:tcPr>
          <w:p>
            <w:pPr>
              <w:spacing w:after="0"/>
              <w:rPr>
                <w:sz w:val="15"/>
                <w:szCs w:val="15"/>
                <w:color w:val="auto"/>
              </w:rPr>
            </w:pPr>
          </w:p>
        </w:tc>
      </w:tr>
      <w:tr>
        <w:trPr>
          <w:trHeight w:val="371"/>
        </w:trPr>
        <w:tc>
          <w:tcPr>
            <w:tcW w:w="22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3880" w:type="dxa"/>
            <w:vAlign w:val="bottom"/>
          </w:tcPr>
          <w:p>
            <w:pPr>
              <w:jc w:val="center"/>
              <w:ind w:left="324"/>
              <w:spacing w:after="0"/>
              <w:rPr>
                <w:sz w:val="20"/>
                <w:szCs w:val="20"/>
                <w:color w:val="auto"/>
              </w:rPr>
            </w:pPr>
            <w:r>
              <w:rPr>
                <w:rFonts w:ascii="Arial" w:cs="Arial" w:eastAsia="Arial" w:hAnsi="Arial"/>
                <w:sz w:val="15"/>
                <w:szCs w:val="15"/>
                <w:b w:val="1"/>
                <w:bCs w:val="1"/>
                <w:color w:val="auto"/>
                <w:w w:val="88"/>
              </w:rPr>
              <w:t>2012-13 Plans</w:t>
            </w:r>
          </w:p>
        </w:tc>
      </w:tr>
      <w:tr>
        <w:trPr>
          <w:trHeight w:val="215"/>
        </w:trPr>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ind w:left="2840"/>
              <w:spacing w:after="0"/>
              <w:rPr>
                <w:sz w:val="20"/>
                <w:szCs w:val="20"/>
                <w:color w:val="auto"/>
              </w:rPr>
            </w:pPr>
            <w:r>
              <w:rPr>
                <w:rFonts w:ascii="Arial" w:cs="Arial" w:eastAsia="Arial" w:hAnsi="Arial"/>
                <w:sz w:val="15"/>
                <w:szCs w:val="15"/>
                <w:b w:val="1"/>
                <w:bCs w:val="1"/>
                <w:color w:val="auto"/>
              </w:rPr>
              <w:t>2012 Events to Date</w:t>
            </w:r>
          </w:p>
        </w:tc>
        <w:tc>
          <w:tcPr>
            <w:tcW w:w="3880" w:type="dxa"/>
            <w:vAlign w:val="bottom"/>
            <w:tcBorders>
              <w:bottom w:val="single" w:sz="8" w:color="auto"/>
            </w:tcBorders>
          </w:tcPr>
          <w:p>
            <w:pPr>
              <w:jc w:val="center"/>
              <w:ind w:left="324"/>
              <w:spacing w:after="0"/>
              <w:rPr>
                <w:sz w:val="20"/>
                <w:szCs w:val="20"/>
                <w:color w:val="auto"/>
              </w:rPr>
            </w:pPr>
            <w:r>
              <w:rPr>
                <w:rFonts w:ascii="Arial" w:cs="Arial" w:eastAsia="Arial" w:hAnsi="Arial"/>
                <w:sz w:val="15"/>
                <w:szCs w:val="15"/>
                <w:b w:val="1"/>
                <w:bCs w:val="1"/>
                <w:color w:val="auto"/>
                <w:w w:val="89"/>
              </w:rPr>
              <w:t>(next 12 months)</w:t>
            </w:r>
          </w:p>
        </w:tc>
      </w:tr>
      <w:tr>
        <w:trPr>
          <w:trHeight w:val="176"/>
        </w:trPr>
        <w:tc>
          <w:tcPr>
            <w:tcW w:w="7560" w:type="dxa"/>
            <w:vAlign w:val="bottom"/>
            <w:gridSpan w:val="3"/>
          </w:tcPr>
          <w:p>
            <w:pPr>
              <w:ind w:left="220"/>
              <w:spacing w:after="0"/>
              <w:rPr>
                <w:sz w:val="20"/>
                <w:szCs w:val="20"/>
                <w:color w:val="auto"/>
              </w:rPr>
            </w:pPr>
            <w:r>
              <w:rPr>
                <w:rFonts w:ascii="Arial" w:cs="Arial" w:eastAsia="Arial" w:hAnsi="Arial"/>
                <w:sz w:val="15"/>
                <w:szCs w:val="15"/>
                <w:b w:val="1"/>
                <w:bCs w:val="1"/>
                <w:i w:val="1"/>
                <w:iCs w:val="1"/>
                <w:color w:val="auto"/>
              </w:rPr>
              <w:t>Sarilumab</w:t>
            </w:r>
          </w:p>
        </w:tc>
        <w:tc>
          <w:tcPr>
            <w:tcW w:w="3880" w:type="dxa"/>
            <w:vAlign w:val="bottom"/>
          </w:tcPr>
          <w:p>
            <w:pPr>
              <w:ind w:left="1040"/>
              <w:spacing w:after="0"/>
              <w:rPr>
                <w:sz w:val="20"/>
                <w:szCs w:val="20"/>
                <w:color w:val="auto"/>
              </w:rPr>
            </w:pPr>
            <w:r>
              <w:rPr>
                <w:rFonts w:ascii="Arial" w:cs="Arial" w:eastAsia="Arial" w:hAnsi="Arial"/>
                <w:sz w:val="15"/>
                <w:szCs w:val="15"/>
                <w:color w:val="auto"/>
              </w:rPr>
              <w:t>Initiate additional Phase 3 studies</w:t>
            </w:r>
          </w:p>
        </w:tc>
      </w:tr>
      <w:tr>
        <w:trPr>
          <w:trHeight w:val="190"/>
        </w:trPr>
        <w:tc>
          <w:tcPr>
            <w:tcW w:w="7560" w:type="dxa"/>
            <w:vAlign w:val="bottom"/>
            <w:gridSpan w:val="3"/>
          </w:tcPr>
          <w:p>
            <w:pPr>
              <w:ind w:left="220"/>
              <w:spacing w:after="0"/>
              <w:rPr>
                <w:sz w:val="20"/>
                <w:szCs w:val="20"/>
                <w:color w:val="auto"/>
              </w:rPr>
            </w:pPr>
            <w:r>
              <w:rPr>
                <w:rFonts w:ascii="Arial" w:cs="Arial" w:eastAsia="Arial" w:hAnsi="Arial"/>
                <w:sz w:val="15"/>
                <w:szCs w:val="15"/>
                <w:b w:val="1"/>
                <w:bCs w:val="1"/>
                <w:i w:val="1"/>
                <w:iCs w:val="1"/>
                <w:color w:val="auto"/>
              </w:rPr>
              <w:t>(IL-6R Antibody)</w:t>
            </w:r>
          </w:p>
        </w:tc>
        <w:tc>
          <w:tcPr>
            <w:tcW w:w="38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133350</wp:posOffset>
            </wp:positionV>
            <wp:extent cx="726630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-201295</wp:posOffset>
            </wp:positionV>
            <wp:extent cx="54610" cy="54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ectPr>
          <w:pgSz w:w="11900" w:h="16838" w:orient="portrait"/>
          <w:cols w:equalWidth="0" w:num="1">
            <w:col w:w="11460"/>
          </w:cols>
          <w:pgMar w:left="240" w:top="548" w:right="199" w:bottom="1440" w:gutter="0" w:footer="0" w:header="0"/>
        </w:sectPr>
      </w:pPr>
    </w:p>
    <w:p>
      <w:pPr>
        <w:spacing w:after="0" w:line="211" w:lineRule="exact"/>
        <w:rPr>
          <w:sz w:val="20"/>
          <w:szCs w:val="20"/>
          <w:color w:val="auto"/>
        </w:rPr>
      </w:pPr>
    </w:p>
    <w:p>
      <w:pPr>
        <w:ind w:left="220"/>
        <w:spacing w:after="0"/>
        <w:tabs>
          <w:tab w:leader="none" w:pos="4448" w:val="left"/>
        </w:tabs>
        <w:rPr>
          <w:sz w:val="20"/>
          <w:szCs w:val="20"/>
          <w:color w:val="auto"/>
        </w:rPr>
      </w:pPr>
      <w:r>
        <w:rPr>
          <w:rFonts w:ascii="Arial" w:cs="Arial" w:eastAsia="Arial" w:hAnsi="Arial"/>
          <w:sz w:val="15"/>
          <w:szCs w:val="15"/>
          <w:b w:val="1"/>
          <w:bCs w:val="1"/>
          <w:i w:val="1"/>
          <w:iCs w:val="1"/>
          <w:color w:val="auto"/>
        </w:rPr>
        <w:t>REGN727</w:t>
      </w:r>
      <w:r>
        <w:rPr>
          <w:sz w:val="20"/>
          <w:szCs w:val="20"/>
          <w:color w:val="auto"/>
        </w:rPr>
        <w:tab/>
      </w:r>
      <w:r>
        <w:rPr>
          <w:sz w:val="1"/>
          <w:szCs w:val="1"/>
          <w:color w:val="auto"/>
        </w:rPr>
        <w:drawing>
          <wp:inline distT="0" distB="0" distL="0" distR="0">
            <wp:extent cx="54610" cy="5461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610" cy="54610"/>
                    </a:xfrm>
                    <a:prstGeom prst="rect">
                      <a:avLst/>
                    </a:prstGeom>
                    <a:noFill/>
                    <a:ln>
                      <a:noFill/>
                    </a:ln>
                  </pic:spPr>
                </pic:pic>
              </a:graphicData>
            </a:graphic>
          </wp:inline>
        </w:drawing>
      </w:r>
      <w:r>
        <w:rPr>
          <w:rFonts w:ascii="Arial" w:cs="Arial" w:eastAsia="Arial" w:hAnsi="Arial"/>
          <w:sz w:val="15"/>
          <w:szCs w:val="15"/>
          <w:color w:val="auto"/>
        </w:rPr>
        <w:t xml:space="preserve">  Initiated long-term safety study</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 xml:space="preserve">(PCSK9 Antibody)                                        </w:t>
      </w:r>
      <w:r>
        <w:rPr>
          <w:sz w:val="1"/>
          <w:szCs w:val="1"/>
          <w:color w:val="auto"/>
        </w:rPr>
        <w:drawing>
          <wp:inline distT="0" distB="0" distL="0" distR="0">
            <wp:extent cx="54610" cy="5461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610" cy="54610"/>
                    </a:xfrm>
                    <a:prstGeom prst="rect">
                      <a:avLst/>
                    </a:prstGeom>
                    <a:noFill/>
                    <a:ln>
                      <a:noFill/>
                    </a:ln>
                  </pic:spPr>
                </pic:pic>
              </a:graphicData>
            </a:graphic>
          </wp:inline>
        </w:drawing>
      </w:r>
      <w:r>
        <w:rPr>
          <w:rFonts w:ascii="Arial" w:cs="Arial" w:eastAsia="Arial" w:hAnsi="Arial"/>
          <w:sz w:val="15"/>
          <w:szCs w:val="15"/>
          <w:color w:val="auto"/>
        </w:rPr>
        <w:t xml:space="preserve">  Phase 1 data published in New England Journal</w:t>
      </w:r>
    </w:p>
    <w:p>
      <w:pPr>
        <w:spacing w:after="0" w:line="12"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of Medicine</w:t>
      </w:r>
    </w:p>
    <w:p>
      <w:pPr>
        <w:spacing w:after="0" w:line="12"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Reported positive final data from two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2837815</wp:posOffset>
            </wp:positionH>
            <wp:positionV relativeFrom="paragraph">
              <wp:posOffset>-69850</wp:posOffset>
            </wp:positionV>
            <wp:extent cx="54610" cy="54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studies for LDL cholesterol reduction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Initiate Phase 3 program for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-224790</wp:posOffset>
            </wp:positionV>
            <wp:extent cx="54610" cy="54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707" w:lineRule="exact"/>
        <w:rPr>
          <w:sz w:val="20"/>
          <w:szCs w:val="20"/>
          <w:color w:val="auto"/>
        </w:rPr>
      </w:pPr>
    </w:p>
    <w:p>
      <w:pPr>
        <w:sectPr>
          <w:pgSz w:w="11900" w:h="16838" w:orient="portrait"/>
          <w:cols w:equalWidth="0" w:num="2">
            <w:col w:w="7880" w:space="720"/>
            <w:col w:w="2860"/>
          </w:cols>
          <w:pgMar w:left="240" w:top="548" w:right="199" w:bottom="1440" w:gutter="0" w:footer="0" w:header="0"/>
          <w:type w:val="continuous"/>
        </w:sectPr>
      </w:pP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Borders>
              <w:top w:val="single" w:sz="8" w:color="auto"/>
            </w:tcBorders>
          </w:tcPr>
          <w:p>
            <w:pPr>
              <w:ind w:left="220"/>
              <w:spacing w:after="0"/>
              <w:rPr>
                <w:sz w:val="20"/>
                <w:szCs w:val="20"/>
                <w:color w:val="auto"/>
              </w:rPr>
            </w:pPr>
            <w:r>
              <w:rPr>
                <w:rFonts w:ascii="Arial" w:cs="Arial" w:eastAsia="Arial" w:hAnsi="Arial"/>
                <w:sz w:val="15"/>
                <w:szCs w:val="15"/>
                <w:b w:val="1"/>
                <w:bCs w:val="1"/>
                <w:i w:val="1"/>
                <w:iCs w:val="1"/>
                <w:color w:val="auto"/>
              </w:rPr>
              <w:t>REGN668</w:t>
            </w:r>
          </w:p>
        </w:tc>
        <w:tc>
          <w:tcPr>
            <w:tcW w:w="508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tcPr>
          <w:p>
            <w:pPr>
              <w:ind w:left="440"/>
              <w:spacing w:after="0"/>
              <w:rPr>
                <w:sz w:val="20"/>
                <w:szCs w:val="20"/>
                <w:color w:val="auto"/>
              </w:rPr>
            </w:pPr>
            <w:r>
              <w:rPr>
                <w:rFonts w:ascii="Arial" w:cs="Arial" w:eastAsia="Arial" w:hAnsi="Arial"/>
                <w:sz w:val="15"/>
                <w:szCs w:val="15"/>
                <w:color w:val="auto"/>
              </w:rPr>
              <w:t>Report initial results for Phase 1b study in</w:t>
            </w:r>
          </w:p>
        </w:tc>
        <w:tc>
          <w:tcPr>
            <w:tcW w:w="20" w:type="dxa"/>
            <w:vAlign w:val="bottom"/>
          </w:tcPr>
          <w:p>
            <w:pPr>
              <w:spacing w:after="0"/>
              <w:rPr>
                <w:sz w:val="16"/>
                <w:szCs w:val="16"/>
                <w:color w:val="auto"/>
              </w:rPr>
            </w:pPr>
          </w:p>
        </w:tc>
      </w:tr>
      <w:tr>
        <w:trPr>
          <w:trHeight w:val="185"/>
        </w:trPr>
        <w:tc>
          <w:tcPr>
            <w:tcW w:w="3080" w:type="dxa"/>
            <w:vAlign w:val="bottom"/>
          </w:tcPr>
          <w:p>
            <w:pPr>
              <w:ind w:left="220"/>
              <w:spacing w:after="0"/>
              <w:rPr>
                <w:sz w:val="20"/>
                <w:szCs w:val="20"/>
                <w:color w:val="auto"/>
              </w:rPr>
            </w:pPr>
            <w:r>
              <w:rPr>
                <w:rFonts w:ascii="Arial" w:cs="Arial" w:eastAsia="Arial" w:hAnsi="Arial"/>
                <w:sz w:val="15"/>
                <w:szCs w:val="15"/>
                <w:b w:val="1"/>
                <w:bCs w:val="1"/>
                <w:i w:val="1"/>
                <w:iCs w:val="1"/>
                <w:color w:val="auto"/>
              </w:rPr>
              <w:t>(IL-4R Antibody)</w:t>
            </w:r>
          </w:p>
        </w:tc>
        <w:tc>
          <w:tcPr>
            <w:tcW w:w="5080" w:type="dxa"/>
            <w:vAlign w:val="bottom"/>
          </w:tcPr>
          <w:p>
            <w:pPr>
              <w:spacing w:after="0"/>
              <w:rPr>
                <w:sz w:val="16"/>
                <w:szCs w:val="16"/>
                <w:color w:val="auto"/>
              </w:rPr>
            </w:pPr>
          </w:p>
        </w:tc>
        <w:tc>
          <w:tcPr>
            <w:tcW w:w="3280" w:type="dxa"/>
            <w:vAlign w:val="bottom"/>
          </w:tcPr>
          <w:p>
            <w:pPr>
              <w:ind w:left="440"/>
              <w:spacing w:after="0"/>
              <w:rPr>
                <w:sz w:val="20"/>
                <w:szCs w:val="20"/>
                <w:color w:val="auto"/>
              </w:rPr>
            </w:pPr>
            <w:r>
              <w:rPr>
                <w:rFonts w:ascii="Arial" w:cs="Arial" w:eastAsia="Arial" w:hAnsi="Arial"/>
                <w:sz w:val="15"/>
                <w:szCs w:val="15"/>
                <w:color w:val="auto"/>
              </w:rPr>
              <w:t>atopic dermatitis and initiate Phase 2</w:t>
            </w:r>
          </w:p>
        </w:tc>
        <w:tc>
          <w:tcPr>
            <w:tcW w:w="20" w:type="dxa"/>
            <w:vAlign w:val="bottom"/>
          </w:tcPr>
          <w:p>
            <w:pPr>
              <w:spacing w:after="0"/>
              <w:rPr>
                <w:sz w:val="16"/>
                <w:szCs w:val="16"/>
                <w:color w:val="auto"/>
              </w:rPr>
            </w:pPr>
          </w:p>
        </w:tc>
      </w:tr>
      <w:tr>
        <w:trPr>
          <w:trHeight w:val="185"/>
        </w:trPr>
        <w:tc>
          <w:tcPr>
            <w:tcW w:w="30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80" w:type="dxa"/>
            <w:vAlign w:val="bottom"/>
          </w:tcPr>
          <w:p>
            <w:pPr>
              <w:ind w:left="440"/>
              <w:spacing w:after="0"/>
              <w:rPr>
                <w:sz w:val="20"/>
                <w:szCs w:val="20"/>
                <w:color w:val="auto"/>
              </w:rPr>
            </w:pPr>
            <w:r>
              <w:rPr>
                <w:rFonts w:ascii="Arial" w:cs="Arial" w:eastAsia="Arial" w:hAnsi="Arial"/>
                <w:sz w:val="15"/>
                <w:szCs w:val="15"/>
                <w:color w:val="auto"/>
              </w:rPr>
              <w:t>program</w:t>
            </w:r>
          </w:p>
        </w:tc>
        <w:tc>
          <w:tcPr>
            <w:tcW w:w="20" w:type="dxa"/>
            <w:vAlign w:val="bottom"/>
          </w:tcPr>
          <w:p>
            <w:pPr>
              <w:spacing w:after="0"/>
              <w:rPr>
                <w:sz w:val="16"/>
                <w:szCs w:val="16"/>
                <w:color w:val="auto"/>
              </w:rPr>
            </w:pPr>
          </w:p>
        </w:tc>
      </w:tr>
      <w:tr>
        <w:trPr>
          <w:trHeight w:val="185"/>
        </w:trPr>
        <w:tc>
          <w:tcPr>
            <w:tcW w:w="30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80" w:type="dxa"/>
            <w:vAlign w:val="bottom"/>
          </w:tcPr>
          <w:p>
            <w:pPr>
              <w:ind w:left="440"/>
              <w:spacing w:after="0"/>
              <w:rPr>
                <w:sz w:val="20"/>
                <w:szCs w:val="20"/>
                <w:color w:val="auto"/>
              </w:rPr>
            </w:pPr>
            <w:r>
              <w:rPr>
                <w:rFonts w:ascii="Arial" w:cs="Arial" w:eastAsia="Arial" w:hAnsi="Arial"/>
                <w:sz w:val="15"/>
                <w:szCs w:val="15"/>
                <w:color w:val="auto"/>
              </w:rPr>
              <w:t>Report initial results for Phase 2 study in</w:t>
            </w:r>
          </w:p>
        </w:tc>
        <w:tc>
          <w:tcPr>
            <w:tcW w:w="20" w:type="dxa"/>
            <w:vAlign w:val="bottom"/>
          </w:tcPr>
          <w:p>
            <w:pPr>
              <w:spacing w:after="0"/>
              <w:rPr>
                <w:sz w:val="16"/>
                <w:szCs w:val="16"/>
                <w:color w:val="auto"/>
              </w:rPr>
            </w:pPr>
          </w:p>
        </w:tc>
      </w:tr>
      <w:tr>
        <w:trPr>
          <w:trHeight w:val="195"/>
        </w:trPr>
        <w:tc>
          <w:tcPr>
            <w:tcW w:w="30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80" w:type="dxa"/>
            <w:vAlign w:val="bottom"/>
          </w:tcPr>
          <w:p>
            <w:pPr>
              <w:ind w:left="440"/>
              <w:spacing w:after="0"/>
              <w:rPr>
                <w:sz w:val="20"/>
                <w:szCs w:val="20"/>
                <w:color w:val="auto"/>
              </w:rPr>
            </w:pPr>
            <w:r>
              <w:rPr>
                <w:rFonts w:ascii="Arial" w:cs="Arial" w:eastAsia="Arial" w:hAnsi="Arial"/>
                <w:sz w:val="15"/>
                <w:szCs w:val="15"/>
                <w:color w:val="auto"/>
              </w:rPr>
              <w:t>eosinophilic asthma</w:t>
            </w:r>
          </w:p>
        </w:tc>
        <w:tc>
          <w:tcPr>
            <w:tcW w:w="20" w:type="dxa"/>
            <w:vAlign w:val="bottom"/>
          </w:tcPr>
          <w:p>
            <w:pPr>
              <w:spacing w:after="0"/>
              <w:rPr>
                <w:sz w:val="16"/>
                <w:szCs w:val="16"/>
                <w:color w:val="auto"/>
              </w:rPr>
            </w:pPr>
          </w:p>
        </w:tc>
      </w:tr>
      <w:tr>
        <w:trPr>
          <w:trHeight w:val="359"/>
        </w:trPr>
        <w:tc>
          <w:tcPr>
            <w:tcW w:w="30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6"/>
        </w:trPr>
        <w:tc>
          <w:tcPr>
            <w:tcW w:w="3080" w:type="dxa"/>
            <w:vAlign w:val="bottom"/>
          </w:tcPr>
          <w:p>
            <w:pPr>
              <w:ind w:left="220"/>
              <w:spacing w:after="0" w:line="166" w:lineRule="exact"/>
              <w:rPr>
                <w:sz w:val="20"/>
                <w:szCs w:val="20"/>
                <w:color w:val="auto"/>
              </w:rPr>
            </w:pPr>
            <w:r>
              <w:rPr>
                <w:rFonts w:ascii="Arial" w:cs="Arial" w:eastAsia="Arial" w:hAnsi="Arial"/>
                <w:sz w:val="15"/>
                <w:szCs w:val="15"/>
                <w:b w:val="1"/>
                <w:bCs w:val="1"/>
                <w:i w:val="1"/>
                <w:iCs w:val="1"/>
                <w:color w:val="auto"/>
              </w:rPr>
              <w:t>REGN421</w:t>
            </w:r>
          </w:p>
        </w:tc>
        <w:tc>
          <w:tcPr>
            <w:tcW w:w="5080" w:type="dxa"/>
            <w:vAlign w:val="bottom"/>
          </w:tcPr>
          <w:p>
            <w:pPr>
              <w:ind w:left="1580"/>
              <w:spacing w:after="0" w:line="166" w:lineRule="exact"/>
              <w:rPr>
                <w:sz w:val="20"/>
                <w:szCs w:val="20"/>
                <w:color w:val="auto"/>
              </w:rPr>
            </w:pPr>
            <w:r>
              <w:rPr>
                <w:rFonts w:ascii="Arial" w:cs="Arial" w:eastAsia="Arial" w:hAnsi="Arial"/>
                <w:sz w:val="15"/>
                <w:szCs w:val="15"/>
                <w:color w:val="auto"/>
              </w:rPr>
              <w:t>Continued patient enrollment in Phase 1 program</w:t>
            </w:r>
          </w:p>
        </w:tc>
        <w:tc>
          <w:tcPr>
            <w:tcW w:w="3280" w:type="dxa"/>
            <w:vAlign w:val="bottom"/>
          </w:tcPr>
          <w:p>
            <w:pPr>
              <w:ind w:left="440"/>
              <w:spacing w:after="0" w:line="166" w:lineRule="exact"/>
              <w:rPr>
                <w:sz w:val="20"/>
                <w:szCs w:val="20"/>
                <w:color w:val="auto"/>
              </w:rPr>
            </w:pPr>
            <w:r>
              <w:rPr>
                <w:rFonts w:ascii="Arial" w:cs="Arial" w:eastAsia="Arial" w:hAnsi="Arial"/>
                <w:sz w:val="15"/>
                <w:szCs w:val="15"/>
                <w:color w:val="auto"/>
              </w:rPr>
              <w:t>Initiate a Phase 1b program in advanced</w:t>
            </w:r>
          </w:p>
        </w:tc>
        <w:tc>
          <w:tcPr>
            <w:tcW w:w="20" w:type="dxa"/>
            <w:vAlign w:val="bottom"/>
          </w:tcPr>
          <w:p>
            <w:pPr>
              <w:spacing w:after="0"/>
              <w:rPr>
                <w:sz w:val="14"/>
                <w:szCs w:val="14"/>
                <w:color w:val="auto"/>
              </w:rPr>
            </w:pPr>
          </w:p>
        </w:tc>
      </w:tr>
      <w:tr>
        <w:trPr>
          <w:trHeight w:val="195"/>
        </w:trPr>
        <w:tc>
          <w:tcPr>
            <w:tcW w:w="3080" w:type="dxa"/>
            <w:vAlign w:val="bottom"/>
          </w:tcPr>
          <w:p>
            <w:pPr>
              <w:ind w:left="220"/>
              <w:spacing w:after="0"/>
              <w:rPr>
                <w:sz w:val="20"/>
                <w:szCs w:val="20"/>
                <w:color w:val="auto"/>
              </w:rPr>
            </w:pPr>
            <w:r>
              <w:rPr>
                <w:rFonts w:ascii="Arial" w:cs="Arial" w:eastAsia="Arial" w:hAnsi="Arial"/>
                <w:sz w:val="15"/>
                <w:szCs w:val="15"/>
                <w:b w:val="1"/>
                <w:bCs w:val="1"/>
                <w:i w:val="1"/>
                <w:iCs w:val="1"/>
                <w:color w:val="auto"/>
              </w:rPr>
              <w:t>(Dll4 Antibody)</w:t>
            </w:r>
          </w:p>
        </w:tc>
        <w:tc>
          <w:tcPr>
            <w:tcW w:w="5080" w:type="dxa"/>
            <w:vAlign w:val="bottom"/>
          </w:tcPr>
          <w:p>
            <w:pPr>
              <w:spacing w:after="0"/>
              <w:rPr>
                <w:sz w:val="16"/>
                <w:szCs w:val="16"/>
                <w:color w:val="auto"/>
              </w:rPr>
            </w:pPr>
          </w:p>
        </w:tc>
        <w:tc>
          <w:tcPr>
            <w:tcW w:w="3280" w:type="dxa"/>
            <w:vAlign w:val="bottom"/>
          </w:tcPr>
          <w:p>
            <w:pPr>
              <w:ind w:left="440"/>
              <w:spacing w:after="0"/>
              <w:rPr>
                <w:sz w:val="20"/>
                <w:szCs w:val="20"/>
                <w:color w:val="auto"/>
              </w:rPr>
            </w:pPr>
            <w:r>
              <w:rPr>
                <w:rFonts w:ascii="Arial" w:cs="Arial" w:eastAsia="Arial" w:hAnsi="Arial"/>
                <w:sz w:val="15"/>
                <w:szCs w:val="15"/>
                <w:color w:val="auto"/>
              </w:rPr>
              <w:t>malignancies</w:t>
            </w:r>
          </w:p>
        </w:tc>
        <w:tc>
          <w:tcPr>
            <w:tcW w:w="20" w:type="dxa"/>
            <w:vAlign w:val="bottom"/>
          </w:tcPr>
          <w:p>
            <w:pPr>
              <w:spacing w:after="0"/>
              <w:rPr>
                <w:sz w:val="16"/>
                <w:szCs w:val="16"/>
                <w:color w:val="auto"/>
              </w:rPr>
            </w:pPr>
          </w:p>
        </w:tc>
      </w:tr>
      <w:tr>
        <w:trPr>
          <w:trHeight w:val="359"/>
        </w:trPr>
        <w:tc>
          <w:tcPr>
            <w:tcW w:w="30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3080" w:type="dxa"/>
            <w:vAlign w:val="bottom"/>
          </w:tcPr>
          <w:p>
            <w:pPr>
              <w:ind w:left="220"/>
              <w:spacing w:after="0" w:line="169" w:lineRule="exact"/>
              <w:rPr>
                <w:sz w:val="20"/>
                <w:szCs w:val="20"/>
                <w:color w:val="auto"/>
              </w:rPr>
            </w:pPr>
            <w:r>
              <w:rPr>
                <w:rFonts w:ascii="Arial" w:cs="Arial" w:eastAsia="Arial" w:hAnsi="Arial"/>
                <w:sz w:val="15"/>
                <w:szCs w:val="15"/>
                <w:b w:val="1"/>
                <w:bCs w:val="1"/>
                <w:i w:val="1"/>
                <w:iCs w:val="1"/>
                <w:color w:val="auto"/>
              </w:rPr>
              <w:t>REGN910</w:t>
            </w:r>
          </w:p>
        </w:tc>
        <w:tc>
          <w:tcPr>
            <w:tcW w:w="5080" w:type="dxa"/>
            <w:vAlign w:val="bottom"/>
          </w:tcPr>
          <w:p>
            <w:pPr>
              <w:ind w:left="1580"/>
              <w:spacing w:after="0" w:line="169" w:lineRule="exact"/>
              <w:rPr>
                <w:sz w:val="20"/>
                <w:szCs w:val="20"/>
                <w:color w:val="auto"/>
              </w:rPr>
            </w:pPr>
            <w:r>
              <w:rPr>
                <w:rFonts w:ascii="Arial" w:cs="Arial" w:eastAsia="Arial" w:hAnsi="Arial"/>
                <w:sz w:val="15"/>
                <w:szCs w:val="15"/>
                <w:color w:val="auto"/>
              </w:rPr>
              <w:t>Continued patient enrollment in Phase 1 program</w:t>
            </w: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3080" w:type="dxa"/>
            <w:vAlign w:val="bottom"/>
          </w:tcPr>
          <w:p>
            <w:pPr>
              <w:ind w:left="220"/>
              <w:spacing w:after="0"/>
              <w:rPr>
                <w:sz w:val="20"/>
                <w:szCs w:val="20"/>
                <w:color w:val="auto"/>
              </w:rPr>
            </w:pPr>
            <w:r>
              <w:rPr>
                <w:rFonts w:ascii="Arial" w:cs="Arial" w:eastAsia="Arial" w:hAnsi="Arial"/>
                <w:sz w:val="15"/>
                <w:szCs w:val="15"/>
                <w:b w:val="1"/>
                <w:bCs w:val="1"/>
                <w:i w:val="1"/>
                <w:iCs w:val="1"/>
                <w:color w:val="auto"/>
              </w:rPr>
              <w:t>(ANG2 Antibody)</w:t>
            </w:r>
          </w:p>
        </w:tc>
        <w:tc>
          <w:tcPr>
            <w:tcW w:w="50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08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66"/>
        </w:trPr>
        <w:tc>
          <w:tcPr>
            <w:tcW w:w="3080" w:type="dxa"/>
            <w:vAlign w:val="bottom"/>
          </w:tcPr>
          <w:p>
            <w:pPr>
              <w:ind w:left="220"/>
              <w:spacing w:after="0" w:line="166" w:lineRule="exact"/>
              <w:rPr>
                <w:sz w:val="20"/>
                <w:szCs w:val="20"/>
                <w:color w:val="auto"/>
              </w:rPr>
            </w:pPr>
            <w:r>
              <w:rPr>
                <w:rFonts w:ascii="Arial" w:cs="Arial" w:eastAsia="Arial" w:hAnsi="Arial"/>
                <w:sz w:val="15"/>
                <w:szCs w:val="15"/>
                <w:b w:val="1"/>
                <w:bCs w:val="1"/>
                <w:i w:val="1"/>
                <w:iCs w:val="1"/>
                <w:color w:val="auto"/>
              </w:rPr>
              <w:t>REGN475</w:t>
            </w:r>
          </w:p>
        </w:tc>
        <w:tc>
          <w:tcPr>
            <w:tcW w:w="5080" w:type="dxa"/>
            <w:vAlign w:val="bottom"/>
          </w:tcPr>
          <w:p>
            <w:pPr>
              <w:ind w:left="1580"/>
              <w:spacing w:after="0" w:line="166" w:lineRule="exact"/>
              <w:rPr>
                <w:sz w:val="20"/>
                <w:szCs w:val="20"/>
                <w:color w:val="auto"/>
              </w:rPr>
            </w:pPr>
            <w:r>
              <w:rPr>
                <w:rFonts w:ascii="Arial" w:cs="Arial" w:eastAsia="Arial" w:hAnsi="Arial"/>
                <w:sz w:val="15"/>
                <w:szCs w:val="15"/>
                <w:color w:val="auto"/>
              </w:rPr>
              <w:t>Anti-NGF class of antibodies is on clinical hold</w:t>
            </w:r>
          </w:p>
        </w:tc>
        <w:tc>
          <w:tcPr>
            <w:tcW w:w="3280" w:type="dxa"/>
            <w:vAlign w:val="bottom"/>
          </w:tcPr>
          <w:p>
            <w:pPr>
              <w:ind w:left="440"/>
              <w:spacing w:after="0" w:line="166" w:lineRule="exact"/>
              <w:rPr>
                <w:sz w:val="20"/>
                <w:szCs w:val="20"/>
                <w:color w:val="auto"/>
              </w:rPr>
            </w:pPr>
            <w:r>
              <w:rPr>
                <w:rFonts w:ascii="Arial" w:cs="Arial" w:eastAsia="Arial" w:hAnsi="Arial"/>
                <w:sz w:val="15"/>
                <w:szCs w:val="15"/>
                <w:color w:val="auto"/>
              </w:rPr>
              <w:t>Determine future development plan</w:t>
            </w:r>
          </w:p>
        </w:tc>
        <w:tc>
          <w:tcPr>
            <w:tcW w:w="20" w:type="dxa"/>
            <w:vAlign w:val="bottom"/>
          </w:tcPr>
          <w:p>
            <w:pPr>
              <w:spacing w:after="0"/>
              <w:rPr>
                <w:sz w:val="14"/>
                <w:szCs w:val="14"/>
                <w:color w:val="auto"/>
              </w:rPr>
            </w:pPr>
          </w:p>
        </w:tc>
      </w:tr>
      <w:tr>
        <w:trPr>
          <w:trHeight w:val="185"/>
        </w:trPr>
        <w:tc>
          <w:tcPr>
            <w:tcW w:w="3080" w:type="dxa"/>
            <w:vAlign w:val="bottom"/>
          </w:tcPr>
          <w:p>
            <w:pPr>
              <w:ind w:left="220"/>
              <w:spacing w:after="0"/>
              <w:rPr>
                <w:sz w:val="20"/>
                <w:szCs w:val="20"/>
                <w:color w:val="auto"/>
              </w:rPr>
            </w:pPr>
            <w:r>
              <w:rPr>
                <w:rFonts w:ascii="Arial" w:cs="Arial" w:eastAsia="Arial" w:hAnsi="Arial"/>
                <w:sz w:val="15"/>
                <w:szCs w:val="15"/>
                <w:b w:val="1"/>
                <w:bCs w:val="1"/>
                <w:i w:val="1"/>
                <w:iCs w:val="1"/>
                <w:color w:val="auto"/>
              </w:rPr>
              <w:t>(NGF Antibody)</w:t>
            </w:r>
          </w:p>
        </w:tc>
        <w:tc>
          <w:tcPr>
            <w:tcW w:w="5080" w:type="dxa"/>
            <w:vAlign w:val="bottom"/>
          </w:tcPr>
          <w:p>
            <w:pPr>
              <w:ind w:left="1580"/>
              <w:spacing w:after="0"/>
              <w:rPr>
                <w:sz w:val="20"/>
                <w:szCs w:val="20"/>
                <w:color w:val="auto"/>
              </w:rPr>
            </w:pPr>
            <w:r>
              <w:rPr>
                <w:rFonts w:ascii="Arial" w:cs="Arial" w:eastAsia="Arial" w:hAnsi="Arial"/>
                <w:sz w:val="15"/>
                <w:szCs w:val="15"/>
                <w:color w:val="auto"/>
              </w:rPr>
              <w:t>FDA Advisory Committee voted unanimously in</w:t>
            </w:r>
          </w:p>
        </w:tc>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080" w:type="dxa"/>
            <w:vAlign w:val="bottom"/>
          </w:tcPr>
          <w:p>
            <w:pPr>
              <w:spacing w:after="0"/>
              <w:rPr>
                <w:sz w:val="16"/>
                <w:szCs w:val="16"/>
                <w:color w:val="auto"/>
              </w:rPr>
            </w:pPr>
          </w:p>
        </w:tc>
        <w:tc>
          <w:tcPr>
            <w:tcW w:w="5080" w:type="dxa"/>
            <w:vAlign w:val="bottom"/>
          </w:tcPr>
          <w:p>
            <w:pPr>
              <w:ind w:left="1580"/>
              <w:spacing w:after="0"/>
              <w:rPr>
                <w:sz w:val="20"/>
                <w:szCs w:val="20"/>
                <w:color w:val="auto"/>
              </w:rPr>
            </w:pPr>
            <w:r>
              <w:rPr>
                <w:rFonts w:ascii="Arial" w:cs="Arial" w:eastAsia="Arial" w:hAnsi="Arial"/>
                <w:sz w:val="15"/>
                <w:szCs w:val="15"/>
                <w:color w:val="auto"/>
              </w:rPr>
              <w:t>favor of a role for the ongoing development of</w:t>
            </w:r>
          </w:p>
        </w:tc>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080" w:type="dxa"/>
            <w:vAlign w:val="bottom"/>
          </w:tcPr>
          <w:p>
            <w:pPr>
              <w:spacing w:after="0"/>
              <w:rPr>
                <w:sz w:val="16"/>
                <w:szCs w:val="16"/>
                <w:color w:val="auto"/>
              </w:rPr>
            </w:pPr>
          </w:p>
        </w:tc>
        <w:tc>
          <w:tcPr>
            <w:tcW w:w="5080" w:type="dxa"/>
            <w:vAlign w:val="bottom"/>
          </w:tcPr>
          <w:p>
            <w:pPr>
              <w:ind w:left="1580"/>
              <w:spacing w:after="0"/>
              <w:rPr>
                <w:sz w:val="20"/>
                <w:szCs w:val="20"/>
                <w:color w:val="auto"/>
              </w:rPr>
            </w:pPr>
            <w:r>
              <w:rPr>
                <w:rFonts w:ascii="Arial" w:cs="Arial" w:eastAsia="Arial" w:hAnsi="Arial"/>
                <w:sz w:val="15"/>
                <w:szCs w:val="15"/>
                <w:color w:val="auto"/>
              </w:rPr>
              <w:t>anti-NGF agents in osteoarthritis</w:t>
            </w:r>
          </w:p>
        </w:tc>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3080" w:type="dxa"/>
            <w:vAlign w:val="bottom"/>
          </w:tcPr>
          <w:p>
            <w:pPr>
              <w:spacing w:after="0"/>
              <w:rPr>
                <w:sz w:val="16"/>
                <w:szCs w:val="16"/>
                <w:color w:val="auto"/>
              </w:rPr>
            </w:pPr>
          </w:p>
        </w:tc>
        <w:tc>
          <w:tcPr>
            <w:tcW w:w="5080" w:type="dxa"/>
            <w:vAlign w:val="bottom"/>
          </w:tcPr>
          <w:p>
            <w:pPr>
              <w:ind w:left="1580"/>
              <w:spacing w:after="0"/>
              <w:rPr>
                <w:sz w:val="20"/>
                <w:szCs w:val="20"/>
                <w:color w:val="auto"/>
              </w:rPr>
            </w:pPr>
            <w:r>
              <w:rPr>
                <w:rFonts w:ascii="Arial" w:cs="Arial" w:eastAsia="Arial" w:hAnsi="Arial"/>
                <w:sz w:val="15"/>
                <w:szCs w:val="15"/>
                <w:color w:val="auto"/>
              </w:rPr>
              <w:t>Sanofi elected not to co-develop REGN475</w:t>
            </w:r>
          </w:p>
        </w:tc>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59"/>
        </w:trPr>
        <w:tc>
          <w:tcPr>
            <w:tcW w:w="30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3080" w:type="dxa"/>
            <w:vAlign w:val="bottom"/>
          </w:tcPr>
          <w:p>
            <w:pPr>
              <w:ind w:left="220"/>
              <w:spacing w:after="0" w:line="169" w:lineRule="exact"/>
              <w:rPr>
                <w:sz w:val="20"/>
                <w:szCs w:val="20"/>
                <w:color w:val="auto"/>
              </w:rPr>
            </w:pPr>
            <w:r>
              <w:rPr>
                <w:rFonts w:ascii="Arial" w:cs="Arial" w:eastAsia="Arial" w:hAnsi="Arial"/>
                <w:sz w:val="15"/>
                <w:szCs w:val="15"/>
                <w:b w:val="1"/>
                <w:bCs w:val="1"/>
                <w:i w:val="1"/>
                <w:iCs w:val="1"/>
                <w:color w:val="auto"/>
              </w:rPr>
              <w:t>REGN728</w:t>
            </w:r>
          </w:p>
        </w:tc>
        <w:tc>
          <w:tcPr>
            <w:tcW w:w="5080" w:type="dxa"/>
            <w:vAlign w:val="bottom"/>
          </w:tcPr>
          <w:p>
            <w:pPr>
              <w:ind w:left="1580"/>
              <w:spacing w:after="0" w:line="169" w:lineRule="exact"/>
              <w:rPr>
                <w:sz w:val="20"/>
                <w:szCs w:val="20"/>
                <w:color w:val="auto"/>
              </w:rPr>
            </w:pPr>
            <w:r>
              <w:rPr>
                <w:rFonts w:ascii="Arial" w:cs="Arial" w:eastAsia="Arial" w:hAnsi="Arial"/>
                <w:sz w:val="15"/>
                <w:szCs w:val="15"/>
                <w:color w:val="auto"/>
              </w:rPr>
              <w:t>Completed Phase 1 study</w:t>
            </w: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3080" w:type="dxa"/>
            <w:vAlign w:val="bottom"/>
          </w:tcPr>
          <w:p>
            <w:pPr>
              <w:ind w:left="220"/>
              <w:spacing w:after="0"/>
              <w:rPr>
                <w:sz w:val="20"/>
                <w:szCs w:val="20"/>
                <w:color w:val="auto"/>
              </w:rPr>
            </w:pPr>
            <w:r>
              <w:rPr>
                <w:rFonts w:ascii="Arial" w:cs="Arial" w:eastAsia="Arial" w:hAnsi="Arial"/>
                <w:sz w:val="15"/>
                <w:szCs w:val="15"/>
                <w:b w:val="1"/>
                <w:bCs w:val="1"/>
                <w:i w:val="1"/>
                <w:iCs w:val="1"/>
                <w:color w:val="auto"/>
              </w:rPr>
              <w:t>(target not disclosed)</w:t>
            </w:r>
          </w:p>
        </w:tc>
        <w:tc>
          <w:tcPr>
            <w:tcW w:w="50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08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66"/>
        </w:trPr>
        <w:tc>
          <w:tcPr>
            <w:tcW w:w="3080" w:type="dxa"/>
            <w:vAlign w:val="bottom"/>
          </w:tcPr>
          <w:p>
            <w:pPr>
              <w:ind w:left="220"/>
              <w:spacing w:after="0" w:line="166" w:lineRule="exact"/>
              <w:rPr>
                <w:sz w:val="20"/>
                <w:szCs w:val="20"/>
                <w:color w:val="auto"/>
              </w:rPr>
            </w:pPr>
            <w:r>
              <w:rPr>
                <w:rFonts w:ascii="Arial" w:cs="Arial" w:eastAsia="Arial" w:hAnsi="Arial"/>
                <w:sz w:val="15"/>
                <w:szCs w:val="15"/>
                <w:b w:val="1"/>
                <w:bCs w:val="1"/>
                <w:i w:val="1"/>
                <w:iCs w:val="1"/>
                <w:color w:val="auto"/>
              </w:rPr>
              <w:t>REGN846</w:t>
            </w:r>
          </w:p>
        </w:tc>
        <w:tc>
          <w:tcPr>
            <w:tcW w:w="5080" w:type="dxa"/>
            <w:vAlign w:val="bottom"/>
          </w:tcPr>
          <w:p>
            <w:pPr>
              <w:ind w:left="1580"/>
              <w:spacing w:after="0" w:line="166" w:lineRule="exact"/>
              <w:rPr>
                <w:sz w:val="20"/>
                <w:szCs w:val="20"/>
                <w:color w:val="auto"/>
              </w:rPr>
            </w:pPr>
            <w:r>
              <w:rPr>
                <w:rFonts w:ascii="Arial" w:cs="Arial" w:eastAsia="Arial" w:hAnsi="Arial"/>
                <w:sz w:val="15"/>
                <w:szCs w:val="15"/>
                <w:color w:val="auto"/>
              </w:rPr>
              <w:t>Continued patient enrollment in Phase 2a</w:t>
            </w: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5"/>
        </w:trPr>
        <w:tc>
          <w:tcPr>
            <w:tcW w:w="3080" w:type="dxa"/>
            <w:vAlign w:val="bottom"/>
          </w:tcPr>
          <w:p>
            <w:pPr>
              <w:ind w:left="220"/>
              <w:spacing w:after="0"/>
              <w:rPr>
                <w:sz w:val="20"/>
                <w:szCs w:val="20"/>
                <w:color w:val="auto"/>
              </w:rPr>
            </w:pPr>
            <w:r>
              <w:rPr>
                <w:rFonts w:ascii="Arial" w:cs="Arial" w:eastAsia="Arial" w:hAnsi="Arial"/>
                <w:sz w:val="15"/>
                <w:szCs w:val="15"/>
                <w:b w:val="1"/>
                <w:bCs w:val="1"/>
                <w:i w:val="1"/>
                <w:iCs w:val="1"/>
                <w:color w:val="auto"/>
              </w:rPr>
              <w:t>(target not disclosed)</w:t>
            </w:r>
          </w:p>
        </w:tc>
        <w:tc>
          <w:tcPr>
            <w:tcW w:w="5080" w:type="dxa"/>
            <w:vAlign w:val="bottom"/>
          </w:tcPr>
          <w:p>
            <w:pPr>
              <w:ind w:left="1580"/>
              <w:spacing w:after="0"/>
              <w:rPr>
                <w:sz w:val="20"/>
                <w:szCs w:val="20"/>
                <w:color w:val="auto"/>
              </w:rPr>
            </w:pPr>
            <w:r>
              <w:rPr>
                <w:rFonts w:ascii="Arial" w:cs="Arial" w:eastAsia="Arial" w:hAnsi="Arial"/>
                <w:sz w:val="15"/>
                <w:szCs w:val="15"/>
                <w:color w:val="auto"/>
              </w:rPr>
              <w:t>program in atopic dermatitis</w:t>
            </w:r>
          </w:p>
        </w:tc>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59"/>
        </w:trPr>
        <w:tc>
          <w:tcPr>
            <w:tcW w:w="30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3080" w:type="dxa"/>
            <w:vAlign w:val="bottom"/>
          </w:tcPr>
          <w:p>
            <w:pPr>
              <w:ind w:left="220"/>
              <w:spacing w:after="0" w:line="169" w:lineRule="exact"/>
              <w:rPr>
                <w:sz w:val="20"/>
                <w:szCs w:val="20"/>
                <w:color w:val="auto"/>
              </w:rPr>
            </w:pPr>
            <w:r>
              <w:rPr>
                <w:rFonts w:ascii="Arial" w:cs="Arial" w:eastAsia="Arial" w:hAnsi="Arial"/>
                <w:sz w:val="15"/>
                <w:szCs w:val="15"/>
                <w:b w:val="1"/>
                <w:bCs w:val="1"/>
                <w:i w:val="1"/>
                <w:iCs w:val="1"/>
                <w:color w:val="auto"/>
              </w:rPr>
              <w:t>REGN1033</w:t>
            </w:r>
          </w:p>
        </w:tc>
        <w:tc>
          <w:tcPr>
            <w:tcW w:w="5080" w:type="dxa"/>
            <w:vAlign w:val="bottom"/>
          </w:tcPr>
          <w:p>
            <w:pPr>
              <w:ind w:left="1580"/>
              <w:spacing w:after="0" w:line="169" w:lineRule="exact"/>
              <w:rPr>
                <w:sz w:val="20"/>
                <w:szCs w:val="20"/>
                <w:color w:val="auto"/>
              </w:rPr>
            </w:pPr>
            <w:r>
              <w:rPr>
                <w:rFonts w:ascii="Arial" w:cs="Arial" w:eastAsia="Arial" w:hAnsi="Arial"/>
                <w:sz w:val="15"/>
                <w:szCs w:val="15"/>
                <w:color w:val="auto"/>
              </w:rPr>
              <w:t>Initiated Phase 1 program</w:t>
            </w: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3080" w:type="dxa"/>
            <w:vAlign w:val="bottom"/>
          </w:tcPr>
          <w:p>
            <w:pPr>
              <w:ind w:left="220"/>
              <w:spacing w:after="0"/>
              <w:rPr>
                <w:sz w:val="20"/>
                <w:szCs w:val="20"/>
                <w:color w:val="auto"/>
              </w:rPr>
            </w:pPr>
            <w:r>
              <w:rPr>
                <w:rFonts w:ascii="Arial" w:cs="Arial" w:eastAsia="Arial" w:hAnsi="Arial"/>
                <w:sz w:val="15"/>
                <w:szCs w:val="15"/>
                <w:b w:val="1"/>
                <w:bCs w:val="1"/>
                <w:i w:val="1"/>
                <w:iCs w:val="1"/>
                <w:color w:val="auto"/>
              </w:rPr>
              <w:t>(target not disclosed)</w:t>
            </w:r>
          </w:p>
        </w:tc>
        <w:tc>
          <w:tcPr>
            <w:tcW w:w="50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08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69"/>
        </w:trPr>
        <w:tc>
          <w:tcPr>
            <w:tcW w:w="3080" w:type="dxa"/>
            <w:vAlign w:val="bottom"/>
          </w:tcPr>
          <w:p>
            <w:pPr>
              <w:ind w:left="220"/>
              <w:spacing w:after="0" w:line="169" w:lineRule="exact"/>
              <w:rPr>
                <w:sz w:val="20"/>
                <w:szCs w:val="20"/>
                <w:color w:val="auto"/>
              </w:rPr>
            </w:pPr>
            <w:r>
              <w:rPr>
                <w:rFonts w:ascii="Arial" w:cs="Arial" w:eastAsia="Arial" w:hAnsi="Arial"/>
                <w:sz w:val="15"/>
                <w:szCs w:val="15"/>
                <w:b w:val="1"/>
                <w:bCs w:val="1"/>
                <w:i w:val="1"/>
                <w:iCs w:val="1"/>
                <w:color w:val="auto"/>
              </w:rPr>
              <w:t>REGN1154</w:t>
            </w:r>
          </w:p>
        </w:tc>
        <w:tc>
          <w:tcPr>
            <w:tcW w:w="5080" w:type="dxa"/>
            <w:vAlign w:val="bottom"/>
          </w:tcPr>
          <w:p>
            <w:pPr>
              <w:ind w:left="1580"/>
              <w:spacing w:after="0" w:line="169" w:lineRule="exact"/>
              <w:rPr>
                <w:sz w:val="20"/>
                <w:szCs w:val="20"/>
                <w:color w:val="auto"/>
              </w:rPr>
            </w:pPr>
            <w:r>
              <w:rPr>
                <w:rFonts w:ascii="Arial" w:cs="Arial" w:eastAsia="Arial" w:hAnsi="Arial"/>
                <w:sz w:val="15"/>
                <w:szCs w:val="15"/>
                <w:color w:val="auto"/>
              </w:rPr>
              <w:t>Initiated Phase 1 program</w:t>
            </w: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3080" w:type="dxa"/>
            <w:vAlign w:val="bottom"/>
          </w:tcPr>
          <w:p>
            <w:pPr>
              <w:ind w:left="220"/>
              <w:spacing w:after="0"/>
              <w:rPr>
                <w:sz w:val="20"/>
                <w:szCs w:val="20"/>
                <w:color w:val="auto"/>
              </w:rPr>
            </w:pPr>
            <w:r>
              <w:rPr>
                <w:rFonts w:ascii="Arial" w:cs="Arial" w:eastAsia="Arial" w:hAnsi="Arial"/>
                <w:sz w:val="15"/>
                <w:szCs w:val="15"/>
                <w:b w:val="1"/>
                <w:bCs w:val="1"/>
                <w:i w:val="1"/>
                <w:iCs w:val="1"/>
                <w:color w:val="auto"/>
              </w:rPr>
              <w:t>(target not disclosed)</w:t>
            </w:r>
          </w:p>
        </w:tc>
        <w:tc>
          <w:tcPr>
            <w:tcW w:w="50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08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67"/>
        </w:trPr>
        <w:tc>
          <w:tcPr>
            <w:tcW w:w="3080" w:type="dxa"/>
            <w:vAlign w:val="bottom"/>
          </w:tcPr>
          <w:p>
            <w:pPr>
              <w:spacing w:after="0"/>
              <w:rPr>
                <w:sz w:val="24"/>
                <w:szCs w:val="24"/>
                <w:color w:val="auto"/>
              </w:rPr>
            </w:pPr>
          </w:p>
        </w:tc>
        <w:tc>
          <w:tcPr>
            <w:tcW w:w="5080" w:type="dxa"/>
            <w:vAlign w:val="bottom"/>
          </w:tcPr>
          <w:p>
            <w:pPr>
              <w:ind w:left="2560"/>
              <w:spacing w:after="0"/>
              <w:rPr>
                <w:sz w:val="20"/>
                <w:szCs w:val="20"/>
                <w:color w:val="auto"/>
              </w:rPr>
            </w:pPr>
            <w:r>
              <w:rPr>
                <w:rFonts w:ascii="Arial" w:cs="Arial" w:eastAsia="Arial" w:hAnsi="Arial"/>
                <w:sz w:val="15"/>
                <w:szCs w:val="15"/>
                <w:color w:val="auto"/>
              </w:rPr>
              <w:t>27</w:t>
            </w: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3080" w:type="dxa"/>
            <w:vAlign w:val="bottom"/>
            <w:tcBorders>
              <w:bottom w:val="single" w:sz="8" w:color="808080"/>
            </w:tcBorders>
          </w:tcPr>
          <w:p>
            <w:pPr>
              <w:spacing w:after="0"/>
              <w:rPr>
                <w:sz w:val="16"/>
                <w:szCs w:val="16"/>
                <w:color w:val="auto"/>
              </w:rPr>
            </w:pPr>
          </w:p>
        </w:tc>
        <w:tc>
          <w:tcPr>
            <w:tcW w:w="5080" w:type="dxa"/>
            <w:vAlign w:val="bottom"/>
            <w:tcBorders>
              <w:bottom w:val="single" w:sz="8" w:color="808080"/>
            </w:tcBorders>
          </w:tcPr>
          <w:p>
            <w:pPr>
              <w:spacing w:after="0"/>
              <w:rPr>
                <w:sz w:val="16"/>
                <w:szCs w:val="16"/>
                <w:color w:val="auto"/>
              </w:rPr>
            </w:pPr>
          </w:p>
        </w:tc>
        <w:tc>
          <w:tcPr>
            <w:tcW w:w="32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-13335</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-4550410</wp:posOffset>
            </wp:positionV>
            <wp:extent cx="54610" cy="54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-4198620</wp:posOffset>
            </wp:positionV>
            <wp:extent cx="54610" cy="54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-3728720</wp:posOffset>
            </wp:positionV>
            <wp:extent cx="54610" cy="54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-3728720</wp:posOffset>
            </wp:positionV>
            <wp:extent cx="54610" cy="54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-3258820</wp:posOffset>
            </wp:positionV>
            <wp:extent cx="54610" cy="54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-2884805</wp:posOffset>
            </wp:positionV>
            <wp:extent cx="54610" cy="54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-2767330</wp:posOffset>
            </wp:positionV>
            <wp:extent cx="54610" cy="54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-2414905</wp:posOffset>
            </wp:positionV>
            <wp:extent cx="54610" cy="54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-2884805</wp:posOffset>
            </wp:positionV>
            <wp:extent cx="54610" cy="54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-2062480</wp:posOffset>
            </wp:positionV>
            <wp:extent cx="54610" cy="54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-1688465</wp:posOffset>
            </wp:positionV>
            <wp:extent cx="54610" cy="54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-1218565</wp:posOffset>
            </wp:positionV>
            <wp:extent cx="54610" cy="54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2837815</wp:posOffset>
            </wp:positionH>
            <wp:positionV relativeFrom="paragraph">
              <wp:posOffset>-843915</wp:posOffset>
            </wp:positionV>
            <wp:extent cx="54610" cy="54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ectPr>
          <w:pgSz w:w="11900" w:h="16838" w:orient="portrait"/>
          <w:cols w:equalWidth="0" w:num="1">
            <w:col w:w="11460"/>
          </w:cols>
          <w:pgMar w:left="240" w:top="548" w:right="1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5"/>
          <w:szCs w:val="15"/>
          <w:b w:val="1"/>
          <w:bCs w:val="1"/>
          <w:color w:val="auto"/>
        </w:rPr>
        <w:t>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Three Months Ended March 31, 2012 and 2011</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Income (Loss)</w:t>
      </w:r>
    </w:p>
    <w:p>
      <w:pPr>
        <w:spacing w:after="0" w:line="221" w:lineRule="exact"/>
        <w:rPr>
          <w:sz w:val="20"/>
          <w:szCs w:val="20"/>
          <w:color w:val="auto"/>
        </w:rPr>
      </w:pPr>
    </w:p>
    <w:p>
      <w:pPr>
        <w:jc w:val="both"/>
        <w:ind w:right="20" w:firstLine="231"/>
        <w:spacing w:after="0" w:line="281" w:lineRule="auto"/>
        <w:rPr>
          <w:sz w:val="20"/>
          <w:szCs w:val="20"/>
          <w:color w:val="auto"/>
        </w:rPr>
      </w:pPr>
      <w:r>
        <w:rPr>
          <w:rFonts w:ascii="Arial" w:cs="Arial" w:eastAsia="Arial" w:hAnsi="Arial"/>
          <w:sz w:val="15"/>
          <w:szCs w:val="15"/>
          <w:color w:val="auto"/>
        </w:rPr>
        <w:t>We reported net income of $11.7 million, or $0.11 per diluted share, for the first quarter of 2012, compared to a net loss of $43.4 million, or $0.49 per diluted share, for the first quarter of 2011. Our net income in the first quarter of 2012 resulted from the first full quarter of EYLEA net product sales, which we launched in November 2011.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Revenues</w:t>
            </w:r>
          </w:p>
        </w:tc>
        <w:tc>
          <w:tcPr>
            <w:tcW w:w="2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7680" w:type="dxa"/>
            <w:vAlign w:val="bottom"/>
            <w:gridSpan w:val="2"/>
          </w:tcPr>
          <w:p>
            <w:pPr>
              <w:ind w:left="220"/>
              <w:spacing w:after="0"/>
              <w:rPr>
                <w:sz w:val="20"/>
                <w:szCs w:val="20"/>
                <w:color w:val="auto"/>
              </w:rPr>
            </w:pPr>
            <w:r>
              <w:rPr>
                <w:rFonts w:ascii="Arial" w:cs="Arial" w:eastAsia="Arial" w:hAnsi="Arial"/>
                <w:sz w:val="15"/>
                <w:szCs w:val="15"/>
                <w:color w:val="auto"/>
              </w:rPr>
              <w:t>Revenues for the three months ended March 31, 2012 and 2011 consist of the following:</w:t>
            </w:r>
          </w:p>
        </w:tc>
        <w:tc>
          <w:tcPr>
            <w:tcW w:w="2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7680" w:type="dxa"/>
            <w:vAlign w:val="bottom"/>
            <w:gridSpan w:val="2"/>
          </w:tcPr>
          <w:p>
            <w:pPr>
              <w:ind w:left="560"/>
              <w:spacing w:after="0"/>
              <w:rPr>
                <w:sz w:val="20"/>
                <w:szCs w:val="20"/>
                <w:color w:val="auto"/>
              </w:rPr>
            </w:pPr>
            <w:r>
              <w:rPr>
                <w:rFonts w:ascii="Arial" w:cs="Arial" w:eastAsia="Arial" w:hAnsi="Arial"/>
                <w:sz w:val="15"/>
                <w:szCs w:val="15"/>
                <w:b w:val="1"/>
                <w:bCs w:val="1"/>
                <w:i w:val="1"/>
                <w:iCs w:val="1"/>
                <w:color w:val="auto"/>
              </w:rPr>
              <w:t>(In millions)</w:t>
            </w:r>
          </w:p>
        </w:tc>
        <w:tc>
          <w:tcPr>
            <w:tcW w:w="2580" w:type="dxa"/>
            <w:vAlign w:val="bottom"/>
            <w:gridSpan w:val="2"/>
          </w:tcPr>
          <w:p>
            <w:pPr>
              <w:jc w:val="right"/>
              <w:ind w:right="5"/>
              <w:spacing w:after="0"/>
              <w:rPr>
                <w:sz w:val="20"/>
                <w:szCs w:val="20"/>
                <w:color w:val="auto"/>
              </w:rPr>
            </w:pPr>
            <w:r>
              <w:rPr>
                <w:rFonts w:ascii="Arial" w:cs="Arial" w:eastAsia="Arial" w:hAnsi="Arial"/>
                <w:sz w:val="15"/>
                <w:szCs w:val="15"/>
                <w:b w:val="1"/>
                <w:bCs w:val="1"/>
                <w:color w:val="auto"/>
              </w:rPr>
              <w:t>2012</w:t>
            </w:r>
          </w:p>
        </w:tc>
        <w:tc>
          <w:tcPr>
            <w:tcW w:w="1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b w:val="1"/>
                <w:bCs w:val="1"/>
                <w:color w:val="auto"/>
              </w:rPr>
              <w:t>2011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10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Net product sales</w:t>
            </w:r>
          </w:p>
        </w:tc>
        <w:tc>
          <w:tcPr>
            <w:tcW w:w="2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 w:type="dxa"/>
            <w:vAlign w:val="bottom"/>
          </w:tcPr>
          <w:p>
            <w:pPr>
              <w:spacing w:after="0"/>
              <w:rPr>
                <w:sz w:val="17"/>
                <w:szCs w:val="17"/>
                <w:color w:val="auto"/>
              </w:rPr>
            </w:pPr>
          </w:p>
        </w:tc>
        <w:tc>
          <w:tcPr>
            <w:tcW w:w="7100" w:type="dxa"/>
            <w:vAlign w:val="bottom"/>
            <w:vMerge w:val="continue"/>
            <w:shd w:val="clear" w:color="auto" w:fill="CCEEFF"/>
          </w:tcPr>
          <w:p>
            <w:pPr>
              <w:spacing w:after="0"/>
              <w:rPr>
                <w:sz w:val="17"/>
                <w:szCs w:val="17"/>
                <w:color w:val="auto"/>
              </w:rPr>
            </w:pP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$ 127.9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1"/>
        </w:trPr>
        <w:tc>
          <w:tcPr>
            <w:tcW w:w="7680" w:type="dxa"/>
            <w:vAlign w:val="bottom"/>
            <w:gridSpan w:val="2"/>
          </w:tcPr>
          <w:p>
            <w:pPr>
              <w:ind w:left="560"/>
              <w:spacing w:after="0"/>
              <w:rPr>
                <w:sz w:val="20"/>
                <w:szCs w:val="20"/>
                <w:color w:val="auto"/>
              </w:rPr>
            </w:pPr>
            <w:r>
              <w:rPr>
                <w:rFonts w:ascii="Arial" w:cs="Arial" w:eastAsia="Arial" w:hAnsi="Arial"/>
                <w:sz w:val="15"/>
                <w:szCs w:val="15"/>
                <w:color w:val="auto"/>
              </w:rPr>
              <w:t>Collaboration revenue:</w:t>
            </w:r>
          </w:p>
        </w:tc>
        <w:tc>
          <w:tcPr>
            <w:tcW w:w="2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1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Sanofi</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w:t>
            </w: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710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Bayer HealthCare</w:t>
            </w:r>
          </w:p>
        </w:tc>
        <w:tc>
          <w:tcPr>
            <w:tcW w:w="2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71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collaboration revenue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97.5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w:t>
            </w:r>
          </w:p>
        </w:tc>
        <w:tc>
          <w:tcPr>
            <w:tcW w:w="0" w:type="dxa"/>
            <w:vAlign w:val="bottom"/>
          </w:tcPr>
          <w:p>
            <w:pPr>
              <w:spacing w:after="0"/>
              <w:rPr>
                <w:sz w:val="1"/>
                <w:szCs w:val="1"/>
                <w:color w:val="auto"/>
              </w:rPr>
            </w:pPr>
          </w:p>
        </w:tc>
      </w:tr>
      <w:tr>
        <w:trPr>
          <w:trHeight w:val="201"/>
        </w:trPr>
        <w:tc>
          <w:tcPr>
            <w:tcW w:w="7680" w:type="dxa"/>
            <w:vAlign w:val="bottom"/>
            <w:gridSpan w:val="2"/>
          </w:tcPr>
          <w:p>
            <w:pPr>
              <w:ind w:left="560"/>
              <w:spacing w:after="0"/>
              <w:rPr>
                <w:sz w:val="20"/>
                <w:szCs w:val="20"/>
                <w:color w:val="auto"/>
              </w:rPr>
            </w:pPr>
            <w:r>
              <w:rPr>
                <w:rFonts w:ascii="Arial" w:cs="Arial" w:eastAsia="Arial" w:hAnsi="Arial"/>
                <w:sz w:val="15"/>
                <w:szCs w:val="15"/>
                <w:color w:val="auto"/>
              </w:rPr>
              <w:t>Technology licensing revenue</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5.9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5"/>
                <w:szCs w:val="15"/>
                <w:color w:val="auto"/>
              </w:rPr>
              <w:t>Contract research and other revenue</w:t>
            </w:r>
          </w:p>
        </w:tc>
        <w:tc>
          <w:tcPr>
            <w:tcW w:w="2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7100" w:type="dxa"/>
            <w:vAlign w:val="bottom"/>
          </w:tcPr>
          <w:p>
            <w:pPr>
              <w:ind w:left="520"/>
              <w:spacing w:after="0"/>
              <w:rPr>
                <w:sz w:val="20"/>
                <w:szCs w:val="20"/>
                <w:color w:val="auto"/>
              </w:rPr>
            </w:pPr>
            <w:r>
              <w:rPr>
                <w:rFonts w:ascii="Arial" w:cs="Arial" w:eastAsia="Arial" w:hAnsi="Arial"/>
                <w:sz w:val="15"/>
                <w:szCs w:val="15"/>
                <w:color w:val="auto"/>
              </w:rPr>
              <w:t>Total revenue</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$ 231.8</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5"/>
                <w:szCs w:val="15"/>
                <w:color w:val="auto"/>
                <w:w w:val="85"/>
              </w:rPr>
              <w:t>112.2</w:t>
            </w:r>
          </w:p>
        </w:tc>
        <w:tc>
          <w:tcPr>
            <w:tcW w:w="0" w:type="dxa"/>
            <w:vAlign w:val="bottom"/>
          </w:tcPr>
          <w:p>
            <w:pPr>
              <w:spacing w:after="0"/>
              <w:rPr>
                <w:sz w:val="1"/>
                <w:szCs w:val="1"/>
                <w:color w:val="auto"/>
              </w:rPr>
            </w:pPr>
          </w:p>
        </w:tc>
      </w:tr>
      <w:tr>
        <w:trPr>
          <w:trHeight w:val="24"/>
        </w:trPr>
        <w:tc>
          <w:tcPr>
            <w:tcW w:w="5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Product Sales</w:t>
      </w:r>
    </w:p>
    <w:p>
      <w:pPr>
        <w:spacing w:after="0" w:line="221" w:lineRule="exact"/>
        <w:rPr>
          <w:sz w:val="20"/>
          <w:szCs w:val="20"/>
          <w:color w:val="auto"/>
        </w:rPr>
      </w:pPr>
    </w:p>
    <w:p>
      <w:pPr>
        <w:jc w:val="both"/>
        <w:ind w:right="40" w:firstLine="231"/>
        <w:spacing w:after="0" w:line="269" w:lineRule="auto"/>
        <w:rPr>
          <w:sz w:val="20"/>
          <w:szCs w:val="20"/>
          <w:color w:val="auto"/>
        </w:rPr>
      </w:pPr>
      <w:r>
        <w:rPr>
          <w:rFonts w:ascii="Arial" w:cs="Arial" w:eastAsia="Arial" w:hAnsi="Arial"/>
          <w:sz w:val="15"/>
          <w:szCs w:val="15"/>
          <w:color w:val="auto"/>
        </w:rPr>
        <w:t>Net product sales consisted of U.S. sales of our two marketed products, EYLEA and ARCALYST. In November 2011, we received marketing approval from the FDA for EYLEA for the treatment of wet AMD, at which time product sales commenced. For the three months ended March 31, 2012, we recognized as revenue $123.5 million of EYLEA net product sales. We also recognized as revenue ARCALYST net product sales of $4.4 million for both the three months ended March 31, 2012 and 2011.</w:t>
      </w:r>
    </w:p>
    <w:p>
      <w:pPr>
        <w:spacing w:after="0" w:line="183" w:lineRule="exact"/>
        <w:rPr>
          <w:sz w:val="20"/>
          <w:szCs w:val="20"/>
          <w:color w:val="auto"/>
        </w:rPr>
      </w:pPr>
    </w:p>
    <w:p>
      <w:pPr>
        <w:jc w:val="both"/>
        <w:ind w:right="20" w:firstLine="231"/>
        <w:spacing w:after="0" w:line="318" w:lineRule="auto"/>
        <w:rPr>
          <w:sz w:val="20"/>
          <w:szCs w:val="20"/>
          <w:color w:val="auto"/>
        </w:rPr>
      </w:pPr>
      <w:r>
        <w:rPr>
          <w:rFonts w:ascii="Arial" w:cs="Arial" w:eastAsia="Arial" w:hAnsi="Arial"/>
          <w:sz w:val="13"/>
          <w:szCs w:val="13"/>
          <w:color w:val="auto"/>
        </w:rPr>
        <w:t>We sell EYLEA in the United States to three distributors and several specialty pharmacies. We sell ARCALYST in the United States to two specialty pharmacies. Under these distribution models, the distributors and specialty pharmacies (collectively, our customers) generally take physical delivery of product. For EYLEA, the distributors and specialty pharmacies generally sell the product directly to healthcare providers; whereas for ARCALYST, the specialty pharmacies sell the product directly to patients. We record revenue from product sales upon delivery to our customers. For the three months ended March 31, 2012, we recorded 81% of our gross product revenue from sales to Besse Medical, a subsidiary of AmerisourceBergen Corporation.</w:t>
      </w:r>
    </w:p>
    <w:p>
      <w:pPr>
        <w:spacing w:after="0" w:line="155" w:lineRule="exact"/>
        <w:rPr>
          <w:sz w:val="20"/>
          <w:szCs w:val="20"/>
          <w:color w:val="auto"/>
        </w:rPr>
      </w:pPr>
    </w:p>
    <w:p>
      <w:pPr>
        <w:jc w:val="both"/>
        <w:ind w:right="20" w:firstLine="289"/>
        <w:spacing w:after="0" w:line="263" w:lineRule="auto"/>
        <w:rPr>
          <w:sz w:val="20"/>
          <w:szCs w:val="20"/>
          <w:color w:val="auto"/>
        </w:rPr>
      </w:pPr>
      <w:r>
        <w:rPr>
          <w:rFonts w:ascii="Arial" w:cs="Arial" w:eastAsia="Arial" w:hAnsi="Arial"/>
          <w:sz w:val="15"/>
          <w:szCs w:val="15"/>
          <w:color w:val="auto"/>
        </w:rPr>
        <w:t>We record product sales net of allowances and accruals for prompt pay discounts, rebates and chargebacks under governmental programs (including Medicaid), product returns, and distribution-related fees. We expect our customers to stock limited supplies of our products due to (i) contractual limitations that we and our customers establish, (ii) our products’ specialty nature, sales price, and distribution channels, and (iii) our historical experience to date. The following table summarizes the provisions, and credits/payments, for government rebates and chargebacks, distribution-related fees, and other sales-related deductions for the three months ended March 31, 2012; such amounts were not material for the three months ended March 31, 2011.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4"/>
              </w:rPr>
              <w:t>Distribution-</w:t>
            </w:r>
          </w:p>
        </w:tc>
        <w:tc>
          <w:tcPr>
            <w:tcW w:w="12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Other Sales-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4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5"/>
                <w:szCs w:val="15"/>
                <w:b w:val="1"/>
                <w:bCs w:val="1"/>
                <w:color w:val="auto"/>
              </w:rPr>
              <w:t>Rebates &amp;</w:t>
            </w: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2"/>
              </w:rPr>
              <w:t>Related</w:t>
            </w: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8"/>
              </w:rPr>
              <w:t>Related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14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i w:val="1"/>
                <w:iCs w:val="1"/>
                <w:color w:val="auto"/>
              </w:rPr>
              <w:t>(In millions)</w:t>
            </w:r>
          </w:p>
        </w:tc>
        <w:tc>
          <w:tcPr>
            <w:tcW w:w="2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93"/>
              </w:rPr>
              <w:t>Chargebacks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81"/>
              </w:rPr>
              <w:t>Fees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88"/>
              </w:rPr>
              <w:t>Deductions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8"/>
                <w:szCs w:val="18"/>
                <w:color w:val="auto"/>
              </w:rPr>
            </w:pPr>
          </w:p>
        </w:tc>
      </w:tr>
      <w:tr>
        <w:trPr>
          <w:trHeight w:val="207"/>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Balance as of December 31, 2011</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0.2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17"/>
                <w:szCs w:val="17"/>
                <w:color w:val="auto"/>
              </w:rPr>
            </w:pPr>
          </w:p>
        </w:tc>
      </w:tr>
      <w:tr>
        <w:trPr>
          <w:trHeight w:val="201"/>
        </w:trPr>
        <w:tc>
          <w:tcPr>
            <w:tcW w:w="4140" w:type="dxa"/>
            <w:vAlign w:val="bottom"/>
          </w:tcPr>
          <w:p>
            <w:pPr>
              <w:ind w:left="260"/>
              <w:spacing w:after="0"/>
              <w:rPr>
                <w:sz w:val="20"/>
                <w:szCs w:val="20"/>
                <w:color w:val="auto"/>
              </w:rPr>
            </w:pPr>
            <w:r>
              <w:rPr>
                <w:rFonts w:ascii="Arial" w:cs="Arial" w:eastAsia="Arial" w:hAnsi="Arial"/>
                <w:sz w:val="15"/>
                <w:szCs w:val="15"/>
                <w:color w:val="auto"/>
              </w:rPr>
              <w:t>Provision related to current period sales</w:t>
            </w: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2.4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7.0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0.7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25"/>
              <w:spacing w:after="0"/>
              <w:rPr>
                <w:sz w:val="20"/>
                <w:szCs w:val="20"/>
                <w:color w:val="auto"/>
              </w:rPr>
            </w:pPr>
            <w:r>
              <w:rPr>
                <w:rFonts w:ascii="Arial" w:cs="Arial" w:eastAsia="Arial" w:hAnsi="Arial"/>
                <w:sz w:val="15"/>
                <w:szCs w:val="15"/>
                <w:color w:val="auto"/>
              </w:rPr>
              <w:t>10.1</w:t>
            </w:r>
          </w:p>
        </w:tc>
        <w:tc>
          <w:tcPr>
            <w:tcW w:w="20" w:type="dxa"/>
            <w:vAlign w:val="bottom"/>
          </w:tcPr>
          <w:p>
            <w:pPr>
              <w:spacing w:after="0"/>
              <w:rPr>
                <w:sz w:val="17"/>
                <w:szCs w:val="17"/>
                <w:color w:val="auto"/>
              </w:rPr>
            </w:pPr>
          </w:p>
        </w:tc>
      </w:tr>
      <w:tr>
        <w:trPr>
          <w:trHeight w:val="208"/>
        </w:trPr>
        <w:tc>
          <w:tcPr>
            <w:tcW w:w="41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Credits/payments</w:t>
            </w:r>
          </w:p>
        </w:tc>
        <w:tc>
          <w:tcPr>
            <w:tcW w:w="2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18"/>
                <w:szCs w:val="18"/>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5"/>
                <w:szCs w:val="15"/>
                <w:color w:val="auto"/>
              </w:rPr>
              <w:t>Balance as of March 31, 2012</w:t>
            </w:r>
          </w:p>
        </w:tc>
        <w:tc>
          <w:tcPr>
            <w:tcW w:w="23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2.8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5.5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0.5</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5"/>
              <w:spacing w:after="0"/>
              <w:rPr>
                <w:sz w:val="20"/>
                <w:szCs w:val="20"/>
                <w:color w:val="auto"/>
              </w:rPr>
            </w:pPr>
            <w:r>
              <w:rPr>
                <w:rFonts w:ascii="Arial" w:cs="Arial" w:eastAsia="Arial" w:hAnsi="Arial"/>
                <w:sz w:val="15"/>
                <w:szCs w:val="15"/>
                <w:color w:val="auto"/>
              </w:rPr>
              <w:t>8.8</w:t>
            </w:r>
          </w:p>
        </w:tc>
        <w:tc>
          <w:tcPr>
            <w:tcW w:w="20" w:type="dxa"/>
            <w:vAlign w:val="bottom"/>
          </w:tcPr>
          <w:p>
            <w:pPr>
              <w:spacing w:after="0"/>
              <w:rPr>
                <w:sz w:val="18"/>
                <w:szCs w:val="18"/>
                <w:color w:val="auto"/>
              </w:rPr>
            </w:pPr>
          </w:p>
        </w:tc>
      </w:tr>
      <w:tr>
        <w:trPr>
          <w:trHeight w:val="368"/>
        </w:trPr>
        <w:tc>
          <w:tcPr>
            <w:tcW w:w="4140" w:type="dxa"/>
            <w:vAlign w:val="bottom"/>
          </w:tcPr>
          <w:p>
            <w:pPr>
              <w:spacing w:after="0"/>
              <w:rPr>
                <w:sz w:val="24"/>
                <w:szCs w:val="24"/>
                <w:color w:val="auto"/>
              </w:rPr>
            </w:pPr>
          </w:p>
        </w:tc>
        <w:tc>
          <w:tcPr>
            <w:tcW w:w="2260" w:type="dxa"/>
            <w:vAlign w:val="bottom"/>
          </w:tcPr>
          <w:p>
            <w:pPr>
              <w:jc w:val="right"/>
              <w:ind w:right="545"/>
              <w:spacing w:after="0"/>
              <w:rPr>
                <w:sz w:val="20"/>
                <w:szCs w:val="20"/>
                <w:color w:val="auto"/>
              </w:rPr>
            </w:pPr>
            <w:r>
              <w:rPr>
                <w:rFonts w:ascii="Arial" w:cs="Arial" w:eastAsia="Arial" w:hAnsi="Arial"/>
                <w:sz w:val="15"/>
                <w:szCs w:val="15"/>
                <w:color w:val="auto"/>
              </w:rPr>
              <w:t>28</w:t>
            </w: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4140" w:type="dxa"/>
            <w:vAlign w:val="bottom"/>
            <w:tcBorders>
              <w:bottom w:val="single" w:sz="8" w:color="808080"/>
            </w:tcBorders>
          </w:tcPr>
          <w:p>
            <w:pPr>
              <w:spacing w:after="0"/>
              <w:rPr>
                <w:sz w:val="16"/>
                <w:szCs w:val="16"/>
                <w:color w:val="auto"/>
              </w:rPr>
            </w:pPr>
          </w:p>
        </w:tc>
        <w:tc>
          <w:tcPr>
            <w:tcW w:w="22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-13335</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21" w:right="199" w:bottom="1440" w:gutter="0" w:footer="0" w:header="0"/>
        </w:sectPr>
      </w:pPr>
    </w:p>
    <w:bookmarkStart w:id="28" w:name="page29"/>
    <w:bookmarkEnd w:id="28"/>
    <w:p>
      <w:pPr>
        <w:spacing w:after="0"/>
        <w:rPr>
          <w:sz w:val="20"/>
          <w:szCs w:val="20"/>
          <w:color w:val="auto"/>
        </w:rPr>
      </w:pPr>
      <w:r>
        <w:rPr>
          <w:rFonts w:ascii="Arial" w:cs="Arial" w:eastAsia="Arial" w:hAnsi="Arial"/>
          <w:sz w:val="15"/>
          <w:szCs w:val="15"/>
          <w:i w:val="1"/>
          <w:iCs w:val="1"/>
          <w:color w:val="auto"/>
        </w:rPr>
        <w:t>Sanofi Collaboration Revenue</w:t>
      </w:r>
    </w:p>
    <w:p>
      <w:pPr>
        <w:spacing w:after="0" w:line="221"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5"/>
          <w:szCs w:val="15"/>
          <w:color w:val="auto"/>
        </w:rPr>
        <w:t>The collaboration revenue we earned from Sanofi, as detailed below, consisted primarily of reimbursement for research and development expenses and recognition of revenue related to non-refundable up-front payments of $105.0 million related to the ZALTRAP collaboration and $85.0 million related to the antibody collaboration.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jc w:val="right"/>
              <w:ind w:right="185"/>
              <w:spacing w:after="0"/>
              <w:rPr>
                <w:sz w:val="20"/>
                <w:szCs w:val="20"/>
                <w:color w:val="auto"/>
              </w:rPr>
            </w:pPr>
            <w:r>
              <w:rPr>
                <w:rFonts w:ascii="Arial" w:cs="Arial" w:eastAsia="Arial" w:hAnsi="Arial"/>
                <w:sz w:val="15"/>
                <w:szCs w:val="15"/>
                <w:b w:val="1"/>
                <w:bCs w:val="1"/>
                <w:color w:val="auto"/>
                <w:w w:val="94"/>
              </w:rPr>
              <w:t>Three months ended</w:t>
            </w:r>
          </w:p>
        </w:tc>
        <w:tc>
          <w:tcPr>
            <w:tcW w:w="0" w:type="dxa"/>
            <w:vAlign w:val="bottom"/>
          </w:tcPr>
          <w:p>
            <w:pPr>
              <w:spacing w:after="0"/>
              <w:rPr>
                <w:sz w:val="1"/>
                <w:szCs w:val="1"/>
                <w:color w:val="auto"/>
              </w:rPr>
            </w:pPr>
          </w:p>
        </w:tc>
      </w:tr>
      <w:tr>
        <w:trPr>
          <w:trHeight w:val="176"/>
        </w:trPr>
        <w:tc>
          <w:tcPr>
            <w:tcW w:w="9600" w:type="dxa"/>
            <w:vAlign w:val="bottom"/>
            <w:gridSpan w:val="2"/>
          </w:tcPr>
          <w:p>
            <w:pPr>
              <w:spacing w:after="0"/>
              <w:rPr>
                <w:sz w:val="20"/>
                <w:szCs w:val="20"/>
                <w:color w:val="auto"/>
              </w:rPr>
            </w:pPr>
            <w:r>
              <w:rPr>
                <w:rFonts w:ascii="Arial" w:cs="Arial" w:eastAsia="Arial" w:hAnsi="Arial"/>
                <w:sz w:val="15"/>
                <w:szCs w:val="15"/>
                <w:b w:val="1"/>
                <w:bCs w:val="1"/>
                <w:color w:val="auto"/>
              </w:rPr>
              <w:t>Sanofi Collaboration Revenue</w:t>
            </w:r>
          </w:p>
        </w:tc>
        <w:tc>
          <w:tcPr>
            <w:tcW w:w="16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9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5"/>
                <w:szCs w:val="15"/>
                <w:b w:val="1"/>
                <w:bCs w:val="1"/>
                <w:i w:val="1"/>
                <w:iCs w:val="1"/>
                <w:color w:val="auto"/>
              </w:rPr>
              <w:t>(In millions)</w:t>
            </w:r>
          </w:p>
        </w:tc>
        <w:tc>
          <w:tcPr>
            <w:tcW w:w="768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920" w:type="dxa"/>
            <w:vAlign w:val="bottom"/>
            <w:tcBorders>
              <w:bottom w:val="single" w:sz="8" w:color="CCEEFF"/>
            </w:tcBorders>
            <w:vMerge w:val="continue"/>
          </w:tcPr>
          <w:p>
            <w:pPr>
              <w:spacing w:after="0"/>
              <w:rPr>
                <w:sz w:val="16"/>
                <w:szCs w:val="16"/>
                <w:color w:val="auto"/>
              </w:rPr>
            </w:pPr>
          </w:p>
        </w:tc>
        <w:tc>
          <w:tcPr>
            <w:tcW w:w="76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2012</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89"/>
              </w:rPr>
              <w:t>2011</w:t>
            </w:r>
          </w:p>
        </w:tc>
        <w:tc>
          <w:tcPr>
            <w:tcW w:w="0" w:type="dxa"/>
            <w:vAlign w:val="bottom"/>
          </w:tcPr>
          <w:p>
            <w:pPr>
              <w:spacing w:after="0"/>
              <w:rPr>
                <w:sz w:val="1"/>
                <w:szCs w:val="1"/>
                <w:color w:val="auto"/>
              </w:rPr>
            </w:pPr>
          </w:p>
        </w:tc>
      </w:tr>
      <w:tr>
        <w:trPr>
          <w:trHeight w:val="195"/>
        </w:trPr>
        <w:tc>
          <w:tcPr>
            <w:tcW w:w="9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ZALTRAP:</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9600" w:type="dxa"/>
            <w:vAlign w:val="bottom"/>
            <w:gridSpan w:val="2"/>
          </w:tcPr>
          <w:p>
            <w:pPr>
              <w:ind w:left="260"/>
              <w:spacing w:after="0"/>
              <w:rPr>
                <w:sz w:val="20"/>
                <w:szCs w:val="20"/>
                <w:color w:val="auto"/>
              </w:rPr>
            </w:pPr>
            <w:r>
              <w:rPr>
                <w:rFonts w:ascii="Arial" w:cs="Arial" w:eastAsia="Arial" w:hAnsi="Arial"/>
                <w:sz w:val="15"/>
                <w:szCs w:val="15"/>
                <w:color w:val="auto"/>
              </w:rPr>
              <w:t>Regeneron expense reimbursement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2.8</w:t>
            </w:r>
          </w:p>
        </w:tc>
        <w:tc>
          <w:tcPr>
            <w:tcW w:w="420" w:type="dxa"/>
            <w:vAlign w:val="bottom"/>
            <w:gridSpan w:val="2"/>
          </w:tcPr>
          <w:p>
            <w:pPr>
              <w:jc w:val="right"/>
              <w:ind w:right="45"/>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15"/>
        </w:trPr>
        <w:tc>
          <w:tcPr>
            <w:tcW w:w="960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Recognition of deferred revenue related to up-front payments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01"/>
        </w:trPr>
        <w:tc>
          <w:tcPr>
            <w:tcW w:w="9600" w:type="dxa"/>
            <w:vAlign w:val="bottom"/>
            <w:tcBorders>
              <w:bottom w:val="single" w:sz="8" w:color="CCEEFF"/>
            </w:tcBorders>
            <w:gridSpan w:val="2"/>
          </w:tcPr>
          <w:p>
            <w:pPr>
              <w:ind w:left="260"/>
              <w:spacing w:after="0"/>
              <w:rPr>
                <w:sz w:val="20"/>
                <w:szCs w:val="20"/>
                <w:color w:val="auto"/>
              </w:rPr>
            </w:pPr>
            <w:r>
              <w:rPr>
                <w:rFonts w:ascii="Arial" w:cs="Arial" w:eastAsia="Arial" w:hAnsi="Arial"/>
                <w:sz w:val="15"/>
                <w:szCs w:val="15"/>
                <w:color w:val="auto"/>
              </w:rPr>
              <w:t>Regeneron share of ZALTRAP commercialization expenses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Total ZALTRAP</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1.6</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81"/>
        </w:trPr>
        <w:tc>
          <w:tcPr>
            <w:tcW w:w="9600" w:type="dxa"/>
            <w:vAlign w:val="bottom"/>
            <w:gridSpan w:val="2"/>
          </w:tcPr>
          <w:p>
            <w:pPr>
              <w:spacing w:after="0"/>
              <w:rPr>
                <w:sz w:val="20"/>
                <w:szCs w:val="20"/>
                <w:color w:val="auto"/>
              </w:rPr>
            </w:pPr>
            <w:r>
              <w:rPr>
                <w:rFonts w:ascii="Arial" w:cs="Arial" w:eastAsia="Arial" w:hAnsi="Arial"/>
                <w:sz w:val="15"/>
                <w:szCs w:val="15"/>
                <w:color w:val="auto"/>
              </w:rPr>
              <w:t>Antibody:</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960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Regeneron expense reimbursement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w:t>
            </w:r>
          </w:p>
        </w:tc>
        <w:tc>
          <w:tcPr>
            <w:tcW w:w="0" w:type="dxa"/>
            <w:vAlign w:val="bottom"/>
          </w:tcPr>
          <w:p>
            <w:pPr>
              <w:spacing w:after="0"/>
              <w:rPr>
                <w:sz w:val="1"/>
                <w:szCs w:val="1"/>
                <w:color w:val="auto"/>
              </w:rPr>
            </w:pPr>
          </w:p>
        </w:tc>
      </w:tr>
      <w:tr>
        <w:trPr>
          <w:trHeight w:val="194"/>
        </w:trPr>
        <w:tc>
          <w:tcPr>
            <w:tcW w:w="9600" w:type="dxa"/>
            <w:vAlign w:val="bottom"/>
            <w:gridSpan w:val="2"/>
          </w:tcPr>
          <w:p>
            <w:pPr>
              <w:ind w:left="260"/>
              <w:spacing w:after="0"/>
              <w:rPr>
                <w:sz w:val="20"/>
                <w:szCs w:val="20"/>
                <w:color w:val="auto"/>
              </w:rPr>
            </w:pPr>
            <w:r>
              <w:rPr>
                <w:rFonts w:ascii="Arial" w:cs="Arial" w:eastAsia="Arial" w:hAnsi="Arial"/>
                <w:sz w:val="15"/>
                <w:szCs w:val="15"/>
                <w:color w:val="auto"/>
              </w:rPr>
              <w:t>Recognition of deferred revenue related to up-front and other</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600" w:type="dxa"/>
            <w:vAlign w:val="bottom"/>
            <w:gridSpan w:val="2"/>
          </w:tcPr>
          <w:p>
            <w:pPr>
              <w:ind w:left="520"/>
              <w:spacing w:after="0"/>
              <w:rPr>
                <w:sz w:val="20"/>
                <w:szCs w:val="20"/>
                <w:color w:val="auto"/>
              </w:rPr>
            </w:pPr>
            <w:r>
              <w:rPr>
                <w:rFonts w:ascii="Arial" w:cs="Arial" w:eastAsia="Arial" w:hAnsi="Arial"/>
                <w:sz w:val="15"/>
                <w:szCs w:val="15"/>
                <w:color w:val="auto"/>
              </w:rPr>
              <w:t>payments</w:t>
            </w:r>
          </w:p>
        </w:tc>
        <w:tc>
          <w:tcPr>
            <w:tcW w:w="160" w:type="dxa"/>
            <w:vAlign w:val="bottom"/>
          </w:tcPr>
          <w:p>
            <w:pPr>
              <w:spacing w:after="0"/>
              <w:rPr>
                <w:sz w:val="18"/>
                <w:szCs w:val="18"/>
                <w:color w:val="auto"/>
              </w:rPr>
            </w:pPr>
          </w:p>
        </w:tc>
        <w:tc>
          <w:tcPr>
            <w:tcW w:w="700" w:type="dxa"/>
            <w:vAlign w:val="bottom"/>
          </w:tcPr>
          <w:p>
            <w:pPr>
              <w:jc w:val="right"/>
              <w:ind w:right="45"/>
              <w:spacing w:after="0"/>
              <w:rPr>
                <w:sz w:val="20"/>
                <w:szCs w:val="20"/>
                <w:color w:val="auto"/>
              </w:rPr>
            </w:pPr>
            <w:r>
              <w:rPr>
                <w:rFonts w:ascii="Arial" w:cs="Arial" w:eastAsia="Arial" w:hAnsi="Arial"/>
                <w:sz w:val="15"/>
                <w:szCs w:val="15"/>
                <w:color w:val="auto"/>
              </w:rPr>
              <w:t>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15"/>
        </w:trPr>
        <w:tc>
          <w:tcPr>
            <w:tcW w:w="960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 xml:space="preserve">Recognition of revenue related to </w:t>
            </w:r>
            <w:r>
              <w:rPr>
                <w:rFonts w:ascii="Arial" w:cs="Arial" w:eastAsia="Arial" w:hAnsi="Arial"/>
                <w:sz w:val="15"/>
                <w:szCs w:val="15"/>
                <w:i w:val="1"/>
                <w:iCs w:val="1"/>
                <w:color w:val="auto"/>
              </w:rPr>
              <w:t>VelociGene</w:t>
            </w:r>
            <w:r>
              <w:rPr>
                <w:rFonts w:ascii="Arial" w:cs="Arial" w:eastAsia="Arial" w:hAnsi="Arial"/>
                <w:sz w:val="15"/>
                <w:szCs w:val="15"/>
                <w:color w:val="auto"/>
              </w:rPr>
              <w:t xml:space="preserve"> agreement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0.4</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93"/>
        </w:trPr>
        <w:tc>
          <w:tcPr>
            <w:tcW w:w="9600" w:type="dxa"/>
            <w:vAlign w:val="bottom"/>
            <w:tcBorders>
              <w:bottom w:val="single" w:sz="8" w:color="CCEEFF"/>
            </w:tcBorders>
            <w:gridSpan w:val="2"/>
          </w:tcPr>
          <w:p>
            <w:pPr>
              <w:ind w:left="520"/>
              <w:spacing w:after="0"/>
              <w:rPr>
                <w:sz w:val="20"/>
                <w:szCs w:val="20"/>
                <w:color w:val="auto"/>
              </w:rPr>
            </w:pPr>
            <w:r>
              <w:rPr>
                <w:rFonts w:ascii="Arial" w:cs="Arial" w:eastAsia="Arial" w:hAnsi="Arial"/>
                <w:sz w:val="15"/>
                <w:szCs w:val="15"/>
                <w:color w:val="auto"/>
              </w:rPr>
              <w:t>Total antibody</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83.4</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75.6</w:t>
            </w:r>
          </w:p>
        </w:tc>
        <w:tc>
          <w:tcPr>
            <w:tcW w:w="0" w:type="dxa"/>
            <w:vAlign w:val="bottom"/>
          </w:tcPr>
          <w:p>
            <w:pPr>
              <w:spacing w:after="0"/>
              <w:rPr>
                <w:sz w:val="1"/>
                <w:szCs w:val="1"/>
                <w:color w:val="auto"/>
              </w:rPr>
            </w:pPr>
          </w:p>
        </w:tc>
      </w:tr>
      <w:tr>
        <w:trPr>
          <w:trHeight w:val="210"/>
        </w:trPr>
        <w:tc>
          <w:tcPr>
            <w:tcW w:w="9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 Sanofi collaboration revenue</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85.0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312"/>
        <w:spacing w:after="0" w:line="290" w:lineRule="auto"/>
        <w:rPr>
          <w:sz w:val="20"/>
          <w:szCs w:val="20"/>
          <w:color w:val="auto"/>
        </w:rPr>
      </w:pPr>
      <w:r>
        <w:rPr>
          <w:rFonts w:ascii="Arial" w:cs="Arial" w:eastAsia="Arial" w:hAnsi="Arial"/>
          <w:sz w:val="14"/>
          <w:szCs w:val="14"/>
          <w:color w:val="auto"/>
        </w:rPr>
        <w:t>Sanofi’s reimbursement of our ZALTRAP expenses decreased in the first quarter of 2012 compared to same period in 2011, primarily due to lower costs related to manufacturing ZALTRAP clinical supplies and a decrease in other research and development activities. Effective in the second quarter of 2011, we and Sanofi began equally sharing pre-launch commercialization expenses related to ZALTRAP in accordance with the companies’ collaboration agreement. In connection with recognition of deferred revenue related to ZALTRAP, as of March 31, 2012, $20.1 million of the original $105.0 million of up-front payments was deferred and will be recognized as revenue in future periods.</w:t>
      </w:r>
    </w:p>
    <w:p>
      <w:pPr>
        <w:spacing w:after="0" w:line="170" w:lineRule="exact"/>
        <w:rPr>
          <w:sz w:val="20"/>
          <w:szCs w:val="20"/>
          <w:color w:val="auto"/>
        </w:rPr>
      </w:pPr>
    </w:p>
    <w:p>
      <w:pPr>
        <w:jc w:val="both"/>
        <w:ind w:firstLine="231"/>
        <w:spacing w:after="0" w:line="263" w:lineRule="auto"/>
        <w:rPr>
          <w:sz w:val="20"/>
          <w:szCs w:val="20"/>
          <w:color w:val="auto"/>
        </w:rPr>
      </w:pPr>
      <w:r>
        <w:rPr>
          <w:rFonts w:ascii="Arial" w:cs="Arial" w:eastAsia="Arial" w:hAnsi="Arial"/>
          <w:sz w:val="15"/>
          <w:szCs w:val="15"/>
          <w:color w:val="auto"/>
        </w:rPr>
        <w:t>In the first quarter of 2012, Sanofi’s reimbursement of our antibody expenses consisted of $44.6 million under the discovery agreement and $36.2 million of development costs under the license agreement, compared to $42.1 million and $31.1 million, respectively, in the first quarter of 2011. The higher reimbursement amount under the discovery agreement in the first quarter of 2012, compared to the same period in 2011, was primarily due to an increase in our antibody discovery activities. The higher reimbursement of development costs in the first quarter of 2012, compared to the same period in 2011, was primarily due to an increase in development activities related to sarilumab and REGN1033, partly offset by a decrease in development activities related to REGN475.</w:t>
      </w:r>
    </w:p>
    <w:p>
      <w:pPr>
        <w:spacing w:after="0" w:line="188" w:lineRule="exact"/>
        <w:rPr>
          <w:sz w:val="20"/>
          <w:szCs w:val="20"/>
          <w:color w:val="auto"/>
        </w:rPr>
      </w:pPr>
    </w:p>
    <w:p>
      <w:pPr>
        <w:jc w:val="both"/>
        <w:ind w:firstLine="266"/>
        <w:spacing w:after="0" w:line="263" w:lineRule="auto"/>
        <w:rPr>
          <w:sz w:val="20"/>
          <w:szCs w:val="20"/>
          <w:color w:val="auto"/>
        </w:rPr>
      </w:pPr>
      <w:r>
        <w:rPr>
          <w:rFonts w:ascii="Arial" w:cs="Arial" w:eastAsia="Arial" w:hAnsi="Arial"/>
          <w:sz w:val="15"/>
          <w:szCs w:val="15"/>
          <w:color w:val="auto"/>
        </w:rPr>
        <w:t>Recognition of deferred revenue related to Sanofi’s $85.0 million up-front payment and other payments increased in the first quarter of 2012 compared to the same period in 2011. In connection with the November 2009 amendment of the discovery agreement, Sanofi is funding up to $30 million of agreed-upon costs incurred by us to expand our manufacturing capacity at our Rensselaer, New York facilities, of which $29.4 million was received or receivable as of March 31, 2012. Revenue related to such funding from Sanofi is deferred and recognized as collaboration revenue prospectively over the related performance period in conjunction with the recognition of the original $85.0 million up-front payment. As of March 31, 2012, $75.4 million of these up-front and other payments was deferred and will be recognized as revenue in future periods.</w:t>
      </w:r>
    </w:p>
    <w:p>
      <w:pPr>
        <w:spacing w:after="0" w:line="199" w:lineRule="exact"/>
        <w:rPr>
          <w:sz w:val="20"/>
          <w:szCs w:val="20"/>
          <w:color w:val="auto"/>
        </w:rPr>
      </w:pPr>
    </w:p>
    <w:p>
      <w:pPr>
        <w:jc w:val="both"/>
        <w:ind w:firstLine="231"/>
        <w:spacing w:after="0" w:line="281" w:lineRule="auto"/>
        <w:rPr>
          <w:sz w:val="20"/>
          <w:szCs w:val="20"/>
          <w:color w:val="auto"/>
        </w:rPr>
      </w:pPr>
      <w:r>
        <w:rPr>
          <w:rFonts w:ascii="Arial" w:cs="Arial" w:eastAsia="Arial" w:hAnsi="Arial"/>
          <w:sz w:val="15"/>
          <w:szCs w:val="15"/>
          <w:color w:val="auto"/>
        </w:rPr>
        <w:t xml:space="preserve">In August 2008, we entered into a separate </w:t>
      </w:r>
      <w:r>
        <w:rPr>
          <w:rFonts w:ascii="Arial" w:cs="Arial" w:eastAsia="Arial" w:hAnsi="Arial"/>
          <w:sz w:val="15"/>
          <w:szCs w:val="15"/>
          <w:i w:val="1"/>
          <w:iCs w:val="1"/>
          <w:color w:val="auto"/>
        </w:rPr>
        <w:t>VelociGene</w:t>
      </w:r>
      <w:r>
        <w:rPr>
          <w:rFonts w:ascii="Arial" w:cs="Arial" w:eastAsia="Arial" w:hAnsi="Arial"/>
          <w:sz w:val="15"/>
          <w:szCs w:val="15"/>
          <w:color w:val="auto"/>
        </w:rPr>
        <w:t xml:space="preserve"> agreement with Sanofi. In both the three months ended March 31, 2012 and 2011, we recognized $0.4 million in revenue related to this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5" w:right="219" w:bottom="1440" w:gutter="0" w:footer="0" w:header="0"/>
        </w:sectPr>
      </w:pPr>
    </w:p>
    <w:bookmarkStart w:id="29" w:name="page30"/>
    <w:bookmarkEnd w:id="29"/>
    <w:p>
      <w:pPr>
        <w:spacing w:after="0"/>
        <w:rPr>
          <w:sz w:val="20"/>
          <w:szCs w:val="20"/>
          <w:color w:val="auto"/>
        </w:rPr>
      </w:pPr>
      <w:r>
        <w:rPr>
          <w:rFonts w:ascii="Arial" w:cs="Arial" w:eastAsia="Arial" w:hAnsi="Arial"/>
          <w:sz w:val="15"/>
          <w:szCs w:val="15"/>
          <w:i w:val="1"/>
          <w:iCs w:val="1"/>
          <w:color w:val="auto"/>
        </w:rPr>
        <w:t>Bayer HealthCare Collaboration Revenue</w:t>
      </w:r>
    </w:p>
    <w:p>
      <w:pPr>
        <w:spacing w:after="0" w:line="221" w:lineRule="exact"/>
        <w:rPr>
          <w:sz w:val="20"/>
          <w:szCs w:val="20"/>
          <w:color w:val="auto"/>
        </w:rPr>
      </w:pPr>
    </w:p>
    <w:p>
      <w:pPr>
        <w:jc w:val="both"/>
        <w:ind w:firstLine="301"/>
        <w:spacing w:after="0" w:line="269" w:lineRule="auto"/>
        <w:rPr>
          <w:sz w:val="20"/>
          <w:szCs w:val="20"/>
          <w:color w:val="auto"/>
        </w:rPr>
      </w:pPr>
      <w:r>
        <w:rPr>
          <w:rFonts w:ascii="Arial" w:cs="Arial" w:eastAsia="Arial" w:hAnsi="Arial"/>
          <w:sz w:val="15"/>
          <w:szCs w:val="15"/>
          <w:color w:val="auto"/>
        </w:rPr>
        <w:t>The collaboration revenue we earned from Bayer HealthCare, as detailed below, consisted of cost sharing of Regeneron EYLEA development expenses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tcPr>
          <w:p>
            <w:pPr>
              <w:jc w:val="right"/>
              <w:ind w:right="65"/>
              <w:spacing w:after="0"/>
              <w:rPr>
                <w:sz w:val="20"/>
                <w:szCs w:val="20"/>
                <w:color w:val="auto"/>
              </w:rPr>
            </w:pPr>
            <w:r>
              <w:rPr>
                <w:rFonts w:ascii="Arial" w:cs="Arial" w:eastAsia="Arial" w:hAnsi="Arial"/>
                <w:sz w:val="15"/>
                <w:szCs w:val="15"/>
                <w:b w:val="1"/>
                <w:bCs w:val="1"/>
                <w:color w:val="auto"/>
                <w:w w:val="89"/>
              </w:rPr>
              <w:t>Three months ended</w:t>
            </w:r>
          </w:p>
        </w:tc>
      </w:tr>
      <w:tr>
        <w:trPr>
          <w:trHeight w:val="215"/>
        </w:trPr>
        <w:tc>
          <w:tcPr>
            <w:tcW w:w="96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Bayer HealthCare Collaboration Revenue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5"/>
                <w:szCs w:val="15"/>
                <w:b w:val="1"/>
                <w:bCs w:val="1"/>
                <w:color w:val="auto"/>
              </w:rPr>
              <w:t>March 31,</w:t>
            </w:r>
          </w:p>
        </w:tc>
      </w:tr>
      <w:tr>
        <w:trPr>
          <w:trHeight w:val="200"/>
        </w:trPr>
        <w:tc>
          <w:tcPr>
            <w:tcW w:w="98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b w:val="1"/>
                <w:bCs w:val="1"/>
                <w:i w:val="1"/>
                <w:iCs w:val="1"/>
                <w:color w:val="auto"/>
              </w:rPr>
              <w:t>(In millions)</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2012</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95"/>
              </w:rPr>
              <w:t>2011</w:t>
            </w:r>
          </w:p>
        </w:tc>
      </w:tr>
      <w:tr>
        <w:trPr>
          <w:trHeight w:val="207"/>
        </w:trPr>
        <w:tc>
          <w:tcPr>
            <w:tcW w:w="9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Cost-sharing of Regeneron EYLEA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201"/>
        </w:trPr>
        <w:tc>
          <w:tcPr>
            <w:tcW w:w="98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Recognition of deferred revenue related to up-front and other milestone payments</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r>
      <w:tr>
        <w:trPr>
          <w:trHeight w:val="210"/>
        </w:trPr>
        <w:tc>
          <w:tcPr>
            <w:tcW w:w="9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Total Bayer HealthCare 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w:t>
            </w:r>
          </w:p>
        </w:tc>
      </w:tr>
    </w:tbl>
    <w:p>
      <w:pPr>
        <w:spacing w:after="0" w:line="200" w:lineRule="exact"/>
        <w:rPr>
          <w:sz w:val="20"/>
          <w:szCs w:val="20"/>
          <w:color w:val="auto"/>
        </w:rPr>
      </w:pPr>
    </w:p>
    <w:p>
      <w:pPr>
        <w:spacing w:after="0" w:line="209"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5"/>
          <w:szCs w:val="15"/>
          <w:color w:val="auto"/>
        </w:rPr>
        <w:t>Cost-sharing of our global EYLEA development expenses with Bayer HealthCare increased slightly in the first quarter of 2012 compared to the same period in 2011. In the first quarter of 2012, we incurred higher costs in connection with regulatory and other development activities, partly offset by lower costs in connection with our Phase 3 VIEW 1 study in wet AMD. Recognition of deferred revenue related to the up-front and August 2007 milestone payments from Bayer HealthCare decreased in the first quarter of 2012 from the same quarter in 2011 due to an extension in the estimated performance period over which this deferred revenue is being recognized, effective in the fourth quarter of 2011. As of March 31, 2012, $40.6 million of these up-front and milestone payments was deferred and will be recognized as revenue in future periods.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Technology Licensing Revenue</w:t>
      </w:r>
    </w:p>
    <w:p>
      <w:pPr>
        <w:spacing w:after="0" w:line="221" w:lineRule="exact"/>
        <w:rPr>
          <w:sz w:val="20"/>
          <w:szCs w:val="20"/>
          <w:color w:val="auto"/>
        </w:rPr>
      </w:pPr>
    </w:p>
    <w:p>
      <w:pPr>
        <w:jc w:val="both"/>
        <w:ind w:firstLine="266"/>
        <w:spacing w:after="0" w:line="261" w:lineRule="auto"/>
        <w:rPr>
          <w:sz w:val="20"/>
          <w:szCs w:val="20"/>
          <w:color w:val="auto"/>
        </w:rPr>
      </w:pPr>
      <w:r>
        <w:rPr>
          <w:rFonts w:ascii="Arial" w:cs="Arial" w:eastAsia="Arial" w:hAnsi="Arial"/>
          <w:sz w:val="15"/>
          <w:szCs w:val="15"/>
          <w:color w:val="auto"/>
        </w:rPr>
        <w:t xml:space="preserve">In connection with our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license agreement with Astellas, the $20.0 million non-refundable payment received in the second quarter of 2010 was deferred upon receipt and recognized as revenue ratably over the ensuing year. In addition, in connection with the amendment and extension of our license agreement with Astellas, in August 2010, we received a $165.0 million up-front payment, which was deferred upon receipt and is being recognized as revenue ratably over a seven-year period beginning in June 2011. In connection with our </w:t>
      </w:r>
      <w:r>
        <w:rPr>
          <w:rFonts w:ascii="Arial" w:cs="Arial" w:eastAsia="Arial" w:hAnsi="Arial"/>
          <w:sz w:val="15"/>
          <w:szCs w:val="15"/>
          <w:i w:val="1"/>
          <w:iCs w:val="1"/>
          <w:color w:val="auto"/>
        </w:rPr>
        <w:t xml:space="preserve">VelocImmune </w:t>
      </w:r>
      <w:r>
        <w:rPr>
          <w:rFonts w:ascii="Arial" w:cs="Arial" w:eastAsia="Arial" w:hAnsi="Arial"/>
          <w:sz w:val="15"/>
          <w:szCs w:val="15"/>
          <w:color w:val="auto"/>
        </w:rPr>
        <w:t>license agreement with AstraZeneca, which terminated effective as of February 2011, the $20.0 million non-refundable payment received in the first quarter of 2010 was</w:t>
      </w:r>
      <w:r>
        <w:rPr>
          <w:rFonts w:ascii="Arial" w:cs="Arial" w:eastAsia="Arial" w:hAnsi="Arial"/>
          <w:sz w:val="15"/>
          <w:szCs w:val="15"/>
          <w:i w:val="1"/>
          <w:iCs w:val="1"/>
          <w:color w:val="auto"/>
        </w:rPr>
        <w:t xml:space="preserve"> </w:t>
      </w:r>
      <w:r>
        <w:rPr>
          <w:rFonts w:ascii="Arial" w:cs="Arial" w:eastAsia="Arial" w:hAnsi="Arial"/>
          <w:sz w:val="15"/>
          <w:szCs w:val="15"/>
          <w:color w:val="auto"/>
        </w:rPr>
        <w:t>deferred upon receipt and recognized as revenue ratably through February 2011. In the first quarter of 2012 and 2011, we recognized $5.9 million and $7.9 million, respectively, of technology licensing revenue related to these agreements. As of March 31, 2012, $145.8 million of the August 2010 technology licensing payments received from Astellas was deferred and will be recognized as revenue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 Research and Other Revenue</w:t>
      </w:r>
    </w:p>
    <w:p>
      <w:pPr>
        <w:spacing w:after="0" w:line="221" w:lineRule="exact"/>
        <w:rPr>
          <w:sz w:val="20"/>
          <w:szCs w:val="20"/>
          <w:color w:val="auto"/>
        </w:rPr>
      </w:pPr>
    </w:p>
    <w:p>
      <w:pPr>
        <w:jc w:val="both"/>
        <w:ind w:right="20" w:firstLine="254"/>
        <w:spacing w:after="0" w:line="290" w:lineRule="auto"/>
        <w:rPr>
          <w:sz w:val="20"/>
          <w:szCs w:val="20"/>
          <w:color w:val="auto"/>
        </w:rPr>
      </w:pPr>
      <w:r>
        <w:rPr>
          <w:rFonts w:ascii="Arial" w:cs="Arial" w:eastAsia="Arial" w:hAnsi="Arial"/>
          <w:sz w:val="14"/>
          <w:szCs w:val="14"/>
          <w:color w:val="auto"/>
        </w:rPr>
        <w:t>Contract research and other revenue for the three months ended March 31, 2011 included $1.0 million recognized in connection with our five-year grant from the National Institutes of Health (NIH), which we were awarded in September 2006 as part of the NIH’s Knockout Mouse Project. As of the end of 2011, no further revenue will be recognized by us in connection with this NIH Grant. In addition, under a June 2009 agreement with Novartis, we receive royalties on worldwide sales of Novartis’ canakinumab. For the three months ended March 31, 2012 and 2011, contract research and other revenue included $0.5 million and $0.7 million, respectively, of royalties from Novartis.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Expenses</w:t>
      </w:r>
    </w:p>
    <w:p>
      <w:pPr>
        <w:spacing w:after="0" w:line="221" w:lineRule="exact"/>
        <w:rPr>
          <w:sz w:val="20"/>
          <w:szCs w:val="20"/>
          <w:color w:val="auto"/>
        </w:rPr>
      </w:pPr>
    </w:p>
    <w:p>
      <w:pPr>
        <w:jc w:val="both"/>
        <w:ind w:firstLine="289"/>
        <w:spacing w:after="0" w:line="269" w:lineRule="auto"/>
        <w:rPr>
          <w:sz w:val="20"/>
          <w:szCs w:val="20"/>
          <w:color w:val="auto"/>
        </w:rPr>
      </w:pPr>
      <w:r>
        <w:rPr>
          <w:rFonts w:ascii="Arial" w:cs="Arial" w:eastAsia="Arial" w:hAnsi="Arial"/>
          <w:sz w:val="15"/>
          <w:szCs w:val="15"/>
          <w:color w:val="auto"/>
        </w:rPr>
        <w:t>Total operating expenses increased to $209.6 million in the first quarter of 2012 from $153.2 million in the first quarter of 2011. Our average headcount in the first quarter of 2012 increased to 1,729 from 1,432 in the same period of 2011 principally in connection with commercializing EYLEA in wet AMD, and as a result of our expanding research and development activities, which were primarily attributable to our antibody collaboration with Sanofi.</w:t>
      </w:r>
    </w:p>
    <w:p>
      <w:pPr>
        <w:spacing w:after="0" w:line="183" w:lineRule="exact"/>
        <w:rPr>
          <w:sz w:val="20"/>
          <w:szCs w:val="20"/>
          <w:color w:val="auto"/>
        </w:rPr>
      </w:pPr>
    </w:p>
    <w:p>
      <w:pPr>
        <w:jc w:val="both"/>
        <w:ind w:right="20" w:firstLine="254"/>
        <w:spacing w:after="0" w:line="281" w:lineRule="auto"/>
        <w:rPr>
          <w:sz w:val="20"/>
          <w:szCs w:val="20"/>
          <w:color w:val="auto"/>
        </w:rPr>
      </w:pPr>
      <w:r>
        <w:rPr>
          <w:rFonts w:ascii="Arial" w:cs="Arial" w:eastAsia="Arial" w:hAnsi="Arial"/>
          <w:sz w:val="15"/>
          <w:szCs w:val="15"/>
          <w:color w:val="auto"/>
        </w:rPr>
        <w:t>Operating expenses in the first quarter of 2012 and 2011 included a total of $23.2 million and $14.8 million, respectively, of non-cash compensation expense related to employee stock option and restricted stock awards (Non-cash Compensation Expense), as detailed below: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5" w:right="219" w:bottom="1440" w:gutter="0" w:footer="0" w:header="0"/>
        </w:sectPr>
      </w:pPr>
    </w:p>
    <w:bookmarkStart w:id="30" w:name="page31"/>
    <w:bookmarkEnd w:id="30"/>
    <w:tbl>
      <w:tblPr>
        <w:tblLayout w:type="fixed"/>
        <w:tblInd w:w="1148" w:type="dxa"/>
        <w:tblCellMar>
          <w:top w:w="0" w:type="dxa"/>
          <w:left w:w="0" w:type="dxa"/>
          <w:bottom w:w="0" w:type="dxa"/>
          <w:right w:w="0" w:type="dxa"/>
        </w:tblCellMar>
      </w:tblPr>
      <w:tr>
        <w:trPr>
          <w:trHeight w:val="201"/>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7"/>
          </w:tcPr>
          <w:p>
            <w:pPr>
              <w:jc w:val="right"/>
              <w:ind w:right="445"/>
              <w:spacing w:after="0"/>
              <w:rPr>
                <w:sz w:val="20"/>
                <w:szCs w:val="20"/>
                <w:color w:val="auto"/>
              </w:rPr>
            </w:pPr>
            <w:r>
              <w:rPr>
                <w:rFonts w:ascii="Arial" w:cs="Arial" w:eastAsia="Arial" w:hAnsi="Arial"/>
                <w:sz w:val="15"/>
                <w:szCs w:val="15"/>
                <w:b w:val="1"/>
                <w:bCs w:val="1"/>
                <w:color w:val="auto"/>
              </w:rPr>
              <w:t>For the three months ended March 31, 2012</w:t>
            </w:r>
          </w:p>
        </w:tc>
      </w:tr>
      <w:tr>
        <w:trPr>
          <w:trHeight w:val="193"/>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6"/>
              </w:rPr>
              <w:t>Expenses before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8"/>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6"/>
              </w:rPr>
              <w:t>inclusion of Non-cash</w:t>
            </w:r>
          </w:p>
        </w:tc>
        <w:tc>
          <w:tcPr>
            <w:tcW w:w="14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Non-cash</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50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8"/>
              </w:rPr>
              <w:t>Compensation</w:t>
            </w:r>
          </w:p>
        </w:tc>
        <w:tc>
          <w:tcPr>
            <w:tcW w:w="124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8"/>
              </w:rPr>
              <w:t>Compensation</w:t>
            </w:r>
          </w:p>
        </w:tc>
        <w:tc>
          <w:tcPr>
            <w:tcW w:w="880" w:type="dxa"/>
            <w:vAlign w:val="bottom"/>
            <w:gridSpan w:val="2"/>
          </w:tcPr>
          <w:p>
            <w:pPr>
              <w:jc w:val="center"/>
              <w:spacing w:after="0"/>
              <w:rPr>
                <w:sz w:val="20"/>
                <w:szCs w:val="20"/>
                <w:color w:val="auto"/>
              </w:rPr>
            </w:pPr>
            <w:r>
              <w:rPr>
                <w:rFonts w:ascii="Arial" w:cs="Arial" w:eastAsia="Arial" w:hAnsi="Arial"/>
                <w:sz w:val="15"/>
                <w:szCs w:val="15"/>
                <w:b w:val="1"/>
                <w:bCs w:val="1"/>
                <w:color w:val="auto"/>
                <w:w w:val="83"/>
              </w:rPr>
              <w:t>Expenses as</w:t>
            </w:r>
          </w:p>
        </w:tc>
      </w:tr>
      <w:tr>
        <w:trPr>
          <w:trHeight w:val="201"/>
        </w:trPr>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b w:val="1"/>
                <w:bCs w:val="1"/>
                <w:i w:val="1"/>
                <w:iCs w:val="1"/>
                <w:color w:val="auto"/>
              </w:rPr>
              <w:t>(In millions)</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85"/>
              <w:spacing w:after="0"/>
              <w:rPr>
                <w:sz w:val="20"/>
                <w:szCs w:val="20"/>
                <w:color w:val="auto"/>
              </w:rPr>
            </w:pPr>
            <w:r>
              <w:rPr>
                <w:rFonts w:ascii="Arial" w:cs="Arial" w:eastAsia="Arial" w:hAnsi="Arial"/>
                <w:sz w:val="15"/>
                <w:szCs w:val="15"/>
                <w:b w:val="1"/>
                <w:bCs w:val="1"/>
                <w:color w:val="auto"/>
                <w:w w:val="84"/>
              </w:rPr>
              <w:t>Expense</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87"/>
              </w:rPr>
              <w:t>Expense</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b w:val="1"/>
                <w:bCs w:val="1"/>
                <w:color w:val="auto"/>
                <w:w w:val="91"/>
              </w:rPr>
              <w:t>Reported</w:t>
            </w:r>
          </w:p>
        </w:tc>
      </w:tr>
      <w:tr>
        <w:trPr>
          <w:trHeight w:val="207"/>
        </w:trPr>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138.9</w:t>
            </w:r>
          </w:p>
        </w:tc>
      </w:tr>
      <w:tr>
        <w:trPr>
          <w:trHeight w:val="201"/>
        </w:trPr>
        <w:tc>
          <w:tcPr>
            <w:tcW w:w="5300" w:type="dxa"/>
            <w:vAlign w:val="bottom"/>
            <w:gridSpan w:val="2"/>
          </w:tcPr>
          <w:p>
            <w:pPr>
              <w:spacing w:after="0"/>
              <w:rPr>
                <w:sz w:val="20"/>
                <w:szCs w:val="20"/>
                <w:color w:val="auto"/>
              </w:rPr>
            </w:pPr>
            <w:r>
              <w:rPr>
                <w:rFonts w:ascii="Arial" w:cs="Arial" w:eastAsia="Arial" w:hAnsi="Arial"/>
                <w:sz w:val="15"/>
                <w:szCs w:val="15"/>
                <w:color w:val="auto"/>
              </w:rPr>
              <w:t>Selling, general, and administrative</w:t>
            </w:r>
          </w:p>
        </w:tc>
        <w:tc>
          <w:tcPr>
            <w:tcW w:w="1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5"/>
                <w:szCs w:val="15"/>
                <w:color w:val="auto"/>
              </w:rPr>
              <w:t>45.8</w:t>
            </w:r>
          </w:p>
        </w:tc>
        <w:tc>
          <w:tcPr>
            <w:tcW w:w="1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58.4</w:t>
            </w:r>
          </w:p>
        </w:tc>
      </w:tr>
      <w:tr>
        <w:trPr>
          <w:trHeight w:val="208"/>
        </w:trPr>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 of goods sold</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r>
      <w:tr>
        <w:trPr>
          <w:trHeight w:val="20"/>
        </w:trPr>
        <w:tc>
          <w:tcPr>
            <w:tcW w:w="53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5"/>
        </w:trPr>
        <w:tc>
          <w:tcPr>
            <w:tcW w:w="5300" w:type="dxa"/>
            <w:vAlign w:val="bottom"/>
            <w:gridSpan w:val="2"/>
          </w:tcPr>
          <w:p>
            <w:pPr>
              <w:ind w:left="260"/>
              <w:spacing w:after="0"/>
              <w:rPr>
                <w:sz w:val="20"/>
                <w:szCs w:val="20"/>
                <w:color w:val="auto"/>
              </w:rPr>
            </w:pPr>
            <w:r>
              <w:rPr>
                <w:rFonts w:ascii="Arial" w:cs="Arial" w:eastAsia="Arial" w:hAnsi="Arial"/>
                <w:sz w:val="15"/>
                <w:szCs w:val="15"/>
                <w:color w:val="auto"/>
              </w:rPr>
              <w:t>Total operating expenses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186.4</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23.2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209.6</w:t>
            </w:r>
          </w:p>
        </w:tc>
      </w:tr>
      <w:tr>
        <w:trPr>
          <w:trHeight w:val="24"/>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r>
      <w:tr>
        <w:trPr>
          <w:trHeight w:val="398"/>
        </w:trPr>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7"/>
          </w:tcPr>
          <w:p>
            <w:pPr>
              <w:jc w:val="right"/>
              <w:ind w:right="465"/>
              <w:spacing w:after="0"/>
              <w:rPr>
                <w:sz w:val="20"/>
                <w:szCs w:val="20"/>
                <w:color w:val="auto"/>
              </w:rPr>
            </w:pPr>
            <w:r>
              <w:rPr>
                <w:rFonts w:ascii="Arial" w:cs="Arial" w:eastAsia="Arial" w:hAnsi="Arial"/>
                <w:sz w:val="15"/>
                <w:szCs w:val="15"/>
                <w:b w:val="1"/>
                <w:bCs w:val="1"/>
                <w:color w:val="auto"/>
              </w:rPr>
              <w:t>For the three months ended March 31, 2011</w:t>
            </w:r>
          </w:p>
        </w:tc>
      </w:tr>
      <w:tr>
        <w:trPr>
          <w:trHeight w:val="193"/>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6"/>
              </w:rPr>
              <w:t>Expenses before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8"/>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6"/>
              </w:rPr>
              <w:t>inclusion of Non-cash</w:t>
            </w:r>
          </w:p>
        </w:tc>
        <w:tc>
          <w:tcPr>
            <w:tcW w:w="14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Non-cash</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50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8"/>
              </w:rPr>
              <w:t>Compensation</w:t>
            </w:r>
          </w:p>
        </w:tc>
        <w:tc>
          <w:tcPr>
            <w:tcW w:w="124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8"/>
              </w:rPr>
              <w:t>Compensation</w:t>
            </w:r>
          </w:p>
        </w:tc>
        <w:tc>
          <w:tcPr>
            <w:tcW w:w="880" w:type="dxa"/>
            <w:vAlign w:val="bottom"/>
            <w:gridSpan w:val="2"/>
          </w:tcPr>
          <w:p>
            <w:pPr>
              <w:jc w:val="center"/>
              <w:spacing w:after="0"/>
              <w:rPr>
                <w:sz w:val="20"/>
                <w:szCs w:val="20"/>
                <w:color w:val="auto"/>
              </w:rPr>
            </w:pPr>
            <w:r>
              <w:rPr>
                <w:rFonts w:ascii="Arial" w:cs="Arial" w:eastAsia="Arial" w:hAnsi="Arial"/>
                <w:sz w:val="15"/>
                <w:szCs w:val="15"/>
                <w:b w:val="1"/>
                <w:bCs w:val="1"/>
                <w:color w:val="auto"/>
                <w:w w:val="83"/>
              </w:rPr>
              <w:t>Expenses as</w:t>
            </w:r>
          </w:p>
        </w:tc>
      </w:tr>
      <w:tr>
        <w:trPr>
          <w:trHeight w:val="201"/>
        </w:trPr>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b w:val="1"/>
                <w:bCs w:val="1"/>
                <w:i w:val="1"/>
                <w:iCs w:val="1"/>
                <w:color w:val="auto"/>
              </w:rPr>
              <w:t>(In millions)</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85"/>
              <w:spacing w:after="0"/>
              <w:rPr>
                <w:sz w:val="20"/>
                <w:szCs w:val="20"/>
                <w:color w:val="auto"/>
              </w:rPr>
            </w:pPr>
            <w:r>
              <w:rPr>
                <w:rFonts w:ascii="Arial" w:cs="Arial" w:eastAsia="Arial" w:hAnsi="Arial"/>
                <w:sz w:val="15"/>
                <w:szCs w:val="15"/>
                <w:b w:val="1"/>
                <w:bCs w:val="1"/>
                <w:color w:val="auto"/>
                <w:w w:val="84"/>
              </w:rPr>
              <w:t>Expense</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87"/>
              </w:rPr>
              <w:t>Expense</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b w:val="1"/>
                <w:bCs w:val="1"/>
                <w:color w:val="auto"/>
                <w:w w:val="91"/>
              </w:rPr>
              <w:t>Reported</w:t>
            </w:r>
          </w:p>
        </w:tc>
      </w:tr>
      <w:tr>
        <w:trPr>
          <w:trHeight w:val="207"/>
        </w:trPr>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w:t>
            </w:r>
          </w:p>
        </w:tc>
      </w:tr>
      <w:tr>
        <w:trPr>
          <w:trHeight w:val="201"/>
        </w:trPr>
        <w:tc>
          <w:tcPr>
            <w:tcW w:w="5300" w:type="dxa"/>
            <w:vAlign w:val="bottom"/>
            <w:gridSpan w:val="2"/>
          </w:tcPr>
          <w:p>
            <w:pPr>
              <w:spacing w:after="0"/>
              <w:rPr>
                <w:sz w:val="20"/>
                <w:szCs w:val="20"/>
                <w:color w:val="auto"/>
              </w:rPr>
            </w:pPr>
            <w:r>
              <w:rPr>
                <w:rFonts w:ascii="Arial" w:cs="Arial" w:eastAsia="Arial" w:hAnsi="Arial"/>
                <w:sz w:val="15"/>
                <w:szCs w:val="15"/>
                <w:color w:val="auto"/>
              </w:rPr>
              <w:t>Selling, general, and administrative</w:t>
            </w:r>
          </w:p>
        </w:tc>
        <w:tc>
          <w:tcPr>
            <w:tcW w:w="16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5"/>
                <w:szCs w:val="15"/>
                <w:color w:val="auto"/>
              </w:rPr>
              <w:t>16.4</w:t>
            </w:r>
          </w:p>
        </w:tc>
        <w:tc>
          <w:tcPr>
            <w:tcW w:w="1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23.4</w:t>
            </w:r>
          </w:p>
        </w:tc>
      </w:tr>
      <w:tr>
        <w:trPr>
          <w:trHeight w:val="208"/>
        </w:trPr>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Cost of goods sold</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r>
      <w:tr>
        <w:trPr>
          <w:trHeight w:val="205"/>
        </w:trPr>
        <w:tc>
          <w:tcPr>
            <w:tcW w:w="5300" w:type="dxa"/>
            <w:vAlign w:val="bottom"/>
            <w:gridSpan w:val="2"/>
          </w:tcPr>
          <w:p>
            <w:pPr>
              <w:ind w:left="260"/>
              <w:spacing w:after="0"/>
              <w:rPr>
                <w:sz w:val="20"/>
                <w:szCs w:val="20"/>
                <w:color w:val="auto"/>
              </w:rPr>
            </w:pPr>
            <w:r>
              <w:rPr>
                <w:rFonts w:ascii="Arial" w:cs="Arial" w:eastAsia="Arial" w:hAnsi="Arial"/>
                <w:sz w:val="15"/>
                <w:szCs w:val="15"/>
                <w:color w:val="auto"/>
              </w:rPr>
              <w:t>Total operating expenses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138.4</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14.8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153.2</w:t>
            </w:r>
          </w:p>
        </w:tc>
      </w:tr>
      <w:tr>
        <w:trPr>
          <w:trHeight w:val="24"/>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ind w:left="8" w:right="20" w:firstLine="277"/>
        <w:spacing w:after="0" w:line="281" w:lineRule="auto"/>
        <w:rPr>
          <w:sz w:val="20"/>
          <w:szCs w:val="20"/>
          <w:color w:val="auto"/>
        </w:rPr>
      </w:pPr>
      <w:r>
        <w:rPr>
          <w:rFonts w:ascii="Arial" w:cs="Arial" w:eastAsia="Arial" w:hAnsi="Arial"/>
          <w:sz w:val="15"/>
          <w:szCs w:val="15"/>
          <w:color w:val="auto"/>
        </w:rPr>
        <w:t>The increase in total Non-cash Compensation Expense in the first quarter of 2012 was primarily attributable to the higher fair market value of our Common Stock on the date of our annual employee option grants made in December 2011 compared to recent prior years.</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Research and Development Expenses</w:t>
      </w:r>
    </w:p>
    <w:p>
      <w:pPr>
        <w:spacing w:after="0" w:line="221" w:lineRule="exact"/>
        <w:rPr>
          <w:sz w:val="20"/>
          <w:szCs w:val="20"/>
          <w:color w:val="auto"/>
        </w:rPr>
      </w:pPr>
    </w:p>
    <w:p>
      <w:pPr>
        <w:ind w:left="8" w:firstLine="254"/>
        <w:spacing w:after="0" w:line="281" w:lineRule="auto"/>
        <w:rPr>
          <w:sz w:val="20"/>
          <w:szCs w:val="20"/>
          <w:color w:val="auto"/>
        </w:rPr>
      </w:pPr>
      <w:r>
        <w:rPr>
          <w:rFonts w:ascii="Arial" w:cs="Arial" w:eastAsia="Arial" w:hAnsi="Arial"/>
          <w:sz w:val="15"/>
          <w:szCs w:val="15"/>
          <w:color w:val="auto"/>
        </w:rPr>
        <w:t>Research and development expenses increased to $138.9 million in the first quarter of 2012 from $129.4 million in the same period of 2011. The following table summarizes the major categories of our research and development expenses for the three months ended March 31, 2012 and 2011:</w:t>
      </w:r>
    </w:p>
    <w:p>
      <w:pPr>
        <w:spacing w:after="0" w:line="158" w:lineRule="exact"/>
        <w:rPr>
          <w:sz w:val="20"/>
          <w:szCs w:val="20"/>
          <w:color w:val="auto"/>
        </w:rPr>
      </w:pPr>
    </w:p>
    <w:tbl>
      <w:tblPr>
        <w:tblLayout w:type="fixed"/>
        <w:tblInd w:w="1148" w:type="dxa"/>
        <w:tblCellMar>
          <w:top w:w="0" w:type="dxa"/>
          <w:left w:w="0" w:type="dxa"/>
          <w:bottom w:w="0" w:type="dxa"/>
          <w:right w:w="0" w:type="dxa"/>
        </w:tblCellMar>
      </w:tblPr>
      <w:tr>
        <w:trPr>
          <w:trHeight w:val="194"/>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6"/>
          </w:tcPr>
          <w:p>
            <w:pPr>
              <w:ind w:left="20"/>
              <w:spacing w:after="0"/>
              <w:rPr>
                <w:sz w:val="20"/>
                <w:szCs w:val="20"/>
                <w:color w:val="auto"/>
              </w:rPr>
            </w:pPr>
            <w:r>
              <w:rPr>
                <w:rFonts w:ascii="Arial" w:cs="Arial" w:eastAsia="Arial" w:hAnsi="Arial"/>
                <w:sz w:val="15"/>
                <w:szCs w:val="15"/>
                <w:b w:val="1"/>
                <w:bCs w:val="1"/>
                <w:color w:val="auto"/>
              </w:rPr>
              <w:t>For the three months ended</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3"/>
        </w:trPr>
        <w:tc>
          <w:tcPr>
            <w:tcW w:w="61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Research and Development Expenses*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45"/>
              <w:spacing w:after="0"/>
              <w:rPr>
                <w:sz w:val="20"/>
                <w:szCs w:val="20"/>
                <w:color w:val="auto"/>
              </w:rPr>
            </w:pPr>
            <w:r>
              <w:rPr>
                <w:rFonts w:ascii="Arial" w:cs="Arial" w:eastAsia="Arial" w:hAnsi="Arial"/>
                <w:sz w:val="15"/>
                <w:szCs w:val="15"/>
                <w:b w:val="1"/>
                <w:bCs w:val="1"/>
                <w:color w:val="auto"/>
                <w:w w:val="88"/>
              </w:rPr>
              <w:t>Increase</w:t>
            </w:r>
          </w:p>
        </w:tc>
      </w:tr>
      <w:tr>
        <w:trPr>
          <w:trHeight w:val="201"/>
        </w:trPr>
        <w:tc>
          <w:tcPr>
            <w:tcW w:w="612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i w:val="1"/>
                <w:iCs w:val="1"/>
                <w:color w:val="auto"/>
              </w:rPr>
              <w:t>(In millions)</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2012</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89"/>
              </w:rPr>
              <w:t>2011</w:t>
            </w: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1"/>
              </w:rPr>
              <w:t>(Decrease)</w:t>
            </w:r>
          </w:p>
        </w:tc>
      </w:tr>
      <w:tr>
        <w:trPr>
          <w:trHeight w:val="207"/>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Payroll and benefits (1)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8.8</w:t>
            </w:r>
          </w:p>
        </w:tc>
      </w:tr>
      <w:tr>
        <w:trPr>
          <w:trHeight w:val="201"/>
        </w:trPr>
        <w:tc>
          <w:tcPr>
            <w:tcW w:w="6120" w:type="dxa"/>
            <w:vAlign w:val="bottom"/>
          </w:tcPr>
          <w:p>
            <w:pPr>
              <w:spacing w:after="0"/>
              <w:rPr>
                <w:sz w:val="20"/>
                <w:szCs w:val="20"/>
                <w:color w:val="auto"/>
              </w:rPr>
            </w:pPr>
            <w:r>
              <w:rPr>
                <w:rFonts w:ascii="Arial" w:cs="Arial" w:eastAsia="Arial" w:hAnsi="Arial"/>
                <w:sz w:val="15"/>
                <w:szCs w:val="15"/>
                <w:color w:val="auto"/>
              </w:rPr>
              <w:t>Clinical trial expenses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23.2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5"/>
              <w:spacing w:after="0"/>
              <w:rPr>
                <w:sz w:val="20"/>
                <w:szCs w:val="20"/>
                <w:color w:val="auto"/>
              </w:rPr>
            </w:pPr>
            <w:r>
              <w:rPr>
                <w:rFonts w:ascii="Arial" w:cs="Arial" w:eastAsia="Arial" w:hAnsi="Arial"/>
                <w:sz w:val="15"/>
                <w:szCs w:val="15"/>
                <w:color w:val="auto"/>
              </w:rPr>
              <w:t>7.0</w:t>
            </w:r>
          </w:p>
        </w:tc>
      </w:tr>
      <w:tr>
        <w:trPr>
          <w:trHeight w:val="215"/>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Clinical manufacturing costs (2)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w:t>
            </w:r>
          </w:p>
        </w:tc>
      </w:tr>
      <w:tr>
        <w:trPr>
          <w:trHeight w:val="201"/>
        </w:trPr>
        <w:tc>
          <w:tcPr>
            <w:tcW w:w="6120" w:type="dxa"/>
            <w:vAlign w:val="bottom"/>
          </w:tcPr>
          <w:p>
            <w:pPr>
              <w:spacing w:after="0"/>
              <w:rPr>
                <w:sz w:val="20"/>
                <w:szCs w:val="20"/>
                <w:color w:val="auto"/>
              </w:rPr>
            </w:pPr>
            <w:r>
              <w:rPr>
                <w:rFonts w:ascii="Arial" w:cs="Arial" w:eastAsia="Arial" w:hAnsi="Arial"/>
                <w:sz w:val="15"/>
                <w:szCs w:val="15"/>
                <w:color w:val="auto"/>
              </w:rPr>
              <w:t>Research and other development costs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15"/>
        </w:trPr>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Occupancy and other operating costs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4.8</w:t>
            </w:r>
          </w:p>
        </w:tc>
      </w:tr>
      <w:tr>
        <w:trPr>
          <w:trHeight w:val="194"/>
        </w:trPr>
        <w:tc>
          <w:tcPr>
            <w:tcW w:w="6120" w:type="dxa"/>
            <w:vAlign w:val="bottom"/>
          </w:tcPr>
          <w:p>
            <w:pPr>
              <w:spacing w:after="0"/>
              <w:rPr>
                <w:sz w:val="20"/>
                <w:szCs w:val="20"/>
                <w:color w:val="auto"/>
              </w:rPr>
            </w:pPr>
            <w:r>
              <w:rPr>
                <w:rFonts w:ascii="Arial" w:cs="Arial" w:eastAsia="Arial" w:hAnsi="Arial"/>
                <w:sz w:val="15"/>
                <w:szCs w:val="15"/>
                <w:color w:val="auto"/>
              </w:rPr>
              <w:t>Cost-sharing of Bayer HealthCare EYLEA</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5"/>
        </w:trPr>
        <w:tc>
          <w:tcPr>
            <w:tcW w:w="612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development expenses (3)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w:t>
            </w:r>
          </w:p>
        </w:tc>
      </w:tr>
      <w:tr>
        <w:trPr>
          <w:trHeight w:val="218"/>
        </w:trPr>
        <w:tc>
          <w:tcPr>
            <w:tcW w:w="612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research and development expenses</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138.9</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-6985</wp:posOffset>
            </wp:positionV>
            <wp:extent cx="1783715"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715" cy="14605"/>
                    </a:xfrm>
                    <a:prstGeom prst="rect">
                      <a:avLst/>
                    </a:prstGeom>
                    <a:noFill/>
                  </pic:spPr>
                </pic:pic>
              </a:graphicData>
            </a:graphic>
          </wp:anchor>
        </w:drawing>
      </w:r>
    </w:p>
    <w:p>
      <w:pPr>
        <w:ind w:left="8"/>
        <w:spacing w:after="0"/>
        <w:rPr>
          <w:sz w:val="20"/>
          <w:szCs w:val="20"/>
          <w:color w:val="auto"/>
        </w:rPr>
      </w:pPr>
      <w:r>
        <w:rPr>
          <w:rFonts w:ascii="Arial" w:cs="Arial" w:eastAsia="Arial" w:hAnsi="Arial"/>
          <w:sz w:val="18"/>
          <w:szCs w:val="18"/>
          <w:color w:val="auto"/>
        </w:rPr>
        <w:t>____________________</w:t>
      </w:r>
    </w:p>
    <w:p>
      <w:pPr>
        <w:spacing w:after="0" w:line="190" w:lineRule="exact"/>
        <w:rPr>
          <w:sz w:val="20"/>
          <w:szCs w:val="20"/>
          <w:color w:val="auto"/>
        </w:rPr>
      </w:pPr>
    </w:p>
    <w:p>
      <w:pPr>
        <w:ind w:left="108" w:hanging="108"/>
        <w:spacing w:after="0"/>
        <w:tabs>
          <w:tab w:leader="none" w:pos="108" w:val="left"/>
        </w:tabs>
        <w:numPr>
          <w:ilvl w:val="0"/>
          <w:numId w:val="6"/>
        </w:numPr>
        <w:rPr>
          <w:rFonts w:ascii="Arial" w:cs="Arial" w:eastAsia="Arial" w:hAnsi="Arial"/>
          <w:sz w:val="15"/>
          <w:szCs w:val="15"/>
          <w:color w:val="auto"/>
        </w:rPr>
      </w:pPr>
      <w:r>
        <w:rPr>
          <w:rFonts w:ascii="Arial" w:cs="Arial" w:eastAsia="Arial" w:hAnsi="Arial"/>
          <w:sz w:val="15"/>
          <w:szCs w:val="15"/>
          <w:color w:val="auto"/>
        </w:rPr>
        <w:t>Certain prior year amounts have been reclassified to conform to the current year’s presentation.</w:t>
      </w:r>
    </w:p>
    <w:p>
      <w:pPr>
        <w:spacing w:after="0" w:line="197" w:lineRule="exact"/>
        <w:rPr>
          <w:rFonts w:ascii="Arial" w:cs="Arial" w:eastAsia="Arial" w:hAnsi="Arial"/>
          <w:sz w:val="15"/>
          <w:szCs w:val="15"/>
          <w:color w:val="auto"/>
        </w:rPr>
      </w:pPr>
    </w:p>
    <w:p>
      <w:pPr>
        <w:ind w:left="748" w:hanging="470"/>
        <w:spacing w:after="0"/>
        <w:tabs>
          <w:tab w:leader="none" w:pos="748" w:val="left"/>
        </w:tabs>
        <w:numPr>
          <w:ilvl w:val="1"/>
          <w:numId w:val="6"/>
        </w:numPr>
        <w:rPr>
          <w:rFonts w:ascii="Arial" w:cs="Arial" w:eastAsia="Arial" w:hAnsi="Arial"/>
          <w:sz w:val="14"/>
          <w:szCs w:val="14"/>
          <w:color w:val="auto"/>
        </w:rPr>
      </w:pPr>
      <w:r>
        <w:rPr>
          <w:rFonts w:ascii="Arial" w:cs="Arial" w:eastAsia="Arial" w:hAnsi="Arial"/>
          <w:sz w:val="14"/>
          <w:szCs w:val="14"/>
          <w:color w:val="auto"/>
        </w:rPr>
        <w:t>Includes Non-cash Compensation Expense of $9.5 million for the three months ended March 31, 2012 and $6.9 million for the three months ended March 31, 2011.</w:t>
      </w:r>
    </w:p>
    <w:p>
      <w:pPr>
        <w:spacing w:after="0" w:line="208" w:lineRule="exact"/>
        <w:rPr>
          <w:rFonts w:ascii="Arial" w:cs="Arial" w:eastAsia="Arial" w:hAnsi="Arial"/>
          <w:sz w:val="14"/>
          <w:szCs w:val="14"/>
          <w:color w:val="auto"/>
        </w:rPr>
      </w:pPr>
    </w:p>
    <w:p>
      <w:pPr>
        <w:ind w:left="5648"/>
        <w:spacing w:after="0"/>
        <w:rPr>
          <w:rFonts w:ascii="Arial" w:cs="Arial" w:eastAsia="Arial" w:hAnsi="Arial"/>
          <w:sz w:val="14"/>
          <w:szCs w:val="14"/>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8662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8"/>
          </w:cols>
          <w:pgMar w:left="232" w:top="348" w:right="219" w:bottom="1440" w:gutter="0" w:footer="0" w:header="0"/>
        </w:sectPr>
      </w:pPr>
    </w:p>
    <w:bookmarkStart w:id="31" w:name="page32"/>
    <w:bookmarkEnd w:id="31"/>
    <w:p>
      <w:pPr>
        <w:jc w:val="both"/>
        <w:ind w:left="740" w:hanging="470"/>
        <w:spacing w:after="0" w:line="278" w:lineRule="auto"/>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$1.0 million for the three months ended March 31, 2012 and $0.9 million for the three months ended March 31, 2011.</w:t>
      </w:r>
    </w:p>
    <w:p>
      <w:pPr>
        <w:jc w:val="both"/>
        <w:ind w:left="740" w:right="20" w:hanging="470"/>
        <w:spacing w:after="0" w:line="263" w:lineRule="auto"/>
        <w:tabs>
          <w:tab w:leader="none" w:pos="740" w:val="left"/>
        </w:tabs>
        <w:numPr>
          <w:ilvl w:val="0"/>
          <w:numId w:val="7"/>
        </w:numPr>
        <w:rPr>
          <w:rFonts w:ascii="Arial" w:cs="Arial" w:eastAsia="Arial" w:hAnsi="Arial"/>
          <w:sz w:val="15"/>
          <w:szCs w:val="15"/>
          <w:color w:val="auto"/>
        </w:rPr>
      </w:pPr>
      <w:r>
        <w:rPr>
          <w:rFonts w:ascii="Arial" w:cs="Arial" w:eastAsia="Arial" w:hAnsi="Arial"/>
          <w:sz w:val="15"/>
          <w:szCs w:val="15"/>
          <w:color w:val="auto"/>
        </w:rPr>
        <w:t>Under our collaboration with Bayer HealthCare, in periods when Bayer HealthCare incurs EYLEA development expenses, we also recognize, as additional research and development expense, the portion of Bayer HealthCare’s EYLEA development expenses that we are obligated to reimburse. Bayer HealthCare provides us with estimated EYLEA development expenses for the most recent fiscal quarter. Bayer HealthCare’s estimate is reconciled to its actual expenses for such quarter in the subsequent fiscal quarter and our portion of its EYLEA development expenses that we are obligated to reimburse is adjusted accordingly.</w:t>
      </w:r>
    </w:p>
    <w:p>
      <w:pPr>
        <w:spacing w:after="0" w:line="187" w:lineRule="exact"/>
        <w:rPr>
          <w:sz w:val="20"/>
          <w:szCs w:val="20"/>
          <w:color w:val="auto"/>
        </w:rPr>
      </w:pPr>
    </w:p>
    <w:p>
      <w:pPr>
        <w:jc w:val="both"/>
        <w:ind w:firstLine="289"/>
        <w:spacing w:after="0" w:line="282" w:lineRule="auto"/>
        <w:rPr>
          <w:sz w:val="20"/>
          <w:szCs w:val="20"/>
          <w:color w:val="auto"/>
        </w:rPr>
      </w:pPr>
      <w:r>
        <w:rPr>
          <w:rFonts w:ascii="Arial" w:cs="Arial" w:eastAsia="Arial" w:hAnsi="Arial"/>
          <w:sz w:val="14"/>
          <w:szCs w:val="14"/>
          <w:color w:val="auto"/>
        </w:rPr>
        <w:t>Payroll and benefits increased principally due to the increase in employee headcount and Non-cash Compensation Expense, as described above. Clinical trial expenses increased due primarily to higher costs related to our Phase 3 studies of EYLEA in DME and BRVO, partly offset by lower costs related to our Phase 3 VIEW 1 trial of EYLEA in wet AMD, which has concluded. Clinical manufacturing costs increased due to higher costs related to manufacturing sarilumab clinical supplies, partly offset by lower costs related to manufacturing ZALTRAP supplies. Research and other development costs decreased primarily due to our first quarter 2011 regulatory submission for marketing approval for EYLEA in wet AMD and lower costs associated with our antibody programs. Occupancy and other operating costs increased principally in connection with our higher headcount, expanded research and development activities, and expanded leased facilities in Tarrytown, New York. Cost-sharing of Bayer HealthCare’s EYLEA development expenses decreased primarily due to lower costs in connection with Bayer HealthCare’s VIEW 2 trial in wet AMD, which has concluded.</w:t>
      </w:r>
    </w:p>
    <w:p>
      <w:pPr>
        <w:spacing w:after="0" w:line="178" w:lineRule="exact"/>
        <w:rPr>
          <w:sz w:val="20"/>
          <w:szCs w:val="20"/>
          <w:color w:val="auto"/>
        </w:rPr>
      </w:pPr>
    </w:p>
    <w:p>
      <w:pPr>
        <w:jc w:val="both"/>
        <w:ind w:firstLine="254"/>
        <w:spacing w:after="0" w:line="329" w:lineRule="auto"/>
        <w:rPr>
          <w:sz w:val="20"/>
          <w:szCs w:val="20"/>
          <w:color w:val="auto"/>
        </w:rPr>
      </w:pPr>
      <w:r>
        <w:rPr>
          <w:rFonts w:ascii="Arial" w:cs="Arial" w:eastAsia="Arial" w:hAnsi="Arial"/>
          <w:sz w:val="13"/>
          <w:szCs w:val="13"/>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 development expenses that we are obligated to reimburse. Our estimates of research and development costs for clinical development programs are shown below:</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6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w w:val="90"/>
              </w:rPr>
              <w:t>For the three months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3"/>
        </w:trPr>
        <w:tc>
          <w:tcPr>
            <w:tcW w:w="63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Project Costs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right="5"/>
              <w:spacing w:after="0"/>
              <w:rPr>
                <w:sz w:val="20"/>
                <w:szCs w:val="20"/>
                <w:color w:val="auto"/>
              </w:rPr>
            </w:pPr>
            <w:r>
              <w:rPr>
                <w:rFonts w:ascii="Arial" w:cs="Arial" w:eastAsia="Arial" w:hAnsi="Arial"/>
                <w:sz w:val="15"/>
                <w:szCs w:val="15"/>
                <w:b w:val="1"/>
                <w:bCs w:val="1"/>
                <w:color w:val="auto"/>
                <w:w w:val="91"/>
              </w:rPr>
              <w:t>ended March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65"/>
              <w:spacing w:after="0"/>
              <w:rPr>
                <w:sz w:val="20"/>
                <w:szCs w:val="20"/>
                <w:color w:val="auto"/>
              </w:rPr>
            </w:pPr>
            <w:r>
              <w:rPr>
                <w:rFonts w:ascii="Arial" w:cs="Arial" w:eastAsia="Arial" w:hAnsi="Arial"/>
                <w:sz w:val="15"/>
                <w:szCs w:val="15"/>
                <w:b w:val="1"/>
                <w:bCs w:val="1"/>
                <w:color w:val="auto"/>
                <w:w w:val="88"/>
              </w:rPr>
              <w:t>Increase</w:t>
            </w:r>
          </w:p>
        </w:tc>
      </w:tr>
      <w:tr>
        <w:trPr>
          <w:trHeight w:val="201"/>
        </w:trPr>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b w:val="1"/>
                <w:bCs w:val="1"/>
                <w:i w:val="1"/>
                <w:iCs w:val="1"/>
                <w:color w:val="auto"/>
              </w:rPr>
              <w:t>(In millions)</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2012</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95"/>
              </w:rPr>
              <w:t>2011</w:t>
            </w:r>
          </w:p>
        </w:tc>
        <w:tc>
          <w:tcPr>
            <w:tcW w:w="2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5"/>
                <w:szCs w:val="15"/>
                <w:b w:val="1"/>
                <w:bCs w:val="1"/>
                <w:color w:val="auto"/>
                <w:w w:val="91"/>
              </w:rPr>
              <w:t>(Decrease)</w:t>
            </w:r>
          </w:p>
        </w:tc>
      </w:tr>
      <w:tr>
        <w:trPr>
          <w:trHeight w:val="207"/>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ARCALYST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w:t>
            </w:r>
          </w:p>
        </w:tc>
      </w:tr>
      <w:tr>
        <w:trPr>
          <w:trHeight w:val="201"/>
        </w:trPr>
        <w:tc>
          <w:tcPr>
            <w:tcW w:w="6600" w:type="dxa"/>
            <w:vAlign w:val="bottom"/>
            <w:gridSpan w:val="2"/>
          </w:tcPr>
          <w:p>
            <w:pPr>
              <w:spacing w:after="0"/>
              <w:rPr>
                <w:sz w:val="20"/>
                <w:szCs w:val="20"/>
                <w:color w:val="auto"/>
              </w:rPr>
            </w:pPr>
            <w:r>
              <w:rPr>
                <w:rFonts w:ascii="Arial" w:cs="Arial" w:eastAsia="Arial" w:hAnsi="Arial"/>
                <w:sz w:val="15"/>
                <w:szCs w:val="15"/>
                <w:color w:val="auto"/>
              </w:rPr>
              <w:t>EYLEA</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34.9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39.6</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15"/>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ZALTRAP</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r>
      <w:tr>
        <w:trPr>
          <w:trHeight w:val="201"/>
        </w:trPr>
        <w:tc>
          <w:tcPr>
            <w:tcW w:w="6600" w:type="dxa"/>
            <w:vAlign w:val="bottom"/>
            <w:gridSpan w:val="2"/>
          </w:tcPr>
          <w:p>
            <w:pPr>
              <w:spacing w:after="0"/>
              <w:rPr>
                <w:sz w:val="20"/>
                <w:szCs w:val="20"/>
                <w:color w:val="auto"/>
              </w:rPr>
            </w:pPr>
            <w:r>
              <w:rPr>
                <w:rFonts w:ascii="Arial" w:cs="Arial" w:eastAsia="Arial" w:hAnsi="Arial"/>
                <w:sz w:val="15"/>
                <w:szCs w:val="15"/>
                <w:color w:val="auto"/>
              </w:rPr>
              <w:t>Sarilumab</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4.6</w:t>
            </w:r>
          </w:p>
        </w:tc>
      </w:tr>
      <w:tr>
        <w:trPr>
          <w:trHeight w:val="215"/>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REGN727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01"/>
        </w:trPr>
        <w:tc>
          <w:tcPr>
            <w:tcW w:w="6600" w:type="dxa"/>
            <w:vAlign w:val="bottom"/>
            <w:gridSpan w:val="2"/>
          </w:tcPr>
          <w:p>
            <w:pPr>
              <w:spacing w:after="0"/>
              <w:rPr>
                <w:sz w:val="20"/>
                <w:szCs w:val="20"/>
                <w:color w:val="auto"/>
              </w:rPr>
            </w:pPr>
            <w:r>
              <w:rPr>
                <w:rFonts w:ascii="Arial" w:cs="Arial" w:eastAsia="Arial" w:hAnsi="Arial"/>
                <w:sz w:val="15"/>
                <w:szCs w:val="15"/>
                <w:color w:val="auto"/>
              </w:rPr>
              <w:t>Other antibody candidates in clinical development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2.2</w:t>
            </w:r>
          </w:p>
        </w:tc>
      </w:tr>
      <w:tr>
        <w:trPr>
          <w:trHeight w:val="208"/>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research programs &amp; unallocated costs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48.5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8.7</w:t>
            </w:r>
          </w:p>
        </w:tc>
      </w:tr>
      <w:tr>
        <w:trPr>
          <w:trHeight w:val="20"/>
        </w:trPr>
        <w:tc>
          <w:tcPr>
            <w:tcW w:w="6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5"/>
        </w:trPr>
        <w:tc>
          <w:tcPr>
            <w:tcW w:w="6600" w:type="dxa"/>
            <w:vAlign w:val="bottom"/>
            <w:gridSpan w:val="2"/>
          </w:tcPr>
          <w:p>
            <w:pPr>
              <w:ind w:left="260"/>
              <w:spacing w:after="0"/>
              <w:rPr>
                <w:sz w:val="20"/>
                <w:szCs w:val="20"/>
                <w:color w:val="auto"/>
              </w:rPr>
            </w:pPr>
            <w:r>
              <w:rPr>
                <w:rFonts w:ascii="Arial" w:cs="Arial" w:eastAsia="Arial" w:hAnsi="Arial"/>
                <w:sz w:val="15"/>
                <w:szCs w:val="15"/>
                <w:color w:val="auto"/>
              </w:rPr>
              <w:t>Total research and development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138.9</w:t>
            </w: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129.4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9.5</w:t>
            </w:r>
          </w:p>
        </w:tc>
      </w:tr>
      <w:tr>
        <w:trPr>
          <w:trHeight w:val="24"/>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301"/>
        <w:spacing w:after="0" w:line="280" w:lineRule="auto"/>
        <w:rPr>
          <w:sz w:val="20"/>
          <w:szCs w:val="20"/>
          <w:color w:val="auto"/>
        </w:rPr>
      </w:pPr>
      <w:r>
        <w:rPr>
          <w:rFonts w:ascii="Arial" w:cs="Arial" w:eastAsia="Arial" w:hAnsi="Arial"/>
          <w:sz w:val="14"/>
          <w:szCs w:val="14"/>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32" w:name="page33"/>
    <w:bookmarkEnd w:id="32"/>
    <w:p>
      <w:pPr>
        <w:jc w:val="both"/>
        <w:ind w:firstLine="231"/>
        <w:spacing w:after="0" w:line="290" w:lineRule="auto"/>
        <w:rPr>
          <w:sz w:val="20"/>
          <w:szCs w:val="20"/>
          <w:color w:val="auto"/>
        </w:rPr>
      </w:pPr>
      <w:r>
        <w:rPr>
          <w:rFonts w:ascii="Arial" w:cs="Arial" w:eastAsia="Arial" w:hAnsi="Arial"/>
          <w:sz w:val="14"/>
          <w:szCs w:val="14"/>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170" w:lineRule="exact"/>
        <w:rPr>
          <w:sz w:val="20"/>
          <w:szCs w:val="20"/>
          <w:color w:val="auto"/>
        </w:rPr>
      </w:pPr>
    </w:p>
    <w:p>
      <w:pPr>
        <w:jc w:val="both"/>
        <w:ind w:firstLine="243"/>
        <w:spacing w:after="0" w:line="265" w:lineRule="auto"/>
        <w:rPr>
          <w:sz w:val="20"/>
          <w:szCs w:val="20"/>
          <w:color w:val="auto"/>
        </w:rPr>
      </w:pPr>
      <w:r>
        <w:rPr>
          <w:rFonts w:ascii="Arial" w:cs="Arial" w:eastAsia="Arial" w:hAnsi="Arial"/>
          <w:sz w:val="15"/>
          <w:szCs w:val="15"/>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Selling, General, and Administrative Expenses</w:t>
      </w:r>
    </w:p>
    <w:p>
      <w:pPr>
        <w:spacing w:after="0" w:line="221" w:lineRule="exact"/>
        <w:rPr>
          <w:sz w:val="20"/>
          <w:szCs w:val="20"/>
          <w:color w:val="auto"/>
        </w:rPr>
      </w:pPr>
    </w:p>
    <w:p>
      <w:pPr>
        <w:jc w:val="both"/>
        <w:ind w:firstLine="289"/>
        <w:spacing w:after="0" w:line="318" w:lineRule="auto"/>
        <w:rPr>
          <w:sz w:val="20"/>
          <w:szCs w:val="20"/>
          <w:color w:val="auto"/>
        </w:rPr>
      </w:pPr>
      <w:r>
        <w:rPr>
          <w:rFonts w:ascii="Arial" w:cs="Arial" w:eastAsia="Arial" w:hAnsi="Arial"/>
          <w:sz w:val="14"/>
          <w:szCs w:val="14"/>
          <w:color w:val="auto"/>
        </w:rPr>
        <w:t>Selling, general, and administrative expenses increased to $58.4 million in the first quarter of 2012 from $23.4 million in the same period of 2011 due to higher selling expenses in connection with commercialization of EYLEA in wet AMD, higher headcount, and higher Non-cash Compensation Expense principally for the reason described above.</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Goods Sold</w:t>
      </w:r>
    </w:p>
    <w:p>
      <w:pPr>
        <w:spacing w:after="0" w:line="221" w:lineRule="exact"/>
        <w:rPr>
          <w:sz w:val="20"/>
          <w:szCs w:val="20"/>
          <w:color w:val="auto"/>
        </w:rPr>
      </w:pPr>
    </w:p>
    <w:p>
      <w:pPr>
        <w:jc w:val="both"/>
        <w:ind w:firstLine="266"/>
        <w:spacing w:after="0" w:line="318" w:lineRule="auto"/>
        <w:rPr>
          <w:sz w:val="20"/>
          <w:szCs w:val="20"/>
          <w:color w:val="auto"/>
        </w:rPr>
      </w:pPr>
      <w:r>
        <w:rPr>
          <w:rFonts w:ascii="Arial" w:cs="Arial" w:eastAsia="Arial" w:hAnsi="Arial"/>
          <w:sz w:val="14"/>
          <w:szCs w:val="14"/>
          <w:color w:val="auto"/>
        </w:rPr>
        <w:t>Cost of goods sold increased to $12.3 million in the first quarter of 2012 from $0.4 million in the same period of 2011 due primarily to our launch of EYLEA for the treatment of wet AMD in November 2011. Cost of goods sold primarily consisted of royalties, as well as costs in connection with producing EYLEA and ARCALYST commercial supplies.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and Expense</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Investment income decreased to $0.6 million in the first quarter of 2012 from $1.0 million in the same period of 2011 due primarily to lower yields on cash and marketable securities.</w:t>
      </w:r>
    </w:p>
    <w:p>
      <w:pPr>
        <w:spacing w:after="0" w:line="232" w:lineRule="exact"/>
        <w:rPr>
          <w:sz w:val="20"/>
          <w:szCs w:val="20"/>
          <w:color w:val="auto"/>
        </w:rPr>
      </w:pPr>
    </w:p>
    <w:p>
      <w:pPr>
        <w:jc w:val="both"/>
        <w:ind w:right="20" w:firstLine="289"/>
        <w:spacing w:after="0" w:line="269" w:lineRule="auto"/>
        <w:rPr>
          <w:sz w:val="20"/>
          <w:szCs w:val="20"/>
          <w:color w:val="auto"/>
        </w:rPr>
      </w:pPr>
      <w:r>
        <w:rPr>
          <w:rFonts w:ascii="Arial" w:cs="Arial" w:eastAsia="Arial" w:hAnsi="Arial"/>
          <w:sz w:val="15"/>
          <w:szCs w:val="15"/>
          <w:color w:val="auto"/>
        </w:rPr>
        <w:t>Interest expense increased to $11.2 million in the first quarter of 2012 from $3.7 million in the same period of 2011. In October 2011, we issued $400.0 million aggregate principal amount of 1.875% convertible senior notes. Total interest expense in the first quarter of 2012 associated with these notes, including amortization of the note discount and debt issuance costs, was $7.1 million.</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221" w:lineRule="exact"/>
        <w:rPr>
          <w:sz w:val="20"/>
          <w:szCs w:val="20"/>
          <w:color w:val="auto"/>
        </w:rPr>
      </w:pPr>
    </w:p>
    <w:p>
      <w:pPr>
        <w:jc w:val="both"/>
        <w:ind w:firstLine="254"/>
        <w:spacing w:after="0" w:line="297" w:lineRule="auto"/>
        <w:rPr>
          <w:sz w:val="20"/>
          <w:szCs w:val="20"/>
          <w:color w:val="auto"/>
        </w:rPr>
      </w:pPr>
      <w:r>
        <w:rPr>
          <w:rFonts w:ascii="Arial" w:cs="Arial" w:eastAsia="Arial" w:hAnsi="Arial"/>
          <w:sz w:val="14"/>
          <w:szCs w:val="14"/>
          <w:color w:val="auto"/>
        </w:rPr>
        <w:t>Despite achieving profitability in the first quarter of 2012, we continue to recognize a full valuation allowance against our net operating loss carry-forward and other deferred tax assets since we have an extended history of losses. For the three months ended March 31, 2011, we recognized an income tax benefit of $0.2 million in connection with the net tax effect of the change in our unrealized gain/(loss) on “available-for-sale” marketable securities, which is included in other comprehensive income (loss).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4"/>
          <w:szCs w:val="14"/>
          <w:color w:val="auto"/>
        </w:rPr>
        <w:t>Since our inception in 1988, we have financed our operations primarily through offerings of our equity securities, private placements of convertible debt, purchases of our equity securities by our collaborators, including Sanofi, revenue earned under our past and present research and development agreements, including our agreements with Sanofi and Bayer HealthCare, EYLEA and ARCALYST product revenue, our technology licensing agreements, our past contract manufacturing agreements, and investment income.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33" w:name="page34"/>
    <w:bookmarkEnd w:id="33"/>
    <w:p>
      <w:pPr>
        <w:spacing w:after="0"/>
        <w:rPr>
          <w:sz w:val="20"/>
          <w:szCs w:val="20"/>
          <w:color w:val="auto"/>
        </w:rPr>
      </w:pPr>
      <w:r>
        <w:rPr>
          <w:rFonts w:ascii="Arial" w:cs="Arial" w:eastAsia="Arial" w:hAnsi="Arial"/>
          <w:sz w:val="15"/>
          <w:szCs w:val="15"/>
          <w:b w:val="1"/>
          <w:bCs w:val="1"/>
          <w:i w:val="1"/>
          <w:iCs w:val="1"/>
          <w:color w:val="auto"/>
        </w:rPr>
        <w:t>Three months ended March 31, 2012 and 2011</w:t>
      </w:r>
    </w:p>
    <w:p>
      <w:pPr>
        <w:spacing w:after="0" w:line="221" w:lineRule="exact"/>
        <w:rPr>
          <w:sz w:val="20"/>
          <w:szCs w:val="20"/>
          <w:color w:val="auto"/>
        </w:rPr>
      </w:pPr>
    </w:p>
    <w:p>
      <w:pPr>
        <w:jc w:val="both"/>
        <w:ind w:firstLine="231"/>
        <w:spacing w:after="0" w:line="265" w:lineRule="auto"/>
        <w:rPr>
          <w:sz w:val="20"/>
          <w:szCs w:val="20"/>
          <w:color w:val="auto"/>
        </w:rPr>
      </w:pPr>
      <w:r>
        <w:rPr>
          <w:rFonts w:ascii="Arial" w:cs="Arial" w:eastAsia="Arial" w:hAnsi="Arial"/>
          <w:sz w:val="15"/>
          <w:szCs w:val="15"/>
          <w:color w:val="auto"/>
        </w:rPr>
        <w:t>At March 31, 2012, we had $695.2 million in cash, cash equivalents, and marketable securities (including $8.2 million of restricted cash and marketable securities) compared with $810.6 million at December 31, 2011 (including $7.7 million of restricted cash and marketable securities). In connection with our product launch of EYLEA in November 2011, we have offered extended payment terms to our EYLEA customers. As a result, a substantial portion of the proceeds from our EYLEA product sales to date have not yet been collected and our net trade accounts receivable increased from $28.3 million at December 31, 2011 to $159.5 million at March 31, 2012.</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Used in Operating Activities</w:t>
      </w:r>
    </w:p>
    <w:p>
      <w:pPr>
        <w:spacing w:after="0" w:line="221" w:lineRule="exact"/>
        <w:rPr>
          <w:sz w:val="20"/>
          <w:szCs w:val="20"/>
          <w:color w:val="auto"/>
        </w:rPr>
      </w:pPr>
    </w:p>
    <w:p>
      <w:pPr>
        <w:jc w:val="both"/>
        <w:ind w:firstLine="266"/>
        <w:spacing w:after="0" w:line="265" w:lineRule="auto"/>
        <w:rPr>
          <w:sz w:val="20"/>
          <w:szCs w:val="20"/>
          <w:color w:val="auto"/>
        </w:rPr>
      </w:pPr>
      <w:r>
        <w:rPr>
          <w:rFonts w:ascii="Arial" w:cs="Arial" w:eastAsia="Arial" w:hAnsi="Arial"/>
          <w:sz w:val="15"/>
          <w:szCs w:val="15"/>
          <w:color w:val="auto"/>
        </w:rPr>
        <w:t>Net cash used in operating activities was $87.0 million in the first quarter of 2012 and $10.6 million in the first quarter of 2011. Our net income of $11.7 million in the first quarter of 2012, and our net loss of $43.4 million in the first quarter of 2011, included $23.2 million and $14.8 million, respectively, of Non-cash Compensation Expense, and $8.4 million and $7.0 million, respectively of depreciation and amortization. Our net income in the first quarter of 2012 also included non-cash interest expense of $5.2 million resulting from the amortization of the discount and debt issuance costs in connection with our convertible senior notes, which were issued in October 2011.</w:t>
      </w:r>
    </w:p>
    <w:p>
      <w:pPr>
        <w:spacing w:after="0" w:line="186" w:lineRule="exact"/>
        <w:rPr>
          <w:sz w:val="20"/>
          <w:szCs w:val="20"/>
          <w:color w:val="auto"/>
        </w:rPr>
      </w:pPr>
    </w:p>
    <w:p>
      <w:pPr>
        <w:jc w:val="both"/>
        <w:ind w:firstLine="231"/>
        <w:spacing w:after="0" w:line="262" w:lineRule="auto"/>
        <w:rPr>
          <w:sz w:val="20"/>
          <w:szCs w:val="20"/>
          <w:color w:val="auto"/>
        </w:rPr>
      </w:pPr>
      <w:r>
        <w:rPr>
          <w:rFonts w:ascii="Arial" w:cs="Arial" w:eastAsia="Arial" w:hAnsi="Arial"/>
          <w:sz w:val="15"/>
          <w:szCs w:val="15"/>
          <w:color w:val="auto"/>
        </w:rPr>
        <w:t>At March 31, 2012, Sanofi and trade accounts receivable increased by $135.3 million, compared to end-of-year 2011. Trade accounts receivable increased primarily due to higher product sales, and the extended payment terms granted to our EYLEA customers as described above. Our deferred revenue at March 31, 2012 decreased by $9.1 million, compared to end-of-year 2011, primarily due to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by $12.7 million at March 31, 2012, compared to end-of-year 2011, primarily due to higher commercialization activities and sales-related deductions for EYLEA, partly offset by a decrease in liabilities for payroll-related expenses since accrued year-end 2011 employee bonuses were disbursed in the first quarter of 2012.</w:t>
      </w:r>
    </w:p>
    <w:p>
      <w:pPr>
        <w:spacing w:after="0" w:line="188" w:lineRule="exact"/>
        <w:rPr>
          <w:sz w:val="20"/>
          <w:szCs w:val="20"/>
          <w:color w:val="auto"/>
        </w:rPr>
      </w:pPr>
    </w:p>
    <w:p>
      <w:pPr>
        <w:jc w:val="both"/>
        <w:ind w:firstLine="289"/>
        <w:spacing w:after="0" w:line="318" w:lineRule="auto"/>
        <w:rPr>
          <w:sz w:val="20"/>
          <w:szCs w:val="20"/>
          <w:color w:val="auto"/>
        </w:rPr>
      </w:pPr>
      <w:r>
        <w:rPr>
          <w:rFonts w:ascii="Arial" w:cs="Arial" w:eastAsia="Arial" w:hAnsi="Arial"/>
          <w:sz w:val="13"/>
          <w:szCs w:val="13"/>
          <w:color w:val="auto"/>
        </w:rPr>
        <w:t>Our prepaid expenses and other assets at March 31, 2011 decreased by $11.6 million, compared to end-of-year 2010, primarily due to the receipt from Bayer HealthCare of a $10.0 million milestone payment in January 2011 which was receivable at the end of 2010. Our deferred revenue at March 31, 2011 decreased by $10.3 million, compared to end-of-year 2010, primarily due to the amortization of previously received and deferred $20.0 million payments under our license agreements with AstraZeneca and Astellas. Accounts payable, accrued expenses, and other liabilities increased by $13.6 million at March 31, 2011, compared to end-of-year 2010, primarily in connection with higher liabilities for payroll-related expenses.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Provided by Investing Activities</w:t>
      </w:r>
    </w:p>
    <w:p>
      <w:pPr>
        <w:spacing w:after="0" w:line="221" w:lineRule="exact"/>
        <w:rPr>
          <w:sz w:val="20"/>
          <w:szCs w:val="20"/>
          <w:color w:val="auto"/>
        </w:rPr>
      </w:pPr>
    </w:p>
    <w:p>
      <w:pPr>
        <w:jc w:val="both"/>
        <w:ind w:firstLine="277"/>
        <w:spacing w:after="0" w:line="265" w:lineRule="auto"/>
        <w:rPr>
          <w:sz w:val="20"/>
          <w:szCs w:val="20"/>
          <w:color w:val="auto"/>
        </w:rPr>
      </w:pPr>
      <w:r>
        <w:rPr>
          <w:rFonts w:ascii="Arial" w:cs="Arial" w:eastAsia="Arial" w:hAnsi="Arial"/>
          <w:sz w:val="15"/>
          <w:szCs w:val="15"/>
          <w:color w:val="auto"/>
        </w:rPr>
        <w:t>Net cash provided by investing activities was $15.8 million in the first quarter of 2012, compared with $20.3 million in the first quarter of 2011. In both the first quarter of 2012 and 2011, sales or maturities of marketable securities exceeded purchases by $27.3 million and $42.5 million, respectively. Capital expenditures in the first quarter of 2012 and 2011 included costs in connection with expanding our manufacturing capacity at our Rensselaer, New York facilities and tenant improvements and related costs in connection with our leased facilities in Tarrytown, New York.</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(Used in) Provided by Financing Activities</w:t>
      </w:r>
    </w:p>
    <w:p>
      <w:pPr>
        <w:spacing w:after="0" w:line="221"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5"/>
          <w:szCs w:val="15"/>
          <w:color w:val="auto"/>
        </w:rPr>
        <w:t>Net cash used in financing activities was $17.8 million in the first quarter of 2012, compared with net cash provided by financing activities of $13.0 million in the first quarter of 2011. There was an increase in exercises of employee stock options in the first quarter of 2012 compared to the same period of 2011. As a result, net proceeds from issuances of Common Stock were $31.8 million in the first quarter of 2012 as compared to $14.4 million in the first quarter of 2011, and payments in connection with Common Stock tendered for employee tax obligations were $49.1 million in the first quarter of 2012 and $1.1 million in the first quarter of 2011.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5" w:right="21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i w:val="1"/>
          <w:iCs w:val="1"/>
          <w:color w:val="auto"/>
        </w:rPr>
        <w:t>Fair Value of Marketable Securities</w:t>
      </w:r>
    </w:p>
    <w:p>
      <w:pPr>
        <w:spacing w:after="0" w:line="221" w:lineRule="exact"/>
        <w:rPr>
          <w:sz w:val="20"/>
          <w:szCs w:val="20"/>
          <w:color w:val="auto"/>
        </w:rPr>
      </w:pPr>
    </w:p>
    <w:p>
      <w:pPr>
        <w:jc w:val="both"/>
        <w:ind w:firstLine="277"/>
        <w:spacing w:after="0" w:line="281" w:lineRule="auto"/>
        <w:rPr>
          <w:sz w:val="20"/>
          <w:szCs w:val="20"/>
          <w:color w:val="auto"/>
        </w:rPr>
      </w:pPr>
      <w:r>
        <w:rPr>
          <w:rFonts w:ascii="Arial" w:cs="Arial" w:eastAsia="Arial" w:hAnsi="Arial"/>
          <w:sz w:val="15"/>
          <w:szCs w:val="15"/>
          <w:color w:val="auto"/>
        </w:rPr>
        <w:t>At March 31, 2012 and December 31 2011, we held marketable securities whose aggregate fair value totaled $300.5 million and $325.2 million, respectively. The composition of our portfolio of marketable securities on these dates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5"/>
                <w:szCs w:val="15"/>
                <w:b w:val="1"/>
                <w:bCs w:val="1"/>
                <w:color w:val="auto"/>
              </w:rPr>
              <w:t>March 31, 2012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5"/>
                <w:szCs w:val="15"/>
                <w:b w:val="1"/>
                <w:bCs w:val="1"/>
                <w:color w:val="auto"/>
                <w:w w:val="90"/>
              </w:rPr>
              <w:t>December 31, 2011</w:t>
            </w:r>
          </w:p>
        </w:tc>
      </w:tr>
      <w:tr>
        <w:trPr>
          <w:trHeight w:val="201"/>
        </w:trPr>
        <w:tc>
          <w:tcPr>
            <w:tcW w:w="7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Investment type</w:t>
            </w: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7"/>
              </w:rPr>
              <w:t>Fair Value</w:t>
            </w: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Percent</w:t>
            </w:r>
          </w:p>
        </w:tc>
        <w:tc>
          <w:tcPr>
            <w:tcW w:w="2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7"/>
              </w:rPr>
              <w:t>Fair Value</w:t>
            </w: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Percent</w:t>
            </w:r>
          </w:p>
        </w:tc>
      </w:tr>
      <w:tr>
        <w:trPr>
          <w:trHeight w:val="207"/>
        </w:trPr>
        <w:tc>
          <w:tcPr>
            <w:tcW w:w="818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Unrestricted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1"/>
        </w:trPr>
        <w:tc>
          <w:tcPr>
            <w:tcW w:w="8180" w:type="dxa"/>
            <w:vAlign w:val="bottom"/>
            <w:gridSpan w:val="2"/>
          </w:tcPr>
          <w:p>
            <w:pPr>
              <w:spacing w:after="0"/>
              <w:rPr>
                <w:sz w:val="20"/>
                <w:szCs w:val="20"/>
                <w:color w:val="auto"/>
              </w:rPr>
            </w:pPr>
            <w:r>
              <w:rPr>
                <w:rFonts w:ascii="Arial" w:cs="Arial" w:eastAsia="Arial" w:hAnsi="Arial"/>
                <w:sz w:val="15"/>
                <w:szCs w:val="15"/>
                <w:color w:val="auto"/>
              </w:rPr>
              <w:t>U.S. government obligations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261.1</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87%</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284.9</w:t>
            </w:r>
          </w:p>
        </w:tc>
        <w:tc>
          <w:tcPr>
            <w:tcW w:w="52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215"/>
        </w:trPr>
        <w:tc>
          <w:tcPr>
            <w:tcW w:w="8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U.S. government guaranteed corporate bonds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15.3</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01"/>
        </w:trPr>
        <w:tc>
          <w:tcPr>
            <w:tcW w:w="8180" w:type="dxa"/>
            <w:vAlign w:val="bottom"/>
            <w:gridSpan w:val="2"/>
          </w:tcPr>
          <w:p>
            <w:pPr>
              <w:spacing w:after="0"/>
              <w:rPr>
                <w:sz w:val="20"/>
                <w:szCs w:val="20"/>
                <w:color w:val="auto"/>
              </w:rPr>
            </w:pPr>
            <w:r>
              <w:rPr>
                <w:rFonts w:ascii="Arial" w:cs="Arial" w:eastAsia="Arial" w:hAnsi="Arial"/>
                <w:sz w:val="15"/>
                <w:szCs w:val="15"/>
                <w:color w:val="auto"/>
              </w:rPr>
              <w:t>Municipal bonds</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12.1</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15.3</w:t>
            </w:r>
          </w:p>
        </w:tc>
        <w:tc>
          <w:tcPr>
            <w:tcW w:w="52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15"/>
        </w:trPr>
        <w:tc>
          <w:tcPr>
            <w:tcW w:w="8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 securities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01"/>
        </w:trPr>
        <w:tc>
          <w:tcPr>
            <w:tcW w:w="8180" w:type="dxa"/>
            <w:vAlign w:val="bottom"/>
            <w:gridSpan w:val="2"/>
          </w:tcPr>
          <w:p>
            <w:pPr>
              <w:spacing w:after="0"/>
              <w:rPr>
                <w:sz w:val="20"/>
                <w:szCs w:val="20"/>
                <w:color w:val="auto"/>
              </w:rPr>
            </w:pPr>
            <w:r>
              <w:rPr>
                <w:rFonts w:ascii="Arial" w:cs="Arial" w:eastAsia="Arial" w:hAnsi="Arial"/>
                <w:sz w:val="15"/>
                <w:szCs w:val="15"/>
                <w:color w:val="auto"/>
              </w:rPr>
              <w:t>U.S. government guaranteed collateralized mortgage obligations</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0.2</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0.6</w:t>
            </w:r>
          </w:p>
        </w:tc>
        <w:tc>
          <w:tcPr>
            <w:tcW w:w="520" w:type="dxa"/>
            <w:vAlign w:val="bottom"/>
          </w:tcPr>
          <w:p>
            <w:pPr>
              <w:spacing w:after="0"/>
              <w:rPr>
                <w:sz w:val="17"/>
                <w:szCs w:val="17"/>
                <w:color w:val="auto"/>
              </w:rPr>
            </w:pPr>
          </w:p>
        </w:tc>
      </w:tr>
      <w:tr>
        <w:trPr>
          <w:trHeight w:val="215"/>
        </w:trPr>
        <w:tc>
          <w:tcPr>
            <w:tcW w:w="8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Mortgage-backed securities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r>
      <w:tr>
        <w:trPr>
          <w:trHeight w:val="186"/>
        </w:trPr>
        <w:tc>
          <w:tcPr>
            <w:tcW w:w="8180" w:type="dxa"/>
            <w:vAlign w:val="bottom"/>
            <w:gridSpan w:val="2"/>
          </w:tcPr>
          <w:p>
            <w:pPr>
              <w:ind w:left="260"/>
              <w:spacing w:after="0"/>
              <w:rPr>
                <w:sz w:val="20"/>
                <w:szCs w:val="20"/>
                <w:color w:val="auto"/>
              </w:rPr>
            </w:pPr>
            <w:r>
              <w:rPr>
                <w:rFonts w:ascii="Arial" w:cs="Arial" w:eastAsia="Arial" w:hAnsi="Arial"/>
                <w:sz w:val="15"/>
                <w:szCs w:val="15"/>
                <w:color w:val="auto"/>
              </w:rPr>
              <w:t>Total unrestricted marketable securities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292.4</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319.2</w:t>
            </w:r>
          </w:p>
        </w:tc>
        <w:tc>
          <w:tcPr>
            <w:tcW w:w="52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222"/>
        </w:trPr>
        <w:tc>
          <w:tcPr>
            <w:tcW w:w="7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8"/>
        </w:trPr>
        <w:tc>
          <w:tcPr>
            <w:tcW w:w="818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Restricted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1"/>
        </w:trPr>
        <w:tc>
          <w:tcPr>
            <w:tcW w:w="818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U.S. government obligations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w:t>
            </w: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w:t>
            </w: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210"/>
        </w:trPr>
        <w:tc>
          <w:tcPr>
            <w:tcW w:w="81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Total marketable securities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300.5</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325.2</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r>
    </w:tbl>
    <w:p>
      <w:pPr>
        <w:spacing w:after="0" w:line="200" w:lineRule="exact"/>
        <w:rPr>
          <w:sz w:val="20"/>
          <w:szCs w:val="20"/>
          <w:color w:val="auto"/>
        </w:rPr>
      </w:pPr>
    </w:p>
    <w:p>
      <w:pPr>
        <w:spacing w:after="0" w:line="209" w:lineRule="exact"/>
        <w:rPr>
          <w:sz w:val="20"/>
          <w:szCs w:val="20"/>
          <w:color w:val="auto"/>
        </w:rPr>
      </w:pPr>
    </w:p>
    <w:p>
      <w:pPr>
        <w:jc w:val="both"/>
        <w:ind w:firstLine="254"/>
        <w:spacing w:after="0" w:line="281" w:lineRule="auto"/>
        <w:rPr>
          <w:sz w:val="20"/>
          <w:szCs w:val="20"/>
          <w:color w:val="auto"/>
        </w:rPr>
      </w:pPr>
      <w:r>
        <w:rPr>
          <w:rFonts w:ascii="Arial" w:cs="Arial" w:eastAsia="Arial" w:hAnsi="Arial"/>
          <w:sz w:val="15"/>
          <w:szCs w:val="15"/>
          <w:color w:val="auto"/>
        </w:rPr>
        <w:t>In addition, at March 31, 2012 and December 31, 2011, we had $394.7 million and $485.4 million, respectively, of cash, cash equivalents, and restricted cash, primarily held in money market funds that invest in U.S. government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Capital Expenditures</w:t>
      </w:r>
    </w:p>
    <w:p>
      <w:pPr>
        <w:spacing w:after="0" w:line="221" w:lineRule="exact"/>
        <w:rPr>
          <w:sz w:val="20"/>
          <w:szCs w:val="20"/>
          <w:color w:val="auto"/>
        </w:rPr>
      </w:pPr>
    </w:p>
    <w:p>
      <w:pPr>
        <w:jc w:val="both"/>
        <w:ind w:firstLine="289"/>
        <w:spacing w:after="0" w:line="269" w:lineRule="auto"/>
        <w:rPr>
          <w:sz w:val="20"/>
          <w:szCs w:val="20"/>
          <w:color w:val="auto"/>
        </w:rPr>
      </w:pPr>
      <w:r>
        <w:rPr>
          <w:rFonts w:ascii="Arial" w:cs="Arial" w:eastAsia="Arial" w:hAnsi="Arial"/>
          <w:sz w:val="15"/>
          <w:szCs w:val="15"/>
          <w:color w:val="auto"/>
        </w:rPr>
        <w:t>Our cash expenditures for property, plant, and equipment totaled $11.1 million for the first three months of 2012 and $22.2 million for the first three months of 2011. In addition, in connection with the companies’ antibody collaboration, Sanofi funded $1.2 million and $0.5 million, respectively, of agreed-upon capital expenditures incurred by us during the first quarters of 2012 and 2011 to expand our manufacturing capacity at our Rensselaer facilities, of which $1.2 million was receivable at March 31, 2012.</w:t>
      </w:r>
    </w:p>
    <w:p>
      <w:pPr>
        <w:spacing w:after="0" w:line="183" w:lineRule="exact"/>
        <w:rPr>
          <w:sz w:val="20"/>
          <w:szCs w:val="20"/>
          <w:color w:val="auto"/>
        </w:rPr>
      </w:pPr>
    </w:p>
    <w:p>
      <w:pPr>
        <w:jc w:val="both"/>
        <w:ind w:right="20" w:firstLine="277"/>
        <w:spacing w:after="0" w:line="269" w:lineRule="auto"/>
        <w:rPr>
          <w:sz w:val="20"/>
          <w:szCs w:val="20"/>
          <w:color w:val="auto"/>
        </w:rPr>
      </w:pPr>
      <w:r>
        <w:rPr>
          <w:rFonts w:ascii="Arial" w:cs="Arial" w:eastAsia="Arial" w:hAnsi="Arial"/>
          <w:sz w:val="15"/>
          <w:szCs w:val="15"/>
          <w:color w:val="auto"/>
        </w:rPr>
        <w:t>We expect to incur capital expenditures of approximately $40 to $60 million during the remainder of 2012 primarily in connection with tenant improvements at our leased Tarrytown facilities, capital improvements at our Rensselaer, New York manufacturing facilities, and purchases of equipment. We expect to be reimbursed for a small portion of these capital expenditures for our Rensselaer facilities by Sanofi, with the remaining amount to be funded by our existing capital resources.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Funding Requirements</w:t>
      </w:r>
    </w:p>
    <w:p>
      <w:pPr>
        <w:spacing w:after="0" w:line="221"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4"/>
          <w:szCs w:val="14"/>
          <w:color w:val="auto"/>
        </w:rPr>
        <w:t>We expect to continue to incur substantial funding requirements for our research and development activities (including preclinical and clinical testing). As described above, research and development expenses that we incur in connection with our ZALTRAP and antibodies collaborations are generally funded by Sanofi. In addition, as described above, we and Bayer HealthCare share agreed-upon development expenses that both companies incur in connection with our EYLEA collaboration. After taking into account anticipated reimbursements from our collaborators, we currently estimate that approximately 40-50% of our funding requirements for 2012 will be directed toward technology development, basic research and early preclinical activities, and the preclinical and clinical development of our product candidates. For 2012, we also currently estimate that approximately 15-20% of our funding requirements will be directed toward the planned commercialization of new indications for our marketed products and ZALTRAP; approximately 15-20% of our funding requirements will be applied to capital expenditures (as described above); and the remainder of our funding requirements will be used for general corporate purposes.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5" w:right="219" w:bottom="1440" w:gutter="0" w:footer="0" w:header="0"/>
        </w:sectPr>
      </w:pPr>
    </w:p>
    <w:bookmarkStart w:id="35" w:name="page36"/>
    <w:bookmarkEnd w:id="35"/>
    <w:p>
      <w:pPr>
        <w:jc w:val="both"/>
        <w:ind w:firstLine="358"/>
        <w:spacing w:after="0" w:line="306" w:lineRule="auto"/>
        <w:rPr>
          <w:sz w:val="20"/>
          <w:szCs w:val="20"/>
          <w:color w:val="auto"/>
        </w:rPr>
      </w:pPr>
      <w:r>
        <w:rPr>
          <w:rFonts w:ascii="Arial" w:cs="Arial" w:eastAsia="Arial" w:hAnsi="Arial"/>
          <w:sz w:val="13"/>
          <w:szCs w:val="13"/>
          <w:color w:val="auto"/>
        </w:rPr>
        <w:t>Under our collaboration with Bayer HealthCare, over the next several years we and Bayer HealthCare will share agreed-upon EYLEA development expenses incurred by both companies, under a global development plan, as described above. In addition, under our collaboration agreements with Sanofi and Bayer HealthCare, if the applicable collaboration becomes profitable, we have contingent contractual obligations to reimburse Sanofi and Bayer HealthCare for a defined percentage (generally 50%) of agreed-upon development expenses incurred by Sanofi and Bayer HealthCare, respectively. Profitability under each collaboration will be measured by calculating net sales less agreed-upon expenses. These reimbursements would be deducted from our share of the collaboration profits (and, for our ZALTRAP collaboration with Sanofi, royalties on product sales in Japan) otherwise payable to us, unless, in some cases, we elect to reimburse these expenses at a faster rate. Given the uncertainties related to drug development (including the development of ZALTRAP and co-developed antibody candidates in collaboration with Sanofi and EYLEA in collaboration with Bayer HealthCare), such as the variability in the length of time necessary to develop a product candidate and the ultimate ability to obtain governmental approval for commercialization, we are currently unable to reliably estimate if our collaborations with Sanofi and Bayer HealthCare will become profitable.</w:t>
      </w:r>
    </w:p>
    <w:p>
      <w:pPr>
        <w:spacing w:after="0" w:line="163" w:lineRule="exact"/>
        <w:rPr>
          <w:sz w:val="20"/>
          <w:szCs w:val="20"/>
          <w:color w:val="auto"/>
        </w:rPr>
      </w:pPr>
    </w:p>
    <w:p>
      <w:pPr>
        <w:jc w:val="both"/>
        <w:ind w:firstLine="231"/>
        <w:spacing w:after="0" w:line="279" w:lineRule="auto"/>
        <w:rPr>
          <w:sz w:val="20"/>
          <w:szCs w:val="20"/>
          <w:color w:val="auto"/>
        </w:rPr>
      </w:pPr>
      <w:r>
        <w:rPr>
          <w:rFonts w:ascii="Arial" w:cs="Arial" w:eastAsia="Arial" w:hAnsi="Arial"/>
          <w:sz w:val="14"/>
          <w:szCs w:val="14"/>
          <w:color w:val="auto"/>
        </w:rPr>
        <w:t>The amount we need to fund operations will depend on various factors, including revenues from net product sales, the potential regulatory approval and commercialization of our product candidates and new indications for our marketed products, and the timing thereof, the status of competitive products, the success of our research and development programs, the potential future need to expand our professional and support staff and facilities, the status of patents and other intellectual property rights (and pending or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Our commercialization costs over approximately the next few years will depend on, among other things, whether or not new indications for our marketed products or our late-stage product candidates receive regulatory approval, the market potential for such new indications or product candidates, and the commercialization terms of our collaboration agreements, if applicable (whereby some or all commercialization costs may be shared with our collaborators). Currently, we are required to pay royalties on product sales of EYLEA for the treatment of wet AMD and ARCALYST for the treatment of CAPS. In the future, if we are able to successfully develop, market, and sell EYLEA or ARCALYST for other indications, or certain of our product candidates, we may be required to pay royalties or share the profits from such sales pursuant to our license or collaboration agreements.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expect that expenses related to the filing, prosecution, defense, and enforcement of patents and other intellectual property will continue to be substantial.</w:t>
      </w:r>
    </w:p>
    <w:p>
      <w:pPr>
        <w:spacing w:after="0" w:line="221" w:lineRule="exact"/>
        <w:rPr>
          <w:sz w:val="20"/>
          <w:szCs w:val="20"/>
          <w:color w:val="auto"/>
        </w:rPr>
      </w:pPr>
    </w:p>
    <w:p>
      <w:pPr>
        <w:jc w:val="both"/>
        <w:ind w:right="20" w:firstLine="231"/>
        <w:spacing w:after="0" w:line="281" w:lineRule="auto"/>
        <w:rPr>
          <w:sz w:val="20"/>
          <w:szCs w:val="20"/>
          <w:color w:val="auto"/>
        </w:rPr>
      </w:pPr>
      <w:r>
        <w:rPr>
          <w:rFonts w:ascii="Arial" w:cs="Arial" w:eastAsia="Arial" w:hAnsi="Arial"/>
          <w:sz w:val="15"/>
          <w:szCs w:val="15"/>
          <w:color w:val="auto"/>
        </w:rPr>
        <w:t>Due to the amounts of our net operating loss and tax credit carry-forwards available for tax purposes, which totaled $800.2 million and $67.7 million, respectively, at December 31, 2011, we do not anticipate incurring substantive obligations for federal and state corporate income taxes over the next several years.</w:t>
      </w:r>
    </w:p>
    <w:p>
      <w:pPr>
        <w:spacing w:after="0" w:line="174" w:lineRule="exact"/>
        <w:rPr>
          <w:sz w:val="20"/>
          <w:szCs w:val="20"/>
          <w:color w:val="auto"/>
        </w:rPr>
      </w:pPr>
    </w:p>
    <w:p>
      <w:pPr>
        <w:jc w:val="both"/>
        <w:ind w:firstLine="289"/>
        <w:spacing w:after="0" w:line="282" w:lineRule="auto"/>
        <w:rPr>
          <w:sz w:val="20"/>
          <w:szCs w:val="20"/>
          <w:color w:val="auto"/>
        </w:rPr>
      </w:pPr>
      <w:r>
        <w:rPr>
          <w:rFonts w:ascii="Arial" w:cs="Arial" w:eastAsia="Arial" w:hAnsi="Arial"/>
          <w:sz w:val="14"/>
          <w:szCs w:val="14"/>
          <w:color w:val="auto"/>
        </w:rPr>
        <w:t>We believe that our existing capital resources, together with funds generated by anticipated EYLEA net product sales and funding we are entitled to receive under our collaboration agreements, will enable us to meet our projected operating needs. However, this is a forward-looking statement based on our current operating plan, and there may be a change in projected revenues or expenses that would lead to our capital being consumed significantly before such time. For example, in connection with preparing to commercialize and launch potential products that are not licensed to a third party, we could incur substantial pre-marketing and commercialization expenses that could lead us to consume our cash at a faster rate. If there is insufficient capital to fund all of our planned operations and activities, we anticipate that we would (i) seek sources of additional capital through collaborative arrangements and/or additional public or private financing, including debt and equity financing and/or (ii) prioritize available capital to fund selected preclinical and clinical development programs and/or preparations for the potential commercialization of our late-stage product candidates, or license selected products.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36" w:name="page37"/>
    <w:bookmarkEnd w:id="36"/>
    <w:p>
      <w:pPr>
        <w:jc w:val="both"/>
        <w:ind w:firstLine="289"/>
        <w:spacing w:after="0" w:line="281" w:lineRule="auto"/>
        <w:rPr>
          <w:sz w:val="20"/>
          <w:szCs w:val="20"/>
          <w:color w:val="auto"/>
        </w:rPr>
      </w:pPr>
      <w:r>
        <w:rPr>
          <w:rFonts w:ascii="Arial" w:cs="Arial" w:eastAsia="Arial" w:hAnsi="Arial"/>
          <w:sz w:val="14"/>
          <w:szCs w:val="14"/>
          <w:color w:val="auto"/>
        </w:rPr>
        <w:t>Other than letters of credits totaling $4.6 million, including a $3.4 million letter of credit issued in connection with our lease for facilities in Tarrytown, New York, we have no off-balance sheet arrangements. In addition, we do not guarantee the obligations of any other entity. As of March 31, 2012, we had no other established banking arrangements through which we could obtain short-term financing or a line of credit. In October 2011, we completed a private placement of convertible senior notes. In addition, in October 2010, we filed a shelf registration statement on Form S-3 registering the sale, in one or more offerings, of an indeterminate amount of equity or debt securities, together or separately, and our October 2010 public offering of approximately 6.3 million shares of Common Stock was completed under this shelf registration statement. There is no assurance, however, that we will be able to complete any additional offerings of securities. Factors influencing the availability of additional financing include our progress in product development and commercialization, investor perception of our prospects, and the general condition of the financial markets. We may not be able to secure additional funding through new collaborative arrangements or additional public or private offerings. If we require additional funding, and cannot raise adequate funds to satisfy our capital requirements, we may have to delay, scale-back, or eliminate certain of our research and development activities or future operations. This could materially harm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Recently Issued Accounting Standards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Presentation of comprehensive income</w:t>
      </w:r>
    </w:p>
    <w:p>
      <w:pPr>
        <w:spacing w:after="0" w:line="221" w:lineRule="exact"/>
        <w:rPr>
          <w:sz w:val="20"/>
          <w:szCs w:val="20"/>
          <w:color w:val="auto"/>
        </w:rPr>
      </w:pPr>
    </w:p>
    <w:p>
      <w:pPr>
        <w:jc w:val="both"/>
        <w:ind w:firstLine="231"/>
        <w:spacing w:after="0" w:line="262" w:lineRule="auto"/>
        <w:rPr>
          <w:sz w:val="20"/>
          <w:szCs w:val="20"/>
          <w:color w:val="auto"/>
        </w:rPr>
      </w:pPr>
      <w:r>
        <w:rPr>
          <w:rFonts w:ascii="Arial" w:cs="Arial" w:eastAsia="Arial" w:hAnsi="Arial"/>
          <w:sz w:val="15"/>
          <w:szCs w:val="15"/>
          <w:color w:val="auto"/>
        </w:rPr>
        <w:t>In June and December 2011, the Financial Accounting Standards Board (FASB) amended its authoritative guidance on the presentation of comprehensive income. Under the amendment, an entity has the option to present comprehensive income and net income either in a single continuous statement of comprehensive income or in two separate but consecutive statements. This amendment, therefore, eliminated the option to present the components of other comprehensive income as part of the statement of changes in stockholders' equity. The amendment did not change the items that must be reported in other comprehensive income or when an item of other comprehensive income must be reclassified to net income. We have adopted this amended guidance for the fiscal year beginning January 1, 2012. As this guidance relates to presentation only, the adoption of this guidance did not have any other effect on our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Rate Risk</w:t>
      </w:r>
    </w:p>
    <w:p>
      <w:pPr>
        <w:spacing w:after="0" w:line="221" w:lineRule="exact"/>
        <w:rPr>
          <w:sz w:val="20"/>
          <w:szCs w:val="20"/>
          <w:color w:val="auto"/>
        </w:rPr>
      </w:pPr>
    </w:p>
    <w:p>
      <w:pPr>
        <w:jc w:val="both"/>
        <w:ind w:right="20" w:firstLine="231"/>
        <w:spacing w:after="0" w:line="284" w:lineRule="auto"/>
        <w:rPr>
          <w:sz w:val="20"/>
          <w:szCs w:val="20"/>
          <w:color w:val="auto"/>
        </w:rPr>
      </w:pPr>
      <w:r>
        <w:rPr>
          <w:rFonts w:ascii="Arial" w:cs="Arial" w:eastAsia="Arial" w:hAnsi="Arial"/>
          <w:sz w:val="14"/>
          <w:szCs w:val="14"/>
          <w:color w:val="auto"/>
        </w:rPr>
        <w:t>Our earnings and cash flows are subject to fluctuations due to changes in interest rates, principally in connection with our investments in marketable securities, which consist primarily of direct obligations of the U.S. government and its agencies, other debt securities guaranteed by the U.S. government, and money market funds that invest in U.S. government securities. We do not believe we are materially exposed to changes in interest rates. Under our current policies, we do not use interest rate derivative instruments to manage exposure to interest rate changes. We estimate that a one percent unfavorable change in interest rates would have resulted in approximately a $1.4 million and $5.5 million decrease in the fair value of our investment portfolio at March 31, 2012 and 2011, respectively. The decrease in interest rate risk year over year is due primarily to lower balances of marketable debt securities with maturities in excess of one year that we held at March 31, 2012 compared to the same period of 2011.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Credit Quality Risk</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have an investment policy that includes guidelines on acceptable investment securities, minimum credit quality, maturity parameters, and concentration and diversification.</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Nonetheless, deterioration of the credit quality of an investment security subsequent to purchase may subject us to the risk of not being able to recover the full principal value of the security.</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During the first quarter of 2012 and 2011, we did not recognize any other-than-temporary impairment charges.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37" w:name="page38"/>
    <w:bookmarkEnd w:id="37"/>
    <w:p>
      <w:pPr>
        <w:jc w:val="both"/>
        <w:ind w:firstLine="266"/>
        <w:spacing w:after="0" w:line="263" w:lineRule="auto"/>
        <w:rPr>
          <w:sz w:val="20"/>
          <w:szCs w:val="20"/>
          <w:color w:val="auto"/>
        </w:rPr>
      </w:pPr>
      <w:r>
        <w:rPr>
          <w:rFonts w:ascii="Arial" w:cs="Arial" w:eastAsia="Arial" w:hAnsi="Arial"/>
          <w:sz w:val="15"/>
          <w:szCs w:val="15"/>
          <w:color w:val="auto"/>
        </w:rPr>
        <w:t>We are also subject to credit risk in connection with accounts receivable from our product sales of EYLEA and ARCALYST. Our marketed products are sold in the United States, and related accounts receivable are due from three distributors and several specialty pharmacies, who are our customers. We have contractual payment terms with each of our customers. We monitor our customers’ financial performance and credit worthiness so that we can properly assess and respond to any changes in their credit profile. During the first quarter of 2012 and 2011, we did not recognize any charges for write-offs of accounts receivable related to our marketed products. At March 31, 2012 and December 31, 2011, one individual customer accounted for 80% and 71%, respectively, of our net trade accounts receivable balances.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225" w:lineRule="exact"/>
        <w:rPr>
          <w:sz w:val="20"/>
          <w:szCs w:val="20"/>
          <w:color w:val="auto"/>
        </w:rPr>
      </w:pPr>
    </w:p>
    <w:p>
      <w:pPr>
        <w:jc w:val="both"/>
        <w:ind w:firstLine="254"/>
        <w:spacing w:after="0" w:line="313" w:lineRule="auto"/>
        <w:rPr>
          <w:sz w:val="20"/>
          <w:szCs w:val="20"/>
          <w:color w:val="auto"/>
        </w:rPr>
      </w:pPr>
      <w:r>
        <w:rPr>
          <w:rFonts w:ascii="Arial" w:cs="Arial" w:eastAsia="Arial" w:hAnsi="Arial"/>
          <w:sz w:val="13"/>
          <w:szCs w:val="13"/>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chief executive officer and chief financial officer, as appropriate to allow timely decisions regarding required disclosure.</w:t>
      </w:r>
    </w:p>
    <w:p>
      <w:pPr>
        <w:spacing w:after="0" w:line="158" w:lineRule="exact"/>
        <w:rPr>
          <w:sz w:val="20"/>
          <w:szCs w:val="20"/>
          <w:color w:val="auto"/>
        </w:rPr>
      </w:pPr>
    </w:p>
    <w:p>
      <w:pPr>
        <w:jc w:val="both"/>
        <w:ind w:firstLine="277"/>
        <w:spacing w:after="0" w:line="281" w:lineRule="auto"/>
        <w:rPr>
          <w:sz w:val="20"/>
          <w:szCs w:val="20"/>
          <w:color w:val="auto"/>
        </w:rPr>
      </w:pPr>
      <w:r>
        <w:rPr>
          <w:rFonts w:ascii="Arial" w:cs="Arial" w:eastAsia="Arial" w:hAnsi="Arial"/>
          <w:sz w:val="15"/>
          <w:szCs w:val="15"/>
          <w:color w:val="auto"/>
        </w:rPr>
        <w:t>There has been no change in our internal control over financial reporting (as such term is defined in Rules 13a-15(f) and 15d-15(f) under the Exchange Act) during the quarter ended March 31, 2012 that has materially affected, or is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225" w:lineRule="exact"/>
        <w:rPr>
          <w:sz w:val="20"/>
          <w:szCs w:val="20"/>
          <w:color w:val="auto"/>
        </w:rPr>
      </w:pPr>
    </w:p>
    <w:p>
      <w:pPr>
        <w:jc w:val="both"/>
        <w:ind w:firstLine="277"/>
        <w:spacing w:after="0" w:line="281" w:lineRule="auto"/>
        <w:rPr>
          <w:sz w:val="20"/>
          <w:szCs w:val="20"/>
          <w:color w:val="auto"/>
        </w:rPr>
      </w:pPr>
      <w:r>
        <w:rPr>
          <w:rFonts w:ascii="Arial" w:cs="Arial" w:eastAsia="Arial" w:hAnsi="Arial"/>
          <w:sz w:val="15"/>
          <w:szCs w:val="15"/>
          <w:color w:val="auto"/>
        </w:rPr>
        <w:t>From time to time, we are a party to legal proceedings in the course of our business. We do not expect any such current ordinary course legal proceedings to have a material adverse effect on our business or financial condition.</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Genentech Patent Litigation</w:t>
      </w:r>
    </w:p>
    <w:p>
      <w:pPr>
        <w:spacing w:after="0" w:line="22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5"/>
          <w:szCs w:val="15"/>
          <w:color w:val="auto"/>
        </w:rPr>
        <w:t>We are aware of issued patents and pending patent applications owned by Genentech that claim certain chimeric VEGF receptors. We do not believe that ZALTRAP or EYLEA infringe any valid claim in these patents or patent applications. We are involved in five patent litigations with Genentech, two in the United States and three in Europe. In November 2010, we commenced a lawsuit against Genentech in the U.S. District Court for the Southern District of New York (the Court), seeking a declaratory judgment that no activities relating to our VEGF Trap infringe any valid claim of certain Genentech patents referred to as the Davis-Smyth patents (the First Davis-Smyth Case). Genentech answered the complaint and asserted counterclaims that our prior or planned activities relating to VEGF Trap have infringed or will infringe claims of four of the five Davis-Smyth patents and requested a judgment against us for damages, including for willful infringement, and other relief as the Court deems appropriate.</w:t>
      </w:r>
    </w:p>
    <w:p>
      <w:pPr>
        <w:spacing w:after="0" w:line="188" w:lineRule="exact"/>
        <w:rPr>
          <w:sz w:val="20"/>
          <w:szCs w:val="20"/>
          <w:color w:val="auto"/>
        </w:rPr>
      </w:pPr>
    </w:p>
    <w:p>
      <w:pPr>
        <w:jc w:val="both"/>
        <w:ind w:firstLine="254"/>
        <w:spacing w:after="0" w:line="303" w:lineRule="auto"/>
        <w:rPr>
          <w:sz w:val="20"/>
          <w:szCs w:val="20"/>
          <w:color w:val="auto"/>
        </w:rPr>
      </w:pPr>
      <w:r>
        <w:rPr>
          <w:rFonts w:ascii="Arial" w:cs="Arial" w:eastAsia="Arial" w:hAnsi="Arial"/>
          <w:sz w:val="13"/>
          <w:szCs w:val="13"/>
          <w:color w:val="auto"/>
        </w:rPr>
        <w:t>On December 31, 2011, we entered into a Non-Exclusive License and Partial Settlement Agreement with Genentech (the Genentech Agreement) that covers making, using, and selling EYLEA in the United States for the prevention and treatment of human eye diseases and disorders in the United States, and ends the litigation relating to those matters. Under the Genentech Agreement, we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us to make payments to Genentech based on U.S. sales of EYLEA through May 7, 2016, the date the Davis-Smyth patents expire. We will make a lump-sum payment of $60 million once cumulative U.S. sales of EYLEA reach $400 million. We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five Davis-Smyth patents. On December 23, 2011, Genentech initiated a related case in the Court against Regeneron and Sanofi alleging infringement of four of the five Davis-Smyth Patents by activities relating to VEGF Trap (but excluding EYLEA) (the Second Davis-Smyth Case). As in the First Davis-Smyth Case, in the new complaint Genentech requests a judgment against us for damages, including for willful infringement, and other relief as the Court deems appropriate.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38" w:name="page39"/>
    <w:bookmarkEnd w:id="38"/>
    <w:p>
      <w:pPr>
        <w:jc w:val="both"/>
        <w:ind w:firstLine="243"/>
        <w:spacing w:after="0" w:line="281" w:lineRule="auto"/>
        <w:rPr>
          <w:sz w:val="20"/>
          <w:szCs w:val="20"/>
          <w:color w:val="auto"/>
        </w:rPr>
      </w:pPr>
      <w:r>
        <w:rPr>
          <w:rFonts w:ascii="Arial" w:cs="Arial" w:eastAsia="Arial" w:hAnsi="Arial"/>
          <w:sz w:val="15"/>
          <w:szCs w:val="15"/>
          <w:color w:val="auto"/>
        </w:rPr>
        <w:t>We believe Genentech's remaining claims in the First Davis Smyth Case and the Second Davis Smyth Case are without merit and intend to continue to defend against all of Genentech’s remaining claims vigorously.</w:t>
      </w:r>
    </w:p>
    <w:p>
      <w:pPr>
        <w:spacing w:after="0" w:line="17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5"/>
          <w:szCs w:val="15"/>
          <w:color w:val="auto"/>
        </w:rPr>
        <w:t>We have initiated patent-related actions against Genentech in Germany, the United Kingdom, and Italy relating in each case to a patent that expires on October 28, 2012. We may initiate other actions in other countries outside the United States, which could have similar or other adverse outcomes that would materially harm our business and which, irrespective of the outcomes, may also entail significant costs and expenses. In the United Kingdom, an adverse decision dated March 22, 2012 is under appeal. This decision found the designation of European patent EP 1 238 986 in the United Kingdom to be valid and potential acts relating to VEGF Trap Eye in the United Kingdom before expiration of the patent on October 28, 2012 to infringe this patent.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225" w:lineRule="exact"/>
        <w:rPr>
          <w:sz w:val="20"/>
          <w:szCs w:val="20"/>
          <w:color w:val="auto"/>
        </w:rPr>
      </w:pPr>
    </w:p>
    <w:p>
      <w:pPr>
        <w:jc w:val="both"/>
        <w:ind w:firstLine="266"/>
        <w:spacing w:after="0" w:line="263" w:lineRule="auto"/>
        <w:rPr>
          <w:sz w:val="20"/>
          <w:szCs w:val="20"/>
          <w:color w:val="auto"/>
        </w:rPr>
      </w:pPr>
      <w:r>
        <w:rPr>
          <w:rFonts w:ascii="Arial" w:cs="Arial" w:eastAsia="Arial" w:hAnsi="Arial"/>
          <w:sz w:val="15"/>
          <w:szCs w:val="15"/>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Financial Results and Need for Additional Financing</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We have a history of operating losses. If we continue to incur operating losses, we may be unable to continue our operations.</w:t>
      </w:r>
    </w:p>
    <w:p>
      <w:pPr>
        <w:spacing w:after="0" w:line="221" w:lineRule="exact"/>
        <w:rPr>
          <w:sz w:val="20"/>
          <w:szCs w:val="20"/>
          <w:color w:val="auto"/>
        </w:rPr>
      </w:pPr>
    </w:p>
    <w:p>
      <w:pPr>
        <w:jc w:val="both"/>
        <w:ind w:firstLine="301"/>
        <w:spacing w:after="0" w:line="265" w:lineRule="auto"/>
        <w:rPr>
          <w:sz w:val="20"/>
          <w:szCs w:val="20"/>
          <w:color w:val="auto"/>
        </w:rPr>
      </w:pPr>
      <w:r>
        <w:rPr>
          <w:rFonts w:ascii="Arial" w:cs="Arial" w:eastAsia="Arial" w:hAnsi="Arial"/>
          <w:sz w:val="15"/>
          <w:szCs w:val="15"/>
          <w:color w:val="auto"/>
        </w:rPr>
        <w:t>From inception on January 8, 1988 through March 31, 2012, we had a cumulative loss of $1.3 billion. If we continue to incur operating losses, we may be unable to continue our operations. In the absence of substantial revenue from the sale of products, including our current sales of EYLEA, and ARCALYST or from other sources, the amount, timing, nature or source of which cannot be predicted, our substantial losses will continue as we conduct our research and development activities, commercialize our approved products, and prepare for possible commercialization of our other product candidates and new indications of our marketed products.</w:t>
      </w:r>
    </w:p>
    <w:p>
      <w:pPr>
        <w:spacing w:after="0" w:line="163" w:lineRule="exact"/>
        <w:rPr>
          <w:sz w:val="20"/>
          <w:szCs w:val="20"/>
          <w:color w:val="auto"/>
        </w:rPr>
      </w:pPr>
    </w:p>
    <w:p>
      <w:pPr>
        <w:ind w:left="140" w:right="20"/>
        <w:spacing w:after="0" w:line="281" w:lineRule="auto"/>
        <w:rPr>
          <w:sz w:val="20"/>
          <w:szCs w:val="20"/>
          <w:color w:val="auto"/>
        </w:rPr>
      </w:pPr>
      <w:r>
        <w:rPr>
          <w:rFonts w:ascii="Arial" w:cs="Arial" w:eastAsia="Arial" w:hAnsi="Arial"/>
          <w:sz w:val="15"/>
          <w:szCs w:val="15"/>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174" w:lineRule="exact"/>
        <w:rPr>
          <w:sz w:val="20"/>
          <w:szCs w:val="20"/>
          <w:color w:val="auto"/>
        </w:rPr>
      </w:pPr>
    </w:p>
    <w:p>
      <w:pPr>
        <w:jc w:val="both"/>
        <w:ind w:firstLine="231"/>
        <w:spacing w:after="0" w:line="281" w:lineRule="auto"/>
        <w:rPr>
          <w:sz w:val="20"/>
          <w:szCs w:val="20"/>
          <w:color w:val="auto"/>
        </w:rPr>
      </w:pPr>
      <w:r>
        <w:rPr>
          <w:rFonts w:ascii="Arial" w:cs="Arial" w:eastAsia="Arial" w:hAnsi="Arial"/>
          <w:sz w:val="14"/>
          <w:szCs w:val="14"/>
          <w:color w:val="auto"/>
        </w:rPr>
        <w:t>We will need to expend substantial resources for research and development, including costs associated with clinical testing of our product candidates and new indications of our marketed products, continued commercialization of EYLEA in the United States, to prepare for potential commercialization of our late-stage product candidates and new indications for our marketed products and, if one or more of those product candidates or additional indications receive(s) regulatory approval, to fund the launch of those product(s) or new indications. We believe our existing capital resources, together with funds generated by anticipated EYLEA net product sales and funding we are entitled to receive under our collaboration agreements, will enable us to meet our anticipated operating needs; however, one or more of our collaboration agreements may terminate, our revenues may fall short of our projections or be delayed, or our expenses may increase, which could result in our capital being consumed significantly faster than anticipated. Our expenses may increase for many reasons, including expenses in connection with the launch and marketing of EYLEA and the potential commercial launches of our late-stage product candidates and new indications for our marketed products, manufacturing scale-up, expenses related to clinical trials testing ARCALYST, EYLEA, REGN475, REGN846, or REGN1154, and expenses related to the potential requirement for us to fund 20% of Phase 3 clinical trial costs for any of our antibody product candidates being developed in collaboration with Sanofi.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39" w:name="page40"/>
    <w:bookmarkEnd w:id="39"/>
    <w:p>
      <w:pPr>
        <w:jc w:val="both"/>
        <w:ind w:firstLine="243"/>
        <w:spacing w:after="0" w:line="281" w:lineRule="auto"/>
        <w:rPr>
          <w:sz w:val="20"/>
          <w:szCs w:val="20"/>
          <w:color w:val="auto"/>
        </w:rPr>
      </w:pPr>
      <w:r>
        <w:rPr>
          <w:rFonts w:ascii="Arial" w:cs="Arial" w:eastAsia="Arial" w:hAnsi="Arial"/>
          <w:sz w:val="14"/>
          <w:szCs w:val="14"/>
          <w:color w:val="auto"/>
        </w:rPr>
        <w:t>We may require additional financing in the future and we may not be able to raise additional funds. If we are able to obtain additional financing through the sale of equity or convertible debt securities, such sales will likely be dilutive to our shareholders. Debt financing arrangements, if available given the current uncertainties in the global credit and financial markets,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(i) raise sufficient funds to complete the development of our product candidates, (ii) successfully commercialize our late-stage product candidates or new indications for our marketed products if they obtain regulatory approval, and (iii) continue our manufacturing and marketing of EYLEA for the treatment of wet AMD, we may face delay, reduction, or elimination of our research and development or preclinical or clinical programs and our commercialization activities, which would significantly limit our potential to generate revenue. We cannot be certain how profitable our current marketing of EYLEA for the treatment of wet AMD will be and, even if we obtain regulatory approval for our product candidates or new indications for our marketed products, they may never be successfully launched or become profitable, in which case our business, prospects, operating results, and financial condition may be materially harmed.</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The value of our investment portfolio is influenced by varying economic and market conditions and may experience losses.</w:t>
      </w:r>
    </w:p>
    <w:p>
      <w:pPr>
        <w:spacing w:after="0" w:line="221" w:lineRule="exact"/>
        <w:rPr>
          <w:sz w:val="20"/>
          <w:szCs w:val="20"/>
          <w:color w:val="auto"/>
        </w:rPr>
      </w:pPr>
    </w:p>
    <w:p>
      <w:pPr>
        <w:jc w:val="both"/>
        <w:ind w:firstLine="231"/>
        <w:spacing w:after="0" w:line="281" w:lineRule="auto"/>
        <w:rPr>
          <w:sz w:val="20"/>
          <w:szCs w:val="20"/>
          <w:color w:val="auto"/>
        </w:rPr>
      </w:pPr>
      <w:r>
        <w:rPr>
          <w:rFonts w:ascii="Arial" w:cs="Arial" w:eastAsia="Arial" w:hAnsi="Arial"/>
          <w:sz w:val="14"/>
          <w:szCs w:val="14"/>
          <w:color w:val="auto"/>
        </w:rPr>
        <w:t>As of March 31, 2012, our cash, cash equivalents, and marketable securities totaled $695.2 million (including $8.2 million of restricted cash and marketable securities). We have invested our excess cash primarily in direct obligations of the U.S. government and its agencies, other debt securities guaranteed by the U.S. government, and money market funds that invest in U.S. government securities. We consider assets classified as marketable securities to be “available-for-sale,” as defined by FASB authoritative guidance. Unrestricted and restricted marketable securities totaled $300.5 million at March 31, 2012, are carried at fair value, and 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which may be fully charged against income. The current economic environment and the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Development and Approval of Our Product Candidates and New Indications for Our Marketed Products</w:t>
      </w:r>
    </w:p>
    <w:p>
      <w:pPr>
        <w:spacing w:after="0" w:line="201" w:lineRule="exact"/>
        <w:rPr>
          <w:sz w:val="20"/>
          <w:szCs w:val="20"/>
          <w:color w:val="auto"/>
        </w:rPr>
      </w:pPr>
    </w:p>
    <w:p>
      <w:pPr>
        <w:jc w:val="both"/>
        <w:ind w:left="140"/>
        <w:spacing w:after="0" w:line="329" w:lineRule="auto"/>
        <w:rPr>
          <w:sz w:val="20"/>
          <w:szCs w:val="20"/>
          <w:color w:val="auto"/>
        </w:rPr>
      </w:pPr>
      <w:r>
        <w:rPr>
          <w:rFonts w:ascii="Arial" w:cs="Arial" w:eastAsia="Arial" w:hAnsi="Arial"/>
          <w:sz w:val="13"/>
          <w:szCs w:val="13"/>
          <w:b w:val="1"/>
          <w:bCs w:val="1"/>
          <w:i w:val="1"/>
          <w:iCs w:val="1"/>
          <w:color w:val="auto"/>
        </w:rPr>
        <w:t>We believe that a significant portion of the value attributed to our company by investors is based on the commercial potential of EYLEA. If approval for EYLEA is not obtained in countries outside the United States, or approval is not obtained for other indications, or if we fail to maintain regulatory compliance and lose the marketing approval we have in the United States, or if the product is withdrawn for any reason, our business, prospects, operating results, and financial condition will be materially harmed.</w:t>
      </w:r>
    </w:p>
    <w:p>
      <w:pPr>
        <w:spacing w:after="0" w:line="148" w:lineRule="exact"/>
        <w:rPr>
          <w:sz w:val="20"/>
          <w:szCs w:val="20"/>
          <w:color w:val="auto"/>
        </w:rPr>
      </w:pPr>
    </w:p>
    <w:p>
      <w:pPr>
        <w:ind w:right="20" w:firstLine="301"/>
        <w:spacing w:after="0" w:line="281" w:lineRule="auto"/>
        <w:rPr>
          <w:sz w:val="20"/>
          <w:szCs w:val="20"/>
          <w:color w:val="auto"/>
        </w:rPr>
      </w:pPr>
      <w:r>
        <w:rPr>
          <w:rFonts w:ascii="Arial" w:cs="Arial" w:eastAsia="Arial" w:hAnsi="Arial"/>
          <w:sz w:val="15"/>
          <w:szCs w:val="15"/>
          <w:color w:val="auto"/>
        </w:rPr>
        <w:t>Whether EYLEA is approved by regulatory authorities outside the United States or approved by the FDA for new indications, and the timing thereof, will depend on many factors, including the following:</w:t>
      </w:r>
    </w:p>
    <w:p>
      <w:pPr>
        <w:spacing w:after="0" w:line="151" w:lineRule="exact"/>
        <w:rPr>
          <w:sz w:val="20"/>
          <w:szCs w:val="20"/>
          <w:color w:val="auto"/>
        </w:rPr>
      </w:pPr>
    </w:p>
    <w:p>
      <w:pPr>
        <w:ind w:left="460" w:right="20"/>
        <w:spacing w:after="0" w:line="260" w:lineRule="auto"/>
        <w:rPr>
          <w:sz w:val="20"/>
          <w:szCs w:val="20"/>
          <w:color w:val="auto"/>
        </w:rPr>
      </w:pPr>
      <w:r>
        <w:rPr>
          <w:rFonts w:ascii="Arial" w:cs="Arial" w:eastAsia="Arial" w:hAnsi="Arial"/>
          <w:sz w:val="15"/>
          <w:szCs w:val="15"/>
          <w:color w:val="auto"/>
        </w:rPr>
        <w:t>whether or not the FDA determines that the evidence gathered in well-controlled clinical trials, other clinical trials and nonclinical studies of EYLEA demonstrates that it is safe and effective as a treatment for the indication under review;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-200660</wp:posOffset>
            </wp:positionV>
            <wp:extent cx="54610" cy="54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right="20"/>
        <w:spacing w:after="0" w:line="274" w:lineRule="auto"/>
        <w:rPr>
          <w:sz w:val="20"/>
          <w:szCs w:val="20"/>
          <w:color w:val="auto"/>
        </w:rPr>
      </w:pPr>
      <w:r>
        <w:rPr>
          <w:rFonts w:ascii="Arial" w:cs="Arial" w:eastAsia="Arial" w:hAnsi="Arial"/>
          <w:sz w:val="15"/>
          <w:szCs w:val="15"/>
          <w:color w:val="auto"/>
        </w:rPr>
        <w:t>whether or not the FDA is satisfied that the manufacturing facilities, processes, and controls for EYLEA are adequate, that the labeling is satisfactory, and that plans for post-marketing studies, safety monitoring, and risk evaluation and management are 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-216535</wp:posOffset>
            </wp:positionV>
            <wp:extent cx="54610" cy="54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40" w:name="page41"/>
    <w:bookmarkEnd w:id="40"/>
    <w:p>
      <w:pPr>
        <w:jc w:val="both"/>
        <w:ind w:firstLine="312"/>
        <w:spacing w:after="0" w:line="281" w:lineRule="auto"/>
        <w:rPr>
          <w:sz w:val="20"/>
          <w:szCs w:val="20"/>
          <w:color w:val="auto"/>
        </w:rPr>
      </w:pPr>
      <w:r>
        <w:rPr>
          <w:rFonts w:ascii="Arial" w:cs="Arial" w:eastAsia="Arial" w:hAnsi="Arial"/>
          <w:sz w:val="15"/>
          <w:szCs w:val="15"/>
          <w:color w:val="auto"/>
        </w:rPr>
        <w:t>Bayer HealthCare has submitted regulatory applications for marketing approval of EYLEA in wet AMD in the European Union, Japan, and other countries. Analogous regulatory authorities in these countries outside the United States have similar discretion to the FDA as to approval of EYLEA in those countries.</w:t>
      </w:r>
    </w:p>
    <w:p>
      <w:pPr>
        <w:spacing w:after="0" w:line="174" w:lineRule="exact"/>
        <w:rPr>
          <w:sz w:val="20"/>
          <w:szCs w:val="20"/>
          <w:color w:val="auto"/>
        </w:rPr>
      </w:pPr>
    </w:p>
    <w:p>
      <w:pPr>
        <w:jc w:val="both"/>
        <w:ind w:firstLine="312"/>
        <w:spacing w:after="0" w:line="281" w:lineRule="auto"/>
        <w:rPr>
          <w:sz w:val="20"/>
          <w:szCs w:val="20"/>
          <w:color w:val="auto"/>
        </w:rPr>
      </w:pPr>
      <w:r>
        <w:rPr>
          <w:rFonts w:ascii="Arial" w:cs="Arial" w:eastAsia="Arial" w:hAnsi="Arial"/>
          <w:sz w:val="15"/>
          <w:szCs w:val="15"/>
          <w:color w:val="auto"/>
        </w:rPr>
        <w:t>If Bayer HealthCare does not obtain approval to market EYLEA in the European Union, Japan, or other countries, or if there are material delays in obtaining such approvals, our business, prospects, operating results, and financial condition will be materially harmed.</w:t>
      </w:r>
    </w:p>
    <w:p>
      <w:pPr>
        <w:spacing w:after="0" w:line="151" w:lineRule="exact"/>
        <w:rPr>
          <w:sz w:val="20"/>
          <w:szCs w:val="20"/>
          <w:color w:val="auto"/>
        </w:rPr>
      </w:pPr>
    </w:p>
    <w:p>
      <w:pPr>
        <w:ind w:left="140" w:right="20"/>
        <w:spacing w:after="0" w:line="318" w:lineRule="auto"/>
        <w:rPr>
          <w:sz w:val="20"/>
          <w:szCs w:val="20"/>
          <w:color w:val="auto"/>
        </w:rPr>
      </w:pPr>
      <w:r>
        <w:rPr>
          <w:rFonts w:ascii="Arial" w:cs="Arial" w:eastAsia="Arial" w:hAnsi="Arial"/>
          <w:sz w:val="14"/>
          <w:szCs w:val="14"/>
          <w:b w:val="1"/>
          <w:bCs w:val="1"/>
          <w:i w:val="1"/>
          <w:iCs w:val="1"/>
          <w:color w:val="auto"/>
        </w:rPr>
        <w:t>If we do not obtain regulatory approval for our product candidates or new indications for our marketed products, or maintain regulatory approval for EYLEA in the United States, we will not be able to market or sell them, which would materially and negatively impact our business, results of operations, and prospects.</w:t>
      </w:r>
    </w:p>
    <w:p>
      <w:pPr>
        <w:spacing w:after="0" w:line="151" w:lineRule="exact"/>
        <w:rPr>
          <w:sz w:val="20"/>
          <w:szCs w:val="20"/>
          <w:color w:val="auto"/>
        </w:rPr>
      </w:pPr>
    </w:p>
    <w:p>
      <w:pPr>
        <w:jc w:val="both"/>
        <w:ind w:firstLine="243"/>
        <w:spacing w:after="0" w:line="315" w:lineRule="auto"/>
        <w:rPr>
          <w:sz w:val="20"/>
          <w:szCs w:val="20"/>
          <w:color w:val="auto"/>
        </w:rPr>
      </w:pPr>
      <w:r>
        <w:rPr>
          <w:rFonts w:ascii="Arial" w:cs="Arial" w:eastAsia="Arial" w:hAnsi="Arial"/>
          <w:sz w:val="13"/>
          <w:szCs w:val="13"/>
          <w:color w:val="auto"/>
        </w:rPr>
        <w:t>We cannot sell or market products without regulatory approval. If we do not obtain and maintain regulatory approval for our product candidates, including ARCALYST for the treatment of diseases other than CAPS, EYLEA for the treatment of ophthalmologic diseases other than wet AMD, and/or ZALTRAP for one or more oncology indications, the value of our company, our results of operations, and our prospects will be materially harmed. Our product candidates, including ZALTRAP for the treatment of previously treated mCRC patients, EYLEA for</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CRVO and DME, and ARCALYST for the prevention of gout flares in patients initiating uric acid-lowering therapy, may not receive regulatory approval. If we are unable to obtain such approval(s), or if we are materially delayed in doing so, our business, prospects, results of operations, and financial condition will be materially harmed. In addition, if we fail to maintain</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regulatory approval for EYLEA for the treatment of wet AMD, we may lose marketing approval and the ability to generate EYLEA product sales revenue, which would materially and negatively impact our business, prospects, results of operations, and financial condition.</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Obtaining and maintaining regulatory approval for drug products is costly, time-consuming, and highly uncertain.</w:t>
      </w:r>
    </w:p>
    <w:p>
      <w:pPr>
        <w:spacing w:after="0" w:line="221" w:lineRule="exact"/>
        <w:rPr>
          <w:sz w:val="20"/>
          <w:szCs w:val="20"/>
          <w:color w:val="auto"/>
        </w:rPr>
      </w:pPr>
    </w:p>
    <w:p>
      <w:pPr>
        <w:jc w:val="both"/>
        <w:ind w:firstLine="277"/>
        <w:spacing w:after="0" w:line="269" w:lineRule="auto"/>
        <w:rPr>
          <w:sz w:val="20"/>
          <w:szCs w:val="20"/>
          <w:color w:val="auto"/>
        </w:rPr>
      </w:pPr>
      <w:r>
        <w:rPr>
          <w:rFonts w:ascii="Arial" w:cs="Arial" w:eastAsia="Arial" w:hAnsi="Arial"/>
          <w:sz w:val="15"/>
          <w:szCs w:val="15"/>
          <w:color w:val="auto"/>
        </w:rPr>
        <w:t>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w:t>
      </w:r>
    </w:p>
    <w:p>
      <w:pPr>
        <w:spacing w:after="0" w:line="183" w:lineRule="exact"/>
        <w:rPr>
          <w:sz w:val="20"/>
          <w:szCs w:val="20"/>
          <w:color w:val="auto"/>
        </w:rPr>
      </w:pPr>
    </w:p>
    <w:p>
      <w:pPr>
        <w:jc w:val="both"/>
        <w:ind w:firstLine="266"/>
        <w:spacing w:after="0" w:line="318" w:lineRule="auto"/>
        <w:rPr>
          <w:sz w:val="20"/>
          <w:szCs w:val="20"/>
          <w:color w:val="auto"/>
        </w:rPr>
      </w:pPr>
      <w:r>
        <w:rPr>
          <w:rFonts w:ascii="Arial" w:cs="Arial" w:eastAsia="Arial" w:hAnsi="Arial"/>
          <w:sz w:val="13"/>
          <w:szCs w:val="13"/>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w:t>
      </w:r>
    </w:p>
    <w:p>
      <w:pPr>
        <w:spacing w:after="0" w:line="155" w:lineRule="exact"/>
        <w:rPr>
          <w:sz w:val="20"/>
          <w:szCs w:val="20"/>
          <w:color w:val="auto"/>
        </w:rPr>
      </w:pPr>
    </w:p>
    <w:p>
      <w:pPr>
        <w:jc w:val="both"/>
        <w:ind w:firstLine="254"/>
        <w:spacing w:after="0" w:line="261" w:lineRule="auto"/>
        <w:rPr>
          <w:sz w:val="20"/>
          <w:szCs w:val="20"/>
          <w:color w:val="auto"/>
        </w:rPr>
      </w:pPr>
      <w:r>
        <w:rPr>
          <w:rFonts w:ascii="Arial" w:cs="Arial" w:eastAsia="Arial" w:hAnsi="Arial"/>
          <w:sz w:val="15"/>
          <w:szCs w:val="15"/>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shipment and storage of the product. Manufacturing product candidates in compliance with these regulatory requirements is complex, time-consuming, and expensive. To be successful, our products must be manufactured for development, and following approval in commercial quantities,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41" w:name="page42"/>
    <w:bookmarkEnd w:id="41"/>
    <w:p>
      <w:pPr>
        <w:jc w:val="both"/>
        <w:ind w:firstLine="301"/>
        <w:spacing w:after="0" w:line="313" w:lineRule="auto"/>
        <w:rPr>
          <w:sz w:val="20"/>
          <w:szCs w:val="20"/>
          <w:color w:val="auto"/>
        </w:rPr>
      </w:pPr>
      <w:r>
        <w:rPr>
          <w:rFonts w:ascii="Arial" w:cs="Arial" w:eastAsia="Arial" w:hAnsi="Arial"/>
          <w:sz w:val="13"/>
          <w:szCs w:val="13"/>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 region.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135" w:lineRule="exact"/>
        <w:rPr>
          <w:sz w:val="20"/>
          <w:szCs w:val="20"/>
          <w:color w:val="auto"/>
        </w:rPr>
      </w:pPr>
    </w:p>
    <w:p>
      <w:pPr>
        <w:jc w:val="both"/>
        <w:ind w:left="140"/>
        <w:spacing w:after="0" w:line="269" w:lineRule="auto"/>
        <w:rPr>
          <w:sz w:val="20"/>
          <w:szCs w:val="20"/>
          <w:color w:val="auto"/>
        </w:rPr>
      </w:pPr>
      <w:r>
        <w:rPr>
          <w:rFonts w:ascii="Arial" w:cs="Arial" w:eastAsia="Arial" w:hAnsi="Arial"/>
          <w:sz w:val="15"/>
          <w:szCs w:val="15"/>
          <w:b w:val="1"/>
          <w:bCs w:val="1"/>
          <w:i w:val="1"/>
          <w:iCs w:val="1"/>
          <w:color w:val="auto"/>
        </w:rPr>
        <w:t>Clinical trials required for our product candidates and new indications of our marketed products are expensive and time-consuming, and their outcome is highly uncertain. If any of our drug trials are delayed or yield unfavorable results, regulatory approval for our product candidates or new indications of our marketed products may be delayed or become unobtainable.</w:t>
      </w:r>
    </w:p>
    <w:p>
      <w:pPr>
        <w:spacing w:after="0" w:line="183" w:lineRule="exact"/>
        <w:rPr>
          <w:sz w:val="20"/>
          <w:szCs w:val="20"/>
          <w:color w:val="auto"/>
        </w:rPr>
      </w:pPr>
    </w:p>
    <w:p>
      <w:pPr>
        <w:jc w:val="both"/>
        <w:ind w:firstLine="254"/>
        <w:spacing w:after="0" w:line="260" w:lineRule="auto"/>
        <w:rPr>
          <w:sz w:val="20"/>
          <w:szCs w:val="20"/>
          <w:color w:val="auto"/>
        </w:rPr>
      </w:pPr>
      <w:r>
        <w:rPr>
          <w:rFonts w:ascii="Arial" w:cs="Arial" w:eastAsia="Arial" w:hAnsi="Arial"/>
          <w:sz w:val="15"/>
          <w:szCs w:val="15"/>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contractors, consultants, or trial subjects to comply with the trial plan, protocol, or applicable regulations related to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193" w:lineRule="exact"/>
        <w:rPr>
          <w:sz w:val="20"/>
          <w:szCs w:val="20"/>
          <w:color w:val="auto"/>
        </w:rPr>
      </w:pPr>
    </w:p>
    <w:p>
      <w:pPr>
        <w:jc w:val="both"/>
        <w:ind w:right="20" w:firstLine="266"/>
        <w:spacing w:after="0" w:line="297" w:lineRule="auto"/>
        <w:rPr>
          <w:sz w:val="20"/>
          <w:szCs w:val="20"/>
          <w:color w:val="auto"/>
        </w:rPr>
      </w:pPr>
      <w:r>
        <w:rPr>
          <w:rFonts w:ascii="Arial" w:cs="Arial" w:eastAsia="Arial" w:hAnsi="Arial"/>
          <w:sz w:val="14"/>
          <w:szCs w:val="14"/>
          <w:color w:val="auto"/>
        </w:rPr>
        <w:t>We will need to reevaluate any drug candidate that does not test favorably and either conduct new trials, which are expensive and time consuming, or abandon that drug development program.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Successful development of our current and future product candidates is uncertain.</w:t>
      </w:r>
    </w:p>
    <w:p>
      <w:pPr>
        <w:spacing w:after="0" w:line="221" w:lineRule="exact"/>
        <w:rPr>
          <w:sz w:val="20"/>
          <w:szCs w:val="20"/>
          <w:color w:val="auto"/>
        </w:rPr>
      </w:pPr>
    </w:p>
    <w:p>
      <w:pPr>
        <w:jc w:val="both"/>
        <w:ind w:firstLine="277"/>
        <w:spacing w:after="0" w:line="262" w:lineRule="auto"/>
        <w:rPr>
          <w:sz w:val="20"/>
          <w:szCs w:val="20"/>
          <w:color w:val="auto"/>
        </w:rPr>
      </w:pPr>
      <w:r>
        <w:rPr>
          <w:rFonts w:ascii="Arial" w:cs="Arial" w:eastAsia="Arial" w:hAnsi="Arial"/>
          <w:sz w:val="15"/>
          <w:szCs w:val="15"/>
          <w:color w:val="auto"/>
        </w:rPr>
        <w:t>Only a small minority of all research and development programs ultimately result in commercially successful drugs. We are testing EYLEA in a number of late-stage clinical trials in various indications and ARCALYST for the prevention of gout flares in patients initiating uric acid-lowering drug therapy. Clinical trials may not demonstrate statistically sufficient effectiveness and safety to obtain the requisite regulatory approvals for these product candidates in these indications. In a number of instances, we have terminated the development of product candidates due to a lack of or only modest effectiveness. Moreover, even if we obtain positive results from preclinical testing or clinical trials, we may not achieve the same success in future trials. Many companies in the biopharmaceutical industry, including our company, have suffered significant setbacks in clinical trials, even after promising results have been obtained in earlier trials.</w:t>
      </w:r>
    </w:p>
    <w:p>
      <w:pPr>
        <w:spacing w:after="0" w:line="188" w:lineRule="exact"/>
        <w:rPr>
          <w:sz w:val="20"/>
          <w:szCs w:val="20"/>
          <w:color w:val="auto"/>
        </w:rPr>
      </w:pPr>
    </w:p>
    <w:p>
      <w:pPr>
        <w:jc w:val="both"/>
        <w:ind w:firstLine="266"/>
        <w:spacing w:after="0" w:line="263" w:lineRule="auto"/>
        <w:rPr>
          <w:sz w:val="20"/>
          <w:szCs w:val="20"/>
          <w:color w:val="auto"/>
        </w:rPr>
      </w:pPr>
      <w:r>
        <w:rPr>
          <w:rFonts w:ascii="Arial" w:cs="Arial" w:eastAsia="Arial" w:hAnsi="Arial"/>
          <w:sz w:val="15"/>
          <w:szCs w:val="15"/>
          <w:color w:val="auto"/>
        </w:rPr>
        <w:t>In April 2011, we announced that our Phase 3 VELOUR trial of ZALTRAP met its primary endpoint of improving overall survival in the treatment of patients with previously treated mCRC. Based upon these positive results, we and Sanofi submitted regulatory applications for marketing approval to the FDA and EMA. Under PDUFA, we and Sanofi were granted a target date for an FDA decision on the ZALTRAP in mCRC BLA of August 4, 2012. However, this expected timing for an FDA decision may not be met, and the FDA may not grant such approval or such approval may be substantially delayed. The FDA could also require us to provide additional clinical data in connection with this application. There can be no assurance that we will receive regulatory approval for ZALTRAP in mCRC.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42" w:name="page43"/>
    <w:bookmarkEnd w:id="42"/>
    <w:p>
      <w:pPr>
        <w:jc w:val="both"/>
        <w:ind w:right="20" w:firstLine="266"/>
        <w:spacing w:after="0" w:line="254" w:lineRule="auto"/>
        <w:rPr>
          <w:sz w:val="20"/>
          <w:szCs w:val="20"/>
          <w:color w:val="auto"/>
        </w:rPr>
      </w:pPr>
      <w:r>
        <w:rPr>
          <w:rFonts w:ascii="Arial" w:cs="Arial" w:eastAsia="Arial" w:hAnsi="Arial"/>
          <w:sz w:val="14"/>
          <w:szCs w:val="14"/>
          <w:color w:val="auto"/>
        </w:rPr>
        <w:t>In January 2012, Roche announced that a Phase 3 trial of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(bevacizumab) had met the primary endpoint of overall survival in mCRC in patients who had previously received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with standard chemotherapy. The positive results of this trial in a similar patient population could impact the potential commercial opportunity for ZALTRAP in mCRC.</w:t>
      </w:r>
    </w:p>
    <w:p>
      <w:pPr>
        <w:spacing w:after="0" w:line="86" w:lineRule="exact"/>
        <w:rPr>
          <w:sz w:val="20"/>
          <w:szCs w:val="20"/>
          <w:color w:val="auto"/>
        </w:rPr>
      </w:pPr>
    </w:p>
    <w:p>
      <w:pPr>
        <w:jc w:val="both"/>
        <w:ind w:right="20" w:firstLine="231"/>
        <w:spacing w:after="0" w:line="315" w:lineRule="auto"/>
        <w:rPr>
          <w:sz w:val="20"/>
          <w:szCs w:val="20"/>
          <w:color w:val="auto"/>
        </w:rPr>
      </w:pPr>
      <w:r>
        <w:rPr>
          <w:rFonts w:ascii="Arial" w:cs="Arial" w:eastAsia="Arial" w:hAnsi="Arial"/>
          <w:sz w:val="13"/>
          <w:szCs w:val="13"/>
          <w:color w:val="auto"/>
        </w:rPr>
        <w:t>We also reported positive Phase 3 trial results with EYLEA in CRVO after six months of treatment and, based on these results, have submitted a supplemental BLA filing to the FDA for marketing approval in the United States of EYLEA in CRVO. Under PDUFA, we were granted a target date for an FDA decision on our EYLEA in CRVO supplemental BLA of September 23, 2012. However, this expected timing for an FDA decision may not be met, and the FDA may not grant such approval or such approval may be substantially delayed. The FDA could also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require us to provide additional clinical data in connection with this application. There can be no assurance that we will receive regulatory approval for EYLEA in CRVO.</w:t>
      </w:r>
    </w:p>
    <w:p>
      <w:pPr>
        <w:spacing w:after="0" w:line="23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5"/>
          <w:szCs w:val="15"/>
          <w:color w:val="auto"/>
        </w:rPr>
        <w:t>We also reported positive results of a Phase 2 trial of EYLEA for the treatment of DME and that we have initiated a Phase 3 program in that indication. A number of other potential new drugs and biologics which showed promising results in Phase 1 and 2 clinical trials subsequently failed to establish sufficient safety and efficacy data to obtain necessary regulatory approvals, and this could occur with respect to subsequent clinical trials of EYLEA for the treatment of DME.</w:t>
      </w:r>
    </w:p>
    <w:p>
      <w:pPr>
        <w:spacing w:after="0" w:line="183" w:lineRule="exact"/>
        <w:rPr>
          <w:sz w:val="20"/>
          <w:szCs w:val="20"/>
          <w:color w:val="auto"/>
        </w:rPr>
      </w:pPr>
    </w:p>
    <w:p>
      <w:pPr>
        <w:jc w:val="both"/>
        <w:ind w:firstLine="277"/>
        <w:spacing w:after="0" w:line="277" w:lineRule="auto"/>
        <w:rPr>
          <w:sz w:val="20"/>
          <w:szCs w:val="20"/>
          <w:color w:val="auto"/>
        </w:rPr>
      </w:pPr>
      <w:r>
        <w:rPr>
          <w:rFonts w:ascii="Arial" w:cs="Arial" w:eastAsia="Arial" w:hAnsi="Arial"/>
          <w:sz w:val="14"/>
          <w:szCs w:val="14"/>
          <w:color w:val="auto"/>
        </w:rPr>
        <w:t>Based on the results of three Phase 3 studies, we have submitted a supplemental BLA filing to the FDA seeking approval of ARCALYST for the prevention of gout flares in patients initiating uric acid-lowering drug therapy and, under PDUFA, we were granted a target date for an FDA decision on our ARCALYST supplemental BLA of July 30, 2012. However, this expected timing for an FDA decision may not be met, and the FDA may not grant such approval or such approval may be substantially delayed. The FDA could also require us to provide additional clinical data in connection with this application. For example, in June 2011, following two positive Phase 3 trials, the Arthritis Advisory Committee of the FDA, voted to</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recommend against approval in a gout indication for Ilaris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(canikinumab), Novartis’ IL-1 inhibitor which works through a similar mechanism as ARCALYST and, in August 2011, Novartis received a Complete Response letter from the FDA requesting additional information, including clinical data to evaluate the benefit-risk profile of Ilaris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refractory patients.</w:t>
      </w:r>
    </w:p>
    <w:p>
      <w:pPr>
        <w:spacing w:after="0" w:line="91" w:lineRule="exact"/>
        <w:rPr>
          <w:sz w:val="20"/>
          <w:szCs w:val="20"/>
          <w:color w:val="auto"/>
        </w:rPr>
      </w:pPr>
    </w:p>
    <w:p>
      <w:pPr>
        <w:jc w:val="both"/>
        <w:ind w:firstLine="231"/>
        <w:spacing w:after="0" w:line="284" w:lineRule="auto"/>
        <w:rPr>
          <w:sz w:val="20"/>
          <w:szCs w:val="20"/>
          <w:color w:val="auto"/>
        </w:rPr>
      </w:pPr>
      <w:r>
        <w:rPr>
          <w:rFonts w:ascii="Arial" w:cs="Arial" w:eastAsia="Arial" w:hAnsi="Arial"/>
          <w:sz w:val="14"/>
          <w:szCs w:val="14"/>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may be materially harmed.</w:t>
      </w:r>
    </w:p>
    <w:p>
      <w:pPr>
        <w:spacing w:after="0" w:line="175" w:lineRule="exact"/>
        <w:rPr>
          <w:sz w:val="20"/>
          <w:szCs w:val="20"/>
          <w:color w:val="auto"/>
        </w:rPr>
      </w:pPr>
    </w:p>
    <w:p>
      <w:pPr>
        <w:jc w:val="both"/>
        <w:ind w:firstLine="277"/>
        <w:spacing w:after="0" w:line="265" w:lineRule="auto"/>
        <w:rPr>
          <w:sz w:val="20"/>
          <w:szCs w:val="20"/>
          <w:color w:val="auto"/>
        </w:rPr>
      </w:pPr>
      <w:r>
        <w:rPr>
          <w:rFonts w:ascii="Arial" w:cs="Arial" w:eastAsia="Arial" w:hAnsi="Arial"/>
          <w:sz w:val="15"/>
          <w:szCs w:val="15"/>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63" w:lineRule="exact"/>
        <w:rPr>
          <w:sz w:val="20"/>
          <w:szCs w:val="20"/>
          <w:color w:val="auto"/>
        </w:rPr>
      </w:pPr>
    </w:p>
    <w:p>
      <w:pPr>
        <w:jc w:val="both"/>
        <w:ind w:left="140"/>
        <w:spacing w:after="0" w:line="269"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w:t>
      </w:r>
    </w:p>
    <w:p>
      <w:pPr>
        <w:spacing w:after="0" w:line="183" w:lineRule="exact"/>
        <w:rPr>
          <w:sz w:val="20"/>
          <w:szCs w:val="20"/>
          <w:color w:val="auto"/>
        </w:rPr>
      </w:pPr>
    </w:p>
    <w:p>
      <w:pPr>
        <w:jc w:val="both"/>
        <w:ind w:firstLine="289"/>
        <w:spacing w:after="0" w:line="281" w:lineRule="auto"/>
        <w:rPr>
          <w:sz w:val="20"/>
          <w:szCs w:val="20"/>
          <w:color w:val="auto"/>
        </w:rPr>
      </w:pPr>
      <w:r>
        <w:rPr>
          <w:rFonts w:ascii="Arial" w:cs="Arial" w:eastAsia="Arial" w:hAnsi="Arial"/>
          <w:sz w:val="14"/>
          <w:szCs w:val="14"/>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fail or be delayed, or if the product candidate has received regulatory approval such approval may be revoked, which would severely harm our business.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6" w:right="219" w:bottom="1440" w:gutter="0" w:footer="0" w:header="0"/>
        </w:sectPr>
      </w:pPr>
    </w:p>
    <w:bookmarkStart w:id="43" w:name="page44"/>
    <w:bookmarkEnd w:id="43"/>
    <w:p>
      <w:pPr>
        <w:ind w:left="240"/>
        <w:spacing w:after="0"/>
        <w:rPr>
          <w:sz w:val="20"/>
          <w:szCs w:val="20"/>
          <w:color w:val="auto"/>
        </w:rPr>
      </w:pPr>
      <w:r>
        <w:rPr>
          <w:rFonts w:ascii="Arial" w:cs="Arial" w:eastAsia="Arial" w:hAnsi="Arial"/>
          <w:sz w:val="14"/>
          <w:szCs w:val="14"/>
          <w:color w:val="auto"/>
        </w:rPr>
        <w:t>ZALTRAP is being studied for the potential treatment of mCRC and EYLEA is being studied in diseases of the eye in addition to wet AMD. There are many potential safety concerns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associated with significant blockade of VEGF that may limit our ability to successfully develop ZALTRAP and EYLEA in each of the indications for which we are studying these product candidates.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 delivered through intravenous administration, may develop severe hypersensitivity reactions or infusion reactions. Other VEGF blockers have reported side effects that became evident only after large scale trials or after marketing approval when large numbers of patients were treated. There are risks inherent in the intravitreal administration of drugs like EYLEA,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the development and/or commercialization of ZALTRAP for the treatment of mCRC or EYLEA for the treatment of diseases of the eye.</w:t>
      </w:r>
    </w:p>
    <w:p>
      <w:pPr>
        <w:spacing w:after="0" w:line="193"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3"/>
          <w:szCs w:val="13"/>
          <w:color w:val="auto"/>
        </w:rPr>
        <w:t>As more patients begin to use ARCALYST if it receives regulatory approval for the prevention of gout flares in patients initiating uric acid-lowering therapy, and to the extent it is tested in new disease settings, new risks and side effects associated with ARCALYST may be discovered, and risks previously viewed as inconsequential could be determined to be significant. Like cytokine antagonists such as Ilaris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(canakinumab), a registered trademark of Novartis, Kineret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(anakinra) and Enbrel</w:t>
      </w:r>
      <w:r>
        <w:rPr>
          <w:rFonts w:ascii="Arial" w:cs="Arial" w:eastAsia="Arial" w:hAnsi="Arial"/>
          <w:sz w:val="21"/>
          <w:szCs w:val="21"/>
          <w:color w:val="auto"/>
          <w:vertAlign w:val="superscript"/>
        </w:rPr>
        <w:t>®</w:t>
      </w:r>
      <w:r>
        <w:rPr>
          <w:rFonts w:ascii="Arial" w:cs="Arial" w:eastAsia="Arial" w:hAnsi="Arial"/>
          <w:sz w:val="13"/>
          <w:szCs w:val="13"/>
          <w:color w:val="auto"/>
        </w:rPr>
        <w:t xml:space="preserve"> (etanercept), registered trademarks of Amgen, and Remicade</w:t>
      </w:r>
      <w:r>
        <w:rPr>
          <w:rFonts w:ascii="Arial" w:cs="Arial" w:eastAsia="Arial" w:hAnsi="Arial"/>
          <w:sz w:val="21"/>
          <w:szCs w:val="21"/>
          <w:color w:val="auto"/>
          <w:vertAlign w:val="superscript"/>
        </w:rPr>
        <w:t>®</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(infliximab) a registered trademark of Centocor Ortho Biotech, ARCALYST affects the immune defense system of the body by blocking some of its functions. Therefore, ARCALYST may interfere with the body’s ability to fight infections. As noted above, in June 2011, following two positive Phase 3 trials, the Arthritis Advisory Committee of the FDA voted to recommend</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5"/>
          <w:szCs w:val="15"/>
          <w:color w:val="auto"/>
        </w:rPr>
        <w:t>against approval in a gout indication for Ilaris</w:t>
      </w:r>
      <w:r>
        <w:rPr>
          <w:rFonts w:ascii="Arial" w:cs="Arial" w:eastAsia="Arial" w:hAnsi="Arial"/>
          <w:sz w:val="25"/>
          <w:szCs w:val="25"/>
          <w:color w:val="auto"/>
          <w:vertAlign w:val="superscript"/>
        </w:rPr>
        <w:t>®</w:t>
      </w:r>
      <w:r>
        <w:rPr>
          <w:rFonts w:ascii="Arial" w:cs="Arial" w:eastAsia="Arial" w:hAnsi="Arial"/>
          <w:sz w:val="15"/>
          <w:szCs w:val="15"/>
          <w:color w:val="auto"/>
        </w:rPr>
        <w:t>, Novartis’ IL-1 inhibitor which works through a similar mechanism as ARCALYST and, in August 2011, Novartis received a Complete Response letter from the FDA requesting additional information, including clinical data to evaluate the benefit-risk profile of Ilaris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refractory patients.</w:t>
      </w:r>
    </w:p>
    <w:p>
      <w:pPr>
        <w:spacing w:after="0" w:line="81" w:lineRule="exact"/>
        <w:rPr>
          <w:sz w:val="20"/>
          <w:szCs w:val="20"/>
          <w:color w:val="auto"/>
        </w:rPr>
      </w:pPr>
    </w:p>
    <w:p>
      <w:pPr>
        <w:jc w:val="both"/>
        <w:ind w:firstLine="254"/>
        <w:spacing w:after="0" w:line="257" w:lineRule="auto"/>
        <w:rPr>
          <w:sz w:val="20"/>
          <w:szCs w:val="20"/>
          <w:color w:val="auto"/>
        </w:rPr>
      </w:pPr>
      <w:r>
        <w:rPr>
          <w:rFonts w:ascii="Arial" w:cs="Arial" w:eastAsia="Arial" w:hAnsi="Arial"/>
          <w:sz w:val="14"/>
          <w:szCs w:val="14"/>
          <w:color w:val="auto"/>
        </w:rPr>
        <w:t>Treatment with Kineret</w:t>
      </w:r>
      <w:r>
        <w:rPr>
          <w:rFonts w:ascii="Arial" w:cs="Arial" w:eastAsia="Arial" w:hAnsi="Arial"/>
          <w:sz w:val="23"/>
          <w:szCs w:val="23"/>
          <w:color w:val="auto"/>
          <w:vertAlign w:val="superscript"/>
        </w:rPr>
        <w:t>®</w:t>
      </w:r>
      <w:r>
        <w:rPr>
          <w:rFonts w:ascii="Arial" w:cs="Arial" w:eastAsia="Arial" w:hAnsi="Arial"/>
          <w:sz w:val="14"/>
          <w:szCs w:val="14"/>
          <w:color w:val="auto"/>
        </w:rPr>
        <w:t>, a medication that works through the inhibition of IL-1, has been associated with an increased risk of serious infections, and serious, life threatening infections have been reported in patients taking ARCALYST. These or other complications or side effects could cause regulatory authorities to revoke approvals of ARCALYST for the treatment of CAPS or deny the approval of ARCALYST for the prevention of gout flares in patients initiating uric acid-lowering treatment or other disease settings. Alternatively, we may be required to conduct additional clinical trials, make changes in the labeling of our product, or limit or abandon our efforts to develop ARCALYST in new disease settings. Any such side effects may also result in a reduction, or even the elimination, of sales of ARCALYST in the current or future approved indications.</w:t>
      </w:r>
    </w:p>
    <w:p>
      <w:pPr>
        <w:spacing w:after="0" w:line="193" w:lineRule="exact"/>
        <w:rPr>
          <w:sz w:val="20"/>
          <w:szCs w:val="20"/>
          <w:color w:val="auto"/>
        </w:rPr>
      </w:pPr>
    </w:p>
    <w:p>
      <w:pPr>
        <w:jc w:val="both"/>
        <w:ind w:firstLine="312"/>
        <w:spacing w:after="0" w:line="260" w:lineRule="auto"/>
        <w:rPr>
          <w:sz w:val="20"/>
          <w:szCs w:val="20"/>
          <w:color w:val="auto"/>
        </w:rPr>
      </w:pPr>
      <w:r>
        <w:rPr>
          <w:rFonts w:ascii="Arial" w:cs="Arial" w:eastAsia="Arial" w:hAnsi="Arial"/>
          <w:sz w:val="15"/>
          <w:szCs w:val="15"/>
          <w:color w:val="auto"/>
        </w:rPr>
        <w:t>We are studying REGN475, a fully human monoclonal antibody to NGF, in a variety of pain indications, including osteoarthritis of the knee. In December 2010, the FDA placed REGN475 and other investigational agents targeting NGF on clinical hold after a case of rapidly progressive osteoarthritis leading to joint replacement was seen in another company’s anti-NGF program. At that time, the FDA expressed concern that this case, which followed previously-reported cases of joint replacements in patients on an anti-NGF drug candidate being developed by a different pharmaceutical company, provided evidence to suggest a class effect. An FDA Arthritis Advisory Committee met on March 12, 2012 to discuss possible safety issues related to anti-NGF compounds and voted unanimously in favor of a role for the ongoing development of anti-NGF agents in osteoarthritis. The Arthritis Advisory Committee also voted twenty to one in favor of a role for development of anti-NGF agents to manage the pain associated with conditions for which there are no agents with demonstrated analgesic efficacy. The committee's recommendation will be considered by the FDA, but is not binding on the FDA. There are currently no ongoing trials with REGN475 that are either enrolling or treating patients.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44" w:name="page45"/>
    <w:bookmarkEnd w:id="44"/>
    <w:p>
      <w:pPr>
        <w:ind w:left="140"/>
        <w:spacing w:after="0" w:line="281" w:lineRule="auto"/>
        <w:rPr>
          <w:sz w:val="20"/>
          <w:szCs w:val="20"/>
          <w:color w:val="auto"/>
        </w:rPr>
      </w:pPr>
      <w:r>
        <w:rPr>
          <w:rFonts w:ascii="Arial" w:cs="Arial" w:eastAsia="Arial" w:hAnsi="Arial"/>
          <w:sz w:val="15"/>
          <w:szCs w:val="15"/>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174" w:lineRule="exact"/>
        <w:rPr>
          <w:sz w:val="20"/>
          <w:szCs w:val="20"/>
          <w:color w:val="auto"/>
        </w:rPr>
      </w:pPr>
    </w:p>
    <w:p>
      <w:pPr>
        <w:jc w:val="both"/>
        <w:ind w:right="20" w:firstLine="312"/>
        <w:spacing w:after="0" w:line="263" w:lineRule="auto"/>
        <w:rPr>
          <w:sz w:val="20"/>
          <w:szCs w:val="20"/>
          <w:color w:val="auto"/>
        </w:rPr>
      </w:pPr>
      <w:r>
        <w:rPr>
          <w:rFonts w:ascii="Arial" w:cs="Arial" w:eastAsia="Arial" w:hAnsi="Arial"/>
          <w:sz w:val="15"/>
          <w:szCs w:val="15"/>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65" w:lineRule="exact"/>
        <w:rPr>
          <w:sz w:val="20"/>
          <w:szCs w:val="20"/>
          <w:color w:val="auto"/>
        </w:rPr>
      </w:pPr>
    </w:p>
    <w:p>
      <w:pPr>
        <w:ind w:left="140"/>
        <w:spacing w:after="0" w:line="281" w:lineRule="auto"/>
        <w:rPr>
          <w:sz w:val="20"/>
          <w:szCs w:val="20"/>
          <w:color w:val="auto"/>
        </w:rPr>
      </w:pPr>
      <w:r>
        <w:rPr>
          <w:rFonts w:ascii="Arial" w:cs="Arial" w:eastAsia="Arial" w:hAnsi="Arial"/>
          <w:sz w:val="15"/>
          <w:szCs w:val="15"/>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w:t>
      </w:r>
    </w:p>
    <w:p>
      <w:pPr>
        <w:spacing w:after="0" w:line="174" w:lineRule="exact"/>
        <w:rPr>
          <w:sz w:val="20"/>
          <w:szCs w:val="20"/>
          <w:color w:val="auto"/>
        </w:rPr>
      </w:pPr>
    </w:p>
    <w:p>
      <w:pPr>
        <w:jc w:val="both"/>
        <w:ind w:firstLine="243"/>
        <w:spacing w:after="0" w:line="265" w:lineRule="auto"/>
        <w:rPr>
          <w:sz w:val="20"/>
          <w:szCs w:val="20"/>
          <w:color w:val="auto"/>
        </w:rPr>
      </w:pPr>
      <w:r>
        <w:rPr>
          <w:rFonts w:ascii="Arial" w:cs="Arial" w:eastAsia="Arial" w:hAnsi="Arial"/>
          <w:sz w:val="15"/>
          <w:szCs w:val="15"/>
          <w:color w:val="auto"/>
        </w:rPr>
        <w:t>If we are unable to continue to develop suitable product formulations or manufacturing processes to support large 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Commercialization of EYLEA for the Treatment of Wet AMD</w:t>
      </w:r>
    </w:p>
    <w:p>
      <w:pPr>
        <w:spacing w:after="0" w:line="201" w:lineRule="exact"/>
        <w:rPr>
          <w:sz w:val="20"/>
          <w:szCs w:val="20"/>
          <w:color w:val="auto"/>
        </w:rPr>
      </w:pPr>
    </w:p>
    <w:p>
      <w:pPr>
        <w:ind w:left="140"/>
        <w:spacing w:after="0" w:line="318" w:lineRule="auto"/>
        <w:rPr>
          <w:sz w:val="20"/>
          <w:szCs w:val="20"/>
          <w:color w:val="auto"/>
        </w:rPr>
      </w:pPr>
      <w:r>
        <w:rPr>
          <w:rFonts w:ascii="Arial" w:cs="Arial" w:eastAsia="Arial" w:hAnsi="Arial"/>
          <w:sz w:val="14"/>
          <w:szCs w:val="14"/>
          <w:b w:val="1"/>
          <w:bCs w:val="1"/>
          <w:i w:val="1"/>
          <w:iCs w:val="1"/>
          <w:color w:val="auto"/>
        </w:rPr>
        <w:t>We are subject to significant ongoing regulatory obligations and oversight with respect to EYLEA for the treatment of wet AMD. If we fail to maintain regulatory compliance for EYLEA, we may lose marketing approval, which would materially harm our business, prospects, operating results, and financial condition.</w:t>
      </w:r>
    </w:p>
    <w:p>
      <w:pPr>
        <w:spacing w:after="0" w:line="15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4"/>
          <w:szCs w:val="14"/>
          <w:color w:val="auto"/>
        </w:rPr>
        <w:t>EYLEA is currently approved for treatment of wet AMD in the United States and Bayer HealthCare is seeking approval in other countries. We are subject to significant ongoing regulatory obligations with respect to EYLEA for the treatment of wet AMD in the United States, and, if approved outside the United States, commercialization of EYLEA will be subject to significant ongoing regulatory obligations and oversight in those countries where approval is obtained as well. If we fail to maintain regulatory compliance for EYLEA for the treatment of wet AMD, we may lose marketing approval, which would materially harm our business, prospects, operating results, and financial condition. Failure to comply may also subject us to sanctions, product recalls, or withdrawals of previously approved marketing applications. See also “</w:t>
      </w:r>
      <w:r>
        <w:rPr>
          <w:rFonts w:ascii="Arial" w:cs="Arial" w:eastAsia="Arial" w:hAnsi="Arial"/>
          <w:sz w:val="14"/>
          <w:szCs w:val="14"/>
          <w:i w:val="1"/>
          <w:iCs w:val="1"/>
          <w:color w:val="auto"/>
        </w:rPr>
        <w:t>If we fail to meet the stringent requirements of governmental regulation in the</w:t>
      </w:r>
      <w:r>
        <w:rPr>
          <w:rFonts w:ascii="Arial" w:cs="Arial" w:eastAsia="Arial" w:hAnsi="Arial"/>
          <w:sz w:val="14"/>
          <w:szCs w:val="14"/>
          <w:color w:val="auto"/>
        </w:rPr>
        <w:t xml:space="preserve"> </w:t>
      </w:r>
      <w:r>
        <w:rPr>
          <w:rFonts w:ascii="Arial" w:cs="Arial" w:eastAsia="Arial" w:hAnsi="Arial"/>
          <w:sz w:val="14"/>
          <w:szCs w:val="14"/>
          <w:i w:val="1"/>
          <w:iCs w:val="1"/>
          <w:color w:val="auto"/>
        </w:rPr>
        <w:t>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Serious complications or side effects in connection with the use of EYLEA could materially harm our business, prospects, operating results, and financial condition.</w:t>
      </w:r>
    </w:p>
    <w:p>
      <w:pPr>
        <w:spacing w:after="0" w:line="232" w:lineRule="exact"/>
        <w:rPr>
          <w:sz w:val="20"/>
          <w:szCs w:val="20"/>
          <w:color w:val="auto"/>
        </w:rPr>
      </w:pPr>
    </w:p>
    <w:p>
      <w:pPr>
        <w:jc w:val="both"/>
        <w:ind w:firstLine="266"/>
        <w:spacing w:after="0" w:line="269" w:lineRule="auto"/>
        <w:rPr>
          <w:sz w:val="20"/>
          <w:szCs w:val="20"/>
          <w:color w:val="auto"/>
        </w:rPr>
      </w:pPr>
      <w:r>
        <w:rPr>
          <w:rFonts w:ascii="Arial" w:cs="Arial" w:eastAsia="Arial" w:hAnsi="Arial"/>
          <w:sz w:val="15"/>
          <w:szCs w:val="15"/>
          <w:color w:val="auto"/>
        </w:rPr>
        <w:t>There are risks inherent in intravitreal injections, including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5" w:right="219" w:bottom="1440" w:gutter="0" w:footer="0" w:header="0"/>
        </w:sectPr>
      </w:pPr>
    </w:p>
    <w:bookmarkStart w:id="45" w:name="page46"/>
    <w:bookmarkEnd w:id="45"/>
    <w:p>
      <w:pPr>
        <w:ind w:left="140"/>
        <w:spacing w:after="0" w:line="281" w:lineRule="auto"/>
        <w:rPr>
          <w:sz w:val="20"/>
          <w:szCs w:val="20"/>
          <w:color w:val="auto"/>
        </w:rPr>
      </w:pPr>
      <w:r>
        <w:rPr>
          <w:rFonts w:ascii="Arial" w:cs="Arial" w:eastAsia="Arial" w:hAnsi="Arial"/>
          <w:sz w:val="15"/>
          <w:szCs w:val="15"/>
          <w:b w:val="1"/>
          <w:bCs w:val="1"/>
          <w:i w:val="1"/>
          <w:iCs w:val="1"/>
          <w:color w:val="auto"/>
        </w:rPr>
        <w:t>Our regulatory approval for sales of EYLEA is limited to the treatment of wet AMD and is limited to sales in the United States. If we don't receive approval for EYLEA for other indications, or if approvals are not obtained for sales in other countries, sales and profits will be limited.</w:t>
      </w:r>
    </w:p>
    <w:p>
      <w:pPr>
        <w:spacing w:after="0" w:line="174" w:lineRule="exact"/>
        <w:rPr>
          <w:sz w:val="20"/>
          <w:szCs w:val="20"/>
          <w:color w:val="auto"/>
        </w:rPr>
      </w:pPr>
    </w:p>
    <w:p>
      <w:pPr>
        <w:jc w:val="both"/>
        <w:ind w:firstLine="312"/>
        <w:spacing w:after="0" w:line="269" w:lineRule="auto"/>
        <w:rPr>
          <w:sz w:val="20"/>
          <w:szCs w:val="20"/>
          <w:color w:val="auto"/>
        </w:rPr>
      </w:pPr>
      <w:r>
        <w:rPr>
          <w:rFonts w:ascii="Arial" w:cs="Arial" w:eastAsia="Arial" w:hAnsi="Arial"/>
          <w:sz w:val="15"/>
          <w:szCs w:val="15"/>
          <w:color w:val="auto"/>
        </w:rPr>
        <w:t>We have received regulatory approval for sale of EYLEA for the treatment of wet AMD only in the United States. If we do not receive approval for EYLEA for other uses, or if approvals for sales in other countries are not obtained, sales will be limited and our potential for profits will be limited. As a result, our business, prospects, results of operations, and financial condition would be materially impacted.</w:t>
      </w:r>
    </w:p>
    <w:p>
      <w:pPr>
        <w:spacing w:after="0" w:line="160" w:lineRule="exact"/>
        <w:rPr>
          <w:sz w:val="20"/>
          <w:szCs w:val="20"/>
          <w:color w:val="auto"/>
        </w:rPr>
      </w:pPr>
    </w:p>
    <w:p>
      <w:pPr>
        <w:ind w:left="140" w:right="20"/>
        <w:spacing w:after="0" w:line="281" w:lineRule="auto"/>
        <w:rPr>
          <w:sz w:val="20"/>
          <w:szCs w:val="20"/>
          <w:color w:val="auto"/>
        </w:rPr>
      </w:pPr>
      <w:r>
        <w:rPr>
          <w:rFonts w:ascii="Arial" w:cs="Arial" w:eastAsia="Arial" w:hAnsi="Arial"/>
          <w:sz w:val="15"/>
          <w:szCs w:val="15"/>
          <w:b w:val="1"/>
          <w:bCs w:val="1"/>
          <w:i w:val="1"/>
          <w:iCs w:val="1"/>
          <w:color w:val="auto"/>
        </w:rPr>
        <w:t>Our sales of EYLEA for the treatment of wet AMD are dependent on the availability and extent of reimbursement from third party payers, and changes to such reimbursement may materially harm our sales and potential revenue and harm our business, prospects, operating results, and financial condition.</w:t>
      </w:r>
    </w:p>
    <w:p>
      <w:pPr>
        <w:spacing w:after="0" w:line="174" w:lineRule="exact"/>
        <w:rPr>
          <w:sz w:val="20"/>
          <w:szCs w:val="20"/>
          <w:color w:val="auto"/>
        </w:rPr>
      </w:pPr>
    </w:p>
    <w:p>
      <w:pPr>
        <w:jc w:val="both"/>
        <w:ind w:firstLine="243"/>
        <w:spacing w:after="0" w:line="303" w:lineRule="auto"/>
        <w:rPr>
          <w:sz w:val="20"/>
          <w:szCs w:val="20"/>
          <w:color w:val="auto"/>
        </w:rPr>
      </w:pPr>
      <w:r>
        <w:rPr>
          <w:rFonts w:ascii="Arial" w:cs="Arial" w:eastAsia="Arial" w:hAnsi="Arial"/>
          <w:sz w:val="13"/>
          <w:szCs w:val="13"/>
          <w:color w:val="auto"/>
        </w:rPr>
        <w:t>Our current sales in the United States of EYLEA for the treatment of wet AMD are dependent, in part, on the availability and extent of reimbursement from third-party payers, including government programs such as Medicare and Medicaid and private payer healthcare and insurance programs. If approved for sale in other countries, such sales will be dependent, in part, on similar programs in these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for the treatment of wet AMD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w:t>
      </w:r>
      <w:r>
        <w:rPr>
          <w:rFonts w:ascii="Arial" w:cs="Arial" w:eastAsia="Arial" w:hAnsi="Arial"/>
          <w:sz w:val="13"/>
          <w:szCs w:val="13"/>
          <w:i w:val="1"/>
          <w:iCs w:val="1"/>
          <w:color w:val="auto"/>
        </w:rPr>
        <w:t>The successful commercialization of EYLEA for the treatment of wet AMD as well as our</w:t>
      </w:r>
      <w:r>
        <w:rPr>
          <w:rFonts w:ascii="Arial" w:cs="Arial" w:eastAsia="Arial" w:hAnsi="Arial"/>
          <w:sz w:val="13"/>
          <w:szCs w:val="13"/>
          <w:color w:val="auto"/>
        </w:rPr>
        <w:t xml:space="preserve"> </w:t>
      </w:r>
      <w:r>
        <w:rPr>
          <w:rFonts w:ascii="Arial" w:cs="Arial" w:eastAsia="Arial" w:hAnsi="Arial"/>
          <w:sz w:val="13"/>
          <w:szCs w:val="13"/>
          <w:i w:val="1"/>
          <w:iCs w:val="1"/>
          <w:color w:val="auto"/>
        </w:rPr>
        <w:t>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3"/>
          <w:szCs w:val="13"/>
          <w:color w:val="auto"/>
        </w:rPr>
        <w:t>."</w:t>
      </w:r>
    </w:p>
    <w:p>
      <w:pPr>
        <w:spacing w:after="0" w:line="16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5"/>
          <w:szCs w:val="15"/>
          <w:color w:val="auto"/>
        </w:rPr>
        <w:t>The status of a J-code for EYLEA could also affect reimbursement. J-codes are permanent reimbursement codes maintained by Centers for Medicare and Medicaid Services (CMS) that are a component of the Healthcare Common Procedure Coding System (HCPCS), and are typically used to report injectable drugs that ordinarily cannot be self-administered. We do not currently have a J-Code for EYLEA, although we anticipate assignment of a J-Code for EYLEA in January 2013. Since our product launch of EYLEA in November 2011, EYLEA has been billed using a non-specific miscellaneous J-code. Since such codes may be used for a wide variety of products, health plans may have more difficulty determining the actual product used and billed for the patient. As a result, these claims must often be submitted with additional information and manually processed, which can create delays in claims processing times as well as increasing the likelihood for claim errors.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The commercial success of EYLEA currently being marketed for the treatment of wet AMD is subject to strong competition.</w:t>
      </w:r>
    </w:p>
    <w:p>
      <w:pPr>
        <w:spacing w:after="0" w:line="221" w:lineRule="exact"/>
        <w:rPr>
          <w:sz w:val="20"/>
          <w:szCs w:val="20"/>
          <w:color w:val="auto"/>
        </w:rPr>
      </w:pPr>
    </w:p>
    <w:p>
      <w:pPr>
        <w:jc w:val="both"/>
        <w:ind w:firstLine="277"/>
        <w:spacing w:after="0" w:line="206" w:lineRule="auto"/>
        <w:rPr>
          <w:sz w:val="20"/>
          <w:szCs w:val="20"/>
          <w:color w:val="auto"/>
        </w:rPr>
      </w:pPr>
      <w:r>
        <w:rPr>
          <w:rFonts w:ascii="Arial" w:cs="Arial" w:eastAsia="Arial" w:hAnsi="Arial"/>
          <w:sz w:val="13"/>
          <w:szCs w:val="13"/>
          <w:color w:val="auto"/>
        </w:rPr>
        <w:t>The market for eye disease products is very competitive. Novartis and Genentech are collaborating on the commercialization and further development of a VEGF antibody fragment, Lucentis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for the treatment of wet AMD, CRVO, DME, and other eye indications. Lucentis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was approved by the FDA in June 2006 for the treatment of wet AMD and in June 2010 for the</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treatment of macular edema following retinal vein occlusion (RVO), CRVO, and BRVO. Lucentis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was also approved by the EMA for wet AMD in January 2007 and for DME in January 2011. Many other companies are working on the development of product candidates for the potential treatment of wet AMD and DME including those that act by blocking VEGF and VEGF receptors, as well as small interfering ribonucleic acids (siRNAs) that modulate gene expression. In addition, ophthalmologists are using off-label, with success for the treatment of wet</w:t>
      </w:r>
    </w:p>
    <w:p>
      <w:pPr>
        <w:spacing w:after="0" w:line="2" w:lineRule="exact"/>
        <w:rPr>
          <w:sz w:val="20"/>
          <w:szCs w:val="20"/>
          <w:color w:val="auto"/>
        </w:rPr>
      </w:pPr>
    </w:p>
    <w:p>
      <w:pPr>
        <w:jc w:val="both"/>
        <w:spacing w:after="0" w:line="211" w:lineRule="auto"/>
        <w:rPr>
          <w:sz w:val="20"/>
          <w:szCs w:val="20"/>
          <w:color w:val="auto"/>
        </w:rPr>
      </w:pPr>
      <w:r>
        <w:rPr>
          <w:rFonts w:ascii="Arial" w:cs="Arial" w:eastAsia="Arial" w:hAnsi="Arial"/>
          <w:sz w:val="15"/>
          <w:szCs w:val="15"/>
          <w:color w:val="auto"/>
        </w:rPr>
        <w:t>AMD, DME, and RVO, third-party repackaged versions of Genentech’s approved VEGF antagonist, Avastin</w:t>
      </w:r>
      <w:r>
        <w:rPr>
          <w:rFonts w:ascii="Arial" w:cs="Arial" w:eastAsia="Arial" w:hAnsi="Arial"/>
          <w:sz w:val="25"/>
          <w:szCs w:val="25"/>
          <w:color w:val="auto"/>
          <w:vertAlign w:val="superscript"/>
        </w:rPr>
        <w:t>®</w:t>
      </w:r>
      <w:r>
        <w:rPr>
          <w:rFonts w:ascii="Arial" w:cs="Arial" w:eastAsia="Arial" w:hAnsi="Arial"/>
          <w:sz w:val="15"/>
          <w:szCs w:val="15"/>
          <w:color w:val="auto"/>
        </w:rPr>
        <w:t>. The relatively low cost of therapy with Avastin</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patients with wet AMD presents a significant competitive challenge in this indication.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5" w:right="219" w:bottom="1440" w:gutter="0" w:footer="0" w:header="0"/>
        </w:sectPr>
      </w:pPr>
    </w:p>
    <w:bookmarkStart w:id="46" w:name="page47"/>
    <w:bookmarkEnd w:id="46"/>
    <w:p>
      <w:pPr>
        <w:jc w:val="both"/>
        <w:ind w:firstLine="254"/>
        <w:spacing w:after="0" w:line="238" w:lineRule="auto"/>
        <w:rPr>
          <w:sz w:val="20"/>
          <w:szCs w:val="20"/>
          <w:color w:val="auto"/>
        </w:rPr>
      </w:pPr>
      <w:r>
        <w:rPr>
          <w:rFonts w:ascii="Arial" w:cs="Arial" w:eastAsia="Arial" w:hAnsi="Arial"/>
          <w:sz w:val="13"/>
          <w:szCs w:val="13"/>
          <w:color w:val="auto"/>
        </w:rPr>
        <w:t>The National Eye Institute (NEI) and others are conducting long-term, controlled clinical trials comparing Lucentis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to Avastin</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 the treatment of wet AMD. One-year data from the Comparison of Age-Related Macular Degeneration Treatments Trial (CATT) were reported in April 2011 and indicated that Avastin</w:t>
      </w:r>
      <w:r>
        <w:rPr>
          <w:rFonts w:ascii="Arial" w:cs="Arial" w:eastAsia="Arial" w:hAnsi="Arial"/>
          <w:sz w:val="21"/>
          <w:szCs w:val="21"/>
          <w:color w:val="auto"/>
          <w:vertAlign w:val="superscript"/>
        </w:rPr>
        <w:t>®</w:t>
      </w:r>
      <w:r>
        <w:rPr>
          <w:rFonts w:ascii="Arial" w:cs="Arial" w:eastAsia="Arial" w:hAnsi="Arial"/>
          <w:sz w:val="13"/>
          <w:szCs w:val="13"/>
          <w:color w:val="auto"/>
        </w:rPr>
        <w:t xml:space="preserve"> dosed monthly was non-inferior to Lucentis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dosed monthly in the primary efficacy endpoint of mean visual acuity gain at 52 weeks. Avastin</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is also being evaluated in eye diseases in trials that have been initiated in the United Kingdom, Canada, Brazil, Mexico, Germany, Israel, and other countries. It may be difficult for EYLEA</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 this or other eye indications for which it may be approved to compete against Lucentis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and off-label use of Avastin</w:t>
      </w:r>
      <w:r>
        <w:rPr>
          <w:rFonts w:ascii="Arial" w:cs="Arial" w:eastAsia="Arial" w:hAnsi="Arial"/>
          <w:sz w:val="21"/>
          <w:szCs w:val="21"/>
          <w:color w:val="auto"/>
          <w:vertAlign w:val="superscript"/>
        </w:rPr>
        <w:t>®</w:t>
      </w:r>
      <w:r>
        <w:rPr>
          <w:rFonts w:ascii="Arial" w:cs="Arial" w:eastAsia="Arial" w:hAnsi="Arial"/>
          <w:sz w:val="13"/>
          <w:szCs w:val="13"/>
          <w:color w:val="auto"/>
        </w:rPr>
        <w:t xml:space="preserve"> because doctors and patients have had significant experience using these medicines. Moreover, the reported results of the CATT study, combined with the relatively</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low cost of Avastin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treating patients with wet AMD, may well exacerbate the competitive challenge which EYLEA will face in this or other eye indications for which it may be approved. In addition, while we believe that ZALTRAP would not be well tolerated if administered directly to the eye, if ZALTRAP is approved for the treatment of certain cancers, there is a risk that third parties will attempt to repackage ZALTRAP for off-label use and sale for the treatment of wet AMD and other diseases of the eye, which would present a potential low-cost competitive threat to EYLEA for wet AMD or other eye indications. See also “</w:t>
      </w:r>
      <w:r>
        <w:rPr>
          <w:rFonts w:ascii="Arial" w:cs="Arial" w:eastAsia="Arial" w:hAnsi="Arial"/>
          <w:sz w:val="14"/>
          <w:szCs w:val="14"/>
          <w:i w:val="1"/>
          <w:iCs w:val="1"/>
          <w:color w:val="auto"/>
        </w:rPr>
        <w:t>The commercial success of EYLEA currently being marketed for the treatment of wet AMD, and for our other</w:t>
      </w:r>
      <w:r>
        <w:rPr>
          <w:rFonts w:ascii="Arial" w:cs="Arial" w:eastAsia="Arial" w:hAnsi="Arial"/>
          <w:sz w:val="14"/>
          <w:szCs w:val="14"/>
          <w:color w:val="auto"/>
        </w:rPr>
        <w:t xml:space="preserve"> </w:t>
      </w:r>
      <w:r>
        <w:rPr>
          <w:rFonts w:ascii="Arial" w:cs="Arial" w:eastAsia="Arial" w:hAnsi="Arial"/>
          <w:sz w:val="14"/>
          <w:szCs w:val="14"/>
          <w:i w:val="1"/>
          <w:iCs w:val="1"/>
          <w:color w:val="auto"/>
        </w:rPr>
        <w:t>product candidates or new indications for our marketed products, if any are approved for marketing, is highly uncertain given their method of administration, and because our competitors have received approval for and may be marketing products with a similar mechanism of action or may enter the marketplace with better or lower cost drugs.</w:t>
      </w:r>
      <w:r>
        <w:rPr>
          <w:rFonts w:ascii="Arial" w:cs="Arial" w:eastAsia="Arial" w:hAnsi="Arial"/>
          <w:sz w:val="14"/>
          <w:szCs w:val="14"/>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Intellectual Property and Market Exclusivity</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13"/>
          <w:szCs w:val="13"/>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43" w:lineRule="exact"/>
        <w:rPr>
          <w:sz w:val="20"/>
          <w:szCs w:val="20"/>
          <w:color w:val="auto"/>
        </w:rPr>
      </w:pPr>
    </w:p>
    <w:p>
      <w:pPr>
        <w:jc w:val="both"/>
        <w:ind w:firstLine="277"/>
        <w:spacing w:after="0" w:line="303" w:lineRule="auto"/>
        <w:rPr>
          <w:sz w:val="20"/>
          <w:szCs w:val="20"/>
          <w:color w:val="auto"/>
        </w:rPr>
      </w:pPr>
      <w:r>
        <w:rPr>
          <w:rFonts w:ascii="Arial" w:cs="Arial" w:eastAsia="Arial" w:hAnsi="Arial"/>
          <w:sz w:val="13"/>
          <w:szCs w:val="13"/>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third-party challengers from time to time in the future. Patent applications filed in the United States may also be challenged by third parties who file a request for post-grant review under the America Invents Act of 2011, beginning on September 16, 2012. We expect that post-grant review proceedings will become common in the United States and will be costly to defend. We have pending patent applications in the United States Patent and Trademark Office and it is likely that we will need to defend patent applications from third-party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43" w:lineRule="exact"/>
        <w:rPr>
          <w:sz w:val="20"/>
          <w:szCs w:val="20"/>
          <w:color w:val="auto"/>
        </w:rPr>
      </w:pPr>
    </w:p>
    <w:p>
      <w:pPr>
        <w:ind w:left="140"/>
        <w:spacing w:after="0" w:line="318" w:lineRule="auto"/>
        <w:rPr>
          <w:sz w:val="20"/>
          <w:szCs w:val="20"/>
          <w:color w:val="auto"/>
        </w:rPr>
      </w:pPr>
      <w:r>
        <w:rPr>
          <w:rFonts w:ascii="Arial" w:cs="Arial" w:eastAsia="Arial" w:hAnsi="Arial"/>
          <w:sz w:val="14"/>
          <w:szCs w:val="14"/>
          <w:b w:val="1"/>
          <w:bCs w:val="1"/>
          <w:i w:val="1"/>
          <w:iCs w:val="1"/>
          <w:color w:val="auto"/>
        </w:rPr>
        <w:t>We may be restricted in our development, manufacturing, and/or commercialization activities by, and could be subject to damage awards if we are found to have infringed, third-party patents or other proprietary rights, and the costs and expenses of ongoing patent litigation have been and will likely continue to be significant.</w:t>
      </w:r>
    </w:p>
    <w:p>
      <w:pPr>
        <w:spacing w:after="0" w:line="15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5"/>
          <w:szCs w:val="15"/>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or even to products that have received regulatory approval and are being or have been commercialized,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either because of the way the antibodies are discovered or produced or because of a proprietary composition covering an antibody or the antibody’s target.</w:t>
      </w:r>
    </w:p>
    <w:p>
      <w:pPr>
        <w:spacing w:after="0" w:line="1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5"/>
          <w:szCs w:val="15"/>
          <w:color w:val="auto"/>
        </w:rPr>
        <w:t>We are aware of issued patents and pending patent applications owned by Genentech that claim certain chimeric VEGF receptors. We do not believe that ZALTRAP or EYLEA infringe any valid claim in these patents or patent applications. We are involved in five patent litigations with Genentech, two in the United States and three in Europe. In November 2010, we commenced a lawsuit against Genentech in the U.S. District Court for the Southern District of New York (the Court), seeking a declaratory judgment that no activities relating to our VEGF Trap infringe any valid claim of certain Genentech patents referred to as the Davis-Smyth patents (the First Davis-Smyth Case). Genentech answered the complaint and asserted counterclaims that our prior or planned activities relating to VEGF Trap have infringed or will infringe claims of four of the five Davis-Smyth patents and requested a judgment against us for damages, including for willful infringement, and other relief as the Court deems appropriate.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7" w:right="219" w:bottom="1440" w:gutter="0" w:footer="0" w:header="0"/>
        </w:sectPr>
      </w:pPr>
    </w:p>
    <w:bookmarkStart w:id="47" w:name="page48"/>
    <w:bookmarkEnd w:id="47"/>
    <w:p>
      <w:pPr>
        <w:jc w:val="both"/>
        <w:ind w:firstLine="277"/>
        <w:spacing w:after="0" w:line="280" w:lineRule="auto"/>
        <w:rPr>
          <w:sz w:val="20"/>
          <w:szCs w:val="20"/>
          <w:color w:val="auto"/>
        </w:rPr>
      </w:pPr>
      <w:r>
        <w:rPr>
          <w:rFonts w:ascii="Arial" w:cs="Arial" w:eastAsia="Arial" w:hAnsi="Arial"/>
          <w:sz w:val="14"/>
          <w:szCs w:val="14"/>
          <w:color w:val="auto"/>
        </w:rPr>
        <w:t>On December 31, 2011, we entered into the Genentech Agreement that covers making, using, and selling EYLEA in the United States for the prevention and treatment of human eye diseases and disorders in the United States, and ends the litigation relating to those matters. Under the Genentech Agreement, we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us to make payments to Genentech based on U.S. sales of EYLEA through May 7, 2016, the date the Davis-Smyth patents expire. We will make a lump-sum payment of $60 million once cumulative U.S. sales of EYLEA reach $400 million. We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five Davis-Smyth patents. On December 23, 2011, Genentech initiated a related case in the Court against Regeneron and Sanofi alleging infringement of four of the five Davis-Smyth Patents by activities relating to VEGF Trap (but excluding EYLEA) (the Second Davis-Smyth Case). As in the First Davis-Smyth Case, in the new complaint Genentech requests a judgment against us for damages, including for willful infringement, and other relief as the Court deems appropriate.</w:t>
      </w:r>
    </w:p>
    <w:p>
      <w:pPr>
        <w:spacing w:after="0" w:line="176" w:lineRule="exact"/>
        <w:rPr>
          <w:sz w:val="20"/>
          <w:szCs w:val="20"/>
          <w:color w:val="auto"/>
        </w:rPr>
      </w:pPr>
    </w:p>
    <w:p>
      <w:pPr>
        <w:jc w:val="both"/>
        <w:ind w:firstLine="243"/>
        <w:spacing w:after="0" w:line="309" w:lineRule="auto"/>
        <w:rPr>
          <w:sz w:val="20"/>
          <w:szCs w:val="20"/>
          <w:color w:val="auto"/>
        </w:rPr>
      </w:pPr>
      <w:r>
        <w:rPr>
          <w:rFonts w:ascii="Arial" w:cs="Arial" w:eastAsia="Arial" w:hAnsi="Arial"/>
          <w:sz w:val="13"/>
          <w:szCs w:val="13"/>
          <w:color w:val="auto"/>
        </w:rPr>
        <w:t>We believe Genentech's remaining claims in the First Davis Smyth Case and the Second Davis Smyth Case are without merit and intend to continue to defend against all of Genentech’s remaining claims vigorously. However, it is possible that there could be an adverse determination or judgment in either or both cases that would materially harm our business by requiring us to seek a license for matters not covered by the Agreement, which may not be available at all or on reasonable terms, or precluding the manufacture, further development, or sale of EYLEA outside the United States or ZALTRAP, or resulting in a damage award. In addition, irrespective of the outcome of the Davis-Smyth cases, we have incurred and will likely continue to incur significant costs and expenses associated with them, which have negatively affected, and will likely continue to negatively affect, our results of operations. An adverse determination in any of the proceedings described herein may have a material adverse effect on our business, prospects, results of operations, and financial condition.</w:t>
      </w:r>
    </w:p>
    <w:p>
      <w:pPr>
        <w:spacing w:after="0" w:line="16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5"/>
          <w:szCs w:val="15"/>
          <w:color w:val="auto"/>
        </w:rPr>
        <w:t>We have initiated patent-related actions against Genentech in Germany, the United Kingdom, and Italy relating in each case to a patent that expires on October 28, 2012. We may initiate other actions in other countries outside the United States, which could have similar or other adverse outcomes that would materially harm our business and which, irrespective of the outcomes, may also entail significant costs and expenses. In the United Kingdom, an adverse decision dated March 22, 2012 is under appeal. This decision found the designation of European patent EP 1 238 986 in the United Kingdom to be valid and potential acts relating to VEGF Trap Eye in the United Kingdom before expiration of the patent on October 28, 2012 to infringe this patent.</w:t>
      </w:r>
    </w:p>
    <w:p>
      <w:pPr>
        <w:spacing w:after="0" w:line="188" w:lineRule="exact"/>
        <w:rPr>
          <w:sz w:val="20"/>
          <w:szCs w:val="20"/>
          <w:color w:val="auto"/>
        </w:rPr>
      </w:pPr>
    </w:p>
    <w:p>
      <w:pPr>
        <w:jc w:val="both"/>
        <w:ind w:firstLine="254"/>
        <w:spacing w:after="0" w:line="269" w:lineRule="auto"/>
        <w:rPr>
          <w:sz w:val="20"/>
          <w:szCs w:val="20"/>
          <w:color w:val="auto"/>
        </w:rPr>
      </w:pPr>
      <w:r>
        <w:rPr>
          <w:rFonts w:ascii="Arial" w:cs="Arial" w:eastAsia="Arial" w:hAnsi="Arial"/>
          <w:sz w:val="15"/>
          <w:szCs w:val="15"/>
          <w:color w:val="auto"/>
        </w:rPr>
        <w:t>We are aware of patents and pending applications owned by Roche that claim antibodies to IL-6R and methods of treating rheumatoid arthritis with such antibodies. We are developing sarilumab, an antibody to IL-6R, for the treatment of rheumatoid arthritis. Although we do not believe that sarilumab infringes any valid claim in these patents or patent applications, Roche could initiate a lawsuit for patent infringement and assert its patents are valid and cover sarilumab.</w:t>
      </w:r>
    </w:p>
    <w:p>
      <w:pPr>
        <w:spacing w:after="0" w:line="183" w:lineRule="exact"/>
        <w:rPr>
          <w:sz w:val="20"/>
          <w:szCs w:val="20"/>
          <w:color w:val="auto"/>
        </w:rPr>
      </w:pPr>
    </w:p>
    <w:p>
      <w:pPr>
        <w:jc w:val="both"/>
        <w:ind w:firstLine="231"/>
        <w:spacing w:after="0" w:line="262" w:lineRule="auto"/>
        <w:rPr>
          <w:sz w:val="20"/>
          <w:szCs w:val="20"/>
          <w:color w:val="auto"/>
        </w:rPr>
      </w:pPr>
      <w:r>
        <w:rPr>
          <w:rFonts w:ascii="Arial" w:cs="Arial" w:eastAsia="Arial" w:hAnsi="Arial"/>
          <w:sz w:val="15"/>
          <w:szCs w:val="15"/>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 ZALTRAP, nor EYLEA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48" w:name="page49"/>
    <w:bookmarkEnd w:id="48"/>
    <w:p>
      <w:pPr>
        <w:jc w:val="both"/>
        <w:ind w:right="20" w:firstLine="301"/>
        <w:spacing w:after="0" w:line="281" w:lineRule="auto"/>
        <w:rPr>
          <w:sz w:val="20"/>
          <w:szCs w:val="20"/>
          <w:color w:val="auto"/>
        </w:rPr>
      </w:pPr>
      <w:r>
        <w:rPr>
          <w:rFonts w:ascii="Arial" w:cs="Arial" w:eastAsia="Arial" w:hAnsi="Arial"/>
          <w:sz w:val="15"/>
          <w:szCs w:val="15"/>
          <w:color w:val="auto"/>
        </w:rPr>
        <w:t>Further, we are aware of a number of other third-party patent applications that, if granted with claims as currently drafted, may cover our current or planned activities. It could be determined that our products and/or actions in manufacturing or selling our product candidates infringe such patents.</w:t>
      </w:r>
    </w:p>
    <w:p>
      <w:pPr>
        <w:spacing w:after="0" w:line="174" w:lineRule="exact"/>
        <w:rPr>
          <w:sz w:val="20"/>
          <w:szCs w:val="20"/>
          <w:color w:val="auto"/>
        </w:rPr>
      </w:pPr>
    </w:p>
    <w:p>
      <w:pPr>
        <w:jc w:val="both"/>
        <w:ind w:firstLine="266"/>
        <w:spacing w:after="0" w:line="263" w:lineRule="auto"/>
        <w:rPr>
          <w:sz w:val="20"/>
          <w:szCs w:val="20"/>
          <w:color w:val="auto"/>
        </w:rPr>
      </w:pPr>
      <w:r>
        <w:rPr>
          <w:rFonts w:ascii="Arial" w:cs="Arial" w:eastAsia="Arial" w:hAnsi="Arial"/>
          <w:sz w:val="15"/>
          <w:szCs w:val="15"/>
          <w:color w:val="auto"/>
        </w:rPr>
        <w:t>Patent holders in addition to Genentech could assert claims against us for damages and seek to prevent us from manufacturing, selling, or developing our drug candidates, and a court may find that we are infringing validly issued patents of third parties. In the event that the manufacture, use, or sale of any of our drug candidates, including EYLEA or our other late-stage product candidates, infringes on the patents or violates other proprietary rights of third parties, we may be prevented from pursuing product development, manufacturing, and commercialization of those drugs and may be required to pay costly damages. Such a result may materially harm our business, prospects, operating results, and financial condition. In any event, legal disputes are likely to be costly and time consuming to defend.</w:t>
      </w:r>
    </w:p>
    <w:p>
      <w:pPr>
        <w:spacing w:after="0" w:line="188" w:lineRule="exact"/>
        <w:rPr>
          <w:sz w:val="20"/>
          <w:szCs w:val="20"/>
          <w:color w:val="auto"/>
        </w:rPr>
      </w:pPr>
    </w:p>
    <w:p>
      <w:pPr>
        <w:jc w:val="both"/>
        <w:ind w:firstLine="335"/>
        <w:spacing w:after="0" w:line="269" w:lineRule="auto"/>
        <w:rPr>
          <w:sz w:val="20"/>
          <w:szCs w:val="20"/>
          <w:color w:val="auto"/>
        </w:rPr>
      </w:pPr>
      <w:r>
        <w:rPr>
          <w:rFonts w:ascii="Arial" w:cs="Arial" w:eastAsia="Arial" w:hAnsi="Arial"/>
          <w:sz w:val="15"/>
          <w:szCs w:val="15"/>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Loss or limitation of patent rights, and new regulatory pathways for biosimilar competition, could reduce the duration of market exclusivity for our products.</w:t>
      </w:r>
    </w:p>
    <w:p>
      <w:pPr>
        <w:spacing w:after="0" w:line="221" w:lineRule="exact"/>
        <w:rPr>
          <w:sz w:val="20"/>
          <w:szCs w:val="20"/>
          <w:color w:val="auto"/>
        </w:rPr>
      </w:pPr>
    </w:p>
    <w:p>
      <w:pPr>
        <w:jc w:val="both"/>
        <w:ind w:firstLine="254"/>
        <w:spacing w:after="0" w:line="269" w:lineRule="auto"/>
        <w:rPr>
          <w:sz w:val="20"/>
          <w:szCs w:val="20"/>
          <w:color w:val="auto"/>
        </w:rPr>
      </w:pPr>
      <w:r>
        <w:rPr>
          <w:rFonts w:ascii="Arial" w:cs="Arial" w:eastAsia="Arial" w:hAnsi="Arial"/>
          <w:sz w:val="15"/>
          <w:szCs w:val="15"/>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83" w:lineRule="exact"/>
        <w:rPr>
          <w:sz w:val="20"/>
          <w:szCs w:val="20"/>
          <w:color w:val="auto"/>
        </w:rPr>
      </w:pPr>
    </w:p>
    <w:p>
      <w:pPr>
        <w:jc w:val="both"/>
        <w:ind w:firstLine="289"/>
        <w:spacing w:after="0" w:line="262" w:lineRule="auto"/>
        <w:rPr>
          <w:sz w:val="20"/>
          <w:szCs w:val="20"/>
          <w:color w:val="auto"/>
        </w:rPr>
      </w:pPr>
      <w:r>
        <w:rPr>
          <w:rFonts w:ascii="Arial" w:cs="Arial" w:eastAsia="Arial" w:hAnsi="Arial"/>
          <w:sz w:val="15"/>
          <w:szCs w:val="15"/>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5"/>
          <w:szCs w:val="15"/>
          <w:i w:val="1"/>
          <w:iCs w:val="1"/>
          <w:color w:val="auto"/>
        </w:rPr>
        <w:t>If we cannot protect the confidentiality of our trade secrets or our patents are insufficient</w:t>
      </w:r>
      <w:r>
        <w:rPr>
          <w:rFonts w:ascii="Arial" w:cs="Arial" w:eastAsia="Arial" w:hAnsi="Arial"/>
          <w:sz w:val="15"/>
          <w:szCs w:val="15"/>
          <w:color w:val="auto"/>
        </w:rPr>
        <w:t xml:space="preserve"> </w:t>
      </w:r>
      <w:r>
        <w:rPr>
          <w:rFonts w:ascii="Arial" w:cs="Arial" w:eastAsia="Arial" w:hAnsi="Arial"/>
          <w:sz w:val="15"/>
          <w:szCs w:val="15"/>
          <w:i w:val="1"/>
          <w:iCs w:val="1"/>
          <w:color w:val="auto"/>
        </w:rPr>
        <w:t>to protect our proprietary rights, our business and competitive position will be harmed</w:t>
      </w:r>
      <w:r>
        <w:rPr>
          <w:rFonts w:ascii="Arial" w:cs="Arial" w:eastAsia="Arial" w:hAnsi="Arial"/>
          <w:sz w:val="15"/>
          <w:szCs w:val="15"/>
          <w:color w:val="auto"/>
        </w:rPr>
        <w:t>", the scope and enforceability of our patent rights may vary from country to country. The failure to</w:t>
      </w:r>
      <w:r>
        <w:rPr>
          <w:rFonts w:ascii="Arial" w:cs="Arial" w:eastAsia="Arial" w:hAnsi="Arial"/>
          <w:sz w:val="15"/>
          <w:szCs w:val="15"/>
          <w:i w:val="1"/>
          <w:iCs w:val="1"/>
          <w:color w:val="auto"/>
        </w:rPr>
        <w:t xml:space="preserve"> </w:t>
      </w:r>
      <w:r>
        <w:rPr>
          <w:rFonts w:ascii="Arial" w:cs="Arial" w:eastAsia="Arial" w:hAnsi="Arial"/>
          <w:sz w:val="15"/>
          <w:szCs w:val="15"/>
          <w:color w:val="auto"/>
        </w:rPr>
        <w:t>obtain patent and other intellectual property rights, or limitations on the use, or the loss, of such rights could be material to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188" w:lineRule="exact"/>
        <w:rPr>
          <w:sz w:val="20"/>
          <w:szCs w:val="20"/>
          <w:color w:val="auto"/>
        </w:rPr>
      </w:pPr>
    </w:p>
    <w:p>
      <w:pPr>
        <w:jc w:val="both"/>
        <w:ind w:firstLine="231"/>
        <w:spacing w:after="0" w:line="313" w:lineRule="auto"/>
        <w:rPr>
          <w:sz w:val="20"/>
          <w:szCs w:val="20"/>
          <w:color w:val="auto"/>
        </w:rPr>
      </w:pPr>
      <w:r>
        <w:rPr>
          <w:rFonts w:ascii="Arial" w:cs="Arial" w:eastAsia="Arial" w:hAnsi="Arial"/>
          <w:sz w:val="13"/>
          <w:szCs w:val="13"/>
          <w:color w:val="auto"/>
        </w:rPr>
        <w:t>Under the federal Patient Protection and Affordable Care Act, or PPACA, enacted in 2010, there is now a new,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158" w:lineRule="exact"/>
        <w:rPr>
          <w:sz w:val="20"/>
          <w:szCs w:val="20"/>
          <w:color w:val="auto"/>
        </w:rPr>
      </w:pPr>
    </w:p>
    <w:p>
      <w:pPr>
        <w:jc w:val="both"/>
        <w:ind w:firstLine="254"/>
        <w:spacing w:after="0" w:line="263" w:lineRule="auto"/>
        <w:rPr>
          <w:sz w:val="20"/>
          <w:szCs w:val="20"/>
          <w:color w:val="auto"/>
        </w:rPr>
      </w:pPr>
      <w:r>
        <w:rPr>
          <w:rFonts w:ascii="Arial" w:cs="Arial" w:eastAsia="Arial" w:hAnsi="Arial"/>
          <w:sz w:val="15"/>
          <w:szCs w:val="15"/>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color w:val="auto"/>
        </w:rPr>
        <w:t>Risks Related to Manufacturing and Supply</w:t>
      </w:r>
    </w:p>
    <w:p>
      <w:pPr>
        <w:spacing w:after="0" w:line="236" w:lineRule="exact"/>
        <w:rPr>
          <w:sz w:val="20"/>
          <w:szCs w:val="20"/>
          <w:color w:val="auto"/>
        </w:rPr>
      </w:pPr>
    </w:p>
    <w:p>
      <w:pPr>
        <w:jc w:val="both"/>
        <w:ind w:left="140"/>
        <w:spacing w:after="0" w:line="269" w:lineRule="auto"/>
        <w:rPr>
          <w:sz w:val="20"/>
          <w:szCs w:val="20"/>
          <w:color w:val="auto"/>
        </w:rPr>
      </w:pPr>
      <w:r>
        <w:rPr>
          <w:rFonts w:ascii="Arial" w:cs="Arial" w:eastAsia="Arial" w:hAnsi="Arial"/>
          <w:sz w:val="15"/>
          <w:szCs w:val="15"/>
          <w:b w:val="1"/>
          <w:bCs w:val="1"/>
          <w:i w:val="1"/>
          <w:iCs w:val="1"/>
          <w:color w:val="auto"/>
        </w:rPr>
        <w:t>We rely on limited internal and contracted manufacturing and supply chain capacity, which could result in our being unable to continue to successfully commercialize EYLEA and to commercialize our other product candidates or other indications for our marketed products if they receive regulatory approval and are unable to continue to develop our clinical candidates.</w:t>
      </w:r>
    </w:p>
    <w:p>
      <w:pPr>
        <w:spacing w:after="0" w:line="194" w:lineRule="exact"/>
        <w:rPr>
          <w:sz w:val="20"/>
          <w:szCs w:val="20"/>
          <w:color w:val="auto"/>
        </w:rPr>
      </w:pPr>
    </w:p>
    <w:p>
      <w:pPr>
        <w:jc w:val="both"/>
        <w:ind w:firstLine="231"/>
        <w:spacing w:after="0" w:line="280" w:lineRule="auto"/>
        <w:rPr>
          <w:sz w:val="20"/>
          <w:szCs w:val="20"/>
          <w:color w:val="auto"/>
        </w:rPr>
      </w:pPr>
      <w:r>
        <w:rPr>
          <w:rFonts w:ascii="Arial" w:cs="Arial" w:eastAsia="Arial" w:hAnsi="Arial"/>
          <w:sz w:val="14"/>
          <w:szCs w:val="14"/>
          <w:color w:val="auto"/>
        </w:rPr>
        <w:t>Our manufacturing facility would be inadequate to produce the active pharmaceutical ingredients of (a) EYLEA, ZALTRAP, and ARCALYST for the treatment of gout flares in sufficient commercial quantities if these late-stage product candidates were all to receive regulatory approval, and (b) our earlier stage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We rely entirely on third-parties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such third parties manufacture and supply sufficient commercial quantities of our products on acceptable terms, or if we should encounter delays or other difficulties in our relationships with our corporate collaborators, third-party manufacturers, or other parties involved in our supply chain which adversely affect the timely manufacture and supply of our products, our business, prospects, operating results, and financial condition may be materially harmed.</w:t>
      </w:r>
    </w:p>
    <w:p>
      <w:pPr>
        <w:spacing w:after="0" w:line="156" w:lineRule="exact"/>
        <w:rPr>
          <w:sz w:val="20"/>
          <w:szCs w:val="20"/>
          <w:color w:val="auto"/>
        </w:rPr>
      </w:pPr>
    </w:p>
    <w:p>
      <w:pPr>
        <w:jc w:val="both"/>
        <w:ind w:left="140" w:right="20"/>
        <w:spacing w:after="0" w:line="269" w:lineRule="auto"/>
        <w:rPr>
          <w:sz w:val="20"/>
          <w:szCs w:val="20"/>
          <w:color w:val="auto"/>
        </w:rPr>
      </w:pPr>
      <w:r>
        <w:rPr>
          <w:rFonts w:ascii="Arial" w:cs="Arial" w:eastAsia="Arial" w:hAnsi="Arial"/>
          <w:sz w:val="15"/>
          <w:szCs w:val="15"/>
          <w:b w:val="1"/>
          <w:bCs w:val="1"/>
          <w:i w:val="1"/>
          <w:iCs w:val="1"/>
          <w:color w:val="auto"/>
        </w:rPr>
        <w:t>Expanding our manufacturing capacity will be costly and we may be unsuccessful in doing so in a timely manner, which could delay or prevent the launch and successful commercialization of our late-stage product candidates or other indications for our marketed products if they are approved for marketing and could jeopardize our current and future clinical development programs.</w:t>
      </w:r>
    </w:p>
    <w:p>
      <w:pPr>
        <w:spacing w:after="0" w:line="1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3"/>
          <w:szCs w:val="13"/>
          <w:color w:val="auto"/>
        </w:rPr>
        <w:t>Expanding our manufacturing capacity to supply commercial quantities of the active pharmaceutical ingredients for our late-stage product candidates if they are approved for marketing, and to supply clinical drug material to support the continued growth of our clinical programs, will require substantial additional expenditures, and we will need to hire and train significant numbers of employees and managerial personnel to staff our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ZALTRAP, and ARCALYST for the prevention of gout flares in patients initiating uric acid-lowering treatment if they receive regulatory approval, and could also delay or require us to discontinue one or more of our clinical development programs. As a result, our business, prospects, operating results, and financial condition could be materially harmed.</w:t>
      </w:r>
    </w:p>
    <w:p>
      <w:pPr>
        <w:spacing w:after="0" w:line="147" w:lineRule="exact"/>
        <w:rPr>
          <w:sz w:val="20"/>
          <w:szCs w:val="20"/>
          <w:color w:val="auto"/>
        </w:rPr>
      </w:pPr>
    </w:p>
    <w:p>
      <w:pPr>
        <w:ind w:left="140" w:right="20"/>
        <w:spacing w:after="0" w:line="281" w:lineRule="auto"/>
        <w:rPr>
          <w:sz w:val="20"/>
          <w:szCs w:val="20"/>
          <w:color w:val="auto"/>
        </w:rPr>
      </w:pPr>
      <w:r>
        <w:rPr>
          <w:rFonts w:ascii="Arial" w:cs="Arial" w:eastAsia="Arial" w:hAnsi="Arial"/>
          <w:sz w:val="15"/>
          <w:szCs w:val="15"/>
          <w:b w:val="1"/>
          <w:bCs w:val="1"/>
          <w:i w:val="1"/>
          <w:iCs w:val="1"/>
          <w:color w:val="auto"/>
        </w:rPr>
        <w:t>Our ability to manufacture our products may be impaired if any of our manufacturing activities, or the activities of third parties involved in our manufacture and supply chain, are found to infringe third-party patents.</w:t>
      </w:r>
    </w:p>
    <w:p>
      <w:pPr>
        <w:spacing w:after="0" w:line="174" w:lineRule="exact"/>
        <w:rPr>
          <w:sz w:val="20"/>
          <w:szCs w:val="20"/>
          <w:color w:val="auto"/>
        </w:rPr>
      </w:pPr>
    </w:p>
    <w:p>
      <w:pPr>
        <w:jc w:val="both"/>
        <w:ind w:firstLine="312"/>
        <w:spacing w:after="0" w:line="263" w:lineRule="auto"/>
        <w:rPr>
          <w:sz w:val="20"/>
          <w:szCs w:val="20"/>
          <w:color w:val="auto"/>
        </w:rPr>
      </w:pPr>
      <w:r>
        <w:rPr>
          <w:rFonts w:ascii="Arial" w:cs="Arial" w:eastAsia="Arial" w:hAnsi="Arial"/>
          <w:sz w:val="15"/>
          <w:szCs w:val="15"/>
          <w:color w:val="auto"/>
        </w:rPr>
        <w:t>Our ability to continue to manufacture ARCALYST, EYLEA, and ZALTRAP in our Rensselaer, New York facilities, or to utilize third parties to produce our products or perform fill/finish services or other steps in our manufacture and supply chain, depends on our and their ability to operate without infringing the patents or other intellectual property rights of third parties.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where those intellectual property rights apply which could materially harm our business, results of operations, and prospects.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1" w:right="219" w:bottom="1440" w:gutter="0" w:footer="0" w:header="0"/>
        </w:sectPr>
      </w:pPr>
    </w:p>
    <w:bookmarkStart w:id="50" w:name="page51"/>
    <w:bookmarkEnd w:id="50"/>
    <w:p>
      <w:pPr>
        <w:jc w:val="both"/>
        <w:ind w:left="140" w:right="20"/>
        <w:spacing w:after="0" w:line="269" w:lineRule="auto"/>
        <w:rPr>
          <w:sz w:val="20"/>
          <w:szCs w:val="20"/>
          <w:color w:val="auto"/>
        </w:rPr>
      </w:pPr>
      <w:r>
        <w:rPr>
          <w:rFonts w:ascii="Arial" w:cs="Arial" w:eastAsia="Arial" w:hAnsi="Arial"/>
          <w:sz w:val="15"/>
          <w:szCs w:val="15"/>
          <w:b w:val="1"/>
          <w:bCs w:val="1"/>
          <w:i w:val="1"/>
          <w:iCs w:val="1"/>
          <w:color w:val="auto"/>
        </w:rPr>
        <w:t>If sales of EYLEA for the treatment of wet AMD do not meet the levels currently expected, or if the launch of our late-stage product candidates or new indications of our marketed products, or any of our clinical programs, are delayed or discontinued, we may face costs related to unused capacity at our manufacturing facilities and at the facilities of third parties.</w:t>
      </w:r>
    </w:p>
    <w:p>
      <w:pPr>
        <w:spacing w:after="0" w:line="183" w:lineRule="exact"/>
        <w:rPr>
          <w:sz w:val="20"/>
          <w:szCs w:val="20"/>
          <w:color w:val="auto"/>
        </w:rPr>
      </w:pPr>
    </w:p>
    <w:p>
      <w:pPr>
        <w:jc w:val="both"/>
        <w:ind w:firstLine="231"/>
        <w:spacing w:after="0" w:line="262" w:lineRule="auto"/>
        <w:rPr>
          <w:sz w:val="20"/>
          <w:szCs w:val="20"/>
          <w:color w:val="auto"/>
        </w:rPr>
      </w:pPr>
      <w:r>
        <w:rPr>
          <w:rFonts w:ascii="Arial" w:cs="Arial" w:eastAsia="Arial" w:hAnsi="Arial"/>
          <w:sz w:val="15"/>
          <w:szCs w:val="15"/>
          <w:color w:val="auto"/>
        </w:rPr>
        <w:t>We have large-scale manufacturing operations in Rensselaer, New York. We use our facilities to produce bulk product of ARCALYST for the treatment of CAPS, bulk product of EYLEA for the treatment of wet AMD and clinical and preclinical candidates for ourselves and our collaborations, and plan to use such facilities to produce bulk product for commercial supply of our late-stage product candidates or new indications of our marketed products if they are approved for marketing. If our clinical candidates are discontinued or their clinical development is delayed, if the launch of any of our late-stage product candidates or new indications or our marketed products is delayed or does not occur, or if such products are launched and subsequently recalled or marketing approval is rescinded, we may have to absorb one hundred percent of related overhead costs and inefficiencies, as well as similar costs of third-party contract manufacturers performing services for us.</w:t>
      </w:r>
    </w:p>
    <w:p>
      <w:pPr>
        <w:spacing w:after="0" w:line="165" w:lineRule="exact"/>
        <w:rPr>
          <w:sz w:val="20"/>
          <w:szCs w:val="20"/>
          <w:color w:val="auto"/>
        </w:rPr>
      </w:pPr>
    </w:p>
    <w:p>
      <w:pPr>
        <w:ind w:left="140" w:right="20"/>
        <w:spacing w:after="0" w:line="281" w:lineRule="auto"/>
        <w:rPr>
          <w:sz w:val="20"/>
          <w:szCs w:val="20"/>
          <w:color w:val="auto"/>
        </w:rPr>
      </w:pPr>
      <w:r>
        <w:rPr>
          <w:rFonts w:ascii="Arial" w:cs="Arial" w:eastAsia="Arial" w:hAnsi="Arial"/>
          <w:sz w:val="15"/>
          <w:szCs w:val="15"/>
          <w:b w:val="1"/>
          <w:bCs w:val="1"/>
          <w:i w:val="1"/>
          <w:iCs w:val="1"/>
          <w:color w:val="auto"/>
        </w:rPr>
        <w:t>Third-party service or supply failures, or other failures, business interruptions, or natural disasters affecting our manufacturing facilities in Rensselaer, New York or the facilities of any other party participating in the supply chain, would adversely affect our ability to supply our products.</w:t>
      </w:r>
    </w:p>
    <w:p>
      <w:pPr>
        <w:spacing w:after="0" w:line="174" w:lineRule="exact"/>
        <w:rPr>
          <w:sz w:val="20"/>
          <w:szCs w:val="20"/>
          <w:color w:val="auto"/>
        </w:rPr>
      </w:pPr>
    </w:p>
    <w:p>
      <w:pPr>
        <w:jc w:val="both"/>
        <w:ind w:right="20" w:firstLine="266"/>
        <w:spacing w:after="0" w:line="269" w:lineRule="auto"/>
        <w:rPr>
          <w:sz w:val="20"/>
          <w:szCs w:val="20"/>
          <w:color w:val="auto"/>
        </w:rPr>
      </w:pPr>
      <w:r>
        <w:rPr>
          <w:rFonts w:ascii="Arial" w:cs="Arial" w:eastAsia="Arial" w:hAnsi="Arial"/>
          <w:sz w:val="15"/>
          <w:szCs w:val="15"/>
          <w:color w:val="auto"/>
        </w:rPr>
        <w:t>We currently manufacture all of our bulk drug materials at our manufacturing facilities in Rensselaer, New York. We would be unable to manufacture these materials if our Rensselaer facilities were to cease production due to regulatory requirements or action, business interruptions, labor shortages or disputes, contaminations, fire, natural disasters, or other problems at the facilities.</w:t>
      </w:r>
    </w:p>
    <w:p>
      <w:pPr>
        <w:spacing w:after="0" w:line="183" w:lineRule="exact"/>
        <w:rPr>
          <w:sz w:val="20"/>
          <w:szCs w:val="20"/>
          <w:color w:val="auto"/>
        </w:rPr>
      </w:pPr>
    </w:p>
    <w:p>
      <w:pPr>
        <w:jc w:val="both"/>
        <w:ind w:firstLine="289"/>
        <w:spacing w:after="0" w:line="308" w:lineRule="auto"/>
        <w:rPr>
          <w:sz w:val="20"/>
          <w:szCs w:val="20"/>
          <w:color w:val="auto"/>
        </w:rPr>
      </w:pPr>
      <w:r>
        <w:rPr>
          <w:rFonts w:ascii="Arial" w:cs="Arial" w:eastAsia="Arial" w:hAnsi="Arial"/>
          <w:sz w:val="13"/>
          <w:szCs w:val="13"/>
          <w:color w:val="auto"/>
        </w:rPr>
        <w:t>Also, certain raw materials necessary for the manufacture and formulation of ARCALYST and EYLEA and of our product candidates, including ZALTRAP, are provided by single-source unaffiliated third-party suppliers. In addition, we rely on certain third parties to perform filling, finishing, distribution, laboratory testing, and other services related to the manufacture of ARCALYST and our product candidates. We would be unable to obtain these raw materials or services for an indeterminate period of time if any of these third 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cGMPs, business interruptions, or labor shortages or disputes. This, in turn, could materially and adversely affect our ability</w:t>
      </w:r>
    </w:p>
    <w:p>
      <w:pPr>
        <w:jc w:val="both"/>
        <w:spacing w:after="0" w:line="269" w:lineRule="auto"/>
        <w:rPr>
          <w:sz w:val="20"/>
          <w:szCs w:val="20"/>
          <w:color w:val="auto"/>
        </w:rPr>
      </w:pPr>
      <w:r>
        <w:rPr>
          <w:rFonts w:ascii="Arial" w:cs="Arial" w:eastAsia="Arial" w:hAnsi="Arial"/>
          <w:sz w:val="15"/>
          <w:szCs w:val="15"/>
          <w:color w:val="auto"/>
        </w:rPr>
        <w:t>to manufacture or supply ARCALYST for the treatment of CAPS and EYLEA for the treatment of wet AMD and to manufacture and supply commercial quantities of EYLEA for other ophthalmologic diseases, ZALTRAP, and ARCALYST for the prevention of gout flares if they receive regulatory approval, which could materially and adversely affect our business and future prospects.</w:t>
      </w:r>
    </w:p>
    <w:p>
      <w:pPr>
        <w:spacing w:after="0" w:line="183" w:lineRule="exact"/>
        <w:rPr>
          <w:sz w:val="20"/>
          <w:szCs w:val="20"/>
          <w:color w:val="auto"/>
        </w:rPr>
      </w:pPr>
    </w:p>
    <w:p>
      <w:pPr>
        <w:jc w:val="both"/>
        <w:ind w:firstLine="277"/>
        <w:spacing w:after="0" w:line="269" w:lineRule="auto"/>
        <w:rPr>
          <w:sz w:val="20"/>
          <w:szCs w:val="20"/>
          <w:color w:val="auto"/>
        </w:rPr>
      </w:pPr>
      <w:r>
        <w:rPr>
          <w:rFonts w:ascii="Arial" w:cs="Arial" w:eastAsia="Arial" w:hAnsi="Arial"/>
          <w:sz w:val="15"/>
          <w:szCs w:val="15"/>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60" w:lineRule="exact"/>
        <w:rPr>
          <w:sz w:val="20"/>
          <w:szCs w:val="20"/>
          <w:color w:val="auto"/>
        </w:rPr>
      </w:pPr>
    </w:p>
    <w:p>
      <w:pPr>
        <w:jc w:val="both"/>
        <w:ind w:left="140"/>
        <w:spacing w:after="0" w:line="269" w:lineRule="auto"/>
        <w:rPr>
          <w:sz w:val="20"/>
          <w:szCs w:val="20"/>
          <w:color w:val="auto"/>
        </w:rPr>
      </w:pPr>
      <w:r>
        <w:rPr>
          <w:rFonts w:ascii="Arial" w:cs="Arial" w:eastAsia="Arial" w:hAnsi="Arial"/>
          <w:sz w:val="15"/>
          <w:szCs w:val="15"/>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5" w:right="219" w:bottom="1440" w:gutter="0" w:footer="0" w:header="0"/>
        </w:sectPr>
      </w:pPr>
    </w:p>
    <w:bookmarkStart w:id="51" w:name="page52"/>
    <w:bookmarkEnd w:id="51"/>
    <w:p>
      <w:pPr>
        <w:jc w:val="both"/>
        <w:ind w:firstLine="231"/>
        <w:spacing w:after="0" w:line="303" w:lineRule="auto"/>
        <w:rPr>
          <w:sz w:val="20"/>
          <w:szCs w:val="20"/>
          <w:color w:val="auto"/>
        </w:rPr>
      </w:pPr>
      <w:r>
        <w:rPr>
          <w:rFonts w:ascii="Arial" w:cs="Arial" w:eastAsia="Arial" w:hAnsi="Arial"/>
          <w:sz w:val="13"/>
          <w:szCs w:val="13"/>
          <w:color w:val="auto"/>
        </w:rPr>
        <w:t>We and our third-party providers are required to maintain compliance with cGMP,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 candidates at our facility in Rensselaer, New York, including ARCALYST, EYLEA, and ZALTRAP,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and prospects.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Commercialization of Products</w:t>
      </w:r>
    </w:p>
    <w:p>
      <w:pPr>
        <w:spacing w:after="0" w:line="201" w:lineRule="exact"/>
        <w:rPr>
          <w:sz w:val="20"/>
          <w:szCs w:val="20"/>
          <w:color w:val="auto"/>
        </w:rPr>
      </w:pPr>
    </w:p>
    <w:p>
      <w:pPr>
        <w:ind w:left="140"/>
        <w:spacing w:after="0" w:line="281" w:lineRule="auto"/>
        <w:rPr>
          <w:sz w:val="20"/>
          <w:szCs w:val="20"/>
          <w:color w:val="auto"/>
        </w:rPr>
      </w:pPr>
      <w:r>
        <w:rPr>
          <w:rFonts w:ascii="Arial" w:cs="Arial" w:eastAsia="Arial" w:hAnsi="Arial"/>
          <w:sz w:val="15"/>
          <w:szCs w:val="15"/>
          <w:b w:val="1"/>
          <w:bCs w:val="1"/>
          <w:i w:val="1"/>
          <w:iCs w:val="1"/>
          <w:color w:val="auto"/>
        </w:rPr>
        <w:t>We may be unsuccessful in continuing our commercialization of EYLEA for the treatment of wet AMD or commercializing our late stage product candidates or new indications for our marketed products, if approved, which would materially delay or prevent our achieving long-term profitability.</w:t>
      </w:r>
    </w:p>
    <w:p>
      <w:pPr>
        <w:spacing w:after="0" w:line="174" w:lineRule="exact"/>
        <w:rPr>
          <w:sz w:val="20"/>
          <w:szCs w:val="20"/>
          <w:color w:val="auto"/>
        </w:rPr>
      </w:pPr>
    </w:p>
    <w:p>
      <w:pPr>
        <w:jc w:val="both"/>
        <w:ind w:firstLine="231"/>
        <w:spacing w:after="0" w:line="263" w:lineRule="auto"/>
        <w:rPr>
          <w:sz w:val="20"/>
          <w:szCs w:val="20"/>
          <w:color w:val="auto"/>
        </w:rPr>
      </w:pPr>
      <w:r>
        <w:rPr>
          <w:rFonts w:ascii="Arial" w:cs="Arial" w:eastAsia="Arial" w:hAnsi="Arial"/>
          <w:sz w:val="15"/>
          <w:szCs w:val="15"/>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and commercialize those products or new indications.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88" w:lineRule="exact"/>
        <w:rPr>
          <w:sz w:val="20"/>
          <w:szCs w:val="20"/>
          <w:color w:val="auto"/>
        </w:rPr>
      </w:pPr>
    </w:p>
    <w:p>
      <w:pPr>
        <w:jc w:val="both"/>
        <w:ind w:firstLine="243"/>
        <w:spacing w:after="0" w:line="228" w:lineRule="auto"/>
        <w:rPr>
          <w:sz w:val="20"/>
          <w:szCs w:val="20"/>
          <w:color w:val="auto"/>
        </w:rPr>
      </w:pPr>
      <w:r>
        <w:rPr>
          <w:rFonts w:ascii="Arial" w:cs="Arial" w:eastAsia="Arial" w:hAnsi="Arial"/>
          <w:sz w:val="13"/>
          <w:szCs w:val="13"/>
          <w:color w:val="auto"/>
        </w:rPr>
        <w:t>In particular, we are in the launch phase of commercialization of EYLEA for wet AMD and cannot be sure that EYLEA will be successful longer term. In addition to the challenges we face related to a company launching its first major commercial drug, as described in detail in the risk factor immediately below, we and Bayer HealthCare will face intense competition from Lucentis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and from off-label use of Avastin</w:t>
      </w:r>
      <w:r>
        <w:rPr>
          <w:rFonts w:ascii="Arial" w:cs="Arial" w:eastAsia="Arial" w:hAnsi="Arial"/>
          <w:sz w:val="21"/>
          <w:szCs w:val="21"/>
          <w:color w:val="auto"/>
          <w:vertAlign w:val="superscript"/>
        </w:rPr>
        <w:t>®</w:t>
      </w:r>
      <w:r>
        <w:rPr>
          <w:rFonts w:ascii="Arial" w:cs="Arial" w:eastAsia="Arial" w:hAnsi="Arial"/>
          <w:sz w:val="13"/>
          <w:szCs w:val="13"/>
          <w:color w:val="auto"/>
        </w:rPr>
        <w:t>, both of which have been on the market for a number of years. We expect that the initial commercial success of EYLEA for the treatment of wet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AMD will depend on many factors, including the following:</w:t>
      </w:r>
    </w:p>
    <w:p>
      <w:pPr>
        <w:spacing w:after="0" w:line="209" w:lineRule="exact"/>
        <w:rPr>
          <w:sz w:val="20"/>
          <w:szCs w:val="20"/>
          <w:color w:val="auto"/>
        </w:rPr>
      </w:pPr>
    </w:p>
    <w:p>
      <w:pPr>
        <w:jc w:val="both"/>
        <w:ind w:left="460" w:right="20"/>
        <w:spacing w:after="0" w:line="289" w:lineRule="auto"/>
        <w:rPr>
          <w:sz w:val="20"/>
          <w:szCs w:val="20"/>
          <w:color w:val="auto"/>
        </w:rPr>
      </w:pPr>
      <w:r>
        <w:rPr>
          <w:rFonts w:ascii="Arial" w:cs="Arial" w:eastAsia="Arial" w:hAnsi="Arial"/>
          <w:sz w:val="15"/>
          <w:szCs w:val="15"/>
          <w:color w:val="auto"/>
        </w:rPr>
        <w:t>the effectiveness of our and Bayer HealthCare's commercial strategies for the launch and marketing of EYLEA in and outside the United States, respectively, including pricing strategy and the effectiveness of efforts to obtain, and the timing of obtaining, adequate third-party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-234315</wp:posOffset>
            </wp:positionV>
            <wp:extent cx="62230" cy="622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ind w:left="460" w:right="20"/>
        <w:spacing w:after="0" w:line="294" w:lineRule="auto"/>
        <w:rPr>
          <w:sz w:val="20"/>
          <w:szCs w:val="20"/>
          <w:color w:val="auto"/>
        </w:rPr>
      </w:pPr>
      <w:r>
        <w:rPr>
          <w:rFonts w:ascii="Arial" w:cs="Arial" w:eastAsia="Arial" w:hAnsi="Arial"/>
          <w:sz w:val="15"/>
          <w:szCs w:val="15"/>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 our ability to meet the demand for commercial supplies of 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-373380</wp:posOffset>
            </wp:positionV>
            <wp:extent cx="62230" cy="622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230" cy="6223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-109220</wp:posOffset>
            </wp:positionV>
            <wp:extent cx="62230" cy="622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jc w:val="both"/>
        <w:ind w:left="460" w:right="20"/>
        <w:spacing w:after="0" w:line="234" w:lineRule="auto"/>
        <w:rPr>
          <w:sz w:val="20"/>
          <w:szCs w:val="20"/>
          <w:color w:val="auto"/>
        </w:rPr>
      </w:pPr>
      <w:r>
        <w:rPr>
          <w:rFonts w:ascii="Arial" w:cs="Arial" w:eastAsia="Arial" w:hAnsi="Arial"/>
          <w:sz w:val="15"/>
          <w:szCs w:val="15"/>
          <w:color w:val="auto"/>
        </w:rPr>
        <w:t>our ability to effectively communicate to the marketplace the benefits of the dosing regimen of EYLEA of every 2 months after three initial monthly doses as compared to the monthly dosing regimen of Lucentis</w:t>
      </w:r>
      <w:r>
        <w:rPr>
          <w:rFonts w:ascii="Arial" w:cs="Arial" w:eastAsia="Arial" w:hAnsi="Arial"/>
          <w:sz w:val="25"/>
          <w:szCs w:val="25"/>
          <w:color w:val="auto"/>
          <w:vertAlign w:val="superscript"/>
        </w:rPr>
        <w:t>®</w:t>
      </w:r>
      <w:r>
        <w:rPr>
          <w:rFonts w:ascii="Arial" w:cs="Arial" w:eastAsia="Arial" w:hAnsi="Arial"/>
          <w:sz w:val="15"/>
          <w:szCs w:val="15"/>
          <w:color w:val="auto"/>
        </w:rPr>
        <w:t>, and the willingness of retinal specialists and patients to switch from Lucentis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or off-label use of Avastin</w:t>
      </w:r>
      <w:r>
        <w:rPr>
          <w:rFonts w:ascii="Arial" w:cs="Arial" w:eastAsia="Arial" w:hAnsi="Arial"/>
          <w:sz w:val="25"/>
          <w:szCs w:val="25"/>
          <w:color w:val="auto"/>
          <w:vertAlign w:val="superscript"/>
        </w:rPr>
        <w:t>®</w:t>
      </w:r>
      <w:r>
        <w:rPr>
          <w:rFonts w:ascii="Arial" w:cs="Arial" w:eastAsia="Arial" w:hAnsi="Arial"/>
          <w:sz w:val="15"/>
          <w:szCs w:val="15"/>
          <w:color w:val="auto"/>
        </w:rPr>
        <w:t xml:space="preserve"> to EYLEA for the treatment of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-362585</wp:posOffset>
            </wp:positionV>
            <wp:extent cx="62230" cy="622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ind w:left="460"/>
        <w:spacing w:after="0" w:line="301" w:lineRule="auto"/>
        <w:rPr>
          <w:sz w:val="20"/>
          <w:szCs w:val="20"/>
          <w:color w:val="auto"/>
        </w:rPr>
      </w:pPr>
      <w:r>
        <w:rPr>
          <w:rFonts w:ascii="Arial" w:cs="Arial" w:eastAsia="Arial" w:hAnsi="Arial"/>
          <w:sz w:val="15"/>
          <w:szCs w:val="15"/>
          <w:color w:val="auto"/>
        </w:rPr>
        <w:t>the ability of patients, retinal specialists, and other providers to obtain and maintain sufficient coverage and reimbursement from third-party payors, including Medicare and Medicaid in the United States and other government and private payors in the United States and foreign jurisdictions; and the effect of new health care legislation currently being implemented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-382905</wp:posOffset>
            </wp:positionV>
            <wp:extent cx="62230" cy="622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230" cy="6223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-118745</wp:posOffset>
            </wp:positionV>
            <wp:extent cx="62230" cy="622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52" w:name="page53"/>
    <w:bookmarkEnd w:id="52"/>
    <w:p>
      <w:pPr>
        <w:jc w:val="both"/>
        <w:ind w:firstLine="266"/>
        <w:spacing w:after="0" w:line="265" w:lineRule="auto"/>
        <w:rPr>
          <w:sz w:val="20"/>
          <w:szCs w:val="20"/>
          <w:color w:val="auto"/>
        </w:rPr>
      </w:pPr>
      <w:r>
        <w:rPr>
          <w:rFonts w:ascii="Arial" w:cs="Arial" w:eastAsia="Arial" w:hAnsi="Arial"/>
          <w:sz w:val="15"/>
          <w:szCs w:val="15"/>
          <w:color w:val="auto"/>
        </w:rPr>
        <w:t>While we believe that EYLEA for the treatment of wet AMD has a commercially competitive profile, we cannot predict whether ophthalmologists, particularly retinal specialists, and patients, will continue to accept and utilize EYLEA. Our and Bayer HealthCare's efforts to educate the relevant medical community and third-party payors regarding the benefits of EYLEA for the treatment of wet AMD will require significant resources and may not be successful in achieving our objectives. If EYLEA is approved for marketing but does not achieve significant market acceptance for the treatment of wet AMD, our ability to achieve profitability would be materially impaired or delayed.</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3"/>
          <w:szCs w:val="13"/>
          <w:b w:val="1"/>
          <w:bCs w:val="1"/>
          <w:i w:val="1"/>
          <w:iCs w:val="1"/>
          <w:color w:val="auto"/>
        </w:rPr>
        <w:t>If we are unable to establish, and effectively deploy and manage, sales, marketing, and distribution capabilities in the applicable markets or to enter into agreements with third parties</w:t>
      </w:r>
    </w:p>
    <w:p>
      <w:pPr>
        <w:spacing w:after="0" w:line="70" w:lineRule="exact"/>
        <w:rPr>
          <w:sz w:val="20"/>
          <w:szCs w:val="20"/>
          <w:color w:val="auto"/>
        </w:rPr>
      </w:pPr>
    </w:p>
    <w:p>
      <w:pPr>
        <w:ind w:left="140"/>
        <w:spacing w:after="0" w:line="361" w:lineRule="auto"/>
        <w:rPr>
          <w:sz w:val="20"/>
          <w:szCs w:val="20"/>
          <w:color w:val="auto"/>
        </w:rPr>
      </w:pPr>
      <w:r>
        <w:rPr>
          <w:rFonts w:ascii="Arial" w:cs="Arial" w:eastAsia="Arial" w:hAnsi="Arial"/>
          <w:sz w:val="13"/>
          <w:szCs w:val="13"/>
          <w:b w:val="1"/>
          <w:bCs w:val="1"/>
          <w:i w:val="1"/>
          <w:iCs w:val="1"/>
          <w:color w:val="auto"/>
        </w:rPr>
        <w:t>to do so, we will not generate our expected sales of EYLEA for treatment of wet AMD or successfully launch and commercialize our late-stage product candidates or new indications for our marketed products if they receive regulatory approval, which would materially harm our business, prospects, operating results, and financial condition.</w:t>
      </w:r>
    </w:p>
    <w:p>
      <w:pPr>
        <w:spacing w:after="0" w:line="140" w:lineRule="exact"/>
        <w:rPr>
          <w:sz w:val="20"/>
          <w:szCs w:val="20"/>
          <w:color w:val="auto"/>
        </w:rPr>
      </w:pPr>
    </w:p>
    <w:p>
      <w:pPr>
        <w:jc w:val="both"/>
        <w:ind w:firstLine="231"/>
        <w:spacing w:after="0" w:line="265" w:lineRule="auto"/>
        <w:rPr>
          <w:sz w:val="20"/>
          <w:szCs w:val="20"/>
          <w:color w:val="auto"/>
        </w:rPr>
      </w:pPr>
      <w:r>
        <w:rPr>
          <w:rFonts w:ascii="Arial" w:cs="Arial" w:eastAsia="Arial" w:hAnsi="Arial"/>
          <w:sz w:val="15"/>
          <w:szCs w:val="15"/>
          <w:color w:val="auto"/>
        </w:rPr>
        <w:t>We currently sell EYLEA in the United States to three distributors and several specialty pharmacies. We currently sell ARCALYST for the treatment of CAPS in the United States to two specialty pharmacies. Under these distribution models, we enter into written contracts with our distributors and specialty pharmacies (collectively, our “customers”), and our customers generally take physical delivery of product. For EYLEA, the distributors and specialty pharmacies generally sell the product directly to healthcare providers, whereas for ARCALYST, the specialty pharmacies sell the product directly to patients.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have established our own sales and marketing organization for EYLEA in the United States for the treatment of wet AMD, and in anticipation of filing for and receiving regulatory</w:t>
      </w:r>
    </w:p>
    <w:p>
      <w:pPr>
        <w:spacing w:after="0" w:line="59"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approval to market and sell EYLEA in the United States for the treatment of CRVO. However, we may be unsuccessful in achieving a successful commercialization of EYLEA in the United States, which would materially harm our business, prospects, operating results, and financial condition.</w:t>
      </w:r>
    </w:p>
    <w:p>
      <w:pPr>
        <w:spacing w:after="0" w:line="174" w:lineRule="exact"/>
        <w:rPr>
          <w:sz w:val="20"/>
          <w:szCs w:val="20"/>
          <w:color w:val="auto"/>
        </w:rPr>
      </w:pPr>
    </w:p>
    <w:p>
      <w:pPr>
        <w:jc w:val="both"/>
        <w:ind w:firstLine="243"/>
        <w:spacing w:after="0" w:line="265" w:lineRule="auto"/>
        <w:rPr>
          <w:sz w:val="20"/>
          <w:szCs w:val="20"/>
          <w:color w:val="auto"/>
        </w:rPr>
      </w:pPr>
      <w:r>
        <w:rPr>
          <w:rFonts w:ascii="Arial" w:cs="Arial" w:eastAsia="Arial" w:hAnsi="Arial"/>
          <w:sz w:val="15"/>
          <w:szCs w:val="15"/>
          <w:color w:val="auto"/>
        </w:rPr>
        <w:t>We will have to rely on a third party or devote significant resources to develop our own sales and marketing capabilities, and our distribution network, for ARCALYST for patients with gout initiating uric acid-lowering drug therapy if it receives regulatory approval. If we are unable to obtain these capabilities, either by developing our own organizations or entering into agreements with others to provide these functions, even if ARCALYST for the prevention of gout flares receives marketing approval, we will not be able to successfully launch and commercialize this product, which would also materially harm our business, prospects, operating results, and financial condition.</w:t>
      </w:r>
    </w:p>
    <w:p>
      <w:pPr>
        <w:spacing w:after="0" w:line="186" w:lineRule="exact"/>
        <w:rPr>
          <w:sz w:val="20"/>
          <w:szCs w:val="20"/>
          <w:color w:val="auto"/>
        </w:rPr>
      </w:pPr>
    </w:p>
    <w:p>
      <w:pPr>
        <w:jc w:val="both"/>
        <w:ind w:firstLine="289"/>
        <w:spacing w:after="0" w:line="303" w:lineRule="auto"/>
        <w:rPr>
          <w:sz w:val="20"/>
          <w:szCs w:val="20"/>
          <w:color w:val="auto"/>
        </w:rPr>
      </w:pPr>
      <w:r>
        <w:rPr>
          <w:rFonts w:ascii="Arial" w:cs="Arial" w:eastAsia="Arial" w:hAnsi="Arial"/>
          <w:sz w:val="13"/>
          <w:szCs w:val="13"/>
          <w:color w:val="auto"/>
        </w:rPr>
        <w:t>We have limited experience in sales, marketing, or distribution of products in substantial commercial quantities or in establishing and managing the required infrastructure to do so, including large-scale information technology systems and a large-scale distribution network, and we may be unable to establish such infrastructure on a timely basis. To the extent we determine to utilize third parties to provide sales, marketing, or distribution capabilities for ARCALYST for the prevention of gout flares or any of our other product candidates or new indications for marketed products if they receive regulatory approval, we may encounter difficulties in retaining such parties on acceptable terms. Even if we hire qualified sales and marketing personnel, and establish the required infrastructure we need to support our objectives, or enter into marketing and distribution agreements with third parties on acceptable terms, we may not do so in an efficient manner or on a timely basis. We may not be able to correctly judge the size and experience of the sales and marketing force and the scale of distribution capabilities necessary to successfully market and sell in the United States EYLEA, ARCALYST for the prevention of gout flares, or any of our other product candidates or new indications if they receive regulatory approval in the United States and as to which we retain sales and marketing responsibility in that market. Establishing and maintaining sales, marketing, and distribution capabilities are expensive and time-consuming. Our expenses associated with building up and maintaining a sales force and distribution capabilities may be disproportional, particularly in the near term, compared to the revenues we may be able to generate on sales in the United States of EYLEA or ARCALYST for the prevention of gout flares. Ultimately neither we nor our collaborators may be successful in commercializing EYLEA, ZALTRAP, ARCALYST for the prevention of gout flares, or any of our other product candidates.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53" w:name="page54"/>
    <w:bookmarkEnd w:id="53"/>
    <w:p>
      <w:pPr>
        <w:ind w:right="20" w:firstLine="243"/>
        <w:spacing w:after="0" w:line="281" w:lineRule="auto"/>
        <w:rPr>
          <w:sz w:val="20"/>
          <w:szCs w:val="20"/>
          <w:color w:val="auto"/>
        </w:rPr>
      </w:pPr>
      <w:r>
        <w:rPr>
          <w:rFonts w:ascii="Arial" w:cs="Arial" w:eastAsia="Arial" w:hAnsi="Arial"/>
          <w:sz w:val="15"/>
          <w:szCs w:val="15"/>
          <w:color w:val="auto"/>
        </w:rPr>
        <w:t>Under the terms of our collaboration agreement, Sanofi has primary responsibility for sales, marketing, and distribution of ZALTRAP in cancer indications, should it be approved in the future by regulatory authorities for marketing.</w:t>
      </w:r>
    </w:p>
    <w:p>
      <w:pPr>
        <w:spacing w:after="0" w:line="174" w:lineRule="exact"/>
        <w:rPr>
          <w:sz w:val="20"/>
          <w:szCs w:val="20"/>
          <w:color w:val="auto"/>
        </w:rPr>
      </w:pPr>
    </w:p>
    <w:p>
      <w:pPr>
        <w:ind w:firstLine="324"/>
        <w:spacing w:after="0" w:line="361" w:lineRule="auto"/>
        <w:rPr>
          <w:sz w:val="20"/>
          <w:szCs w:val="20"/>
          <w:color w:val="auto"/>
        </w:rPr>
      </w:pPr>
      <w:r>
        <w:rPr>
          <w:rFonts w:ascii="Arial" w:cs="Arial" w:eastAsia="Arial" w:hAnsi="Arial"/>
          <w:sz w:val="13"/>
          <w:szCs w:val="13"/>
          <w:color w:val="auto"/>
        </w:rPr>
        <w:t>We currently have no sales, marketing, commercial, or distribution capabilities outside the United States. Under the terms of our license and collaboration agreement with Bayer HealthCare, we will rely on Bayer HealthCare for sales, marketing, and distribution of EYLEA in countries outside the United States should it be approved for marketing in such countries.</w:t>
      </w:r>
    </w:p>
    <w:p>
      <w:pPr>
        <w:spacing w:after="0" w:line="105" w:lineRule="exact"/>
        <w:rPr>
          <w:sz w:val="20"/>
          <w:szCs w:val="20"/>
          <w:color w:val="auto"/>
        </w:rPr>
      </w:pPr>
    </w:p>
    <w:p>
      <w:pPr>
        <w:jc w:val="both"/>
        <w:ind w:left="140"/>
        <w:spacing w:after="0" w:line="269" w:lineRule="auto"/>
        <w:rPr>
          <w:sz w:val="20"/>
          <w:szCs w:val="20"/>
          <w:color w:val="auto"/>
        </w:rPr>
      </w:pPr>
      <w:r>
        <w:rPr>
          <w:rFonts w:ascii="Arial" w:cs="Arial" w:eastAsia="Arial" w:hAnsi="Arial"/>
          <w:sz w:val="15"/>
          <w:szCs w:val="15"/>
          <w:b w:val="1"/>
          <w:bCs w:val="1"/>
          <w:i w:val="1"/>
          <w:iCs w:val="1"/>
          <w:color w:val="auto"/>
        </w:rPr>
        <w:t>The commercial success of EYLEA currently being marketed for the treatment of wet AMD, and for our other product candidates or new indications for our marketed products, if any are approved for marketing, is highly uncertain given their method of administration, and because our competitors have received approval for and may be marketing products with a similar mechanism of action or may enter the marketplace with better or lower cost drugs.</w:t>
      </w:r>
    </w:p>
    <w:p>
      <w:pPr>
        <w:spacing w:after="0" w:line="183" w:lineRule="exact"/>
        <w:rPr>
          <w:sz w:val="20"/>
          <w:szCs w:val="20"/>
          <w:color w:val="auto"/>
        </w:rPr>
      </w:pPr>
    </w:p>
    <w:p>
      <w:pPr>
        <w:jc w:val="both"/>
        <w:ind w:right="20" w:firstLine="243"/>
        <w:spacing w:after="0" w:line="281" w:lineRule="auto"/>
        <w:rPr>
          <w:sz w:val="20"/>
          <w:szCs w:val="20"/>
          <w:color w:val="auto"/>
        </w:rPr>
      </w:pPr>
      <w:r>
        <w:rPr>
          <w:rFonts w:ascii="Arial" w:cs="Arial" w:eastAsia="Arial" w:hAnsi="Arial"/>
          <w:sz w:val="15"/>
          <w:szCs w:val="15"/>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4" w:lineRule="exact"/>
        <w:rPr>
          <w:sz w:val="20"/>
          <w:szCs w:val="20"/>
          <w:color w:val="auto"/>
        </w:rPr>
      </w:pPr>
    </w:p>
    <w:p>
      <w:pPr>
        <w:jc w:val="both"/>
        <w:ind w:firstLine="335"/>
        <w:spacing w:after="0" w:line="263" w:lineRule="auto"/>
        <w:rPr>
          <w:sz w:val="20"/>
          <w:szCs w:val="20"/>
          <w:color w:val="auto"/>
        </w:rPr>
      </w:pPr>
      <w:r>
        <w:rPr>
          <w:rFonts w:ascii="Arial" w:cs="Arial" w:eastAsia="Arial" w:hAnsi="Arial"/>
          <w:sz w:val="15"/>
          <w:szCs w:val="15"/>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166" w:lineRule="exact"/>
        <w:rPr>
          <w:sz w:val="20"/>
          <w:szCs w:val="20"/>
          <w:color w:val="auto"/>
        </w:rPr>
      </w:pPr>
    </w:p>
    <w:p>
      <w:pPr>
        <w:jc w:val="both"/>
        <w:ind w:firstLine="231"/>
        <w:spacing w:after="0" w:line="270" w:lineRule="auto"/>
        <w:rPr>
          <w:sz w:val="20"/>
          <w:szCs w:val="20"/>
          <w:color w:val="auto"/>
        </w:rPr>
      </w:pPr>
      <w:r>
        <w:rPr>
          <w:rFonts w:ascii="Arial" w:cs="Arial" w:eastAsia="Arial" w:hAnsi="Arial"/>
          <w:sz w:val="13"/>
          <w:szCs w:val="13"/>
          <w:color w:val="auto"/>
        </w:rPr>
        <w:t>As previously noted, Genentech has an approved VEGF antagonist, Avastin</w:t>
      </w:r>
      <w:r>
        <w:rPr>
          <w:rFonts w:ascii="Arial" w:cs="Arial" w:eastAsia="Arial" w:hAnsi="Arial"/>
          <w:sz w:val="21"/>
          <w:szCs w:val="21"/>
          <w:color w:val="auto"/>
          <w:vertAlign w:val="superscript"/>
        </w:rPr>
        <w:t>®</w:t>
      </w:r>
      <w:r>
        <w:rPr>
          <w:rFonts w:ascii="Arial" w:cs="Arial" w:eastAsia="Arial" w:hAnsi="Arial"/>
          <w:sz w:val="13"/>
          <w:szCs w:val="13"/>
          <w:color w:val="auto"/>
        </w:rPr>
        <w:t>, on the market for treating certain cancers and many different pharmaceutical and biotechnology companies are working to develop competing VEGF antagonists, including Novartis, Amgen, Imclone LLC/Eli Lilly, Pfizer, AstraZeneca, and GlaxoSmithKline. Some of these molecules are further along in development than ZALTRAP and may offer competitive advantages over our molecule. Each of Pfizer, Onyx (together with its partner Bayer HealthCare), and GlaxoSmithKline are marketing and selling oral medications that target tumor cell growth and new vasculature formation that fuels the growth of tumors. The marketing approvals for Genentech’s VEGF</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antagonist, Avastin</w:t>
      </w:r>
      <w:r>
        <w:rPr>
          <w:rFonts w:ascii="Arial" w:cs="Arial" w:eastAsia="Arial" w:hAnsi="Arial"/>
          <w:sz w:val="21"/>
          <w:szCs w:val="21"/>
          <w:color w:val="auto"/>
          <w:vertAlign w:val="superscript"/>
        </w:rPr>
        <w:t>®</w:t>
      </w:r>
      <w:r>
        <w:rPr>
          <w:rFonts w:ascii="Arial" w:cs="Arial" w:eastAsia="Arial" w:hAnsi="Arial"/>
          <w:sz w:val="13"/>
          <w:szCs w:val="13"/>
          <w:color w:val="auto"/>
        </w:rPr>
        <w:t>, and their extensive, ongoing clinical development plan for Avastin</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 other cancer indications, make it more difficult for us to enroll patients in clinical trials to support ZALTRAP for those indications and to obtain regulatory approval of ZALTRAP in those indications. This may delay or impair our ability to successfully develop and commercialize</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5"/>
          <w:szCs w:val="15"/>
          <w:color w:val="auto"/>
        </w:rPr>
        <w:t>ZALTRAP for various cancer indications. In addition, even if ZALTRAP is approved for sale for the treatment of mCRC, it will be difficult for our drug to compete against Avastin</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05" w:lineRule="exact"/>
        <w:rPr>
          <w:sz w:val="20"/>
          <w:szCs w:val="20"/>
          <w:color w:val="auto"/>
        </w:rPr>
      </w:pPr>
    </w:p>
    <w:p>
      <w:pPr>
        <w:jc w:val="both"/>
        <w:ind w:right="20" w:firstLine="231"/>
        <w:spacing w:after="0" w:line="255" w:lineRule="auto"/>
        <w:rPr>
          <w:sz w:val="20"/>
          <w:szCs w:val="20"/>
          <w:color w:val="auto"/>
        </w:rPr>
      </w:pPr>
      <w:r>
        <w:rPr>
          <w:rFonts w:ascii="Arial" w:cs="Arial" w:eastAsia="Arial" w:hAnsi="Arial"/>
          <w:sz w:val="13"/>
          <w:szCs w:val="13"/>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for the treatment of wet AMD, CRVO, DME, and other eye indications. Lucentis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was approved by the FDA in June 2006 for the treatment of wet AMD and in June 2010 for the</w:t>
      </w:r>
    </w:p>
    <w:p>
      <w:pPr>
        <w:jc w:val="both"/>
        <w:spacing w:after="0" w:line="235" w:lineRule="auto"/>
        <w:rPr>
          <w:sz w:val="20"/>
          <w:szCs w:val="20"/>
          <w:color w:val="auto"/>
        </w:rPr>
      </w:pPr>
      <w:r>
        <w:rPr>
          <w:rFonts w:ascii="Arial" w:cs="Arial" w:eastAsia="Arial" w:hAnsi="Arial"/>
          <w:sz w:val="15"/>
          <w:szCs w:val="15"/>
          <w:color w:val="auto"/>
        </w:rPr>
        <w:t>treatment of macular edema following retinal vein occlusion (RVO), CRVO, and BRVO. Lucentis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was also approved by the EMA for wet AMD in January 2007 and for DME in January 2011. Many other companies are working on the development of product candidates for the potential treatment of wet AMD and DME including those that act by blocking VEGF and VEGF receptors, as well as small interfering ribonucleic acids (siRNAs) that modulate gene expression. In addition, ophthalmologists are using off-label, with success for the treatment of wet AMD, DME, and RVO, third-party repackaged versions of Genentech’s approved VEGF antagonist, Avastin</w:t>
      </w:r>
      <w:r>
        <w:rPr>
          <w:rFonts w:ascii="Arial" w:cs="Arial" w:eastAsia="Arial" w:hAnsi="Arial"/>
          <w:sz w:val="25"/>
          <w:szCs w:val="25"/>
          <w:color w:val="auto"/>
          <w:vertAlign w:val="superscript"/>
        </w:rPr>
        <w:t>®</w:t>
      </w:r>
      <w:r>
        <w:rPr>
          <w:rFonts w:ascii="Arial" w:cs="Arial" w:eastAsia="Arial" w:hAnsi="Arial"/>
          <w:sz w:val="15"/>
          <w:szCs w:val="15"/>
          <w:color w:val="auto"/>
        </w:rPr>
        <w: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54" w:name="page55"/>
    <w:bookmarkEnd w:id="54"/>
    <w:p>
      <w:pPr>
        <w:jc w:val="both"/>
        <w:ind w:firstLine="254"/>
        <w:spacing w:after="0" w:line="221" w:lineRule="auto"/>
        <w:rPr>
          <w:sz w:val="20"/>
          <w:szCs w:val="20"/>
          <w:color w:val="auto"/>
        </w:rPr>
      </w:pPr>
      <w:r>
        <w:rPr>
          <w:rFonts w:ascii="Arial" w:cs="Arial" w:eastAsia="Arial" w:hAnsi="Arial"/>
          <w:sz w:val="13"/>
          <w:szCs w:val="13"/>
          <w:color w:val="auto"/>
        </w:rPr>
        <w:t>The National Eye Institute (NEI) and others are conducting long-term, controlled clinical trials comparing Lucentis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to Avastin</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 the treatment of wet AMD. One-year data from the CATT study were reported in April 2011 and indicated that Avastin</w:t>
      </w:r>
      <w:r>
        <w:rPr>
          <w:rFonts w:ascii="Arial" w:cs="Arial" w:eastAsia="Arial" w:hAnsi="Arial"/>
          <w:sz w:val="21"/>
          <w:szCs w:val="21"/>
          <w:color w:val="auto"/>
          <w:vertAlign w:val="superscript"/>
        </w:rPr>
        <w:t>®</w:t>
      </w:r>
      <w:r>
        <w:rPr>
          <w:rFonts w:ascii="Arial" w:cs="Arial" w:eastAsia="Arial" w:hAnsi="Arial"/>
          <w:sz w:val="13"/>
          <w:szCs w:val="13"/>
          <w:color w:val="auto"/>
        </w:rPr>
        <w:t xml:space="preserve"> dosed monthly was non-inferior to Lucentis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dosed monthly in the primary efficacy endpoint of mean visual acuity gain at 52 weeks. It may be difficult for EYLEA in this or other eye indications for which it may be approved to compete against Lucentis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and off-label use of Avastin</w:t>
      </w:r>
      <w:r>
        <w:rPr>
          <w:rFonts w:ascii="Arial" w:cs="Arial" w:eastAsia="Arial" w:hAnsi="Arial"/>
          <w:sz w:val="21"/>
          <w:szCs w:val="21"/>
          <w:color w:val="auto"/>
          <w:vertAlign w:val="superscript"/>
        </w:rPr>
        <w:t>®</w:t>
      </w:r>
      <w:r>
        <w:rPr>
          <w:rFonts w:ascii="Arial" w:cs="Arial" w:eastAsia="Arial" w:hAnsi="Arial"/>
          <w:sz w:val="13"/>
          <w:szCs w:val="13"/>
          <w:color w:val="auto"/>
        </w:rPr>
        <w:t xml:space="preserve"> because doctors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patients have had significant experience using these medicines. Moreover, the recently reported results of the CATT study, combined with the relatively low cost of Avastin</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treating patients with wet AMD, may well exacerbate the competitive challenge which EYLEA will face in this or other eye indications for which it may be approved. In addition, while we believe that ZALTRAP would not be well tolerated if administered directly to the eye, if ZALTRAP is approved for the treatment of certain cancers, there is a risk that third parties will attempt to repackage ZALTRAP for off-label use and sale for the treatment of wet AMD and other diseases of the eye, which would present a potential low-cost competitive threat to EYLEA for wet AMD or other eye indications.</w:t>
      </w:r>
    </w:p>
    <w:p>
      <w:pPr>
        <w:spacing w:after="0" w:line="181" w:lineRule="exact"/>
        <w:rPr>
          <w:sz w:val="20"/>
          <w:szCs w:val="20"/>
          <w:color w:val="auto"/>
        </w:rPr>
      </w:pPr>
    </w:p>
    <w:p>
      <w:pPr>
        <w:jc w:val="both"/>
        <w:ind w:firstLine="254"/>
        <w:spacing w:after="0" w:line="242" w:lineRule="auto"/>
        <w:rPr>
          <w:sz w:val="20"/>
          <w:szCs w:val="20"/>
          <w:color w:val="auto"/>
        </w:rPr>
      </w:pPr>
      <w:r>
        <w:rPr>
          <w:rFonts w:ascii="Arial" w:cs="Arial" w:eastAsia="Arial" w:hAnsi="Arial"/>
          <w:sz w:val="14"/>
          <w:szCs w:val="14"/>
          <w:color w:val="auto"/>
        </w:rPr>
        <w:t>The availability of highly effective FDA approved Tumor Necrosis Factors-antagonists (TNF-antagonists) such as Enbrel</w:t>
      </w:r>
      <w:r>
        <w:rPr>
          <w:rFonts w:ascii="Arial" w:cs="Arial" w:eastAsia="Arial" w:hAnsi="Arial"/>
          <w:sz w:val="23"/>
          <w:szCs w:val="23"/>
          <w:color w:val="auto"/>
          <w:vertAlign w:val="superscript"/>
        </w:rPr>
        <w:t>®</w:t>
      </w:r>
      <w:r>
        <w:rPr>
          <w:rFonts w:ascii="Arial" w:cs="Arial" w:eastAsia="Arial" w:hAnsi="Arial"/>
          <w:sz w:val="14"/>
          <w:szCs w:val="14"/>
          <w:color w:val="auto"/>
        </w:rPr>
        <w:t>, Remicade</w:t>
      </w:r>
      <w:r>
        <w:rPr>
          <w:rFonts w:ascii="Arial" w:cs="Arial" w:eastAsia="Arial" w:hAnsi="Arial"/>
          <w:sz w:val="23"/>
          <w:szCs w:val="23"/>
          <w:color w:val="auto"/>
          <w:vertAlign w:val="superscript"/>
        </w:rPr>
        <w:t>®</w:t>
      </w:r>
      <w:r>
        <w:rPr>
          <w:rFonts w:ascii="Arial" w:cs="Arial" w:eastAsia="Arial" w:hAnsi="Arial"/>
          <w:sz w:val="14"/>
          <w:szCs w:val="14"/>
          <w:color w:val="auto"/>
        </w:rPr>
        <w:t>, Humira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(adalimumab), a registered trademark of Abbott Laboratories, Simponi</w:t>
      </w:r>
      <w:r>
        <w:rPr>
          <w:rFonts w:ascii="Arial" w:cs="Arial" w:eastAsia="Arial" w:hAnsi="Arial"/>
          <w:sz w:val="23"/>
          <w:szCs w:val="23"/>
          <w:color w:val="auto"/>
          <w:vertAlign w:val="superscript"/>
        </w:rPr>
        <w:t>®</w:t>
      </w:r>
      <w:r>
        <w:rPr>
          <w:rFonts w:ascii="Arial" w:cs="Arial" w:eastAsia="Arial" w:hAnsi="Arial"/>
          <w:sz w:val="14"/>
          <w:szCs w:val="14"/>
          <w:color w:val="auto"/>
        </w:rPr>
        <w:t xml:space="preserve"> (golimumab), a registered trademark of Johnson &amp; Johnson, the IL-1 receptor antagonist Kineret</w:t>
      </w:r>
      <w:r>
        <w:rPr>
          <w:rFonts w:ascii="Arial" w:cs="Arial" w:eastAsia="Arial" w:hAnsi="Arial"/>
          <w:sz w:val="23"/>
          <w:szCs w:val="23"/>
          <w:color w:val="auto"/>
          <w:vertAlign w:val="superscript"/>
        </w:rPr>
        <w:t>®</w:t>
      </w:r>
      <w:r>
        <w:rPr>
          <w:rFonts w:ascii="Arial" w:cs="Arial" w:eastAsia="Arial" w:hAnsi="Arial"/>
          <w:sz w:val="14"/>
          <w:szCs w:val="14"/>
          <w:color w:val="auto"/>
        </w:rPr>
        <w:t>, Ilaris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(canakinumab), and other marketed therapies makes it more difficult to successfully develop and commercialize ARCALYST in indications other than CAPS, and this is one of the reasons we discontinued the development of ARCALYST in adult rheumatoid arthritis. In addition, even if ARCALYST is ever approved for sale in indications where TNF-antagonists are approved, it will be difficult for our drug to compete against these FDA approved TNF-antagonists because doctors and patients have had significant experience using these effective medicines. Moreover, in such indications these approved therapeutics may offer competitive advantages over ARCALYST, such as requiring fewer injections.</w:t>
      </w:r>
    </w:p>
    <w:p>
      <w:pPr>
        <w:spacing w:after="0" w:line="203" w:lineRule="exact"/>
        <w:rPr>
          <w:sz w:val="20"/>
          <w:szCs w:val="20"/>
          <w:color w:val="auto"/>
        </w:rPr>
      </w:pPr>
    </w:p>
    <w:p>
      <w:pPr>
        <w:jc w:val="both"/>
        <w:ind w:firstLine="231"/>
        <w:spacing w:after="0" w:line="279" w:lineRule="auto"/>
        <w:rPr>
          <w:sz w:val="20"/>
          <w:szCs w:val="20"/>
          <w:color w:val="auto"/>
        </w:rPr>
      </w:pPr>
      <w:r>
        <w:rPr>
          <w:rFonts w:ascii="Arial" w:cs="Arial" w:eastAsia="Arial" w:hAnsi="Arial"/>
          <w:sz w:val="14"/>
          <w:szCs w:val="14"/>
          <w:color w:val="auto"/>
        </w:rPr>
        <w:t>There are both small molecules and antibodies in development by other companies that are designed to block the synthesis of IL-1 or inhibit the signaling of IL-1. For example, Eli Lilly, Xoma (in collaboration with Servier), and Novartis are each developing antibodies to IL-1 and both Amgen and MedImmune are developing antibodies to the IL-1 receptor. In 2009,</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Novartis received regulatory approval in the United States and Europe for Ilaris</w:t>
      </w:r>
      <w:r>
        <w:rPr>
          <w:rFonts w:ascii="Arial" w:cs="Arial" w:eastAsia="Arial" w:hAnsi="Arial"/>
          <w:sz w:val="21"/>
          <w:szCs w:val="21"/>
          <w:color w:val="auto"/>
          <w:vertAlign w:val="superscript"/>
        </w:rPr>
        <w:t>®</w:t>
      </w:r>
      <w:r>
        <w:rPr>
          <w:rFonts w:ascii="Arial" w:cs="Arial" w:eastAsia="Arial" w:hAnsi="Arial"/>
          <w:sz w:val="13"/>
          <w:szCs w:val="13"/>
          <w:color w:val="auto"/>
        </w:rPr>
        <w:t>, a fully human anti-interleukin-IL1ß antibody, for the treatment of CAPS. Ilaris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is also in development for atherosclerosis and a number of other inflammatory diseases. Novartis’ IL-1 antibody and these other drug candidates could offer competitive advantages over ARCALYST. For example,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Ilaris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dosed once every eight weeks compared to the once-weekly dosing regimen for ARCALYST. The successful development and/or commercialization of these competing molecules could adversely affect sales of ARCALYST for the treatment of CAPS and delay or impair our ability to commercialize ARCALYST for indications other than CAPS.</w:t>
      </w:r>
    </w:p>
    <w:p>
      <w:pPr>
        <w:spacing w:after="0" w:line="181" w:lineRule="exact"/>
        <w:rPr>
          <w:sz w:val="20"/>
          <w:szCs w:val="20"/>
          <w:color w:val="auto"/>
        </w:rPr>
      </w:pPr>
    </w:p>
    <w:p>
      <w:pPr>
        <w:jc w:val="both"/>
        <w:ind w:firstLine="301"/>
        <w:spacing w:after="0" w:line="241" w:lineRule="auto"/>
        <w:rPr>
          <w:sz w:val="20"/>
          <w:szCs w:val="20"/>
          <w:color w:val="auto"/>
        </w:rPr>
      </w:pPr>
      <w:r>
        <w:rPr>
          <w:rFonts w:ascii="Arial" w:cs="Arial" w:eastAsia="Arial" w:hAnsi="Arial"/>
          <w:sz w:val="13"/>
          <w:szCs w:val="13"/>
          <w:color w:val="auto"/>
        </w:rPr>
        <w:t>We are developing ARCALYST for the prevention of gout flares in patients initiating uric acid-lowering therapy and have submitted a supplemental BLA filing for U.S. regulatory approval in this indication. In January 2011, Novartis announced that the results of two Phase 3 studies with Ilaris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focused on reducing pain and preventing recurrent attacks or “flares” in patients with hard-to-treat gout were positive. Novartis has also reported that regulatory filings for the use of Ilaris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 gouty arthritis have been completed in the European Union in 2010</w:t>
      </w:r>
    </w:p>
    <w:p>
      <w:pPr>
        <w:jc w:val="both"/>
        <w:spacing w:after="0" w:line="221" w:lineRule="auto"/>
        <w:rPr>
          <w:sz w:val="20"/>
          <w:szCs w:val="20"/>
          <w:color w:val="auto"/>
        </w:rPr>
      </w:pPr>
      <w:r>
        <w:rPr>
          <w:rFonts w:ascii="Arial" w:cs="Arial" w:eastAsia="Arial" w:hAnsi="Arial"/>
          <w:sz w:val="15"/>
          <w:szCs w:val="15"/>
          <w:color w:val="auto"/>
        </w:rPr>
        <w:t>and in the United States in the first quarter of 2011, based on the results of these two Phase 3 studies. Ilaris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is dosed less frequently for the treatment of CAPS, and if it is approved for the treatment of gout, it may be perceived by some physicians as offering competitive advantages over ARCALYST, which would make it difficult for us to successfully commercialize ARCALYST in that disease.</w:t>
      </w:r>
    </w:p>
    <w:p>
      <w:pPr>
        <w:spacing w:after="0" w:line="204" w:lineRule="exact"/>
        <w:rPr>
          <w:sz w:val="20"/>
          <w:szCs w:val="20"/>
          <w:color w:val="auto"/>
        </w:rPr>
      </w:pPr>
    </w:p>
    <w:p>
      <w:pPr>
        <w:jc w:val="both"/>
        <w:ind w:right="20" w:firstLine="277"/>
        <w:spacing w:after="0" w:line="281" w:lineRule="auto"/>
        <w:rPr>
          <w:sz w:val="20"/>
          <w:szCs w:val="20"/>
          <w:color w:val="auto"/>
        </w:rPr>
      </w:pPr>
      <w:r>
        <w:rPr>
          <w:rFonts w:ascii="Arial" w:cs="Arial" w:eastAsia="Arial" w:hAnsi="Arial"/>
          <w:sz w:val="15"/>
          <w:szCs w:val="15"/>
          <w:color w:val="auto"/>
        </w:rPr>
        <w:t>Currently, inexpensive, oral therapies such as analgesics and other Non-Steroidal Anti-Inflammatory Drugs (NSAIDS), are used as the standard of care to treat the symptoms of gout diseases. These established, inexpensive, orally delivered drugs may make it difficult for us to successfully commercialize ARCALYST in these diseases.</w:t>
      </w:r>
    </w:p>
    <w:p>
      <w:pPr>
        <w:spacing w:after="0" w:line="174" w:lineRule="exact"/>
        <w:rPr>
          <w:sz w:val="20"/>
          <w:szCs w:val="20"/>
          <w:color w:val="auto"/>
        </w:rPr>
      </w:pPr>
    </w:p>
    <w:p>
      <w:pPr>
        <w:jc w:val="both"/>
        <w:ind w:right="20" w:firstLine="312"/>
        <w:spacing w:after="0" w:line="318" w:lineRule="auto"/>
        <w:rPr>
          <w:sz w:val="20"/>
          <w:szCs w:val="20"/>
          <w:color w:val="auto"/>
        </w:rPr>
      </w:pPr>
      <w:r>
        <w:rPr>
          <w:rFonts w:ascii="Arial" w:cs="Arial" w:eastAsia="Arial" w:hAnsi="Arial"/>
          <w:sz w:val="14"/>
          <w:szCs w:val="14"/>
          <w:color w:val="auto"/>
        </w:rPr>
        <w:t xml:space="preserve">Our earlier-stage clinical candidates in development are all fully human monoclonal antibodies, which were generated using our </w:t>
      </w:r>
      <w:r>
        <w:rPr>
          <w:rFonts w:ascii="Arial" w:cs="Arial" w:eastAsia="Arial" w:hAnsi="Arial"/>
          <w:sz w:val="14"/>
          <w:szCs w:val="14"/>
          <w:i w:val="1"/>
          <w:iCs w:val="1"/>
          <w:color w:val="auto"/>
        </w:rPr>
        <w:t>VelocImmune</w:t>
      </w:r>
      <w:r>
        <w:rPr>
          <w:rFonts w:ascii="Arial" w:cs="Arial" w:eastAsia="Arial" w:hAnsi="Arial"/>
          <w:sz w:val="14"/>
          <w:szCs w:val="14"/>
          <w:color w:val="auto"/>
        </w:rPr>
        <w:t xml:space="preserve"> technology. Our antibody generation technologies and earlier-stage clinical candidates face competition from many pharmaceutical and biotechnology companies using various technologies.</w:t>
      </w:r>
    </w:p>
    <w:p>
      <w:pPr>
        <w:spacing w:after="0" w:line="151" w:lineRule="exact"/>
        <w:rPr>
          <w:sz w:val="20"/>
          <w:szCs w:val="20"/>
          <w:color w:val="auto"/>
        </w:rPr>
      </w:pPr>
    </w:p>
    <w:p>
      <w:pPr>
        <w:jc w:val="both"/>
        <w:ind w:right="20" w:firstLine="231"/>
        <w:spacing w:after="0" w:line="269" w:lineRule="auto"/>
        <w:rPr>
          <w:sz w:val="20"/>
          <w:szCs w:val="20"/>
          <w:color w:val="auto"/>
        </w:rPr>
      </w:pPr>
      <w:r>
        <w:rPr>
          <w:rFonts w:ascii="Arial" w:cs="Arial" w:eastAsia="Arial" w:hAnsi="Arial"/>
          <w:sz w:val="15"/>
          <w:szCs w:val="15"/>
          <w:color w:val="auto"/>
        </w:rPr>
        <w:t>Numerous other companies are developing therapeutic antibody products. Companies such as Pfizer, Johnson &amp; Johnson, AstraZeneca, Amgen, Biogen Idec, Novartis, Genentech/Roche, Bristol-Myers Squib, Abbott, and GlaxoSmithKline have generated therapeutic products that are currently in development or on the market that are derived from recombinant DNA that comprise human antibody sequences.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7" w:right="219" w:bottom="1440" w:gutter="0" w:footer="0" w:header="0"/>
        </w:sectPr>
      </w:pPr>
    </w:p>
    <w:bookmarkStart w:id="55" w:name="page56"/>
    <w:bookmarkEnd w:id="55"/>
    <w:p>
      <w:pPr>
        <w:jc w:val="both"/>
        <w:ind w:firstLine="254"/>
        <w:spacing w:after="0" w:line="306" w:lineRule="auto"/>
        <w:rPr>
          <w:sz w:val="20"/>
          <w:szCs w:val="20"/>
          <w:color w:val="auto"/>
        </w:rPr>
      </w:pPr>
      <w:r>
        <w:rPr>
          <w:rFonts w:ascii="Arial" w:cs="Arial" w:eastAsia="Arial" w:hAnsi="Arial"/>
          <w:sz w:val="13"/>
          <w:szCs w:val="13"/>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Abbott are developing antibody product candidates against NGF. Genentech/Roche is marketing an antibody against IL-6R (tocilizumab) for the treatment of rheumatoid arthritis, and several other companies, including Centocor/Johnson &amp; Johnson, and Bristol-Myers Squibb, have antibodies against IL-6 in clinical development for this disease. GlaxoSmithKline, in partnership with OncoMed Pharmaceuticals, has a Dll4 antibody in clinical development for the treatment of solid tumors. Aerovance has two formulations of a biologic directed against IL-4 in clinical development. Amgen previously had an antibody against IL-4R in clinical development for the treatment of asthma. Several companies, including Amgen and Pfizer, have development programs for antibodies against PCSK9. Amgen, Pfizer, and AstraZeneca have development programs underway for antibodies against ANG2.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w:t>
      </w:r>
    </w:p>
    <w:p>
      <w:pPr>
        <w:spacing w:after="0" w:line="140" w:lineRule="exact"/>
        <w:rPr>
          <w:sz w:val="20"/>
          <w:szCs w:val="20"/>
          <w:color w:val="auto"/>
        </w:rPr>
      </w:pPr>
    </w:p>
    <w:p>
      <w:pPr>
        <w:jc w:val="both"/>
        <w:ind w:left="140"/>
        <w:spacing w:after="0" w:line="265" w:lineRule="auto"/>
        <w:rPr>
          <w:sz w:val="20"/>
          <w:szCs w:val="20"/>
          <w:color w:val="auto"/>
        </w:rPr>
      </w:pPr>
      <w:r>
        <w:rPr>
          <w:rFonts w:ascii="Arial" w:cs="Arial" w:eastAsia="Arial" w:hAnsi="Arial"/>
          <w:sz w:val="15"/>
          <w:szCs w:val="15"/>
          <w:b w:val="1"/>
          <w:bCs w:val="1"/>
          <w:i w:val="1"/>
          <w:iCs w:val="1"/>
          <w:color w:val="auto"/>
        </w:rPr>
        <w:t>The successful commercialization of EYLEA for the treatment of wet AMD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p>
    <w:p>
      <w:pPr>
        <w:spacing w:after="0" w:line="186" w:lineRule="exact"/>
        <w:rPr>
          <w:sz w:val="20"/>
          <w:szCs w:val="20"/>
          <w:color w:val="auto"/>
        </w:rPr>
      </w:pPr>
    </w:p>
    <w:p>
      <w:pPr>
        <w:jc w:val="both"/>
        <w:ind w:firstLine="231"/>
        <w:spacing w:after="0" w:line="281" w:lineRule="auto"/>
        <w:rPr>
          <w:sz w:val="20"/>
          <w:szCs w:val="20"/>
          <w:color w:val="auto"/>
        </w:rPr>
      </w:pPr>
      <w:r>
        <w:rPr>
          <w:rFonts w:ascii="Arial" w:cs="Arial" w:eastAsia="Arial" w:hAnsi="Arial"/>
          <w:sz w:val="14"/>
          <w:szCs w:val="14"/>
          <w:color w:val="auto"/>
        </w:rPr>
        <w:t>Our product candidates, if commercialized, may be significantly more expensive than traditional drug treatments. For example, we are developing ARCALYST for the prevention of gout flares in patients initiating uric acid-lowering drug therapy. Patients suffering from this gout indication are currently treated with inexpensive therapies, including NSAIDS. These existing treatment options are likely to be considerably less expensive and may be preferable to a biologic medication for some patients. Our future revenues and profitability will be adversely affected in a material manner if United States and foreign governmental, private third-party insurers and payers, and other third-party payers, including Medicare and Medicaid, do not agree to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18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3"/>
          <w:szCs w:val="13"/>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15"/>
          <w:szCs w:val="15"/>
          <w:color w:val="auto"/>
        </w:rPr>
        <w:t>using off-label Avastin</w:t>
      </w:r>
      <w:r>
        <w:rPr>
          <w:rFonts w:ascii="Arial" w:cs="Arial" w:eastAsia="Arial" w:hAnsi="Arial"/>
          <w:sz w:val="25"/>
          <w:szCs w:val="25"/>
          <w:color w:val="auto"/>
          <w:vertAlign w:val="superscript"/>
        </w:rPr>
        <w:t>®</w:t>
      </w:r>
      <w:r>
        <w:rPr>
          <w:rFonts w:ascii="Arial" w:cs="Arial" w:eastAsia="Arial" w:hAnsi="Arial"/>
          <w:sz w:val="15"/>
          <w:szCs w:val="15"/>
          <w:color w:val="auto"/>
        </w:rPr>
        <w:t xml:space="preserve"> rather than Lucentis</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56" w:name="page57"/>
    <w:bookmarkEnd w:id="56"/>
    <w:p>
      <w:pPr>
        <w:jc w:val="both"/>
        <w:ind w:firstLine="243"/>
        <w:spacing w:after="0" w:line="287" w:lineRule="auto"/>
        <w:rPr>
          <w:sz w:val="20"/>
          <w:szCs w:val="20"/>
          <w:color w:val="auto"/>
        </w:rPr>
      </w:pPr>
      <w:r>
        <w:rPr>
          <w:rFonts w:ascii="Arial" w:cs="Arial" w:eastAsia="Arial" w:hAnsi="Arial"/>
          <w:sz w:val="13"/>
          <w:szCs w:val="13"/>
          <w:color w:val="auto"/>
        </w:rPr>
        <w:t>Since EYLEA for the treatment of wet AMD and other eye diseases, ZALTRAP for oncology indications, and ARCALYST for the prevention of gout flares will likely be too expensive for most patients to afford without health insurance coverage, if these products are unable to obtain adequate coverage and reimbursement by third-party payers, including Medicare and Medicaid in the United States, our ability to successfully commercialize these products would be materially adversely impacted. The status of a J-code for our marketed products could also affect reimbursement. J-codes are permanent reimbursement codes maintained by CMS that are a component of HCPCS, and are typically used to report injectable drugs that ordinarily cannot be self-administered. Although we have a J-Code for ARCALYST, we do not currently have a J-Code for EYLEA, although we anticipate assignment of a J-Code for EYLEA</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w:t>
      </w:r>
    </w:p>
    <w:p>
      <w:pPr>
        <w:spacing w:after="0" w:line="2"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January 2013. Without a unique J-code identifier, EYLEA has been billed to date using a non-specific miscellaneous J-code. Since such codes may be used for a wide variety of products, health plans may have more difficulty determining the actual product used and billed for the patient. As a result, these claims must often be submitted with additional information and manually processed, which can create delays in claims processing times as well as increasing the likelihood for claim errors. Third-party payers, including Medicare and Medicaid in the United States, may not cover and/or reimburse for these products at levels required for us to successfully commercialize these products. Any limitation imposed by third-party payers on the use of our products if they are approved for marketing,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achieve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Regulatory and Litigation Risks</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If the testing or use of our products harms people, we could be subject to costly and damaging product liability claims.</w:t>
      </w:r>
    </w:p>
    <w:p>
      <w:pPr>
        <w:spacing w:after="0" w:line="221" w:lineRule="exact"/>
        <w:rPr>
          <w:sz w:val="20"/>
          <w:szCs w:val="20"/>
          <w:color w:val="auto"/>
        </w:rPr>
      </w:pPr>
    </w:p>
    <w:p>
      <w:pPr>
        <w:jc w:val="both"/>
        <w:ind w:firstLine="254"/>
        <w:spacing w:after="0" w:line="284" w:lineRule="auto"/>
        <w:rPr>
          <w:sz w:val="20"/>
          <w:szCs w:val="20"/>
          <w:color w:val="auto"/>
        </w:rPr>
      </w:pPr>
      <w:r>
        <w:rPr>
          <w:rFonts w:ascii="Arial" w:cs="Arial" w:eastAsia="Arial" w:hAnsi="Arial"/>
          <w:sz w:val="14"/>
          <w:szCs w:val="14"/>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ARCALYST for the treatment of CAPS, or EYLEA for the treatment of wet AMD, or EYLEA for other indications, ZALTRAP, or ARCALYST for the prevention of gout flares if those product candidates receive regulatory approval and become commercially available, that they have been injured by a side effect associated with the drug. We may face product liability claims and be found responsible even if injury arises from the acts or omissions of our third-party fill/finish or other providers.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If we market and sell approved products, in a way that violates federal or state healthcare laws, we may be subject to civil or criminal penalties.</w:t>
      </w:r>
    </w:p>
    <w:p>
      <w:pPr>
        <w:spacing w:after="0" w:line="221" w:lineRule="exact"/>
        <w:rPr>
          <w:sz w:val="20"/>
          <w:szCs w:val="20"/>
          <w:color w:val="auto"/>
        </w:rPr>
      </w:pPr>
    </w:p>
    <w:p>
      <w:pPr>
        <w:jc w:val="both"/>
        <w:ind w:firstLine="266"/>
        <w:spacing w:after="0" w:line="290" w:lineRule="auto"/>
        <w:rPr>
          <w:sz w:val="20"/>
          <w:szCs w:val="20"/>
          <w:color w:val="auto"/>
        </w:rPr>
      </w:pPr>
      <w:r>
        <w:rPr>
          <w:rFonts w:ascii="Arial" w:cs="Arial" w:eastAsia="Arial" w:hAnsi="Arial"/>
          <w:sz w:val="14"/>
          <w:szCs w:val="14"/>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170" w:lineRule="exact"/>
        <w:rPr>
          <w:sz w:val="20"/>
          <w:szCs w:val="20"/>
          <w:color w:val="auto"/>
        </w:rPr>
      </w:pPr>
    </w:p>
    <w:p>
      <w:pPr>
        <w:jc w:val="both"/>
        <w:ind w:firstLine="289"/>
        <w:spacing w:after="0" w:line="286" w:lineRule="auto"/>
        <w:rPr>
          <w:sz w:val="20"/>
          <w:szCs w:val="20"/>
          <w:color w:val="auto"/>
        </w:rPr>
      </w:pPr>
      <w:r>
        <w:rPr>
          <w:rFonts w:ascii="Arial" w:cs="Arial" w:eastAsia="Arial" w:hAnsi="Arial"/>
          <w:sz w:val="14"/>
          <w:szCs w:val="14"/>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57" w:name="page58"/>
    <w:bookmarkEnd w:id="57"/>
    <w:p>
      <w:pPr>
        <w:jc w:val="both"/>
        <w:ind w:firstLine="254"/>
        <w:spacing w:after="0" w:line="269" w:lineRule="auto"/>
        <w:rPr>
          <w:sz w:val="20"/>
          <w:szCs w:val="20"/>
          <w:color w:val="auto"/>
        </w:rPr>
      </w:pPr>
      <w:r>
        <w:rPr>
          <w:rFonts w:ascii="Arial" w:cs="Arial" w:eastAsia="Arial" w:hAnsi="Arial"/>
          <w:sz w:val="15"/>
          <w:szCs w:val="15"/>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8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5"/>
          <w:szCs w:val="15"/>
          <w:color w:val="auto"/>
        </w:rPr>
        <w:t>Even if it is determined that we have not violated these laws, government investigations into these issues typically require the expenditure of significant resources and generate negative publicity, which would harm our business and financial results and condition. Because of the breadth of these laws and the narrowness of the safe harbors, it is possible that some of our business activities could be challenged under one or more of such laws.</w:t>
      </w:r>
    </w:p>
    <w:p>
      <w:pPr>
        <w:spacing w:after="0" w:line="183" w:lineRule="exact"/>
        <w:rPr>
          <w:sz w:val="20"/>
          <w:szCs w:val="20"/>
          <w:color w:val="auto"/>
        </w:rPr>
      </w:pPr>
    </w:p>
    <w:p>
      <w:pPr>
        <w:jc w:val="both"/>
        <w:ind w:firstLine="254"/>
        <w:spacing w:after="0" w:line="284" w:lineRule="auto"/>
        <w:rPr>
          <w:sz w:val="20"/>
          <w:szCs w:val="20"/>
          <w:color w:val="auto"/>
        </w:rPr>
      </w:pPr>
      <w:r>
        <w:rPr>
          <w:rFonts w:ascii="Arial" w:cs="Arial" w:eastAsia="Arial" w:hAnsi="Arial"/>
          <w:sz w:val="14"/>
          <w:szCs w:val="14"/>
          <w:color w:val="auto"/>
        </w:rPr>
        <w:t>In recent years, several states and localities, including California, the District of Columbia, Massachusetts,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requirements are being considered in other states. In addition, as part of the PPACA, pharmaceutical companies will be required to file reports with the federal government regarding payments made to healthcare professionals. Many of these requirements are new and uncertain, and the penalties for failure to comply with these requirements are unclear. Nonetheless, if we are found not to be in full compliance with these laws, we could face enforcement actions, fines, and other penalties, and could receive adverse publicity, which would harm our business and financial results and condition.</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Risks from the improper conduct of employees, agents or contractors, or collaborators could adversely affect our business or reputation.</w:t>
      </w:r>
    </w:p>
    <w:p>
      <w:pPr>
        <w:spacing w:after="0" w:line="221" w:lineRule="exact"/>
        <w:rPr>
          <w:sz w:val="20"/>
          <w:szCs w:val="20"/>
          <w:color w:val="auto"/>
        </w:rPr>
      </w:pPr>
    </w:p>
    <w:p>
      <w:pPr>
        <w:jc w:val="both"/>
        <w:ind w:firstLine="231"/>
        <w:spacing w:after="0" w:line="265" w:lineRule="auto"/>
        <w:rPr>
          <w:sz w:val="20"/>
          <w:szCs w:val="20"/>
          <w:color w:val="auto"/>
        </w:rPr>
      </w:pPr>
      <w:r>
        <w:rPr>
          <w:rFonts w:ascii="Arial" w:cs="Arial" w:eastAsia="Arial" w:hAnsi="Arial"/>
          <w:sz w:val="15"/>
          <w:szCs w:val="15"/>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privacy laws. Such improper actions could subject us to civil or criminal investigations, and monetary and injunctive penalties, and could adversely impact our ability to conduct business, results of operations, and reputation.</w:t>
      </w:r>
    </w:p>
    <w:p>
      <w:pPr>
        <w:spacing w:after="0" w:line="163" w:lineRule="exact"/>
        <w:rPr>
          <w:sz w:val="20"/>
          <w:szCs w:val="20"/>
          <w:color w:val="auto"/>
        </w:rPr>
      </w:pPr>
    </w:p>
    <w:p>
      <w:pPr>
        <w:ind w:left="140"/>
        <w:spacing w:after="0" w:line="281" w:lineRule="auto"/>
        <w:rPr>
          <w:sz w:val="20"/>
          <w:szCs w:val="20"/>
          <w:color w:val="auto"/>
        </w:rPr>
      </w:pPr>
      <w:r>
        <w:rPr>
          <w:rFonts w:ascii="Arial" w:cs="Arial" w:eastAsia="Arial" w:hAnsi="Arial"/>
          <w:sz w:val="15"/>
          <w:szCs w:val="15"/>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4" w:lineRule="exact"/>
        <w:rPr>
          <w:sz w:val="20"/>
          <w:szCs w:val="20"/>
          <w:color w:val="auto"/>
        </w:rPr>
      </w:pPr>
    </w:p>
    <w:p>
      <w:pPr>
        <w:jc w:val="both"/>
        <w:ind w:firstLine="231"/>
        <w:spacing w:after="0" w:line="290" w:lineRule="auto"/>
        <w:rPr>
          <w:sz w:val="20"/>
          <w:szCs w:val="20"/>
          <w:color w:val="auto"/>
        </w:rPr>
      </w:pPr>
      <w:r>
        <w:rPr>
          <w:rFonts w:ascii="Arial" w:cs="Arial" w:eastAsia="Arial" w:hAnsi="Arial"/>
          <w:sz w:val="14"/>
          <w:szCs w:val="14"/>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47" w:lineRule="exact"/>
        <w:rPr>
          <w:sz w:val="20"/>
          <w:szCs w:val="20"/>
          <w:color w:val="auto"/>
        </w:rPr>
      </w:pPr>
    </w:p>
    <w:p>
      <w:pPr>
        <w:ind w:left="140"/>
        <w:spacing w:after="0" w:line="281" w:lineRule="auto"/>
        <w:rPr>
          <w:sz w:val="20"/>
          <w:szCs w:val="20"/>
          <w:color w:val="auto"/>
        </w:rPr>
      </w:pPr>
      <w:r>
        <w:rPr>
          <w:rFonts w:ascii="Arial" w:cs="Arial" w:eastAsia="Arial" w:hAnsi="Arial"/>
          <w:sz w:val="15"/>
          <w:szCs w:val="15"/>
          <w:b w:val="1"/>
          <w:bCs w:val="1"/>
          <w:i w:val="1"/>
          <w:iCs w:val="1"/>
          <w:color w:val="auto"/>
        </w:rPr>
        <w:t>Our business is subject to increasingly complex corporate governance, public disclosure, and accounting requirements and regulations that could adversely affect our business and financial results and condition.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58" w:name="page59"/>
    <w:bookmarkEnd w:id="58"/>
    <w:p>
      <w:pPr>
        <w:jc w:val="both"/>
        <w:ind w:firstLine="231"/>
        <w:spacing w:after="0" w:line="260" w:lineRule="auto"/>
        <w:rPr>
          <w:sz w:val="20"/>
          <w:szCs w:val="20"/>
          <w:color w:val="auto"/>
        </w:rPr>
      </w:pPr>
      <w:r>
        <w:rPr>
          <w:rFonts w:ascii="Arial" w:cs="Arial" w:eastAsia="Arial" w:hAnsi="Arial"/>
          <w:sz w:val="15"/>
          <w:szCs w:val="15"/>
          <w:color w:val="auto"/>
        </w:rPr>
        <w:t>We are subject to changing rules and regulations of various federal and state governmental authorities as well as the stock exchange on which our Common Stock is listed. These entities, including the Public Company Accounting Oversight Board (PCAOB), the Securities and Exchange Commission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such as shareholder approval of executive compensation (so-called “say on pay”) and proxy access. On January 25, 2011, the SEC adopted final rules concerning “say on pay”. Our efforts to comply with these requirements and regulations have resulted in, and are likely to continue to result in, an increase in expenses and a diversion of management’s time from other business activities.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Changes in laws and regulations affecting the healthcare industry could adversely affect our business.</w:t>
      </w:r>
    </w:p>
    <w:p>
      <w:pPr>
        <w:spacing w:after="0" w:line="221" w:lineRule="exact"/>
        <w:rPr>
          <w:sz w:val="20"/>
          <w:szCs w:val="20"/>
          <w:color w:val="auto"/>
        </w:rPr>
      </w:pPr>
    </w:p>
    <w:p>
      <w:pPr>
        <w:jc w:val="both"/>
        <w:ind w:firstLine="254"/>
        <w:spacing w:after="0" w:line="318" w:lineRule="auto"/>
        <w:rPr>
          <w:sz w:val="20"/>
          <w:szCs w:val="20"/>
          <w:color w:val="auto"/>
        </w:rPr>
      </w:pPr>
      <w:r>
        <w:rPr>
          <w:rFonts w:ascii="Arial" w:cs="Arial" w:eastAsia="Arial" w:hAnsi="Arial"/>
          <w:sz w:val="14"/>
          <w:szCs w:val="14"/>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-73025</wp:posOffset>
            </wp:positionV>
            <wp:extent cx="54610" cy="54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spacing w:after="0" w:line="257" w:lineRule="auto"/>
        <w:rPr>
          <w:sz w:val="20"/>
          <w:szCs w:val="20"/>
          <w:color w:val="auto"/>
        </w:rPr>
      </w:pPr>
      <w:r>
        <w:rPr>
          <w:rFonts w:ascii="Arial" w:cs="Arial" w:eastAsia="Arial" w:hAnsi="Arial"/>
          <w:sz w:val="15"/>
          <w:szCs w:val="15"/>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spacing w:after="0" w:line="257" w:lineRule="auto"/>
        <w:rPr>
          <w:sz w:val="20"/>
          <w:szCs w:val="20"/>
          <w:color w:val="auto"/>
        </w:rPr>
      </w:pPr>
      <w:r>
        <w:rPr>
          <w:rFonts w:ascii="Arial" w:cs="Arial" w:eastAsia="Arial" w:hAnsi="Arial"/>
          <w:sz w:val="15"/>
          <w:szCs w:val="15"/>
          <w:color w:val="auto"/>
        </w:rPr>
        <w:t>changes in FDA and foreign regulations that may require additional safety monitoring prior to or after the introduction of new products to market, which could materially increase our costs of doing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spacing w:after="0" w:line="274" w:lineRule="auto"/>
        <w:rPr>
          <w:sz w:val="20"/>
          <w:szCs w:val="20"/>
          <w:color w:val="auto"/>
        </w:rPr>
      </w:pPr>
      <w:r>
        <w:rPr>
          <w:rFonts w:ascii="Arial" w:cs="Arial" w:eastAsia="Arial" w:hAnsi="Arial"/>
          <w:sz w:val="15"/>
          <w:szCs w:val="15"/>
          <w:color w:val="auto"/>
        </w:rPr>
        <w:t>changes in FDA and foreign cGMPs that may make it more difficult and costly for us to maintain regulatory compliance and/or manufacture our marketed product and product candidates in accordance with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-216535</wp:posOffset>
            </wp:positionV>
            <wp:extent cx="54610" cy="54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15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5"/>
          <w:szCs w:val="15"/>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Reliance on Third Parties</w:t>
      </w:r>
    </w:p>
    <w:p>
      <w:pPr>
        <w:spacing w:after="0" w:line="201" w:lineRule="exact"/>
        <w:rPr>
          <w:sz w:val="20"/>
          <w:szCs w:val="20"/>
          <w:color w:val="auto"/>
        </w:rPr>
      </w:pPr>
    </w:p>
    <w:p>
      <w:pPr>
        <w:ind w:left="140" w:right="20"/>
        <w:spacing w:after="0" w:line="281" w:lineRule="auto"/>
        <w:rPr>
          <w:sz w:val="20"/>
          <w:szCs w:val="20"/>
          <w:color w:val="auto"/>
        </w:rPr>
      </w:pPr>
      <w:r>
        <w:rPr>
          <w:rFonts w:ascii="Arial" w:cs="Arial" w:eastAsia="Arial" w:hAnsi="Arial"/>
          <w:sz w:val="15"/>
          <w:szCs w:val="15"/>
          <w:b w:val="1"/>
          <w:bCs w:val="1"/>
          <w:i w:val="1"/>
          <w:iCs w:val="1"/>
          <w:color w:val="auto"/>
        </w:rPr>
        <w:t>If our antibody collaboration with Sanofi is terminated, our business operations and financial condition, and our ability to discover, develop, manufacture, and commercialize our pipeline of product candidates in the time expected, or at all, would be materially harmed.</w:t>
      </w:r>
    </w:p>
    <w:p>
      <w:pPr>
        <w:spacing w:after="0" w:line="174"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3"/>
          <w:szCs w:val="13"/>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has a one-time option to adjust the maximum reimbursement amount down to $120 million per year commencing in 2014 if over the prior two years certain specified criteria are not satisfied. If this downward adjustment occurs, it will reduce our resources available for antibody discovery activities and negatively affect our clinical pipeline.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sarilumab, REGN727, REGN668, REGN421, REGN910, and REGN1033,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opts-out of their development, we would be required to fund and oversee on our own the clinical trials, any regulatory responsibilities, and the ensuing commercialization efforts to support those antibody products. For example, during 2011 and 2012 to date, Sanofi elected not to continue co-development of REGN846 and REGN475, and decided not to opt-in to the REGN1154 program.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59" w:name="page60"/>
    <w:bookmarkEnd w:id="59"/>
    <w:p>
      <w:pPr>
        <w:ind w:left="140"/>
        <w:spacing w:after="0" w:line="281" w:lineRule="auto"/>
        <w:rPr>
          <w:sz w:val="20"/>
          <w:szCs w:val="20"/>
          <w:color w:val="auto"/>
        </w:rPr>
      </w:pPr>
      <w:r>
        <w:rPr>
          <w:rFonts w:ascii="Arial" w:cs="Arial" w:eastAsia="Arial" w:hAnsi="Arial"/>
          <w:sz w:val="15"/>
          <w:szCs w:val="15"/>
          <w:b w:val="1"/>
          <w:bCs w:val="1"/>
          <w:i w:val="1"/>
          <w:iCs w:val="1"/>
          <w:color w:val="auto"/>
        </w:rPr>
        <w:t>If our collaboration with Sanofi for ZALTRAP is terminated, or Sanofi materially breaches its obligations thereunder, our business operations, prospects, and financial condition, and our ability to develop, manufacture, and commercialize ZALTRAP in the time expected, or at all, would be materially harmed.</w:t>
      </w:r>
    </w:p>
    <w:p>
      <w:pPr>
        <w:spacing w:after="0" w:line="174" w:lineRule="exact"/>
        <w:rPr>
          <w:sz w:val="20"/>
          <w:szCs w:val="20"/>
          <w:color w:val="auto"/>
        </w:rPr>
      </w:pPr>
    </w:p>
    <w:p>
      <w:pPr>
        <w:jc w:val="both"/>
        <w:ind w:firstLine="289"/>
        <w:spacing w:after="0" w:line="281" w:lineRule="auto"/>
        <w:rPr>
          <w:sz w:val="20"/>
          <w:szCs w:val="20"/>
          <w:color w:val="auto"/>
        </w:rPr>
      </w:pPr>
      <w:r>
        <w:rPr>
          <w:rFonts w:ascii="Arial" w:cs="Arial" w:eastAsia="Arial" w:hAnsi="Arial"/>
          <w:sz w:val="14"/>
          <w:szCs w:val="14"/>
          <w:color w:val="auto"/>
        </w:rPr>
        <w:t>We rely heavily on Sanofi to lead much of the development of ZALTRAP. Sanofi initially funds all of the development expenses incurred by both companies in connection with the ZALTRAP program. If the ZALTRAP program continues, we will rely on Sanofi to assist with funding the ZALTRAP program, provide commercial manufacturing capacity, enroll and monitor clinical trials, obtain regulatory approval, particularly outside the United States, and lead the commercialization of ZALTRAP. While ZALTRAP may not ever be successfully developed and commercialized, if Sanofi fails to perform its obligations in a timely manner, or at all, our ability to develop, manufacture, and commercialize ZALTRAP in cancer indications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ZALTRAP and result in substantial additional costs to us. We have limited commercial capabilities and would have to develop or outsource these capabilities. Termination of the Sanofi collaboration agreement for ZALTRAP would create substantial new and additional risks to the successful development and commercialization of ZALTRAP.</w:t>
      </w:r>
    </w:p>
    <w:p>
      <w:pPr>
        <w:spacing w:after="0" w:line="153" w:lineRule="exact"/>
        <w:rPr>
          <w:sz w:val="20"/>
          <w:szCs w:val="20"/>
          <w:color w:val="auto"/>
        </w:rPr>
      </w:pPr>
    </w:p>
    <w:p>
      <w:pPr>
        <w:ind w:left="140"/>
        <w:spacing w:after="0" w:line="361" w:lineRule="auto"/>
        <w:rPr>
          <w:sz w:val="20"/>
          <w:szCs w:val="20"/>
          <w:color w:val="auto"/>
        </w:rPr>
      </w:pPr>
      <w:r>
        <w:rPr>
          <w:rFonts w:ascii="Arial" w:cs="Arial" w:eastAsia="Arial" w:hAnsi="Arial"/>
          <w:sz w:val="13"/>
          <w:szCs w:val="13"/>
          <w:b w:val="1"/>
          <w:bCs w:val="1"/>
          <w:i w:val="1"/>
          <w:iCs w:val="1"/>
          <w:color w:val="auto"/>
        </w:rPr>
        <w:t>If our collaboration with Bayer HealthCare for EYLEA is terminated, or Bayer HealthCare materially breaches its obligations thereunder, our business operations, prospects, and financial condition, and our ability to continue to develop EYLEA and commercialize EYLEA outside the United States in the time expected, or at all, would be materially harmed.</w:t>
      </w:r>
    </w:p>
    <w:p>
      <w:pPr>
        <w:spacing w:after="0" w:line="128" w:lineRule="exact"/>
        <w:rPr>
          <w:sz w:val="20"/>
          <w:szCs w:val="20"/>
          <w:color w:val="auto"/>
        </w:rPr>
      </w:pPr>
    </w:p>
    <w:p>
      <w:pPr>
        <w:jc w:val="both"/>
        <w:ind w:firstLine="231"/>
        <w:spacing w:after="0" w:line="279" w:lineRule="auto"/>
        <w:rPr>
          <w:sz w:val="20"/>
          <w:szCs w:val="20"/>
          <w:color w:val="auto"/>
        </w:rPr>
      </w:pPr>
      <w:r>
        <w:rPr>
          <w:rFonts w:ascii="Arial" w:cs="Arial" w:eastAsia="Arial" w:hAnsi="Arial"/>
          <w:sz w:val="14"/>
          <w:szCs w:val="14"/>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regulatory approval outside the United States, and provide all sales, marketing, and commercial support for the product outside the United States. In particular, Bayer HealthCare has responsibility for selling EYLEA outside the United States using its sales force. While we cannot assure you that EYLEA will receive regulatory approval in or outside the United States or be successfully commercialized, if Bayer HealthCare does not perform its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currently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EYLEA, particularly outside the United States.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5" w:right="219" w:bottom="1440" w:gutter="0" w:footer="0" w:header="0"/>
        </w:sectPr>
      </w:pPr>
    </w:p>
    <w:bookmarkStart w:id="60" w:name="page61"/>
    <w:bookmarkEnd w:id="60"/>
    <w:p>
      <w:pPr>
        <w:ind w:left="140" w:right="20"/>
        <w:spacing w:after="0" w:line="281" w:lineRule="auto"/>
        <w:rPr>
          <w:sz w:val="20"/>
          <w:szCs w:val="20"/>
          <w:color w:val="auto"/>
        </w:rPr>
      </w:pPr>
      <w:r>
        <w:rPr>
          <w:rFonts w:ascii="Arial" w:cs="Arial" w:eastAsia="Arial" w:hAnsi="Arial"/>
          <w:sz w:val="15"/>
          <w:szCs w:val="15"/>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174" w:lineRule="exact"/>
        <w:rPr>
          <w:sz w:val="20"/>
          <w:szCs w:val="20"/>
          <w:color w:val="auto"/>
        </w:rPr>
      </w:pPr>
    </w:p>
    <w:p>
      <w:pPr>
        <w:jc w:val="both"/>
        <w:ind w:right="20" w:firstLine="277"/>
        <w:spacing w:after="0" w:line="261" w:lineRule="auto"/>
        <w:rPr>
          <w:sz w:val="20"/>
          <w:szCs w:val="20"/>
          <w:color w:val="auto"/>
        </w:rPr>
      </w:pPr>
      <w:r>
        <w:rPr>
          <w:rFonts w:ascii="Arial" w:cs="Arial" w:eastAsia="Arial" w:hAnsi="Arial"/>
          <w:sz w:val="15"/>
          <w:szCs w:val="15"/>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EYLEA for the treatment of wet AMD, ARCALYST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Good Laboratory Practices (GLPs), or GCP Standards, we could experience additional costs, delays, and difficulties in the manufacture or development of, or in obtaining approval by regulatory authorities for and successfully commercializing, our product candidates.</w:t>
      </w:r>
    </w:p>
    <w:p>
      <w:pPr>
        <w:spacing w:after="0" w:line="190" w:lineRule="exact"/>
        <w:rPr>
          <w:sz w:val="20"/>
          <w:szCs w:val="20"/>
          <w:color w:val="auto"/>
        </w:rPr>
      </w:pPr>
    </w:p>
    <w:p>
      <w:pPr>
        <w:jc w:val="both"/>
        <w:ind w:firstLine="254"/>
        <w:spacing w:after="0" w:line="269" w:lineRule="auto"/>
        <w:rPr>
          <w:sz w:val="20"/>
          <w:szCs w:val="20"/>
          <w:color w:val="auto"/>
        </w:rPr>
      </w:pPr>
      <w:r>
        <w:rPr>
          <w:rFonts w:ascii="Arial" w:cs="Arial" w:eastAsia="Arial" w:hAnsi="Arial"/>
          <w:sz w:val="15"/>
          <w:szCs w:val="15"/>
          <w:color w:val="auto"/>
        </w:rPr>
        <w:t>We rely on third-party service providers to support the distribution of EYLEA and ARCALYST and for many other related activities in connection with the commercialization of these marketed products. Despite our arrangements with them, these third parties may not perform adequately. If these service providers do not perform their services adequately, our sales of EYLEA for the treatment of wet AMD and ARCALYST for the treatment of CAPS will suffer.</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Related to Employees</w:t>
      </w:r>
    </w:p>
    <w:p>
      <w:pPr>
        <w:spacing w:after="0" w:line="201" w:lineRule="exact"/>
        <w:rPr>
          <w:sz w:val="20"/>
          <w:szCs w:val="20"/>
          <w:color w:val="auto"/>
        </w:rPr>
      </w:pPr>
    </w:p>
    <w:p>
      <w:pPr>
        <w:ind w:left="140" w:right="20"/>
        <w:spacing w:after="0" w:line="281" w:lineRule="auto"/>
        <w:rPr>
          <w:sz w:val="20"/>
          <w:szCs w:val="20"/>
          <w:color w:val="auto"/>
        </w:rPr>
      </w:pPr>
      <w:r>
        <w:rPr>
          <w:rFonts w:ascii="Arial" w:cs="Arial" w:eastAsia="Arial" w:hAnsi="Arial"/>
          <w:sz w:val="15"/>
          <w:szCs w:val="15"/>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74" w:lineRule="exact"/>
        <w:rPr>
          <w:sz w:val="20"/>
          <w:szCs w:val="20"/>
          <w:color w:val="auto"/>
        </w:rPr>
      </w:pPr>
    </w:p>
    <w:p>
      <w:pPr>
        <w:jc w:val="both"/>
        <w:ind w:firstLine="231"/>
        <w:spacing w:after="0" w:line="310" w:lineRule="auto"/>
        <w:rPr>
          <w:sz w:val="20"/>
          <w:szCs w:val="20"/>
          <w:color w:val="auto"/>
        </w:rPr>
      </w:pPr>
      <w:r>
        <w:rPr>
          <w:rFonts w:ascii="Arial" w:cs="Arial" w:eastAsia="Arial" w:hAnsi="Arial"/>
          <w:sz w:val="13"/>
          <w:szCs w:val="13"/>
          <w:color w:val="auto"/>
        </w:rPr>
        <w:t>We are highly dependent on certain of our executive officers, other key members of our senior management team, and our Chairman. If we are not able to retain any of these persons, our business may suffer. In particular, we depend on the services of P. Roy Vagelos, M.D., the Chairman of our board of directors, Leonard S. Schleifer, M.D., Ph.D., our President and Chief Executive Officer, George D. Yancopoulos, M.D., Ph.D., our Executive Vice President, Chief Scientific Officer and President, Regeneron Research Laboratories, and Neil Stahl, Ph.D., our Senior Vice President, Research and Development Sciences. As we commercialize EYLEA in the United States for the treatment of wet AMD and prepare for commercialization in the</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United States of EYLEA for the treatment of CRVO and ARCALYST for the treatment of gout flares in patients initiating uric acid-lowering therapy, should they receive regulatory approval, we will also be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Technology Risks</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Significant disruptions of information technology systems or breaches of data security could adversely affect our business.</w:t>
      </w:r>
    </w:p>
    <w:p>
      <w:pPr>
        <w:spacing w:after="0" w:line="221"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5"/>
          <w:szCs w:val="15"/>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breakdown, malicious intrusion, and computer viruses which may result in the impairment of production and key business processes.</w:t>
      </w:r>
    </w:p>
    <w:p>
      <w:pPr>
        <w:spacing w:after="0" w:line="183" w:lineRule="exact"/>
        <w:rPr>
          <w:sz w:val="20"/>
          <w:szCs w:val="20"/>
          <w:color w:val="auto"/>
        </w:rPr>
      </w:pPr>
    </w:p>
    <w:p>
      <w:pPr>
        <w:jc w:val="both"/>
        <w:ind w:firstLine="289"/>
        <w:spacing w:after="0" w:line="269" w:lineRule="auto"/>
        <w:rPr>
          <w:sz w:val="20"/>
          <w:szCs w:val="20"/>
          <w:color w:val="auto"/>
        </w:rPr>
      </w:pPr>
      <w:r>
        <w:rPr>
          <w:rFonts w:ascii="Arial" w:cs="Arial" w:eastAsia="Arial" w:hAnsi="Arial"/>
          <w:sz w:val="15"/>
          <w:szCs w:val="15"/>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Such disruptions and breaches of security could have a material adverse effect on our business, prospects, operating results, and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5" w:right="219" w:bottom="1440" w:gutter="0" w:footer="0" w:header="0"/>
        </w:sectPr>
      </w:pPr>
    </w:p>
    <w:bookmarkStart w:id="61" w:name="page62"/>
    <w:bookmarkEnd w:id="61"/>
    <w:p>
      <w:pPr>
        <w:spacing w:after="0"/>
        <w:rPr>
          <w:sz w:val="20"/>
          <w:szCs w:val="20"/>
          <w:color w:val="auto"/>
        </w:rPr>
      </w:pPr>
      <w:r>
        <w:rPr>
          <w:rFonts w:ascii="Arial" w:cs="Arial" w:eastAsia="Arial" w:hAnsi="Arial"/>
          <w:sz w:val="15"/>
          <w:szCs w:val="15"/>
          <w:b w:val="1"/>
          <w:bCs w:val="1"/>
          <w:color w:val="auto"/>
        </w:rPr>
        <w:t>Risks Related to Our Common Stock</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Our stock price is extremely volatile.</w:t>
      </w:r>
    </w:p>
    <w:p>
      <w:pPr>
        <w:spacing w:after="0" w:line="221" w:lineRule="exact"/>
        <w:rPr>
          <w:sz w:val="20"/>
          <w:szCs w:val="20"/>
          <w:color w:val="auto"/>
        </w:rPr>
      </w:pPr>
    </w:p>
    <w:p>
      <w:pPr>
        <w:jc w:val="both"/>
        <w:ind w:firstLine="301"/>
        <w:spacing w:after="0" w:line="281" w:lineRule="auto"/>
        <w:rPr>
          <w:sz w:val="20"/>
          <w:szCs w:val="20"/>
          <w:color w:val="auto"/>
        </w:rPr>
      </w:pPr>
      <w:r>
        <w:rPr>
          <w:rFonts w:ascii="Arial" w:cs="Arial" w:eastAsia="Arial" w:hAnsi="Arial"/>
          <w:sz w:val="15"/>
          <w:szCs w:val="15"/>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51" w:lineRule="exact"/>
        <w:rPr>
          <w:sz w:val="20"/>
          <w:szCs w:val="20"/>
          <w:color w:val="auto"/>
        </w:rPr>
      </w:pPr>
    </w:p>
    <w:p>
      <w:pPr>
        <w:ind w:left="460"/>
        <w:spacing w:after="0" w:line="260" w:lineRule="auto"/>
        <w:rPr>
          <w:sz w:val="20"/>
          <w:szCs w:val="20"/>
          <w:color w:val="auto"/>
        </w:rPr>
      </w:pPr>
      <w:r>
        <w:rPr>
          <w:rFonts w:ascii="Arial" w:cs="Arial" w:eastAsia="Arial" w:hAnsi="Arial"/>
          <w:sz w:val="15"/>
          <w:szCs w:val="15"/>
          <w:color w:val="auto"/>
        </w:rPr>
        <w:t>announcement of actions by the FDA or foreign regulatory authorities or their respective advisory committees regarding our, or our collaborators’ currently pending or future application(s) for regulatory approval of our product candidate(s) or new indications for our marketed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-200660</wp:posOffset>
            </wp:positionV>
            <wp:extent cx="54610" cy="54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right="1460"/>
        <w:spacing w:after="0" w:line="257" w:lineRule="auto"/>
        <w:rPr>
          <w:sz w:val="20"/>
          <w:szCs w:val="20"/>
          <w:color w:val="auto"/>
        </w:rPr>
      </w:pPr>
      <w:r>
        <w:rPr>
          <w:rFonts w:ascii="Arial" w:cs="Arial" w:eastAsia="Arial" w:hAnsi="Arial"/>
          <w:sz w:val="15"/>
          <w:szCs w:val="15"/>
          <w:color w:val="auto"/>
        </w:rPr>
        <w:t>announcement of submission of an application for regulatory approval of one or more of our product candidates or new indications for our marketed products; 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-83820</wp:posOffset>
            </wp:positionV>
            <wp:extent cx="54610" cy="54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5"/>
          <w:szCs w:val="15"/>
          <w:color w:val="auto"/>
        </w:rPr>
        <w:t>announcement of technological innovations or product candidates by us 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-76200</wp:posOffset>
            </wp:positionV>
            <wp:extent cx="54610" cy="546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right="20"/>
        <w:spacing w:after="0" w:line="257" w:lineRule="auto"/>
        <w:rPr>
          <w:sz w:val="20"/>
          <w:szCs w:val="20"/>
          <w:color w:val="auto"/>
        </w:rPr>
      </w:pPr>
      <w:r>
        <w:rPr>
          <w:rFonts w:ascii="Arial" w:cs="Arial" w:eastAsia="Arial" w:hAnsi="Arial"/>
          <w:sz w:val="15"/>
          <w:szCs w:val="15"/>
          <w:color w:val="auto"/>
        </w:rPr>
        <w:t>fluctuations in our operating results; in particular, net product sales of, and profits from, EYLEA and, if any of our product candidates or our new indications for our marketed products receive regulatory approval, net product sales of, and profits from, these product candidates and new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right="20"/>
        <w:spacing w:after="0" w:line="257" w:lineRule="auto"/>
        <w:rPr>
          <w:sz w:val="20"/>
          <w:szCs w:val="20"/>
          <w:color w:val="auto"/>
        </w:rPr>
      </w:pPr>
      <w:r>
        <w:rPr>
          <w:rFonts w:ascii="Arial" w:cs="Arial" w:eastAsia="Arial" w:hAnsi="Arial"/>
          <w:sz w:val="15"/>
          <w:szCs w:val="15"/>
          <w:color w:val="auto"/>
        </w:rPr>
        <w:t>market acceptance of, and fluctuations in market share for, our marketed products, especially EYLEA, and whether these factors, including our net products sales, underperform, meet, or exceed the expectations of investors or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right="4240"/>
        <w:spacing w:after="0" w:line="257" w:lineRule="auto"/>
        <w:rPr>
          <w:sz w:val="20"/>
          <w:szCs w:val="20"/>
          <w:color w:val="auto"/>
        </w:rPr>
      </w:pPr>
      <w:r>
        <w:rPr>
          <w:rFonts w:ascii="Arial" w:cs="Arial" w:eastAsia="Arial" w:hAnsi="Arial"/>
          <w:sz w:val="15"/>
          <w:szCs w:val="15"/>
          <w:color w:val="auto"/>
        </w:rPr>
        <w:t>third-party claims that our products or technologies infringe their patents; third-party challenges to our patents in the European Patent Office and in the U.S. Patent and Trademark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610" cy="5461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-83820</wp:posOffset>
            </wp:positionV>
            <wp:extent cx="54610" cy="54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right="20"/>
        <w:spacing w:after="0" w:line="257" w:lineRule="auto"/>
        <w:rPr>
          <w:sz w:val="20"/>
          <w:szCs w:val="20"/>
          <w:color w:val="auto"/>
        </w:rPr>
      </w:pPr>
      <w:r>
        <w:rPr>
          <w:rFonts w:ascii="Arial" w:cs="Arial" w:eastAsia="Arial" w:hAnsi="Arial"/>
          <w:sz w:val="15"/>
          <w:szCs w:val="15"/>
          <w:color w:val="auto"/>
        </w:rPr>
        <w:t>public concern as to the safety or effectiveness of any of our marketed products or product candidates or new indications for our marketed products, including EYLEA, ZALTRAP, or ARCALYST for the prevention of gout flares in patients initiating uric acid-lowering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right="20"/>
        <w:spacing w:after="0" w:line="257" w:lineRule="auto"/>
        <w:rPr>
          <w:sz w:val="20"/>
          <w:szCs w:val="20"/>
          <w:color w:val="auto"/>
        </w:rPr>
      </w:pPr>
      <w:r>
        <w:rPr>
          <w:rFonts w:ascii="Arial" w:cs="Arial" w:eastAsia="Arial" w:hAnsi="Arial"/>
          <w:sz w:val="15"/>
          <w:szCs w:val="15"/>
          <w:color w:val="auto"/>
        </w:rPr>
        <w:t>pricing or reimbursement actions or decisions by government authorities or insurers affecting the coverage or reimbursement of any of our marketed products or competitors’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5"/>
          <w:szCs w:val="15"/>
          <w:color w:val="auto"/>
        </w:rPr>
        <w:t>our ability to raise additional capital as needed on favorable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-76200</wp:posOffset>
            </wp:positionV>
            <wp:extent cx="54610" cy="54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5"/>
          <w:szCs w:val="15"/>
          <w:color w:val="auto"/>
        </w:rPr>
        <w:t>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-76200</wp:posOffset>
            </wp:positionV>
            <wp:extent cx="54610" cy="546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5"/>
          <w:szCs w:val="15"/>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-76200</wp:posOffset>
            </wp:positionV>
            <wp:extent cx="54610" cy="546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5"/>
          <w:szCs w:val="15"/>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-76200</wp:posOffset>
            </wp:positionV>
            <wp:extent cx="54610" cy="546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5"/>
          <w:szCs w:val="15"/>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-76200</wp:posOffset>
            </wp:positionV>
            <wp:extent cx="54610" cy="546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5"/>
          <w:szCs w:val="15"/>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-76200</wp:posOffset>
            </wp:positionV>
            <wp:extent cx="54610" cy="54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196" w:lineRule="exact"/>
        <w:rPr>
          <w:sz w:val="20"/>
          <w:szCs w:val="20"/>
          <w:color w:val="auto"/>
        </w:rPr>
      </w:pPr>
    </w:p>
    <w:p>
      <w:pPr>
        <w:jc w:val="both"/>
        <w:ind w:firstLine="254"/>
        <w:spacing w:after="0" w:line="281" w:lineRule="auto"/>
        <w:rPr>
          <w:sz w:val="20"/>
          <w:szCs w:val="20"/>
          <w:color w:val="auto"/>
        </w:rPr>
      </w:pPr>
      <w:r>
        <w:rPr>
          <w:rFonts w:ascii="Arial" w:cs="Arial" w:eastAsia="Arial" w:hAnsi="Arial"/>
          <w:sz w:val="15"/>
          <w:szCs w:val="15"/>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Future sales of our Common Stock by our significant shareholders or us may depress our stock price and impair our ability to raise funds in new share offerings.</w:t>
      </w:r>
    </w:p>
    <w:p>
      <w:pPr>
        <w:spacing w:after="0" w:line="232" w:lineRule="exact"/>
        <w:rPr>
          <w:sz w:val="20"/>
          <w:szCs w:val="20"/>
          <w:color w:val="auto"/>
        </w:rPr>
      </w:pPr>
    </w:p>
    <w:p>
      <w:pPr>
        <w:jc w:val="both"/>
        <w:ind w:firstLine="254"/>
        <w:spacing w:after="0" w:line="280" w:lineRule="auto"/>
        <w:rPr>
          <w:sz w:val="20"/>
          <w:szCs w:val="20"/>
          <w:color w:val="auto"/>
        </w:rPr>
      </w:pPr>
      <w:r>
        <w:rPr>
          <w:rFonts w:ascii="Arial" w:cs="Arial" w:eastAsia="Arial" w:hAnsi="Arial"/>
          <w:sz w:val="14"/>
          <w:szCs w:val="14"/>
          <w:color w:val="auto"/>
        </w:rPr>
        <w:t>A small number of our shareholders beneficially own a substantial amount of our Common Stock. As of April 11, 2012, our seven largest shareholders plus Leonard S. Schleifer, M.D, Ph.D., our Chief Executive Officer, beneficially owned 67.4% of our outstanding shares of Common Stock, assuming, in the case of our Chief Executive Officer, the conversion of his Class A Stock into Common Stock and the exercise of all options held by him which are exercisable within 60 days of April 11, 2012. In September 2003, Sanofi (then Aventis Pharmaceuticals Inc.) purchased 2,799,552 newly issued, unregistered shares of our Common Stock, and in December 2007 Sanofi purchased an additional 12,000,000 newly issued, unregistered shares of our Common Stock. Under our investor agreement, as amended, with Sanofi, these shares may not be sold until December 20, 2017 except under limited circumstances and subject to earlier termination of these restrictions upon the occurrence of certain events. In addition, in October 2010, Sanofi purchased an additional 1,017,401 shares of Common Stock in our underwritten public offering. As of April 11, 2012, Sanofi beneficially owned 15,816,953 shares of our Common Stock, representing approximately 17.0% of the shares of Common Stock then outstanding. If Sanofi,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1" w:right="219" w:bottom="1440" w:gutter="0" w:footer="0" w:header="0"/>
        </w:sectPr>
      </w:pPr>
    </w:p>
    <w:bookmarkStart w:id="62" w:name="page63"/>
    <w:bookmarkEnd w:id="62"/>
    <w:p>
      <w:pPr>
        <w:ind w:left="140"/>
        <w:spacing w:after="0"/>
        <w:rPr>
          <w:sz w:val="20"/>
          <w:szCs w:val="20"/>
          <w:color w:val="auto"/>
        </w:rPr>
      </w:pPr>
      <w:r>
        <w:rPr>
          <w:rFonts w:ascii="Arial" w:cs="Arial" w:eastAsia="Arial" w:hAnsi="Arial"/>
          <w:sz w:val="15"/>
          <w:szCs w:val="15"/>
          <w:b w:val="1"/>
          <w:bCs w:val="1"/>
          <w:i w:val="1"/>
          <w:iCs w:val="1"/>
          <w:color w:val="auto"/>
        </w:rPr>
        <w:t>Our existing shareholders may be able to exert significant influence over matters requiring shareholder approval.</w:t>
      </w:r>
    </w:p>
    <w:p>
      <w:pPr>
        <w:spacing w:after="0" w:line="221" w:lineRule="exact"/>
        <w:rPr>
          <w:sz w:val="20"/>
          <w:szCs w:val="20"/>
          <w:color w:val="auto"/>
        </w:rPr>
      </w:pPr>
    </w:p>
    <w:p>
      <w:pPr>
        <w:jc w:val="both"/>
        <w:ind w:firstLine="266"/>
        <w:spacing w:after="0" w:line="286" w:lineRule="auto"/>
        <w:rPr>
          <w:sz w:val="20"/>
          <w:szCs w:val="20"/>
          <w:color w:val="auto"/>
        </w:rPr>
      </w:pPr>
      <w:r>
        <w:rPr>
          <w:rFonts w:ascii="Arial" w:cs="Arial" w:eastAsia="Arial" w:hAnsi="Arial"/>
          <w:sz w:val="14"/>
          <w:szCs w:val="14"/>
          <w:color w:val="auto"/>
        </w:rPr>
        <w:t>Holders of Class A Stock, who are generally the shareholders who purchased their stock from us before our initial public offering, are entitled to ten votes per share, while holders of Common Stock are entitled to one vote per share. As of April 11, 2012, holders of Class A Stock held 18.3%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11, 2012:</w:t>
      </w:r>
    </w:p>
    <w:p>
      <w:pPr>
        <w:spacing w:after="0" w:line="150" w:lineRule="exact"/>
        <w:rPr>
          <w:sz w:val="20"/>
          <w:szCs w:val="20"/>
          <w:color w:val="auto"/>
        </w:rPr>
      </w:pPr>
    </w:p>
    <w:p>
      <w:pPr>
        <w:jc w:val="both"/>
        <w:ind w:left="460"/>
        <w:spacing w:after="0" w:line="278" w:lineRule="auto"/>
        <w:rPr>
          <w:sz w:val="20"/>
          <w:szCs w:val="20"/>
          <w:color w:val="auto"/>
        </w:rPr>
      </w:pPr>
      <w:r>
        <w:rPr>
          <w:rFonts w:ascii="Arial" w:cs="Arial" w:eastAsia="Arial" w:hAnsi="Arial"/>
          <w:sz w:val="14"/>
          <w:szCs w:val="14"/>
          <w:color w:val="auto"/>
        </w:rPr>
        <w:t>our current executive officers and directors beneficially owned 11.1% of our outstanding shares of Common Stock, assuming conversion of their Class A Stock into Common Stock and the exercise of all options held by such persons which are exercisable within 60 days of April 11, 2012, and 24.0% of the combined voting power of our outstanding shares of Common Stock and Class A Stock, assuming the exercise of all options held by such persons which are exercisable within 60 days of April 11, 2012;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-318770</wp:posOffset>
            </wp:positionV>
            <wp:extent cx="54610" cy="546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jc w:val="both"/>
        <w:ind w:left="460"/>
        <w:spacing w:after="0" w:line="263" w:lineRule="auto"/>
        <w:rPr>
          <w:sz w:val="20"/>
          <w:szCs w:val="20"/>
          <w:color w:val="auto"/>
        </w:rPr>
      </w:pPr>
      <w:r>
        <w:rPr>
          <w:rFonts w:ascii="Arial" w:cs="Arial" w:eastAsia="Arial" w:hAnsi="Arial"/>
          <w:sz w:val="15"/>
          <w:szCs w:val="15"/>
          <w:color w:val="auto"/>
        </w:rPr>
        <w:t>our seven largest shareholders plus Leonard S. Schleifer, M.D., Ph.D. our Chief Executive Officer, beneficially owned 67.4% of our outstanding shares of Common Stock, assuming, in the case of our Chief Executive Officer, the conversion of his Class A Stock into Common Stock and the exercise of all options held by him which are exercisable within 60 days of April 11, 2012. In addition, these seven shareholders held 69.8% of the combined voting power of our outstanding shares of Common Stock and Class A Stock, assuming the exercise of all options held by our Chief Executive Officer which are exercisable within 60 days of April 11,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-446405</wp:posOffset>
            </wp:positionV>
            <wp:extent cx="54610" cy="546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167" w:lineRule="exact"/>
        <w:rPr>
          <w:sz w:val="20"/>
          <w:szCs w:val="20"/>
          <w:color w:val="auto"/>
        </w:rPr>
      </w:pPr>
    </w:p>
    <w:p>
      <w:pPr>
        <w:jc w:val="both"/>
        <w:ind w:firstLine="231"/>
        <w:spacing w:after="0" w:line="265" w:lineRule="auto"/>
        <w:rPr>
          <w:sz w:val="20"/>
          <w:szCs w:val="20"/>
          <w:color w:val="auto"/>
        </w:rPr>
      </w:pPr>
      <w:r>
        <w:rPr>
          <w:rFonts w:ascii="Arial" w:cs="Arial" w:eastAsia="Arial" w:hAnsi="Arial"/>
          <w:sz w:val="15"/>
          <w:szCs w:val="15"/>
          <w:color w:val="auto"/>
        </w:rPr>
        <w:t>Pursuant to an investor agreement, as amended, Sanofi has agreed to vote its shares, at Sanofi’s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63" w:lineRule="exact"/>
        <w:rPr>
          <w:sz w:val="20"/>
          <w:szCs w:val="20"/>
          <w:color w:val="auto"/>
        </w:rPr>
      </w:pPr>
    </w:p>
    <w:p>
      <w:pPr>
        <w:ind w:left="140" w:right="20"/>
        <w:spacing w:after="0" w:line="318" w:lineRule="auto"/>
        <w:rPr>
          <w:sz w:val="20"/>
          <w:szCs w:val="20"/>
          <w:color w:val="auto"/>
        </w:rPr>
      </w:pPr>
      <w:r>
        <w:rPr>
          <w:rFonts w:ascii="Arial" w:cs="Arial" w:eastAsia="Arial" w:hAnsi="Arial"/>
          <w:sz w:val="14"/>
          <w:szCs w:val="14"/>
          <w:b w:val="1"/>
          <w:bCs w:val="1"/>
          <w:i w:val="1"/>
          <w:iCs w:val="1"/>
          <w:color w:val="auto"/>
        </w:rPr>
        <w:t>The anti-takeover effects of provisions of our charter, by-laws, and of New York corporate law and the contractual “standstill” provisions in our investor agreement with Sanofi, could deter, delay, or prevent an acquisition or other “change in control” of us and could adversely affect the price of our Common Stock.</w:t>
      </w:r>
    </w:p>
    <w:p>
      <w:pPr>
        <w:spacing w:after="0" w:line="151" w:lineRule="exact"/>
        <w:rPr>
          <w:sz w:val="20"/>
          <w:szCs w:val="20"/>
          <w:color w:val="auto"/>
        </w:rPr>
      </w:pPr>
    </w:p>
    <w:p>
      <w:pPr>
        <w:jc w:val="both"/>
        <w:ind w:firstLine="289"/>
        <w:spacing w:after="0" w:line="265" w:lineRule="auto"/>
        <w:rPr>
          <w:sz w:val="20"/>
          <w:szCs w:val="20"/>
          <w:color w:val="auto"/>
        </w:rPr>
      </w:pPr>
      <w:r>
        <w:rPr>
          <w:rFonts w:ascii="Arial" w:cs="Arial" w:eastAsia="Arial" w:hAnsi="Arial"/>
          <w:sz w:val="15"/>
          <w:szCs w:val="15"/>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63" w:lineRule="exact"/>
        <w:rPr>
          <w:sz w:val="20"/>
          <w:szCs w:val="20"/>
          <w:color w:val="auto"/>
        </w:rPr>
      </w:pPr>
    </w:p>
    <w:p>
      <w:pPr>
        <w:ind w:left="460" w:right="20"/>
        <w:spacing w:after="0" w:line="281" w:lineRule="auto"/>
        <w:rPr>
          <w:sz w:val="20"/>
          <w:szCs w:val="20"/>
          <w:color w:val="auto"/>
        </w:rPr>
      </w:pPr>
      <w:r>
        <w:rPr>
          <w:rFonts w:ascii="Arial" w:cs="Arial" w:eastAsia="Arial" w:hAnsi="Arial"/>
          <w:sz w:val="15"/>
          <w:szCs w:val="15"/>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-219710</wp:posOffset>
            </wp:positionV>
            <wp:extent cx="54610" cy="546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525" w:right="219" w:bottom="1440" w:gutter="0" w:footer="0" w:header="0"/>
        </w:sectPr>
      </w:pPr>
    </w:p>
    <w:bookmarkStart w:id="63" w:name="page64"/>
    <w:bookmarkEnd w:id="63"/>
    <w:p>
      <w:pPr>
        <w:ind w:left="460"/>
        <w:spacing w:after="0"/>
        <w:rPr>
          <w:sz w:val="20"/>
          <w:szCs w:val="20"/>
          <w:color w:val="auto"/>
        </w:rPr>
      </w:pPr>
      <w:r>
        <w:rPr>
          <w:rFonts w:ascii="Arial" w:cs="Arial" w:eastAsia="Arial" w:hAnsi="Arial"/>
          <w:sz w:val="15"/>
          <w:szCs w:val="15"/>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-73025</wp:posOffset>
            </wp:positionV>
            <wp:extent cx="54610" cy="54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jc w:val="both"/>
        <w:ind w:left="460"/>
        <w:spacing w:after="0" w:line="257" w:lineRule="auto"/>
        <w:rPr>
          <w:sz w:val="20"/>
          <w:szCs w:val="20"/>
          <w:color w:val="auto"/>
        </w:rPr>
      </w:pPr>
      <w:r>
        <w:rPr>
          <w:rFonts w:ascii="Arial" w:cs="Arial" w:eastAsia="Arial" w:hAnsi="Arial"/>
          <w:sz w:val="15"/>
          <w:szCs w:val="15"/>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jc w:val="both"/>
        <w:ind w:left="460"/>
        <w:spacing w:after="0" w:line="257" w:lineRule="auto"/>
        <w:rPr>
          <w:sz w:val="20"/>
          <w:szCs w:val="20"/>
          <w:color w:val="auto"/>
        </w:rPr>
      </w:pPr>
      <w:r>
        <w:rPr>
          <w:rFonts w:ascii="Arial" w:cs="Arial" w:eastAsia="Arial" w:hAnsi="Arial"/>
          <w:sz w:val="15"/>
          <w:szCs w:val="15"/>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jc w:val="both"/>
        <w:ind w:left="460"/>
        <w:spacing w:after="0" w:line="257" w:lineRule="auto"/>
        <w:rPr>
          <w:sz w:val="20"/>
          <w:szCs w:val="20"/>
          <w:color w:val="auto"/>
        </w:rPr>
      </w:pPr>
      <w:r>
        <w:rPr>
          <w:rFonts w:ascii="Arial" w:cs="Arial" w:eastAsia="Arial" w:hAnsi="Arial"/>
          <w:sz w:val="15"/>
          <w:szCs w:val="15"/>
          <w:color w:val="auto"/>
        </w:rPr>
        <w:t>a requirement that 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-201295</wp:posOffset>
            </wp:positionV>
            <wp:extent cx="54610" cy="54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jc w:val="both"/>
        <w:ind w:left="460"/>
        <w:spacing w:after="0" w:line="293" w:lineRule="auto"/>
        <w:rPr>
          <w:sz w:val="20"/>
          <w:szCs w:val="20"/>
          <w:color w:val="auto"/>
        </w:rPr>
      </w:pPr>
      <w:r>
        <w:rPr>
          <w:rFonts w:ascii="Arial" w:cs="Arial" w:eastAsia="Arial" w:hAnsi="Arial"/>
          <w:sz w:val="14"/>
          <w:szCs w:val="14"/>
          <w:color w:val="auto"/>
        </w:rPr>
        <w:t xml:space="preserve">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immediately above captioned </w:t>
      </w:r>
      <w:r>
        <w:rPr>
          <w:rFonts w:ascii="Arial" w:cs="Arial" w:eastAsia="Arial" w:hAnsi="Arial"/>
          <w:sz w:val="14"/>
          <w:szCs w:val="14"/>
          <w:i w:val="1"/>
          <w:iCs w:val="1"/>
          <w:color w:val="auto"/>
        </w:rPr>
        <w:t>“Our existing shareholders may be able to exert significant influence over matters requiring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-340995</wp:posOffset>
            </wp:positionV>
            <wp:extent cx="54610" cy="546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610" cy="54610"/>
                    </a:xfrm>
                    <a:prstGeom prst="rect">
                      <a:avLst/>
                    </a:prstGeom>
                    <a:noFill/>
                  </pic:spPr>
                </pic:pic>
              </a:graphicData>
            </a:graphic>
          </wp:anchor>
        </w:drawing>
      </w:r>
    </w:p>
    <w:p>
      <w:pPr>
        <w:spacing w:after="0" w:line="148" w:lineRule="exact"/>
        <w:rPr>
          <w:sz w:val="20"/>
          <w:szCs w:val="20"/>
          <w:color w:val="auto"/>
        </w:rPr>
      </w:pPr>
    </w:p>
    <w:p>
      <w:pPr>
        <w:jc w:val="both"/>
        <w:ind w:firstLine="254"/>
        <w:spacing w:after="0" w:line="269" w:lineRule="auto"/>
        <w:rPr>
          <w:sz w:val="20"/>
          <w:szCs w:val="20"/>
          <w:color w:val="auto"/>
        </w:rPr>
      </w:pPr>
      <w:r>
        <w:rPr>
          <w:rFonts w:ascii="Arial" w:cs="Arial" w:eastAsia="Arial" w:hAnsi="Arial"/>
          <w:sz w:val="15"/>
          <w:szCs w:val="15"/>
          <w:color w:val="auto"/>
        </w:rPr>
        <w:t>Until the later of the fifth anniversaries of the expiration or earlier termination of our antibody collaboration agreements with Sanofi or our ZALTRAP collaboration with Sanofi, Sanofi will be bound by certain “standstill” provisions, as amended, which contractually prohibit Sanofi from acquiring more than certain specified percentages of our Class A Stock and Common Stock (taken together) or otherwise seeking to obtain control of our company.</w:t>
      </w:r>
    </w:p>
    <w:p>
      <w:pPr>
        <w:spacing w:after="0" w:line="183" w:lineRule="exact"/>
        <w:rPr>
          <w:sz w:val="20"/>
          <w:szCs w:val="20"/>
          <w:color w:val="auto"/>
        </w:rPr>
      </w:pPr>
    </w:p>
    <w:p>
      <w:pPr>
        <w:jc w:val="both"/>
        <w:ind w:firstLine="266"/>
        <w:spacing w:after="0" w:line="265" w:lineRule="auto"/>
        <w:rPr>
          <w:sz w:val="20"/>
          <w:szCs w:val="20"/>
          <w:color w:val="auto"/>
        </w:rPr>
      </w:pPr>
      <w:r>
        <w:rPr>
          <w:rFonts w:ascii="Arial" w:cs="Arial" w:eastAsia="Arial" w:hAnsi="Arial"/>
          <w:sz w:val="15"/>
          <w:szCs w:val="15"/>
          <w:color w:val="auto"/>
        </w:rPr>
        <w:t>In addition, we have a Change in Control Severance Plan and our Chief Executive Officer has an employment agreement that provides severance benefits in the event our officers are terminated as a result of a change in control of our company. Many of our stock options issued under our 2000 Long-Term Incentive Plan, as amended and restated, may become fully vested in connection with a “change in control” of our company, as defined in the plan. These contractual provisions may also have the effect of deterring, delaying, or preventing an acquisition or other 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Relating to Our Convertible Senior Notes and Related Hedge Transactions</w:t>
      </w:r>
    </w:p>
    <w:p>
      <w:pPr>
        <w:spacing w:after="0" w:line="201" w:lineRule="exact"/>
        <w:rPr>
          <w:sz w:val="20"/>
          <w:szCs w:val="20"/>
          <w:color w:val="auto"/>
        </w:rPr>
      </w:pPr>
    </w:p>
    <w:p>
      <w:pPr>
        <w:ind w:left="140"/>
        <w:spacing w:after="0" w:line="281" w:lineRule="auto"/>
        <w:rPr>
          <w:sz w:val="20"/>
          <w:szCs w:val="20"/>
          <w:color w:val="auto"/>
        </w:rPr>
      </w:pPr>
      <w:r>
        <w:rPr>
          <w:rFonts w:ascii="Arial" w:cs="Arial" w:eastAsia="Arial" w:hAnsi="Arial"/>
          <w:sz w:val="15"/>
          <w:szCs w:val="15"/>
          <w:b w:val="1"/>
          <w:bCs w:val="1"/>
          <w:i w:val="1"/>
          <w:iCs w:val="1"/>
          <w:color w:val="auto"/>
        </w:rPr>
        <w:t>The convertible note hedges and warrant transactions we entered into in connection with our 1.875% Convertible Senior Notes issuance may affect the trading price of our Common Stock.</w:t>
      </w:r>
    </w:p>
    <w:p>
      <w:pPr>
        <w:spacing w:after="0" w:line="174" w:lineRule="exact"/>
        <w:rPr>
          <w:sz w:val="20"/>
          <w:szCs w:val="20"/>
          <w:color w:val="auto"/>
        </w:rPr>
      </w:pPr>
    </w:p>
    <w:p>
      <w:pPr>
        <w:jc w:val="both"/>
        <w:ind w:firstLine="277"/>
        <w:spacing w:after="0" w:line="286" w:lineRule="auto"/>
        <w:rPr>
          <w:sz w:val="20"/>
          <w:szCs w:val="20"/>
          <w:color w:val="auto"/>
        </w:rPr>
      </w:pPr>
      <w:r>
        <w:rPr>
          <w:rFonts w:ascii="Arial" w:cs="Arial" w:eastAsia="Arial" w:hAnsi="Arial"/>
          <w:sz w:val="14"/>
          <w:szCs w:val="14"/>
          <w:color w:val="auto"/>
        </w:rPr>
        <w:t>In connection with our offering of our 1.875% Convertible Senior Notes due October 1, 2016, we entered into convertible note hedge transactions with four financial institutions (the “hedge counterparties”). The convertible note hedge transactions are expected to reduce the potential dilution to our Common Stock and/or offset potential cash payments in excess of the principal amount of the notes, as the case may be upon conversion of the notes. In the event that the hedge counterparties fail to deliver shares to us or potential cash payments as the case may be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w:t>
      </w:r>
    </w:p>
    <w:p>
      <w:pPr>
        <w:spacing w:after="0" w:line="17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5"/>
          <w:szCs w:val="15"/>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188" w:lineRule="exact"/>
        <w:rPr>
          <w:sz w:val="20"/>
          <w:szCs w:val="20"/>
          <w:color w:val="auto"/>
        </w:rPr>
      </w:pPr>
    </w:p>
    <w:p>
      <w:pPr>
        <w:jc w:val="both"/>
        <w:ind w:firstLine="231"/>
        <w:spacing w:after="0" w:line="307" w:lineRule="auto"/>
        <w:rPr>
          <w:sz w:val="20"/>
          <w:szCs w:val="20"/>
          <w:color w:val="auto"/>
        </w:rPr>
      </w:pPr>
      <w:r>
        <w:rPr>
          <w:rFonts w:ascii="Arial" w:cs="Arial" w:eastAsia="Arial" w:hAnsi="Arial"/>
          <w:sz w:val="13"/>
          <w:szCs w:val="13"/>
          <w:color w:val="auto"/>
        </w:rPr>
        <w:t>In addition, we intend to exercise options under the convertible note hedge transactions whenever notes are converted. In order to unwind its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0"/>
          </w:cols>
          <w:pgMar w:left="240" w:top="491" w:right="219" w:bottom="1440" w:gutter="0" w:footer="0" w:header="0"/>
        </w:sectPr>
      </w:pPr>
    </w:p>
    <w:bookmarkStart w:id="64" w:name="page65"/>
    <w:bookmarkEnd w:id="64"/>
    <w:p>
      <w:pPr>
        <w:ind w:left="140" w:right="40"/>
        <w:spacing w:after="0" w:line="281" w:lineRule="auto"/>
        <w:rPr>
          <w:sz w:val="20"/>
          <w:szCs w:val="20"/>
          <w:color w:val="auto"/>
        </w:rPr>
      </w:pPr>
      <w:r>
        <w:rPr>
          <w:rFonts w:ascii="Arial" w:cs="Arial" w:eastAsia="Arial" w:hAnsi="Arial"/>
          <w:sz w:val="15"/>
          <w:szCs w:val="15"/>
          <w:b w:val="1"/>
          <w:bCs w:val="1"/>
          <w:i w:val="1"/>
          <w:iCs w:val="1"/>
          <w:color w:val="auto"/>
        </w:rPr>
        <w:t>The fundamental change provisions of our 1.875% Convertible Senior Notes and certain of the terms of the convertible note hedge and warrant transactions may delay or prevent an otherwise beneficial takeover attempt of us.</w:t>
      </w:r>
    </w:p>
    <w:p>
      <w:pPr>
        <w:spacing w:after="0" w:line="174" w:lineRule="exact"/>
        <w:rPr>
          <w:sz w:val="20"/>
          <w:szCs w:val="20"/>
          <w:color w:val="auto"/>
        </w:rPr>
      </w:pPr>
    </w:p>
    <w:p>
      <w:pPr>
        <w:jc w:val="both"/>
        <w:ind w:right="20" w:firstLine="231"/>
        <w:spacing w:after="0" w:line="309" w:lineRule="auto"/>
        <w:rPr>
          <w:sz w:val="20"/>
          <w:szCs w:val="20"/>
          <w:color w:val="auto"/>
        </w:rPr>
      </w:pPr>
      <w:r>
        <w:rPr>
          <w:rFonts w:ascii="Arial" w:cs="Arial" w:eastAsia="Arial" w:hAnsi="Arial"/>
          <w:sz w:val="13"/>
          <w:szCs w:val="13"/>
          <w:color w:val="auto"/>
        </w:rPr>
        <w:t>The fundamental change purchase rights, which will allow noteholders to require us to purchase all or a portion of their notes upon the occurrence of a fundamental change, as defined in the indenture governing the notes, and the provisions requiring an increase to the conversion rate for conversions in connection with make-whole fundamental changes, as set forth in the indenture, may in certain circumstances delay or prevent a takeover of us and the removal of incumbent management that might otherwise be beneficial to investors. In addition, upon the occurrence of certain extraordinary events, the convertible note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EXHIBITS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 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5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76"/>
        </w:trPr>
        <w:tc>
          <w:tcPr>
            <w:tcW w:w="680" w:type="dxa"/>
            <w:vAlign w:val="bottom"/>
            <w:gridSpan w:val="2"/>
          </w:tcPr>
          <w:p>
            <w:pPr>
              <w:spacing w:after="0"/>
              <w:rPr>
                <w:sz w:val="20"/>
                <w:szCs w:val="20"/>
                <w:color w:val="auto"/>
              </w:rPr>
            </w:pPr>
            <w:r>
              <w:rPr>
                <w:rFonts w:ascii="Arial" w:cs="Arial" w:eastAsia="Arial" w:hAnsi="Arial"/>
                <w:sz w:val="15"/>
                <w:szCs w:val="15"/>
                <w:b w:val="1"/>
                <w:bCs w:val="1"/>
                <w:color w:val="auto"/>
              </w:rPr>
              <w:t>Number</w:t>
            </w:r>
          </w:p>
        </w:tc>
        <w:tc>
          <w:tcPr>
            <w:tcW w:w="10440" w:type="dxa"/>
            <w:vAlign w:val="bottom"/>
            <w:gridSpan w:val="3"/>
          </w:tcPr>
          <w:p>
            <w:pPr>
              <w:ind w:left="120"/>
              <w:spacing w:after="0"/>
              <w:rPr>
                <w:sz w:val="20"/>
                <w:szCs w:val="20"/>
                <w:color w:val="auto"/>
              </w:rPr>
            </w:pPr>
            <w:r>
              <w:rPr>
                <w:rFonts w:ascii="Arial" w:cs="Arial" w:eastAsia="Arial" w:hAnsi="Arial"/>
                <w:sz w:val="15"/>
                <w:szCs w:val="15"/>
                <w:b w:val="1"/>
                <w:bCs w:val="1"/>
                <w:color w:val="auto"/>
              </w:rPr>
              <w:t>Description</w:t>
            </w:r>
          </w:p>
        </w:tc>
        <w:tc>
          <w:tcPr>
            <w:tcW w:w="340" w:type="dxa"/>
            <w:vAlign w:val="bottom"/>
          </w:tcPr>
          <w:p>
            <w:pPr>
              <w:spacing w:after="0"/>
              <w:rPr>
                <w:sz w:val="15"/>
                <w:szCs w:val="15"/>
                <w:color w:val="auto"/>
              </w:rPr>
            </w:pPr>
          </w:p>
        </w:tc>
      </w:tr>
      <w:tr>
        <w:trPr>
          <w:trHeight w:val="26"/>
        </w:trPr>
        <w:tc>
          <w:tcPr>
            <w:tcW w:w="5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95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08"/>
        </w:trPr>
        <w:tc>
          <w:tcPr>
            <w:tcW w:w="520" w:type="dxa"/>
            <w:vAlign w:val="bottom"/>
            <w:shd w:val="clear" w:color="auto" w:fill="CCEEFF"/>
          </w:tcPr>
          <w:p>
            <w:pPr>
              <w:spacing w:after="0"/>
              <w:rPr>
                <w:sz w:val="20"/>
                <w:szCs w:val="20"/>
                <w:color w:val="auto"/>
              </w:rPr>
            </w:pPr>
            <w:r>
              <w:rPr>
                <w:rFonts w:ascii="Arial" w:cs="Arial" w:eastAsia="Arial" w:hAnsi="Arial"/>
                <w:sz w:val="15"/>
                <w:szCs w:val="15"/>
                <w:color w:val="auto"/>
              </w:rPr>
              <w:t>31.1</w:t>
            </w:r>
          </w:p>
        </w:tc>
        <w:tc>
          <w:tcPr>
            <w:tcW w:w="160" w:type="dxa"/>
            <w:vAlign w:val="bottom"/>
            <w:shd w:val="clear" w:color="auto" w:fill="CCEEFF"/>
          </w:tcPr>
          <w:p>
            <w:pPr>
              <w:spacing w:after="0"/>
              <w:rPr>
                <w:sz w:val="18"/>
                <w:szCs w:val="18"/>
                <w:color w:val="auto"/>
              </w:rPr>
            </w:pPr>
          </w:p>
        </w:tc>
        <w:tc>
          <w:tcPr>
            <w:tcW w:w="1044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 Certification of CEO pursuant to Rule 13a-14(a) under the Securities Exchange Act of 1934.</w:t>
            </w:r>
          </w:p>
        </w:tc>
        <w:tc>
          <w:tcPr>
            <w:tcW w:w="340" w:type="dxa"/>
            <w:vAlign w:val="bottom"/>
          </w:tcPr>
          <w:p>
            <w:pPr>
              <w:spacing w:after="0"/>
              <w:rPr>
                <w:sz w:val="18"/>
                <w:szCs w:val="18"/>
                <w:color w:val="auto"/>
              </w:rPr>
            </w:pPr>
          </w:p>
        </w:tc>
      </w:tr>
      <w:tr>
        <w:trPr>
          <w:trHeight w:val="201"/>
        </w:trPr>
        <w:tc>
          <w:tcPr>
            <w:tcW w:w="520" w:type="dxa"/>
            <w:vAlign w:val="bottom"/>
          </w:tcPr>
          <w:p>
            <w:pPr>
              <w:spacing w:after="0"/>
              <w:rPr>
                <w:sz w:val="20"/>
                <w:szCs w:val="20"/>
                <w:color w:val="auto"/>
              </w:rPr>
            </w:pPr>
            <w:r>
              <w:rPr>
                <w:rFonts w:ascii="Arial" w:cs="Arial" w:eastAsia="Arial" w:hAnsi="Arial"/>
                <w:sz w:val="15"/>
                <w:szCs w:val="15"/>
                <w:color w:val="auto"/>
              </w:rPr>
              <w:t>31.2</w:t>
            </w:r>
          </w:p>
        </w:tc>
        <w:tc>
          <w:tcPr>
            <w:tcW w:w="160" w:type="dxa"/>
            <w:vAlign w:val="bottom"/>
          </w:tcPr>
          <w:p>
            <w:pPr>
              <w:spacing w:after="0"/>
              <w:rPr>
                <w:sz w:val="17"/>
                <w:szCs w:val="17"/>
                <w:color w:val="auto"/>
              </w:rPr>
            </w:pPr>
          </w:p>
        </w:tc>
        <w:tc>
          <w:tcPr>
            <w:tcW w:w="10440" w:type="dxa"/>
            <w:vAlign w:val="bottom"/>
            <w:gridSpan w:val="3"/>
          </w:tcPr>
          <w:p>
            <w:pPr>
              <w:ind w:left="120"/>
              <w:spacing w:after="0"/>
              <w:rPr>
                <w:sz w:val="20"/>
                <w:szCs w:val="20"/>
                <w:color w:val="auto"/>
              </w:rPr>
            </w:pPr>
            <w:r>
              <w:rPr>
                <w:rFonts w:ascii="Arial" w:cs="Arial" w:eastAsia="Arial" w:hAnsi="Arial"/>
                <w:sz w:val="15"/>
                <w:szCs w:val="15"/>
                <w:color w:val="auto"/>
              </w:rPr>
              <w:t>- Certification of CFO pursuant to Rule 13a-14(a) under the Securities Exchange Act of 1934.</w:t>
            </w:r>
          </w:p>
        </w:tc>
        <w:tc>
          <w:tcPr>
            <w:tcW w:w="340" w:type="dxa"/>
            <w:vAlign w:val="bottom"/>
          </w:tcPr>
          <w:p>
            <w:pPr>
              <w:spacing w:after="0"/>
              <w:rPr>
                <w:sz w:val="17"/>
                <w:szCs w:val="17"/>
                <w:color w:val="auto"/>
              </w:rPr>
            </w:pPr>
          </w:p>
        </w:tc>
      </w:tr>
      <w:tr>
        <w:trPr>
          <w:trHeight w:val="215"/>
        </w:trPr>
        <w:tc>
          <w:tcPr>
            <w:tcW w:w="520" w:type="dxa"/>
            <w:vAlign w:val="bottom"/>
            <w:shd w:val="clear" w:color="auto" w:fill="CCEEFF"/>
          </w:tcPr>
          <w:p>
            <w:pPr>
              <w:spacing w:after="0"/>
              <w:rPr>
                <w:sz w:val="20"/>
                <w:szCs w:val="20"/>
                <w:color w:val="auto"/>
              </w:rPr>
            </w:pPr>
            <w:r>
              <w:rPr>
                <w:rFonts w:ascii="Arial" w:cs="Arial" w:eastAsia="Arial" w:hAnsi="Arial"/>
                <w:sz w:val="15"/>
                <w:szCs w:val="15"/>
                <w:color w:val="auto"/>
              </w:rPr>
              <w:t>32</w:t>
            </w:r>
          </w:p>
        </w:tc>
        <w:tc>
          <w:tcPr>
            <w:tcW w:w="160" w:type="dxa"/>
            <w:vAlign w:val="bottom"/>
            <w:shd w:val="clear" w:color="auto" w:fill="CCEEFF"/>
          </w:tcPr>
          <w:p>
            <w:pPr>
              <w:spacing w:after="0"/>
              <w:rPr>
                <w:sz w:val="18"/>
                <w:szCs w:val="18"/>
                <w:color w:val="auto"/>
              </w:rPr>
            </w:pPr>
          </w:p>
        </w:tc>
        <w:tc>
          <w:tcPr>
            <w:tcW w:w="1044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 Certification of CEO and CFO pursuant to 18 U.S.C. Section 1350.</w:t>
            </w:r>
          </w:p>
        </w:tc>
        <w:tc>
          <w:tcPr>
            <w:tcW w:w="340" w:type="dxa"/>
            <w:vAlign w:val="bottom"/>
          </w:tcPr>
          <w:p>
            <w:pPr>
              <w:spacing w:after="0"/>
              <w:rPr>
                <w:sz w:val="18"/>
                <w:szCs w:val="18"/>
                <w:color w:val="auto"/>
              </w:rPr>
            </w:pPr>
          </w:p>
        </w:tc>
      </w:tr>
      <w:tr>
        <w:trPr>
          <w:trHeight w:val="201"/>
        </w:trPr>
        <w:tc>
          <w:tcPr>
            <w:tcW w:w="520" w:type="dxa"/>
            <w:vAlign w:val="bottom"/>
          </w:tcPr>
          <w:p>
            <w:pPr>
              <w:spacing w:after="0"/>
              <w:rPr>
                <w:sz w:val="20"/>
                <w:szCs w:val="20"/>
                <w:color w:val="auto"/>
              </w:rPr>
            </w:pPr>
            <w:r>
              <w:rPr>
                <w:rFonts w:ascii="Arial" w:cs="Arial" w:eastAsia="Arial" w:hAnsi="Arial"/>
                <w:sz w:val="15"/>
                <w:szCs w:val="15"/>
                <w:color w:val="auto"/>
              </w:rPr>
              <w:t>101</w:t>
            </w:r>
          </w:p>
        </w:tc>
        <w:tc>
          <w:tcPr>
            <w:tcW w:w="160" w:type="dxa"/>
            <w:vAlign w:val="bottom"/>
          </w:tcPr>
          <w:p>
            <w:pPr>
              <w:spacing w:after="0"/>
              <w:rPr>
                <w:sz w:val="17"/>
                <w:szCs w:val="17"/>
                <w:color w:val="auto"/>
              </w:rPr>
            </w:pPr>
          </w:p>
        </w:tc>
        <w:tc>
          <w:tcPr>
            <w:tcW w:w="10440" w:type="dxa"/>
            <w:vAlign w:val="bottom"/>
            <w:gridSpan w:val="3"/>
          </w:tcPr>
          <w:p>
            <w:pPr>
              <w:ind w:left="120"/>
              <w:spacing w:after="0"/>
              <w:rPr>
                <w:sz w:val="20"/>
                <w:szCs w:val="20"/>
                <w:color w:val="auto"/>
              </w:rPr>
            </w:pPr>
            <w:r>
              <w:rPr>
                <w:rFonts w:ascii="Arial" w:cs="Arial" w:eastAsia="Arial" w:hAnsi="Arial"/>
                <w:sz w:val="15"/>
                <w:szCs w:val="15"/>
                <w:color w:val="auto"/>
              </w:rPr>
              <w:t>- Interactive Data File</w:t>
            </w:r>
          </w:p>
        </w:tc>
        <w:tc>
          <w:tcPr>
            <w:tcW w:w="340" w:type="dxa"/>
            <w:vAlign w:val="bottom"/>
          </w:tcPr>
          <w:p>
            <w:pPr>
              <w:spacing w:after="0"/>
              <w:rPr>
                <w:sz w:val="17"/>
                <w:szCs w:val="17"/>
                <w:color w:val="auto"/>
              </w:rPr>
            </w:pPr>
          </w:p>
        </w:tc>
      </w:tr>
      <w:tr>
        <w:trPr>
          <w:trHeight w:val="215"/>
        </w:trPr>
        <w:tc>
          <w:tcPr>
            <w:tcW w:w="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101.INS</w:t>
            </w:r>
          </w:p>
        </w:tc>
        <w:tc>
          <w:tcPr>
            <w:tcW w:w="1044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 XBRL Instance Document</w:t>
            </w:r>
          </w:p>
        </w:tc>
        <w:tc>
          <w:tcPr>
            <w:tcW w:w="340" w:type="dxa"/>
            <w:vAlign w:val="bottom"/>
          </w:tcPr>
          <w:p>
            <w:pPr>
              <w:spacing w:after="0"/>
              <w:rPr>
                <w:sz w:val="18"/>
                <w:szCs w:val="18"/>
                <w:color w:val="auto"/>
              </w:rPr>
            </w:pPr>
          </w:p>
        </w:tc>
      </w:tr>
      <w:tr>
        <w:trPr>
          <w:trHeight w:val="201"/>
        </w:trPr>
        <w:tc>
          <w:tcPr>
            <w:tcW w:w="680" w:type="dxa"/>
            <w:vAlign w:val="bottom"/>
            <w:gridSpan w:val="2"/>
          </w:tcPr>
          <w:p>
            <w:pPr>
              <w:spacing w:after="0"/>
              <w:rPr>
                <w:sz w:val="20"/>
                <w:szCs w:val="20"/>
                <w:color w:val="auto"/>
              </w:rPr>
            </w:pPr>
            <w:r>
              <w:rPr>
                <w:rFonts w:ascii="Arial" w:cs="Arial" w:eastAsia="Arial" w:hAnsi="Arial"/>
                <w:sz w:val="15"/>
                <w:szCs w:val="15"/>
                <w:color w:val="auto"/>
              </w:rPr>
              <w:t>101.SCH</w:t>
            </w:r>
          </w:p>
        </w:tc>
        <w:tc>
          <w:tcPr>
            <w:tcW w:w="10440" w:type="dxa"/>
            <w:vAlign w:val="bottom"/>
            <w:gridSpan w:val="3"/>
          </w:tcPr>
          <w:p>
            <w:pPr>
              <w:ind w:left="120"/>
              <w:spacing w:after="0"/>
              <w:rPr>
                <w:sz w:val="20"/>
                <w:szCs w:val="20"/>
                <w:color w:val="auto"/>
              </w:rPr>
            </w:pPr>
            <w:r>
              <w:rPr>
                <w:rFonts w:ascii="Arial" w:cs="Arial" w:eastAsia="Arial" w:hAnsi="Arial"/>
                <w:sz w:val="15"/>
                <w:szCs w:val="15"/>
                <w:color w:val="auto"/>
              </w:rPr>
              <w:t>- XBRL Taxonomy Extension Schema</w:t>
            </w:r>
          </w:p>
        </w:tc>
        <w:tc>
          <w:tcPr>
            <w:tcW w:w="340" w:type="dxa"/>
            <w:vAlign w:val="bottom"/>
          </w:tcPr>
          <w:p>
            <w:pPr>
              <w:spacing w:after="0"/>
              <w:rPr>
                <w:sz w:val="17"/>
                <w:szCs w:val="17"/>
                <w:color w:val="auto"/>
              </w:rPr>
            </w:pPr>
          </w:p>
        </w:tc>
      </w:tr>
      <w:tr>
        <w:trPr>
          <w:trHeight w:val="215"/>
        </w:trPr>
        <w:tc>
          <w:tcPr>
            <w:tcW w:w="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101.CAL</w:t>
            </w:r>
          </w:p>
        </w:tc>
        <w:tc>
          <w:tcPr>
            <w:tcW w:w="1044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 XBRL Taxonomy Extension Calculation Linkbase</w:t>
            </w:r>
          </w:p>
        </w:tc>
        <w:tc>
          <w:tcPr>
            <w:tcW w:w="340" w:type="dxa"/>
            <w:vAlign w:val="bottom"/>
          </w:tcPr>
          <w:p>
            <w:pPr>
              <w:spacing w:after="0"/>
              <w:rPr>
                <w:sz w:val="18"/>
                <w:szCs w:val="18"/>
                <w:color w:val="auto"/>
              </w:rPr>
            </w:pPr>
          </w:p>
        </w:tc>
      </w:tr>
      <w:tr>
        <w:trPr>
          <w:trHeight w:val="201"/>
        </w:trPr>
        <w:tc>
          <w:tcPr>
            <w:tcW w:w="680" w:type="dxa"/>
            <w:vAlign w:val="bottom"/>
            <w:gridSpan w:val="2"/>
          </w:tcPr>
          <w:p>
            <w:pPr>
              <w:spacing w:after="0"/>
              <w:rPr>
                <w:sz w:val="20"/>
                <w:szCs w:val="20"/>
                <w:color w:val="auto"/>
              </w:rPr>
            </w:pPr>
            <w:r>
              <w:rPr>
                <w:rFonts w:ascii="Arial" w:cs="Arial" w:eastAsia="Arial" w:hAnsi="Arial"/>
                <w:sz w:val="15"/>
                <w:szCs w:val="15"/>
                <w:color w:val="auto"/>
              </w:rPr>
              <w:t>101.LAB</w:t>
            </w:r>
          </w:p>
        </w:tc>
        <w:tc>
          <w:tcPr>
            <w:tcW w:w="10440" w:type="dxa"/>
            <w:vAlign w:val="bottom"/>
            <w:gridSpan w:val="3"/>
          </w:tcPr>
          <w:p>
            <w:pPr>
              <w:ind w:left="120"/>
              <w:spacing w:after="0"/>
              <w:rPr>
                <w:sz w:val="20"/>
                <w:szCs w:val="20"/>
                <w:color w:val="auto"/>
              </w:rPr>
            </w:pPr>
            <w:r>
              <w:rPr>
                <w:rFonts w:ascii="Arial" w:cs="Arial" w:eastAsia="Arial" w:hAnsi="Arial"/>
                <w:sz w:val="15"/>
                <w:szCs w:val="15"/>
                <w:color w:val="auto"/>
              </w:rPr>
              <w:t>- XBRL Taxonomy Extension Label Linkbase</w:t>
            </w:r>
          </w:p>
        </w:tc>
        <w:tc>
          <w:tcPr>
            <w:tcW w:w="340" w:type="dxa"/>
            <w:vAlign w:val="bottom"/>
          </w:tcPr>
          <w:p>
            <w:pPr>
              <w:spacing w:after="0"/>
              <w:rPr>
                <w:sz w:val="17"/>
                <w:szCs w:val="17"/>
                <w:color w:val="auto"/>
              </w:rPr>
            </w:pPr>
          </w:p>
        </w:tc>
      </w:tr>
      <w:tr>
        <w:trPr>
          <w:trHeight w:val="215"/>
        </w:trPr>
        <w:tc>
          <w:tcPr>
            <w:tcW w:w="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101.PRE</w:t>
            </w:r>
          </w:p>
        </w:tc>
        <w:tc>
          <w:tcPr>
            <w:tcW w:w="1044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 XBRL Taxonomy Extension Presentation Linkbase</w:t>
            </w:r>
          </w:p>
        </w:tc>
        <w:tc>
          <w:tcPr>
            <w:tcW w:w="340" w:type="dxa"/>
            <w:vAlign w:val="bottom"/>
          </w:tcPr>
          <w:p>
            <w:pPr>
              <w:spacing w:after="0"/>
              <w:rPr>
                <w:sz w:val="18"/>
                <w:szCs w:val="18"/>
                <w:color w:val="auto"/>
              </w:rPr>
            </w:pPr>
          </w:p>
        </w:tc>
      </w:tr>
      <w:tr>
        <w:trPr>
          <w:trHeight w:val="194"/>
        </w:trPr>
        <w:tc>
          <w:tcPr>
            <w:tcW w:w="680" w:type="dxa"/>
            <w:vAlign w:val="bottom"/>
            <w:gridSpan w:val="2"/>
          </w:tcPr>
          <w:p>
            <w:pPr>
              <w:spacing w:after="0"/>
              <w:rPr>
                <w:sz w:val="20"/>
                <w:szCs w:val="20"/>
                <w:color w:val="auto"/>
              </w:rPr>
            </w:pPr>
            <w:r>
              <w:rPr>
                <w:rFonts w:ascii="Arial" w:cs="Arial" w:eastAsia="Arial" w:hAnsi="Arial"/>
                <w:sz w:val="15"/>
                <w:szCs w:val="15"/>
                <w:color w:val="auto"/>
              </w:rPr>
              <w:t>101.DEF</w:t>
            </w:r>
          </w:p>
        </w:tc>
        <w:tc>
          <w:tcPr>
            <w:tcW w:w="10440" w:type="dxa"/>
            <w:vAlign w:val="bottom"/>
            <w:gridSpan w:val="3"/>
          </w:tcPr>
          <w:p>
            <w:pPr>
              <w:ind w:left="120"/>
              <w:spacing w:after="0"/>
              <w:rPr>
                <w:sz w:val="20"/>
                <w:szCs w:val="20"/>
                <w:color w:val="auto"/>
              </w:rPr>
            </w:pPr>
            <w:r>
              <w:rPr>
                <w:rFonts w:ascii="Arial" w:cs="Arial" w:eastAsia="Arial" w:hAnsi="Arial"/>
                <w:sz w:val="15"/>
                <w:szCs w:val="15"/>
                <w:color w:val="auto"/>
              </w:rPr>
              <w:t>- XBRL Taxonomy Extension Definition Document</w:t>
            </w:r>
          </w:p>
        </w:tc>
        <w:tc>
          <w:tcPr>
            <w:tcW w:w="340" w:type="dxa"/>
            <w:vAlign w:val="bottom"/>
          </w:tcPr>
          <w:p>
            <w:pPr>
              <w:spacing w:after="0"/>
              <w:rPr>
                <w:sz w:val="16"/>
                <w:szCs w:val="16"/>
                <w:color w:val="auto"/>
              </w:rPr>
            </w:pPr>
          </w:p>
        </w:tc>
      </w:tr>
      <w:tr>
        <w:trPr>
          <w:trHeight w:val="589"/>
        </w:trPr>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40" w:type="dxa"/>
            <w:vAlign w:val="bottom"/>
            <w:gridSpan w:val="3"/>
          </w:tcPr>
          <w:p>
            <w:pPr>
              <w:ind w:left="4960"/>
              <w:spacing w:after="0"/>
              <w:rPr>
                <w:sz w:val="20"/>
                <w:szCs w:val="20"/>
                <w:color w:val="auto"/>
              </w:rPr>
            </w:pPr>
            <w:r>
              <w:rPr>
                <w:rFonts w:ascii="Arial" w:cs="Arial" w:eastAsia="Arial" w:hAnsi="Arial"/>
                <w:sz w:val="15"/>
                <w:szCs w:val="15"/>
                <w:color w:val="auto"/>
              </w:rPr>
              <w:t>65</w:t>
            </w:r>
          </w:p>
        </w:tc>
        <w:tc>
          <w:tcPr>
            <w:tcW w:w="340" w:type="dxa"/>
            <w:vAlign w:val="bottom"/>
          </w:tcPr>
          <w:p>
            <w:pPr>
              <w:spacing w:after="0"/>
              <w:rPr>
                <w:sz w:val="24"/>
                <w:szCs w:val="24"/>
                <w:color w:val="auto"/>
              </w:rPr>
            </w:pPr>
          </w:p>
        </w:tc>
      </w:tr>
      <w:tr>
        <w:trPr>
          <w:trHeight w:val="195"/>
        </w:trPr>
        <w:tc>
          <w:tcPr>
            <w:tcW w:w="5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958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-13335</wp:posOffset>
            </wp:positionV>
            <wp:extent cx="1270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25" w:right="199" w:bottom="1440" w:gutter="0" w:footer="0" w:header="0"/>
        </w:sectPr>
      </w:pPr>
    </w:p>
    <w:bookmarkStart w:id="65" w:name="page66"/>
    <w:bookmarkEnd w:id="65"/>
    <w:p>
      <w:pPr>
        <w:jc w:val="center"/>
        <w:ind w:right="-419"/>
        <w:spacing w:after="0"/>
        <w:rPr>
          <w:sz w:val="20"/>
          <w:szCs w:val="20"/>
          <w:color w:val="auto"/>
        </w:rPr>
      </w:pPr>
      <w:r>
        <w:rPr>
          <w:rFonts w:ascii="Arial" w:cs="Arial" w:eastAsia="Arial" w:hAnsi="Arial"/>
          <w:sz w:val="15"/>
          <w:szCs w:val="15"/>
          <w:b w:val="1"/>
          <w:bCs w:val="1"/>
          <w:u w:val="single" w:color="auto"/>
          <w:color w:val="auto"/>
        </w:rPr>
        <w:t>SIGNATURE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32" w:lineRule="exact"/>
        <w:rPr>
          <w:sz w:val="20"/>
          <w:szCs w:val="20"/>
          <w:color w:val="auto"/>
        </w:rPr>
      </w:pPr>
    </w:p>
    <w:p>
      <w:pPr>
        <w:ind w:left="5060"/>
        <w:spacing w:after="0"/>
        <w:rPr>
          <w:sz w:val="20"/>
          <w:szCs w:val="20"/>
          <w:color w:val="auto"/>
        </w:rPr>
      </w:pPr>
      <w:r>
        <w:rPr>
          <w:rFonts w:ascii="Arial" w:cs="Arial" w:eastAsia="Arial" w:hAnsi="Arial"/>
          <w:sz w:val="15"/>
          <w:szCs w:val="15"/>
          <w:color w:val="auto"/>
        </w:rPr>
        <w:t>REGENERON PHARMACEUTICALS, INC.</w:t>
      </w:r>
    </w:p>
    <w:p>
      <w:pPr>
        <w:spacing w:after="0" w:line="200" w:lineRule="exact"/>
        <w:rPr>
          <w:sz w:val="20"/>
          <w:szCs w:val="20"/>
          <w:color w:val="auto"/>
        </w:rPr>
      </w:pPr>
    </w:p>
    <w:p>
      <w:pPr>
        <w:spacing w:after="0" w:line="252" w:lineRule="exact"/>
        <w:rPr>
          <w:sz w:val="20"/>
          <w:szCs w:val="20"/>
          <w:color w:val="auto"/>
        </w:rPr>
      </w:pPr>
    </w:p>
    <w:p>
      <w:pPr>
        <w:spacing w:after="0"/>
        <w:tabs>
          <w:tab w:leader="none" w:pos="5040" w:val="left"/>
        </w:tabs>
        <w:rPr>
          <w:sz w:val="20"/>
          <w:szCs w:val="20"/>
          <w:color w:val="auto"/>
        </w:rPr>
      </w:pPr>
      <w:r>
        <w:rPr>
          <w:rFonts w:ascii="Arial" w:cs="Arial" w:eastAsia="Arial" w:hAnsi="Arial"/>
          <w:sz w:val="15"/>
          <w:szCs w:val="15"/>
          <w:color w:val="auto"/>
        </w:rPr>
        <w:t>Date: April 26, 2012</w:t>
      </w:r>
      <w:r>
        <w:rPr>
          <w:sz w:val="20"/>
          <w:szCs w:val="20"/>
          <w:color w:val="auto"/>
        </w:rPr>
        <w:tab/>
      </w:r>
      <w:r>
        <w:rPr>
          <w:rFonts w:ascii="Arial" w:cs="Arial" w:eastAsia="Arial" w:hAnsi="Arial"/>
          <w:sz w:val="15"/>
          <w:szCs w:val="15"/>
          <w:color w:val="auto"/>
        </w:rPr>
        <w:t>By: /s/ M</w:t>
      </w:r>
      <w:r>
        <w:rPr>
          <w:rFonts w:ascii="Arial" w:cs="Arial" w:eastAsia="Arial" w:hAnsi="Arial"/>
          <w:sz w:val="11"/>
          <w:szCs w:val="11"/>
          <w:color w:val="auto"/>
        </w:rPr>
        <w:t>URRAY</w:t>
      </w:r>
      <w:r>
        <w:rPr>
          <w:rFonts w:ascii="Arial" w:cs="Arial" w:eastAsia="Arial" w:hAnsi="Arial"/>
          <w:sz w:val="15"/>
          <w:szCs w:val="15"/>
          <w:color w:val="auto"/>
        </w:rPr>
        <w:t xml:space="preserve"> A. G</w:t>
      </w:r>
      <w:r>
        <w:rPr>
          <w:rFonts w:ascii="Arial" w:cs="Arial" w:eastAsia="Arial" w:hAnsi="Arial"/>
          <w:sz w:val="11"/>
          <w:szCs w:val="11"/>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27305</wp:posOffset>
            </wp:positionV>
            <wp:extent cx="100584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05840" cy="7620"/>
                    </a:xfrm>
                    <a:prstGeom prst="rect">
                      <a:avLst/>
                    </a:prstGeom>
                    <a:noFill/>
                  </pic:spPr>
                </pic:pic>
              </a:graphicData>
            </a:graphic>
          </wp:anchor>
        </w:drawing>
      </w:r>
    </w:p>
    <w:p>
      <w:pPr>
        <w:spacing w:after="0" w:line="235" w:lineRule="exact"/>
        <w:rPr>
          <w:sz w:val="20"/>
          <w:szCs w:val="20"/>
          <w:color w:val="auto"/>
        </w:rPr>
      </w:pPr>
    </w:p>
    <w:p>
      <w:pPr>
        <w:ind w:left="5060"/>
        <w:spacing w:after="0"/>
        <w:rPr>
          <w:sz w:val="20"/>
          <w:szCs w:val="20"/>
          <w:color w:val="auto"/>
        </w:rPr>
      </w:pPr>
      <w:r>
        <w:rPr>
          <w:rFonts w:ascii="Arial" w:cs="Arial" w:eastAsia="Arial" w:hAnsi="Arial"/>
          <w:sz w:val="15"/>
          <w:szCs w:val="15"/>
          <w:color w:val="auto"/>
        </w:rPr>
        <w:t>Murray A. Goldberg</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5"/>
          <w:szCs w:val="15"/>
          <w:color w:val="auto"/>
        </w:rPr>
        <w:t>Senior Vice President, Finance &amp; Administration,</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5"/>
          <w:szCs w:val="15"/>
          <w:color w:val="auto"/>
        </w:rPr>
        <w:t>Chief Financial Officer, Treasurer, and</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5"/>
          <w:szCs w:val="15"/>
          <w:color w:val="auto"/>
        </w:rPr>
        <w:t>Assistant Secretary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5"/>
          <w:szCs w:val="15"/>
          <w:color w:val="auto"/>
        </w:rPr>
        <w:t>(Principal Financial Officer and</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5"/>
          <w:szCs w:val="15"/>
          <w:color w:val="auto"/>
        </w:rPr>
        <w:t>Duly Authorized Officer)</w:t>
      </w:r>
    </w:p>
    <w:p>
      <w:pPr>
        <w:spacing w:after="0" w:line="200" w:lineRule="exact"/>
        <w:rPr>
          <w:sz w:val="20"/>
          <w:szCs w:val="20"/>
          <w:color w:val="auto"/>
        </w:rPr>
      </w:pPr>
    </w:p>
    <w:p>
      <w:pPr>
        <w:spacing w:after="0" w:line="217" w:lineRule="exact"/>
        <w:rPr>
          <w:sz w:val="20"/>
          <w:szCs w:val="20"/>
          <w:color w:val="auto"/>
        </w:rPr>
      </w:pPr>
    </w:p>
    <w:p>
      <w:pPr>
        <w:jc w:val="center"/>
        <w:ind w:right="-41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6625"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020"/>
          </w:cols>
          <w:pgMar w:left="240" w:top="521" w:right="639" w:bottom="1440" w:gutter="0" w:footer="0" w:header="0"/>
        </w:sectPr>
      </w:pPr>
    </w:p>
    <w:bookmarkStart w:id="66" w:name="page67"/>
    <w:bookmarkEnd w:id="66"/>
    <w:p>
      <w:pPr>
        <w:jc w:val="right"/>
        <w:spacing w:after="0"/>
        <w:rPr>
          <w:sz w:val="20"/>
          <w:szCs w:val="20"/>
          <w:color w:val="auto"/>
        </w:rPr>
      </w:pPr>
      <w:r>
        <w:rPr>
          <w:rFonts w:ascii="Arial" w:cs="Arial" w:eastAsia="Arial" w:hAnsi="Arial"/>
          <w:sz w:val="15"/>
          <w:szCs w:val="15"/>
          <w:color w:val="auto"/>
        </w:rPr>
        <w:t>Exhibit 31.1</w:t>
      </w:r>
    </w:p>
    <w:p>
      <w:pPr>
        <w:spacing w:after="0" w:line="193"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color w:val="auto"/>
        </w:rPr>
        <w:t>Certification of CEO Pursuant to</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Rule 13a-14(a) under the Securities Exchange Act</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of 1934, as Adopted Pursuant to</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Section 302 of the Sarbanes-Oxley Act of 2002</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5"/>
          <w:szCs w:val="15"/>
          <w:color w:val="auto"/>
        </w:rPr>
        <w:t>I, Leonard S. Schleifer, certify that:</w:t>
      </w:r>
    </w:p>
    <w:p>
      <w:pPr>
        <w:spacing w:after="0" w:line="197" w:lineRule="exact"/>
        <w:rPr>
          <w:sz w:val="20"/>
          <w:szCs w:val="20"/>
          <w:color w:val="auto"/>
        </w:rPr>
      </w:pPr>
    </w:p>
    <w:p>
      <w:pPr>
        <w:ind w:left="308" w:hanging="308"/>
        <w:spacing w:after="0"/>
        <w:tabs>
          <w:tab w:leader="none" w:pos="308" w:val="left"/>
        </w:tabs>
        <w:numPr>
          <w:ilvl w:val="0"/>
          <w:numId w:val="8"/>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Regeneron Pharmaceuticals, Inc.;</w:t>
      </w:r>
    </w:p>
    <w:p>
      <w:pPr>
        <w:spacing w:after="0" w:line="243" w:lineRule="exact"/>
        <w:rPr>
          <w:rFonts w:ascii="Arial" w:cs="Arial" w:eastAsia="Arial" w:hAnsi="Arial"/>
          <w:sz w:val="15"/>
          <w:szCs w:val="15"/>
          <w:color w:val="auto"/>
        </w:rPr>
      </w:pPr>
    </w:p>
    <w:p>
      <w:pPr>
        <w:ind w:left="308" w:hanging="308"/>
        <w:spacing w:after="0" w:line="281" w:lineRule="auto"/>
        <w:tabs>
          <w:tab w:leader="none" w:pos="308"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5"/>
          <w:szCs w:val="15"/>
          <w:color w:val="auto"/>
        </w:rPr>
      </w:pPr>
    </w:p>
    <w:p>
      <w:pPr>
        <w:ind w:left="308" w:right="20" w:hanging="308"/>
        <w:spacing w:after="0" w:line="281" w:lineRule="auto"/>
        <w:tabs>
          <w:tab w:leader="none" w:pos="308"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5"/>
          <w:szCs w:val="15"/>
          <w:color w:val="auto"/>
        </w:rPr>
      </w:pPr>
    </w:p>
    <w:p>
      <w:pPr>
        <w:ind w:left="308" w:hanging="308"/>
        <w:spacing w:after="0" w:line="281" w:lineRule="auto"/>
        <w:tabs>
          <w:tab w:leader="none" w:pos="308"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5"/>
          <w:szCs w:val="15"/>
          <w:color w:val="auto"/>
        </w:rPr>
      </w:pPr>
    </w:p>
    <w:p>
      <w:pPr>
        <w:jc w:val="both"/>
        <w:ind w:left="808" w:hanging="322"/>
        <w:spacing w:after="0" w:line="269" w:lineRule="auto"/>
        <w:tabs>
          <w:tab w:leader="none" w:pos="808" w:val="left"/>
        </w:tabs>
        <w:numPr>
          <w:ilvl w:val="1"/>
          <w:numId w:val="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5"/>
          <w:szCs w:val="15"/>
          <w:color w:val="auto"/>
        </w:rPr>
      </w:pPr>
    </w:p>
    <w:p>
      <w:pPr>
        <w:jc w:val="both"/>
        <w:ind w:left="808" w:hanging="322"/>
        <w:spacing w:after="0" w:line="269" w:lineRule="auto"/>
        <w:tabs>
          <w:tab w:leader="none" w:pos="808" w:val="left"/>
        </w:tabs>
        <w:numPr>
          <w:ilvl w:val="1"/>
          <w:numId w:val="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5"/>
          <w:szCs w:val="15"/>
          <w:color w:val="auto"/>
        </w:rPr>
      </w:pPr>
    </w:p>
    <w:p>
      <w:pPr>
        <w:ind w:left="808" w:hanging="322"/>
        <w:spacing w:after="0" w:line="281" w:lineRule="auto"/>
        <w:tabs>
          <w:tab w:leader="none" w:pos="808"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5"/>
          <w:szCs w:val="15"/>
          <w:color w:val="auto"/>
        </w:rPr>
      </w:pPr>
    </w:p>
    <w:p>
      <w:pPr>
        <w:jc w:val="both"/>
        <w:ind w:left="808" w:hanging="322"/>
        <w:spacing w:after="0" w:line="269" w:lineRule="auto"/>
        <w:tabs>
          <w:tab w:leader="none" w:pos="808" w:val="left"/>
        </w:tabs>
        <w:numPr>
          <w:ilvl w:val="1"/>
          <w:numId w:val="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5"/>
          <w:szCs w:val="15"/>
          <w:color w:val="auto"/>
        </w:rPr>
      </w:pPr>
    </w:p>
    <w:p>
      <w:pPr>
        <w:ind w:left="308" w:hanging="308"/>
        <w:spacing w:after="0" w:line="281" w:lineRule="auto"/>
        <w:tabs>
          <w:tab w:leader="none" w:pos="308"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5"/>
          <w:szCs w:val="15"/>
          <w:color w:val="auto"/>
        </w:rPr>
      </w:pPr>
    </w:p>
    <w:p>
      <w:pPr>
        <w:ind w:left="808" w:hanging="322"/>
        <w:spacing w:after="0" w:line="281" w:lineRule="auto"/>
        <w:tabs>
          <w:tab w:leader="none" w:pos="808" w:val="left"/>
        </w:tabs>
        <w:numPr>
          <w:ilvl w:val="1"/>
          <w:numId w:val="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5"/>
          <w:szCs w:val="15"/>
          <w:color w:val="auto"/>
        </w:rPr>
      </w:pPr>
    </w:p>
    <w:p>
      <w:pPr>
        <w:ind w:left="808" w:hanging="322"/>
        <w:spacing w:after="0"/>
        <w:tabs>
          <w:tab w:leader="none" w:pos="808" w:val="left"/>
        </w:tabs>
        <w:numPr>
          <w:ilvl w:val="1"/>
          <w:numId w:val="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4" w:lineRule="exact"/>
        <w:rPr>
          <w:sz w:val="20"/>
          <w:szCs w:val="20"/>
          <w:color w:val="auto"/>
        </w:rPr>
      </w:pPr>
    </w:p>
    <w:p>
      <w:pPr>
        <w:ind w:left="8"/>
        <w:spacing w:after="0"/>
        <w:tabs>
          <w:tab w:leader="none" w:pos="5167" w:val="left"/>
        </w:tabs>
        <w:rPr>
          <w:sz w:val="20"/>
          <w:szCs w:val="20"/>
          <w:color w:val="auto"/>
        </w:rPr>
      </w:pPr>
      <w:r>
        <w:rPr>
          <w:rFonts w:ascii="Arial" w:cs="Arial" w:eastAsia="Arial" w:hAnsi="Arial"/>
          <w:sz w:val="15"/>
          <w:szCs w:val="15"/>
          <w:color w:val="auto"/>
        </w:rPr>
        <w:t>Date: April 26, 2012</w:t>
      </w:r>
      <w:r>
        <w:rPr>
          <w:sz w:val="20"/>
          <w:szCs w:val="20"/>
          <w:color w:val="auto"/>
        </w:rPr>
        <w:tab/>
      </w:r>
      <w:r>
        <w:rPr>
          <w:rFonts w:ascii="Arial" w:cs="Arial" w:eastAsia="Arial" w:hAnsi="Arial"/>
          <w:sz w:val="14"/>
          <w:szCs w:val="14"/>
          <w:color w:val="auto"/>
        </w:rPr>
        <w:t>/s/ L</w:t>
      </w:r>
      <w:r>
        <w:rPr>
          <w:rFonts w:ascii="Arial" w:cs="Arial" w:eastAsia="Arial" w:hAnsi="Arial"/>
          <w:sz w:val="10"/>
          <w:szCs w:val="10"/>
          <w:color w:val="auto"/>
        </w:rPr>
        <w:t>EONARD</w:t>
      </w:r>
      <w:r>
        <w:rPr>
          <w:rFonts w:ascii="Arial" w:cs="Arial" w:eastAsia="Arial" w:hAnsi="Arial"/>
          <w:sz w:val="14"/>
          <w:szCs w:val="14"/>
          <w:color w:val="auto"/>
        </w:rPr>
        <w:t xml:space="preserve"> S. S</w:t>
      </w:r>
      <w:r>
        <w:rPr>
          <w:rFonts w:ascii="Arial" w:cs="Arial" w:eastAsia="Arial" w:hAnsi="Arial"/>
          <w:sz w:val="10"/>
          <w:szCs w:val="10"/>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27305</wp:posOffset>
            </wp:positionV>
            <wp:extent cx="397827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978275" cy="7620"/>
                    </a:xfrm>
                    <a:prstGeom prst="rect">
                      <a:avLst/>
                    </a:prstGeom>
                    <a:noFill/>
                  </pic:spPr>
                </pic:pic>
              </a:graphicData>
            </a:graphic>
          </wp:anchor>
        </w:drawing>
      </w:r>
    </w:p>
    <w:p>
      <w:pPr>
        <w:spacing w:after="0" w:line="39" w:lineRule="exact"/>
        <w:rPr>
          <w:sz w:val="20"/>
          <w:szCs w:val="20"/>
          <w:color w:val="auto"/>
        </w:rPr>
      </w:pPr>
    </w:p>
    <w:p>
      <w:pPr>
        <w:ind w:left="5188"/>
        <w:spacing w:after="0"/>
        <w:rPr>
          <w:sz w:val="20"/>
          <w:szCs w:val="20"/>
          <w:color w:val="auto"/>
        </w:rPr>
      </w:pPr>
      <w:r>
        <w:rPr>
          <w:rFonts w:ascii="Arial" w:cs="Arial" w:eastAsia="Arial" w:hAnsi="Arial"/>
          <w:sz w:val="15"/>
          <w:szCs w:val="15"/>
          <w:color w:val="auto"/>
        </w:rPr>
        <w:t>Leonard S. Schleifer, M.D., Ph.D.</w:t>
      </w:r>
    </w:p>
    <w:p>
      <w:pPr>
        <w:spacing w:after="0" w:line="36" w:lineRule="exact"/>
        <w:rPr>
          <w:sz w:val="20"/>
          <w:szCs w:val="20"/>
          <w:color w:val="auto"/>
        </w:rPr>
      </w:pPr>
    </w:p>
    <w:p>
      <w:pPr>
        <w:ind w:left="5188"/>
        <w:spacing w:after="0"/>
        <w:rPr>
          <w:sz w:val="20"/>
          <w:szCs w:val="20"/>
          <w:color w:val="auto"/>
        </w:rPr>
      </w:pPr>
      <w:r>
        <w:rPr>
          <w:rFonts w:ascii="Arial" w:cs="Arial" w:eastAsia="Arial" w:hAnsi="Arial"/>
          <w:sz w:val="15"/>
          <w:szCs w:val="15"/>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207645</wp:posOffset>
            </wp:positionV>
            <wp:extent cx="7286625"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8"/>
          </w:cols>
          <w:pgMar w:left="232" w:top="525" w:right="219" w:bottom="1440" w:gutter="0" w:footer="0" w:header="0"/>
        </w:sectPr>
      </w:pPr>
    </w:p>
    <w:bookmarkStart w:id="67" w:name="page68"/>
    <w:bookmarkEnd w:id="67"/>
    <w:p>
      <w:pPr>
        <w:jc w:val="right"/>
        <w:spacing w:after="0"/>
        <w:rPr>
          <w:sz w:val="20"/>
          <w:szCs w:val="20"/>
          <w:color w:val="auto"/>
        </w:rPr>
      </w:pPr>
      <w:r>
        <w:rPr>
          <w:rFonts w:ascii="Arial" w:cs="Arial" w:eastAsia="Arial" w:hAnsi="Arial"/>
          <w:sz w:val="15"/>
          <w:szCs w:val="15"/>
          <w:color w:val="auto"/>
        </w:rPr>
        <w:t>Exhibit 31.2</w:t>
      </w:r>
    </w:p>
    <w:p>
      <w:pPr>
        <w:spacing w:after="0" w:line="193" w:lineRule="exact"/>
        <w:rPr>
          <w:sz w:val="20"/>
          <w:szCs w:val="20"/>
          <w:color w:val="auto"/>
        </w:rPr>
      </w:pPr>
    </w:p>
    <w:p>
      <w:pPr>
        <w:jc w:val="center"/>
        <w:ind w:right="32"/>
        <w:spacing w:after="0"/>
        <w:rPr>
          <w:sz w:val="20"/>
          <w:szCs w:val="20"/>
          <w:color w:val="auto"/>
        </w:rPr>
      </w:pPr>
      <w:r>
        <w:rPr>
          <w:rFonts w:ascii="Arial" w:cs="Arial" w:eastAsia="Arial" w:hAnsi="Arial"/>
          <w:sz w:val="15"/>
          <w:szCs w:val="15"/>
          <w:b w:val="1"/>
          <w:bCs w:val="1"/>
          <w:color w:val="auto"/>
        </w:rPr>
        <w:t>Certification of CFO Pursuant to</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Rule 13a-14(a) under the Securities Exchange Act</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of 1934, as Adopted Pursuant to</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Section 302 of the Sarbanes-Oxley Act of 2002</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5"/>
          <w:szCs w:val="15"/>
          <w:color w:val="auto"/>
        </w:rPr>
        <w:t>I, Murray A. Goldberg, certify that:</w:t>
      </w:r>
    </w:p>
    <w:p>
      <w:pPr>
        <w:spacing w:after="0" w:line="197" w:lineRule="exact"/>
        <w:rPr>
          <w:sz w:val="20"/>
          <w:szCs w:val="20"/>
          <w:color w:val="auto"/>
        </w:rPr>
      </w:pPr>
    </w:p>
    <w:p>
      <w:pPr>
        <w:ind w:left="348" w:hanging="348"/>
        <w:spacing w:after="0"/>
        <w:tabs>
          <w:tab w:leader="none" w:pos="348" w:val="left"/>
        </w:tabs>
        <w:numPr>
          <w:ilvl w:val="0"/>
          <w:numId w:val="9"/>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Regeneron Pharmaceuticals, Inc.;</w:t>
      </w:r>
    </w:p>
    <w:p>
      <w:pPr>
        <w:spacing w:after="0" w:line="243" w:lineRule="exact"/>
        <w:rPr>
          <w:rFonts w:ascii="Arial" w:cs="Arial" w:eastAsia="Arial" w:hAnsi="Arial"/>
          <w:sz w:val="15"/>
          <w:szCs w:val="15"/>
          <w:color w:val="auto"/>
        </w:rPr>
      </w:pPr>
    </w:p>
    <w:p>
      <w:pPr>
        <w:ind w:left="348" w:hanging="348"/>
        <w:spacing w:after="0" w:line="281" w:lineRule="auto"/>
        <w:tabs>
          <w:tab w:leader="none" w:pos="348"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5"/>
          <w:szCs w:val="15"/>
          <w:color w:val="auto"/>
        </w:rPr>
      </w:pPr>
    </w:p>
    <w:p>
      <w:pPr>
        <w:ind w:left="348" w:right="20" w:hanging="348"/>
        <w:spacing w:after="0" w:line="281" w:lineRule="auto"/>
        <w:tabs>
          <w:tab w:leader="none" w:pos="348"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5"/>
          <w:szCs w:val="15"/>
          <w:color w:val="auto"/>
        </w:rPr>
      </w:pPr>
    </w:p>
    <w:p>
      <w:pPr>
        <w:ind w:left="348" w:hanging="348"/>
        <w:spacing w:after="0" w:line="281" w:lineRule="auto"/>
        <w:tabs>
          <w:tab w:leader="none" w:pos="348"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5"/>
          <w:szCs w:val="15"/>
          <w:color w:val="auto"/>
        </w:rPr>
      </w:pPr>
    </w:p>
    <w:p>
      <w:pPr>
        <w:jc w:val="both"/>
        <w:ind w:left="928" w:hanging="350"/>
        <w:spacing w:after="0" w:line="269" w:lineRule="auto"/>
        <w:tabs>
          <w:tab w:leader="none" w:pos="928" w:val="left"/>
        </w:tabs>
        <w:numPr>
          <w:ilvl w:val="1"/>
          <w:numId w:val="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5"/>
          <w:szCs w:val="15"/>
          <w:color w:val="auto"/>
        </w:rPr>
      </w:pPr>
    </w:p>
    <w:p>
      <w:pPr>
        <w:jc w:val="both"/>
        <w:ind w:left="928" w:hanging="350"/>
        <w:spacing w:after="0" w:line="269" w:lineRule="auto"/>
        <w:tabs>
          <w:tab w:leader="none" w:pos="928" w:val="left"/>
        </w:tabs>
        <w:numPr>
          <w:ilvl w:val="1"/>
          <w:numId w:val="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5"/>
          <w:szCs w:val="15"/>
          <w:color w:val="auto"/>
        </w:rPr>
      </w:pPr>
    </w:p>
    <w:p>
      <w:pPr>
        <w:ind w:left="928" w:hanging="350"/>
        <w:spacing w:after="0" w:line="281" w:lineRule="auto"/>
        <w:tabs>
          <w:tab w:leader="none" w:pos="928"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5"/>
          <w:szCs w:val="15"/>
          <w:color w:val="auto"/>
        </w:rPr>
      </w:pPr>
    </w:p>
    <w:p>
      <w:pPr>
        <w:jc w:val="both"/>
        <w:ind w:left="928" w:hanging="350"/>
        <w:spacing w:after="0" w:line="269" w:lineRule="auto"/>
        <w:tabs>
          <w:tab w:leader="none" w:pos="928" w:val="left"/>
        </w:tabs>
        <w:numPr>
          <w:ilvl w:val="1"/>
          <w:numId w:val="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5"/>
          <w:szCs w:val="15"/>
          <w:color w:val="auto"/>
        </w:rPr>
      </w:pPr>
    </w:p>
    <w:p>
      <w:pPr>
        <w:ind w:left="348" w:hanging="348"/>
        <w:spacing w:after="0" w:line="281" w:lineRule="auto"/>
        <w:tabs>
          <w:tab w:leader="none" w:pos="348"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5"/>
          <w:szCs w:val="15"/>
          <w:color w:val="auto"/>
        </w:rPr>
      </w:pPr>
    </w:p>
    <w:p>
      <w:pPr>
        <w:ind w:left="928" w:hanging="350"/>
        <w:spacing w:after="0" w:line="281" w:lineRule="auto"/>
        <w:tabs>
          <w:tab w:leader="none" w:pos="928" w:val="left"/>
        </w:tabs>
        <w:numPr>
          <w:ilvl w:val="1"/>
          <w:numId w:val="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5"/>
          <w:szCs w:val="15"/>
          <w:color w:val="auto"/>
        </w:rPr>
      </w:pPr>
    </w:p>
    <w:p>
      <w:pPr>
        <w:ind w:left="928" w:hanging="350"/>
        <w:spacing w:after="0"/>
        <w:tabs>
          <w:tab w:leader="none" w:pos="928" w:val="left"/>
        </w:tabs>
        <w:numPr>
          <w:ilvl w:val="1"/>
          <w:numId w:val="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44" w:lineRule="exact"/>
        <w:rPr>
          <w:sz w:val="20"/>
          <w:szCs w:val="20"/>
          <w:color w:val="auto"/>
        </w:rPr>
      </w:pPr>
    </w:p>
    <w:p>
      <w:pPr>
        <w:ind w:left="8"/>
        <w:spacing w:after="0"/>
        <w:tabs>
          <w:tab w:leader="none" w:pos="5067" w:val="left"/>
        </w:tabs>
        <w:rPr>
          <w:sz w:val="20"/>
          <w:szCs w:val="20"/>
          <w:color w:val="auto"/>
        </w:rPr>
      </w:pPr>
      <w:r>
        <w:rPr>
          <w:rFonts w:ascii="Arial" w:cs="Arial" w:eastAsia="Arial" w:hAnsi="Arial"/>
          <w:sz w:val="15"/>
          <w:szCs w:val="15"/>
          <w:color w:val="auto"/>
        </w:rPr>
        <w:t>Date: April 26, 2012</w:t>
      </w:r>
      <w:r>
        <w:rPr>
          <w:sz w:val="20"/>
          <w:szCs w:val="20"/>
          <w:color w:val="auto"/>
        </w:rPr>
        <w:tab/>
      </w:r>
      <w:r>
        <w:rPr>
          <w:rFonts w:ascii="Arial" w:cs="Arial" w:eastAsia="Arial" w:hAnsi="Arial"/>
          <w:sz w:val="14"/>
          <w:szCs w:val="14"/>
          <w:color w:val="auto"/>
        </w:rPr>
        <w:t>/s/ M</w:t>
      </w:r>
      <w:r>
        <w:rPr>
          <w:rFonts w:ascii="Arial" w:cs="Arial" w:eastAsia="Arial" w:hAnsi="Arial"/>
          <w:sz w:val="10"/>
          <w:szCs w:val="10"/>
          <w:color w:val="auto"/>
        </w:rPr>
        <w:t>URRAY</w:t>
      </w:r>
      <w:r>
        <w:rPr>
          <w:rFonts w:ascii="Arial" w:cs="Arial" w:eastAsia="Arial" w:hAnsi="Arial"/>
          <w:sz w:val="14"/>
          <w:szCs w:val="14"/>
          <w:color w:val="auto"/>
        </w:rPr>
        <w:t xml:space="preserve"> A. G</w:t>
      </w:r>
      <w:r>
        <w:rPr>
          <w:rFonts w:ascii="Arial" w:cs="Arial" w:eastAsia="Arial" w:hAnsi="Arial"/>
          <w:sz w:val="10"/>
          <w:szCs w:val="10"/>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27305</wp:posOffset>
            </wp:positionV>
            <wp:extent cx="403669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36695" cy="7620"/>
                    </a:xfrm>
                    <a:prstGeom prst="rect">
                      <a:avLst/>
                    </a:prstGeom>
                    <a:noFill/>
                  </pic:spPr>
                </pic:pic>
              </a:graphicData>
            </a:graphic>
          </wp:anchor>
        </w:drawing>
      </w:r>
    </w:p>
    <w:p>
      <w:pPr>
        <w:spacing w:after="0" w:line="39" w:lineRule="exact"/>
        <w:rPr>
          <w:sz w:val="20"/>
          <w:szCs w:val="20"/>
          <w:color w:val="auto"/>
        </w:rPr>
      </w:pPr>
    </w:p>
    <w:p>
      <w:pPr>
        <w:ind w:left="5088"/>
        <w:spacing w:after="0"/>
        <w:rPr>
          <w:sz w:val="20"/>
          <w:szCs w:val="20"/>
          <w:color w:val="auto"/>
        </w:rPr>
      </w:pPr>
      <w:r>
        <w:rPr>
          <w:rFonts w:ascii="Arial" w:cs="Arial" w:eastAsia="Arial" w:hAnsi="Arial"/>
          <w:sz w:val="15"/>
          <w:szCs w:val="15"/>
          <w:color w:val="auto"/>
        </w:rPr>
        <w:t>Murray A. Goldberg</w:t>
      </w:r>
    </w:p>
    <w:p>
      <w:pPr>
        <w:spacing w:after="0" w:line="36" w:lineRule="exact"/>
        <w:rPr>
          <w:sz w:val="20"/>
          <w:szCs w:val="20"/>
          <w:color w:val="auto"/>
        </w:rPr>
      </w:pPr>
    </w:p>
    <w:p>
      <w:pPr>
        <w:ind w:left="5088"/>
        <w:spacing w:after="0"/>
        <w:rPr>
          <w:sz w:val="20"/>
          <w:szCs w:val="20"/>
          <w:color w:val="auto"/>
        </w:rPr>
      </w:pPr>
      <w:r>
        <w:rPr>
          <w:rFonts w:ascii="Arial" w:cs="Arial" w:eastAsia="Arial" w:hAnsi="Arial"/>
          <w:sz w:val="15"/>
          <w:szCs w:val="15"/>
          <w:color w:val="auto"/>
        </w:rPr>
        <w:t>Senior Vice President, Finance &amp; Administration,</w:t>
      </w:r>
    </w:p>
    <w:p>
      <w:pPr>
        <w:spacing w:after="0" w:line="36" w:lineRule="exact"/>
        <w:rPr>
          <w:sz w:val="20"/>
          <w:szCs w:val="20"/>
          <w:color w:val="auto"/>
        </w:rPr>
      </w:pPr>
    </w:p>
    <w:p>
      <w:pPr>
        <w:ind w:left="5088"/>
        <w:spacing w:after="0"/>
        <w:rPr>
          <w:sz w:val="20"/>
          <w:szCs w:val="20"/>
          <w:color w:val="auto"/>
        </w:rPr>
      </w:pPr>
      <w:r>
        <w:rPr>
          <w:rFonts w:ascii="Arial" w:cs="Arial" w:eastAsia="Arial" w:hAnsi="Arial"/>
          <w:sz w:val="15"/>
          <w:szCs w:val="15"/>
          <w:color w:val="auto"/>
        </w:rPr>
        <w:t>Chief Financial Officer, Treasurer,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207645</wp:posOffset>
            </wp:positionV>
            <wp:extent cx="7286625"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p>
      <w:pPr>
        <w:sectPr>
          <w:pgSz w:w="11900" w:h="16838" w:orient="portrait"/>
          <w:cols w:equalWidth="0" w:num="1">
            <w:col w:w="11448"/>
          </w:cols>
          <w:pgMar w:left="232" w:top="525" w:right="219" w:bottom="1440" w:gutter="0" w:footer="0" w:header="0"/>
        </w:sectPr>
      </w:pPr>
    </w:p>
    <w:bookmarkStart w:id="68" w:name="page69"/>
    <w:bookmarkEnd w:id="68"/>
    <w:p>
      <w:pPr>
        <w:jc w:val="right"/>
        <w:spacing w:after="0"/>
        <w:rPr>
          <w:sz w:val="20"/>
          <w:szCs w:val="20"/>
          <w:color w:val="auto"/>
        </w:rPr>
      </w:pPr>
      <w:r>
        <w:rPr>
          <w:rFonts w:ascii="Arial" w:cs="Arial" w:eastAsia="Arial" w:hAnsi="Arial"/>
          <w:sz w:val="15"/>
          <w:szCs w:val="15"/>
          <w:color w:val="auto"/>
        </w:rPr>
        <w:t>Exhibit 32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CEO and CFO Pursuant to</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5"/>
          <w:szCs w:val="15"/>
          <w:b w:val="1"/>
          <w:bCs w:val="1"/>
          <w:color w:val="auto"/>
        </w:rPr>
        <w:t>18 U.S.C. Section 1350,</w:t>
      </w:r>
    </w:p>
    <w:p>
      <w:pPr>
        <w:spacing w:after="0" w:line="12"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92"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In connection with the Quarterly Report of Regeneron Pharmaceuticals, Inc. (the "Company") on Form 10-Q for the quarterly period ended March 31, 2012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148" w:lineRule="exact"/>
        <w:rPr>
          <w:sz w:val="20"/>
          <w:szCs w:val="20"/>
          <w:color w:val="auto"/>
        </w:rPr>
      </w:pPr>
    </w:p>
    <w:p>
      <w:pPr>
        <w:ind w:left="440" w:hanging="216"/>
        <w:spacing w:after="0"/>
        <w:tabs>
          <w:tab w:leader="none" w:pos="4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20" w:lineRule="exact"/>
        <w:rPr>
          <w:rFonts w:ascii="Arial" w:cs="Arial" w:eastAsia="Arial" w:hAnsi="Arial"/>
          <w:sz w:val="15"/>
          <w:szCs w:val="15"/>
          <w:color w:val="auto"/>
        </w:rPr>
      </w:pPr>
    </w:p>
    <w:p>
      <w:pPr>
        <w:ind w:left="440" w:hanging="216"/>
        <w:spacing w:after="0"/>
        <w:tabs>
          <w:tab w:leader="none" w:pos="4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/s/ L</w:t>
      </w:r>
      <w:r>
        <w:rPr>
          <w:rFonts w:ascii="Arial" w:cs="Arial" w:eastAsia="Arial" w:hAnsi="Arial"/>
          <w:sz w:val="11"/>
          <w:szCs w:val="11"/>
          <w:color w:val="auto"/>
        </w:rPr>
        <w:t>EONARD</w:t>
      </w:r>
      <w:r>
        <w:rPr>
          <w:rFonts w:ascii="Arial" w:cs="Arial" w:eastAsia="Arial" w:hAnsi="Arial"/>
          <w:sz w:val="15"/>
          <w:szCs w:val="15"/>
          <w:color w:val="auto"/>
        </w:rPr>
        <w:t xml:space="preserve"> S. S</w:t>
      </w:r>
      <w:r>
        <w:rPr>
          <w:rFonts w:ascii="Arial" w:cs="Arial" w:eastAsia="Arial" w:hAnsi="Arial"/>
          <w:sz w:val="11"/>
          <w:szCs w:val="11"/>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726630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Leonard S. Schleifer, M.D., Ph.D.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April 26, 2012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/s/ M</w:t>
      </w:r>
      <w:r>
        <w:rPr>
          <w:rFonts w:ascii="Arial" w:cs="Arial" w:eastAsia="Arial" w:hAnsi="Arial"/>
          <w:sz w:val="11"/>
          <w:szCs w:val="11"/>
          <w:color w:val="auto"/>
        </w:rPr>
        <w:t>URRAY</w:t>
      </w:r>
      <w:r>
        <w:rPr>
          <w:rFonts w:ascii="Arial" w:cs="Arial" w:eastAsia="Arial" w:hAnsi="Arial"/>
          <w:sz w:val="15"/>
          <w:szCs w:val="15"/>
          <w:color w:val="auto"/>
        </w:rPr>
        <w:t xml:space="preserve"> A. G</w:t>
      </w:r>
      <w:r>
        <w:rPr>
          <w:rFonts w:ascii="Arial" w:cs="Arial" w:eastAsia="Arial" w:hAnsi="Arial"/>
          <w:sz w:val="11"/>
          <w:szCs w:val="11"/>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726630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Murray A. Goldberg</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April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86625"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6625" cy="20320"/>
                    </a:xfrm>
                    <a:prstGeom prst="rect">
                      <a:avLst/>
                    </a:prstGeom>
                    <a:noFill/>
                  </pic:spPr>
                </pic:pic>
              </a:graphicData>
            </a:graphic>
          </wp:anchor>
        </w:drawing>
      </w:r>
    </w:p>
    <w:sectPr>
      <w:pgSz w:w="11900" w:h="16838" w:orient="portrait"/>
      <w:cols w:equalWidth="0" w:num="1">
        <w:col w:w="11440"/>
      </w:cols>
      <w:pgMar w:left="240" w:top="5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0"/>
    </w:lvl>
  </w:abstractNum>
  <w:abstractNum w:abstractNumId="3">
    <w:nsid w:val="41B71EFB"/>
    <w:multiLevelType w:val="hybridMultilevel"/>
    <w:lvl w:ilvl="0">
      <w:lvlJc w:val="left"/>
      <w:lvlText w:val="%1)"/>
      <w:numFmt w:val="upperLetter"/>
      <w:start w:val="1"/>
    </w:lvl>
  </w:abstractNum>
  <w:abstractNum w:abstractNumId="4">
    <w:nsid w:val="79E2A9E3"/>
    <w:multiLevelType w:val="hybridMultilevel"/>
    <w:lvl w:ilvl="0">
      <w:lvlJc w:val="left"/>
      <w:lvlText w:val="%1."/>
      <w:numFmt w:val="decimal"/>
      <w:start w:val="10"/>
    </w:lvl>
  </w:abstractNum>
  <w:abstractNum w:abstractNumId="5">
    <w:nsid w:val="7545E146"/>
    <w:multiLevelType w:val="hybridMultilevel"/>
    <w:lvl w:ilvl="0">
      <w:lvlJc w:val="left"/>
      <w:lvlText w:val="*"/>
      <w:numFmt w:val="bullet"/>
      <w:start w:val="1"/>
    </w:lvl>
    <w:lvl w:ilvl="1">
      <w:lvlJc w:val="left"/>
      <w:lvlText w:val="(%2)"/>
      <w:numFmt w:val="decimal"/>
      <w:start w:val="1"/>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2019-12-09T10:59:13Z</dcterms:created>
  <dcterms:modified xsi:type="dcterms:W3CDTF">2019-12-09T10:59:13Z</dcterms:modified>
</cp:coreProperties>
</file>