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1"/>
          <w:szCs w:val="21"/>
          <w:color w:val="auto"/>
        </w:rPr>
        <w:t>SEC Form 4</w:t>
      </w:r>
    </w:p>
    <w:p>
      <w:pPr>
        <w:spacing w:after="0" w:line="41" w:lineRule="exact"/>
        <w:rPr>
          <w:sz w:val="24"/>
          <w:szCs w:val="24"/>
          <w:color w:val="auto"/>
        </w:rPr>
      </w:pPr>
    </w:p>
    <w:p>
      <w:pPr>
        <w:ind w:left="7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4"/>
          <w:szCs w:val="24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67" w:lineRule="exact"/>
        <w:rPr>
          <w:sz w:val="24"/>
          <w:szCs w:val="24"/>
          <w:color w:val="auto"/>
        </w:rPr>
      </w:pPr>
    </w:p>
    <w:p>
      <w:pPr>
        <w:ind w:left="380"/>
        <w:spacing w:after="0" w:line="238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38735</wp:posOffset>
            </wp:positionH>
            <wp:positionV relativeFrom="paragraph">
              <wp:posOffset>-243205</wp:posOffset>
            </wp:positionV>
            <wp:extent cx="136525" cy="136525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6525" cy="13652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64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73"/>
        </w:trPr>
        <w:tc>
          <w:tcPr>
            <w:tcW w:w="6540" w:type="dxa"/>
            <w:vAlign w:val="bottom"/>
          </w:tcPr>
          <w:p>
            <w:pPr>
              <w:jc w:val="center"/>
              <w:ind w:right="17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540" w:type="dxa"/>
            <w:vAlign w:val="bottom"/>
            <w:vMerge w:val="restart"/>
          </w:tcPr>
          <w:p>
            <w:pPr>
              <w:jc w:val="center"/>
              <w:ind w:right="173"/>
              <w:spacing w:after="0" w:line="14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0"/>
        </w:trPr>
        <w:tc>
          <w:tcPr>
            <w:tcW w:w="654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restart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9"/>
        </w:trPr>
        <w:tc>
          <w:tcPr>
            <w:tcW w:w="65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"/>
        </w:trPr>
        <w:tc>
          <w:tcPr>
            <w:tcW w:w="6540" w:type="dxa"/>
            <w:vAlign w:val="bottom"/>
            <w:vMerge w:val="restart"/>
          </w:tcPr>
          <w:p>
            <w:pPr>
              <w:jc w:val="center"/>
              <w:ind w:right="17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0"/>
        </w:trPr>
        <w:tc>
          <w:tcPr>
            <w:tcW w:w="6540" w:type="dxa"/>
            <w:vAlign w:val="bottom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3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8"/>
        </w:trPr>
        <w:tc>
          <w:tcPr>
            <w:tcW w:w="654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9"/>
        </w:trPr>
        <w:tc>
          <w:tcPr>
            <w:tcW w:w="65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8"/>
        </w:trPr>
        <w:tc>
          <w:tcPr>
            <w:tcW w:w="6540" w:type="dxa"/>
            <w:vAlign w:val="bottom"/>
            <w:vMerge w:val="restart"/>
          </w:tcPr>
          <w:p>
            <w:pPr>
              <w:jc w:val="center"/>
              <w:ind w:right="15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3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4"/>
        </w:trPr>
        <w:tc>
          <w:tcPr>
            <w:tcW w:w="654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54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5481955</wp:posOffset>
            </wp:positionH>
            <wp:positionV relativeFrom="paragraph">
              <wp:posOffset>-650875</wp:posOffset>
            </wp:positionV>
            <wp:extent cx="59690" cy="664210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90" cy="66421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4145280</wp:posOffset>
            </wp:positionH>
            <wp:positionV relativeFrom="paragraph">
              <wp:posOffset>-650875</wp:posOffset>
            </wp:positionV>
            <wp:extent cx="59690" cy="664210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90" cy="66421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-1696720</wp:posOffset>
            </wp:positionH>
            <wp:positionV relativeFrom="paragraph">
              <wp:posOffset>20320</wp:posOffset>
            </wp:positionV>
            <wp:extent cx="7323455" cy="7894320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323455" cy="789432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41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360" w:space="300"/>
            <w:col w:w="8860"/>
          </w:cols>
          <w:pgMar w:left="240" w:top="225" w:right="139" w:bottom="0" w:gutter="0" w:footer="0" w:header="0"/>
        </w:sect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5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640" w:type="dxa"/>
            <w:vAlign w:val="bottom"/>
            <w:gridSpan w:val="5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1. Name and Address of Reporting Person</w:t>
            </w:r>
            <w:r>
              <w:rPr>
                <w:rFonts w:ascii="Arial" w:cs="Arial" w:eastAsia="Arial" w:hAnsi="Arial"/>
                <w:sz w:val="22"/>
                <w:szCs w:val="22"/>
                <w:color w:val="auto"/>
                <w:vertAlign w:val="superscript"/>
              </w:rPr>
              <w:t>*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3060" w:type="dxa"/>
            <w:vAlign w:val="bottom"/>
            <w:gridSpan w:val="7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 xml:space="preserve">2. Issuer Name </w:t>
            </w: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and</w:t>
            </w: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 xml:space="preserve"> Ticker or Trading Symbol</w:t>
            </w: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3540" w:type="dxa"/>
            <w:vAlign w:val="bottom"/>
            <w:gridSpan w:val="10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5. Relationship of Reporting Person(s) to Issuer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360" w:type="dxa"/>
            <w:vAlign w:val="bottom"/>
            <w:gridSpan w:val="3"/>
            <w:vMerge w:val="restart"/>
          </w:tcPr>
          <w:p>
            <w:pPr>
              <w:spacing w:after="0"/>
              <w:rPr>
                <w:rFonts w:ascii="Arial" w:cs="Arial" w:eastAsia="Arial" w:hAnsi="Arial"/>
                <w:sz w:val="21"/>
                <w:szCs w:val="21"/>
                <w:color w:val="0000EE"/>
                <w:w w:val="99"/>
              </w:rPr>
            </w:pPr>
            <w:hyperlink r:id="rId12">
              <w:r>
                <w:rPr>
                  <w:rFonts w:ascii="Arial" w:cs="Arial" w:eastAsia="Arial" w:hAnsi="Arial"/>
                  <w:sz w:val="21"/>
                  <w:szCs w:val="21"/>
                  <w:color w:val="0000EE"/>
                  <w:w w:val="99"/>
                </w:rPr>
                <w:t>GOLDBERG MURRAY A</w:t>
              </w:r>
            </w:hyperlink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740" w:type="dxa"/>
            <w:vAlign w:val="bottom"/>
            <w:gridSpan w:val="9"/>
          </w:tcPr>
          <w:p>
            <w:pPr>
              <w:ind w:left="80"/>
              <w:spacing w:after="0" w:line="107" w:lineRule="exact"/>
              <w:rPr>
                <w:rFonts w:ascii="Arial" w:cs="Arial" w:eastAsia="Arial" w:hAnsi="Arial"/>
                <w:sz w:val="12"/>
                <w:szCs w:val="12"/>
                <w:color w:val="0000EE"/>
              </w:rPr>
            </w:pPr>
            <w:hyperlink r:id="rId13">
              <w:r>
                <w:rPr>
                  <w:rFonts w:ascii="Arial" w:cs="Arial" w:eastAsia="Arial" w:hAnsi="Arial"/>
                  <w:sz w:val="12"/>
                  <w:szCs w:val="12"/>
                  <w:color w:val="0000EE"/>
                </w:rPr>
                <w:t>REGENERON PHARMACEUTICALS</w:t>
              </w:r>
            </w:hyperlink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720" w:type="dxa"/>
            <w:vAlign w:val="bottom"/>
            <w:gridSpan w:val="5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(Check all applicable)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36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720" w:type="dxa"/>
            <w:vAlign w:val="bottom"/>
            <w:gridSpan w:val="5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36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00" w:type="dxa"/>
            <w:vAlign w:val="bottom"/>
            <w:vMerge w:val="restart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Director</w:t>
            </w: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540" w:type="dxa"/>
            <w:vAlign w:val="bottom"/>
            <w:gridSpan w:val="4"/>
            <w:vMerge w:val="restart"/>
          </w:tcPr>
          <w:p>
            <w:pPr>
              <w:ind w:left="2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10% Owner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360" w:type="dxa"/>
            <w:vAlign w:val="bottom"/>
            <w:tcBorders>
              <w:bottom w:val="single" w:sz="8" w:color="0000EE"/>
            </w:tcBorders>
            <w:gridSpan w:val="3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0" w:type="dxa"/>
            <w:vAlign w:val="bottom"/>
            <w:vMerge w:val="restart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500" w:type="dxa"/>
            <w:vAlign w:val="bottom"/>
            <w:gridSpan w:val="4"/>
            <w:vMerge w:val="restart"/>
          </w:tcPr>
          <w:p>
            <w:pPr>
              <w:ind w:left="80"/>
              <w:spacing w:after="0" w:line="222" w:lineRule="exact"/>
              <w:rPr>
                <w:rFonts w:ascii="Arial" w:cs="Arial" w:eastAsia="Arial" w:hAnsi="Arial"/>
                <w:sz w:val="21"/>
                <w:szCs w:val="21"/>
                <w:color w:val="0000EE"/>
              </w:rPr>
            </w:pPr>
            <w:hyperlink r:id="rId13">
              <w:r>
                <w:rPr>
                  <w:rFonts w:ascii="Arial" w:cs="Arial" w:eastAsia="Arial" w:hAnsi="Arial"/>
                  <w:sz w:val="21"/>
                  <w:szCs w:val="21"/>
                  <w:color w:val="0000EE"/>
                </w:rPr>
                <w:t xml:space="preserve">INC </w:t>
              </w:r>
              <w:r>
                <w:rPr>
                  <w:rFonts w:ascii="Arial" w:cs="Arial" w:eastAsia="Arial" w:hAnsi="Arial"/>
                  <w:sz w:val="21"/>
                  <w:szCs w:val="21"/>
                  <w:color w:val="000000"/>
                </w:rPr>
                <w:t>[</w:t>
              </w:r>
              <w:r>
                <w:rPr>
                  <w:rFonts w:ascii="Arial" w:cs="Arial" w:eastAsia="Arial" w:hAnsi="Arial"/>
                  <w:sz w:val="21"/>
                  <w:szCs w:val="21"/>
                  <w:color w:val="0000EE"/>
                </w:rPr>
                <w:t xml:space="preserve"> </w:t>
              </w:r>
              <w:r>
                <w:rPr>
                  <w:rFonts w:ascii="Arial" w:cs="Arial" w:eastAsia="Arial" w:hAnsi="Arial"/>
                  <w:sz w:val="17"/>
                  <w:szCs w:val="17"/>
                  <w:color w:val="0000FF"/>
                </w:rPr>
                <w:t>REGN</w:t>
              </w:r>
              <w:r>
                <w:rPr>
                  <w:rFonts w:ascii="Arial" w:cs="Arial" w:eastAsia="Arial" w:hAnsi="Arial"/>
                  <w:sz w:val="21"/>
                  <w:szCs w:val="21"/>
                  <w:color w:val="0000EE"/>
                </w:rPr>
                <w:t xml:space="preserve"> </w:t>
              </w:r>
              <w:r>
                <w:rPr>
                  <w:rFonts w:ascii="Arial" w:cs="Arial" w:eastAsia="Arial" w:hAnsi="Arial"/>
                  <w:sz w:val="21"/>
                  <w:szCs w:val="21"/>
                  <w:color w:val="000000"/>
                </w:rPr>
                <w:t>]</w:t>
              </w:r>
            </w:hyperlink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54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360" w:type="dxa"/>
            <w:vAlign w:val="bottom"/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50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54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50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00" w:type="dxa"/>
            <w:vAlign w:val="bottom"/>
            <w:gridSpan w:val="3"/>
            <w:vMerge w:val="restart"/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X</w:t>
            </w:r>
          </w:p>
        </w:tc>
        <w:tc>
          <w:tcPr>
            <w:tcW w:w="1220" w:type="dxa"/>
            <w:vAlign w:val="bottom"/>
            <w:gridSpan w:val="2"/>
            <w:vMerge w:val="restart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Officer (give title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540" w:type="dxa"/>
            <w:vAlign w:val="bottom"/>
            <w:gridSpan w:val="4"/>
            <w:vMerge w:val="restart"/>
          </w:tcPr>
          <w:p>
            <w:pPr>
              <w:ind w:left="2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Other (specify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top w:val="single" w:sz="8" w:color="0000EE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0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54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top w:val="single" w:sz="8" w:color="EEEEEE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top w:val="single" w:sz="8" w:color="EEEEEE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top w:val="single" w:sz="8" w:color="EEEEEE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top w:val="single" w:sz="8" w:color="EEEEEE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top w:val="single" w:sz="8" w:color="EEEEEE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top w:val="single" w:sz="8" w:color="EEEEEE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0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0" w:type="dxa"/>
            <w:vAlign w:val="bottom"/>
            <w:vMerge w:val="restart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  <w:vMerge w:val="restart"/>
          </w:tcPr>
          <w:p>
            <w:pPr>
              <w:ind w:left="2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(Last)</w:t>
            </w:r>
          </w:p>
        </w:tc>
        <w:tc>
          <w:tcPr>
            <w:tcW w:w="1920" w:type="dxa"/>
            <w:vAlign w:val="bottom"/>
            <w:gridSpan w:val="3"/>
            <w:vMerge w:val="restart"/>
          </w:tcPr>
          <w:p>
            <w:pPr>
              <w:ind w:left="6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(First)</w:t>
            </w:r>
          </w:p>
        </w:tc>
        <w:tc>
          <w:tcPr>
            <w:tcW w:w="1140" w:type="dxa"/>
            <w:vAlign w:val="bottom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(Middle)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60" w:type="dxa"/>
            <w:vAlign w:val="bottom"/>
            <w:gridSpan w:val="7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3. Date of Earliest Transaction (Month/Day/Year)</w:t>
            </w: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2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9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14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060" w:type="dxa"/>
            <w:vAlign w:val="bottom"/>
            <w:gridSpan w:val="7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040" w:type="dxa"/>
            <w:vAlign w:val="bottom"/>
            <w:gridSpan w:val="7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SVP F&amp;A, CFO, Treas &amp; Asst Sec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3060" w:type="dxa"/>
            <w:vAlign w:val="bottom"/>
            <w:gridSpan w:val="7"/>
            <w:vMerge w:val="continue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3040" w:type="dxa"/>
            <w:vAlign w:val="bottom"/>
            <w:gridSpan w:val="7"/>
            <w:vMerge w:val="continue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680" w:type="dxa"/>
            <w:vAlign w:val="bottom"/>
            <w:gridSpan w:val="5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777 OLD SAW MILL RIVER ROAD</w:t>
            </w:r>
          </w:p>
        </w:tc>
        <w:tc>
          <w:tcPr>
            <w:tcW w:w="1700" w:type="dxa"/>
            <w:vAlign w:val="bottom"/>
            <w:gridSpan w:val="6"/>
            <w:vMerge w:val="restart"/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01/06/2011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040" w:type="dxa"/>
            <w:vAlign w:val="bottom"/>
            <w:gridSpan w:val="7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80" w:type="dxa"/>
            <w:vAlign w:val="bottom"/>
            <w:gridSpan w:val="5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700" w:type="dxa"/>
            <w:vAlign w:val="bottom"/>
            <w:gridSpan w:val="6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48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96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100" w:type="dxa"/>
            <w:vAlign w:val="bottom"/>
            <w:tcBorders>
              <w:bottom w:val="single" w:sz="8" w:color="2C2C2C"/>
            </w:tcBorders>
            <w:gridSpan w:val="7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" w:type="dxa"/>
            <w:vAlign w:val="bottom"/>
            <w:gridSpan w:val="2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  <w:vMerge w:val="restart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740" w:type="dxa"/>
            <w:vAlign w:val="bottom"/>
            <w:gridSpan w:val="9"/>
            <w:vMerge w:val="restart"/>
          </w:tcPr>
          <w:p>
            <w:pPr>
              <w:jc w:val="center"/>
              <w:ind w:righ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4. If Amendment, Date of Original Filed (Month/Day/Year)</w:t>
            </w:r>
          </w:p>
        </w:tc>
        <w:tc>
          <w:tcPr>
            <w:tcW w:w="240" w:type="dxa"/>
            <w:vAlign w:val="bottom"/>
            <w:vMerge w:val="restart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540" w:type="dxa"/>
            <w:vAlign w:val="bottom"/>
            <w:gridSpan w:val="10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6. Individual or Joint/Group Filing (Check Applicable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740" w:type="dxa"/>
            <w:vAlign w:val="bottom"/>
            <w:gridSpan w:val="9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4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540" w:type="dxa"/>
            <w:vAlign w:val="bottom"/>
            <w:gridSpan w:val="10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(Street)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8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6"/>
              </w:rPr>
              <w:t>Line)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4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540" w:type="dxa"/>
            <w:vAlign w:val="bottom"/>
            <w:gridSpan w:val="4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TARRYTOWN  NY</w:t>
            </w:r>
          </w:p>
        </w:tc>
        <w:tc>
          <w:tcPr>
            <w:tcW w:w="114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10591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3540" w:type="dxa"/>
            <w:vAlign w:val="bottom"/>
            <w:gridSpan w:val="10"/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 xml:space="preserve">X   </w:t>
            </w:r>
            <w:r>
              <w:rPr>
                <w:rFonts w:ascii="Arial" w:cs="Arial" w:eastAsia="Arial" w:hAnsi="Arial"/>
                <w:sz w:val="13"/>
                <w:szCs w:val="13"/>
                <w:color w:val="000000"/>
              </w:rPr>
              <w:t>Form filed by One Reporting Person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040" w:type="dxa"/>
            <w:vAlign w:val="bottom"/>
            <w:gridSpan w:val="7"/>
          </w:tcPr>
          <w:p>
            <w:pPr>
              <w:ind w:left="120"/>
              <w:spacing w:after="0" w:line="14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Form filed by More than One Reporting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2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(City)</w:t>
            </w:r>
          </w:p>
        </w:tc>
        <w:tc>
          <w:tcPr>
            <w:tcW w:w="1920" w:type="dxa"/>
            <w:vAlign w:val="bottom"/>
            <w:gridSpan w:val="3"/>
            <w:vMerge w:val="restart"/>
          </w:tcPr>
          <w:p>
            <w:pPr>
              <w:ind w:left="6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(State)</w:t>
            </w:r>
          </w:p>
        </w:tc>
        <w:tc>
          <w:tcPr>
            <w:tcW w:w="1140" w:type="dxa"/>
            <w:vAlign w:val="bottom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(Zip)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Person</w:t>
            </w: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9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8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96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53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540" w:type="dxa"/>
            <w:vAlign w:val="bottom"/>
            <w:tcBorders>
              <w:top w:val="single" w:sz="8" w:color="2C2C2C"/>
            </w:tcBorders>
            <w:gridSpan w:val="19"/>
          </w:tcPr>
          <w:p>
            <w:pPr>
              <w:ind w:left="8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Table I - Non-Derivative Securities Acquired, Disposed of, or Beneficially Owned</w:t>
            </w:r>
          </w:p>
        </w:tc>
        <w:tc>
          <w:tcPr>
            <w:tcW w:w="6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36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2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640" w:type="dxa"/>
            <w:vAlign w:val="bottom"/>
            <w:gridSpan w:val="5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780" w:type="dxa"/>
            <w:vAlign w:val="bottom"/>
            <w:gridSpan w:val="5"/>
          </w:tcPr>
          <w:p>
            <w:pPr>
              <w:ind w:left="7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106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820" w:type="dxa"/>
            <w:vAlign w:val="bottom"/>
            <w:gridSpan w:val="2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2040" w:type="dxa"/>
            <w:vAlign w:val="bottom"/>
            <w:gridSpan w:val="6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2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8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ind w:left="72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  <w:gridSpan w:val="2"/>
          </w:tcPr>
          <w:p>
            <w:pPr>
              <w:ind w:left="6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Transaction</w:t>
            </w:r>
          </w:p>
        </w:tc>
        <w:tc>
          <w:tcPr>
            <w:tcW w:w="2040" w:type="dxa"/>
            <w:vAlign w:val="bottom"/>
            <w:gridSpan w:val="6"/>
          </w:tcPr>
          <w:p>
            <w:pPr>
              <w:ind w:left="12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 Of (D) (Instr. 3, 4 and 5)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20" w:type="dxa"/>
            <w:vAlign w:val="bottom"/>
            <w:gridSpan w:val="2"/>
          </w:tcPr>
          <w:p>
            <w:pPr>
              <w:ind w:left="6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80" w:type="dxa"/>
            <w:vAlign w:val="bottom"/>
            <w:gridSpan w:val="2"/>
          </w:tcPr>
          <w:p>
            <w:pPr>
              <w:ind w:left="2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780" w:type="dxa"/>
            <w:vAlign w:val="bottom"/>
            <w:gridSpan w:val="5"/>
          </w:tcPr>
          <w:p>
            <w:pPr>
              <w:jc w:val="center"/>
              <w:ind w:left="565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(Month/Day/Year)</w:t>
            </w:r>
          </w:p>
        </w:tc>
        <w:tc>
          <w:tcPr>
            <w:tcW w:w="1060" w:type="dxa"/>
            <w:vAlign w:val="bottom"/>
            <w:gridSpan w:val="2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20" w:type="dxa"/>
            <w:vAlign w:val="bottom"/>
            <w:gridSpan w:val="2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80" w:type="dxa"/>
            <w:vAlign w:val="bottom"/>
            <w:gridSpan w:val="2"/>
          </w:tcPr>
          <w:p>
            <w:pPr>
              <w:ind w:left="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  <w:gridSpan w:val="2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(Month/Day/Year)</w:t>
            </w:r>
          </w:p>
        </w:tc>
        <w:tc>
          <w:tcPr>
            <w:tcW w:w="820" w:type="dxa"/>
            <w:vAlign w:val="bottom"/>
            <w:gridSpan w:val="2"/>
          </w:tcPr>
          <w:p>
            <w:pPr>
              <w:ind w:left="1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20" w:type="dxa"/>
            <w:vAlign w:val="bottom"/>
            <w:gridSpan w:val="2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80" w:type="dxa"/>
            <w:vAlign w:val="bottom"/>
            <w:gridSpan w:val="2"/>
          </w:tcPr>
          <w:p>
            <w:pPr>
              <w:ind w:left="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0" w:type="dxa"/>
            <w:vAlign w:val="bottom"/>
            <w:vMerge w:val="restart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Reported</w:t>
            </w: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40" w:type="dxa"/>
            <w:vAlign w:val="bottom"/>
            <w:gridSpan w:val="3"/>
            <w:vMerge w:val="restart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4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 V</w:t>
            </w:r>
          </w:p>
        </w:tc>
        <w:tc>
          <w:tcPr>
            <w:tcW w:w="740" w:type="dxa"/>
            <w:vAlign w:val="bottom"/>
            <w:vMerge w:val="restart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680" w:type="dxa"/>
            <w:vAlign w:val="bottom"/>
            <w:gridSpan w:val="2"/>
          </w:tcPr>
          <w:p>
            <w:pPr>
              <w:ind w:left="20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620" w:type="dxa"/>
            <w:vAlign w:val="bottom"/>
            <w:gridSpan w:val="3"/>
            <w:vMerge w:val="restart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20" w:type="dxa"/>
            <w:vAlign w:val="bottom"/>
            <w:gridSpan w:val="2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6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4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  <w:vMerge w:val="restart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6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2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2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5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Common Stock</w:t>
            </w: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78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jc w:val="center"/>
              <w:ind w:left="565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1"/>
              </w:rPr>
              <w:t>01/06/2011</w:t>
            </w: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ind w:right="24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6"/>
                <w:szCs w:val="26"/>
                <w:color w:val="0000FF"/>
                <w:w w:val="93"/>
                <w:vertAlign w:val="subscript"/>
              </w:rPr>
              <w:t>M</w:t>
            </w:r>
            <w:r>
              <w:rPr>
                <w:rFonts w:ascii="Arial" w:cs="Arial" w:eastAsia="Arial" w:hAnsi="Arial"/>
                <w:sz w:val="11"/>
                <w:szCs w:val="11"/>
                <w:color w:val="008000"/>
                <w:w w:val="93"/>
              </w:rPr>
              <w:t>(1)</w:t>
            </w: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ind w:left="104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2"/>
              </w:rPr>
              <w:t>16,058</w:t>
            </w: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jc w:val="right"/>
              <w:ind w:righ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A</w:t>
            </w: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jc w:val="center"/>
              <w:ind w:left="6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  <w:w w:val="91"/>
              </w:rPr>
              <w:t>$</w:t>
            </w:r>
            <w:r>
              <w:rPr>
                <w:rFonts w:ascii="Arial" w:cs="Arial" w:eastAsia="Arial" w:hAnsi="Arial"/>
                <w:sz w:val="17"/>
                <w:szCs w:val="17"/>
                <w:color w:val="0000FF"/>
                <w:w w:val="91"/>
              </w:rPr>
              <w:t>13</w:t>
            </w: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2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2"/>
              </w:rPr>
              <w:t>93,792</w:t>
            </w: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D</w:t>
            </w: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5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Common Stock</w:t>
            </w: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78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jc w:val="center"/>
              <w:ind w:left="565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1"/>
              </w:rPr>
              <w:t>01/06/2011</w:t>
            </w: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ind w:right="24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6"/>
                <w:szCs w:val="26"/>
                <w:color w:val="0000FF"/>
                <w:w w:val="91"/>
                <w:vertAlign w:val="subscript"/>
              </w:rPr>
              <w:t>F</w:t>
            </w:r>
            <w:r>
              <w:rPr>
                <w:rFonts w:ascii="Arial" w:cs="Arial" w:eastAsia="Arial" w:hAnsi="Arial"/>
                <w:sz w:val="11"/>
                <w:szCs w:val="11"/>
                <w:color w:val="008000"/>
                <w:w w:val="91"/>
              </w:rPr>
              <w:t>(1)</w:t>
            </w: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ind w:left="104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3"/>
              </w:rPr>
              <w:t>6,177</w:t>
            </w: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jc w:val="right"/>
              <w:ind w:righ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D</w:t>
            </w: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jc w:val="center"/>
              <w:ind w:left="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  <w:w w:val="96"/>
              </w:rPr>
              <w:t>$</w:t>
            </w:r>
            <w:r>
              <w:rPr>
                <w:rFonts w:ascii="Arial" w:cs="Arial" w:eastAsia="Arial" w:hAnsi="Arial"/>
                <w:sz w:val="17"/>
                <w:szCs w:val="17"/>
                <w:color w:val="0000FF"/>
                <w:w w:val="96"/>
              </w:rPr>
              <w:t>33.79</w:t>
            </w: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2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2"/>
              </w:rPr>
              <w:t>87,615</w:t>
            </w: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D</w:t>
            </w: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5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Common Stock</w:t>
            </w: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78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jc w:val="center"/>
              <w:ind w:left="565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1"/>
              </w:rPr>
              <w:t>01/06/2011</w:t>
            </w: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ind w:right="24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6"/>
                <w:szCs w:val="26"/>
                <w:color w:val="0000FF"/>
                <w:w w:val="91"/>
                <w:vertAlign w:val="subscript"/>
              </w:rPr>
              <w:t>F</w:t>
            </w:r>
            <w:r>
              <w:rPr>
                <w:rFonts w:ascii="Arial" w:cs="Arial" w:eastAsia="Arial" w:hAnsi="Arial"/>
                <w:sz w:val="11"/>
                <w:szCs w:val="11"/>
                <w:color w:val="008000"/>
                <w:w w:val="91"/>
              </w:rPr>
              <w:t>(1)</w:t>
            </w: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ind w:left="104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3"/>
              </w:rPr>
              <w:t>3,578</w:t>
            </w: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jc w:val="right"/>
              <w:ind w:righ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D</w:t>
            </w: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jc w:val="center"/>
              <w:ind w:left="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  <w:w w:val="96"/>
              </w:rPr>
              <w:t>$</w:t>
            </w:r>
            <w:r>
              <w:rPr>
                <w:rFonts w:ascii="Arial" w:cs="Arial" w:eastAsia="Arial" w:hAnsi="Arial"/>
                <w:sz w:val="17"/>
                <w:szCs w:val="17"/>
                <w:color w:val="0000FF"/>
                <w:w w:val="96"/>
              </w:rPr>
              <w:t>33.79</w:t>
            </w: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2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2"/>
              </w:rPr>
              <w:t>84,037</w:t>
            </w: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D</w:t>
            </w: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5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Common Stock</w:t>
            </w: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78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jc w:val="center"/>
              <w:ind w:left="565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1"/>
              </w:rPr>
              <w:t>01/06/2011</w:t>
            </w: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ind w:right="24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6"/>
                <w:szCs w:val="26"/>
                <w:color w:val="0000FF"/>
                <w:w w:val="93"/>
                <w:vertAlign w:val="subscript"/>
              </w:rPr>
              <w:t>M</w:t>
            </w:r>
            <w:r>
              <w:rPr>
                <w:rFonts w:ascii="Arial" w:cs="Arial" w:eastAsia="Arial" w:hAnsi="Arial"/>
                <w:sz w:val="11"/>
                <w:szCs w:val="11"/>
                <w:color w:val="008000"/>
                <w:w w:val="93"/>
              </w:rPr>
              <w:t>(1)</w:t>
            </w: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ind w:left="104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3"/>
              </w:rPr>
              <w:t>3,942</w:t>
            </w: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jc w:val="right"/>
              <w:ind w:righ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A</w:t>
            </w: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jc w:val="center"/>
              <w:ind w:left="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  <w:w w:val="96"/>
              </w:rPr>
              <w:t>$</w:t>
            </w:r>
            <w:r>
              <w:rPr>
                <w:rFonts w:ascii="Arial" w:cs="Arial" w:eastAsia="Arial" w:hAnsi="Arial"/>
                <w:sz w:val="17"/>
                <w:szCs w:val="17"/>
                <w:color w:val="0000FF"/>
                <w:w w:val="96"/>
              </w:rPr>
              <w:t>19.43</w:t>
            </w: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2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2"/>
              </w:rPr>
              <w:t>87,979</w:t>
            </w: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D</w:t>
            </w: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5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Common Stock</w:t>
            </w: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78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jc w:val="center"/>
              <w:ind w:left="565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1"/>
              </w:rPr>
              <w:t>01/06/2011</w:t>
            </w: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ind w:right="24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6"/>
                <w:szCs w:val="26"/>
                <w:color w:val="0000FF"/>
                <w:w w:val="91"/>
                <w:vertAlign w:val="subscript"/>
              </w:rPr>
              <w:t>F</w:t>
            </w:r>
            <w:r>
              <w:rPr>
                <w:rFonts w:ascii="Arial" w:cs="Arial" w:eastAsia="Arial" w:hAnsi="Arial"/>
                <w:sz w:val="11"/>
                <w:szCs w:val="11"/>
                <w:color w:val="008000"/>
                <w:w w:val="91"/>
              </w:rPr>
              <w:t>(1)</w:t>
            </w: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ind w:left="104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3"/>
              </w:rPr>
              <w:t>2,266</w:t>
            </w: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jc w:val="right"/>
              <w:ind w:righ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D</w:t>
            </w: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jc w:val="center"/>
              <w:ind w:left="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  <w:w w:val="96"/>
              </w:rPr>
              <w:t>$</w:t>
            </w:r>
            <w:r>
              <w:rPr>
                <w:rFonts w:ascii="Arial" w:cs="Arial" w:eastAsia="Arial" w:hAnsi="Arial"/>
                <w:sz w:val="17"/>
                <w:szCs w:val="17"/>
                <w:color w:val="0000FF"/>
                <w:w w:val="96"/>
              </w:rPr>
              <w:t>33.79</w:t>
            </w: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2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2"/>
              </w:rPr>
              <w:t>85,713</w:t>
            </w: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D</w:t>
            </w: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5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Common Stock</w:t>
            </w: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78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jc w:val="center"/>
              <w:ind w:left="565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1"/>
              </w:rPr>
              <w:t>01/06/2011</w:t>
            </w: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ind w:right="24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6"/>
                <w:szCs w:val="26"/>
                <w:color w:val="0000FF"/>
                <w:w w:val="91"/>
                <w:vertAlign w:val="subscript"/>
              </w:rPr>
              <w:t>F</w:t>
            </w:r>
            <w:r>
              <w:rPr>
                <w:rFonts w:ascii="Arial" w:cs="Arial" w:eastAsia="Arial" w:hAnsi="Arial"/>
                <w:sz w:val="11"/>
                <w:szCs w:val="11"/>
                <w:color w:val="008000"/>
                <w:w w:val="91"/>
              </w:rPr>
              <w:t>(1)</w:t>
            </w: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ind w:left="104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8"/>
              </w:rPr>
              <w:t>606</w:t>
            </w: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jc w:val="right"/>
              <w:ind w:righ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D</w:t>
            </w: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jc w:val="center"/>
              <w:ind w:left="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  <w:w w:val="96"/>
              </w:rPr>
              <w:t>$</w:t>
            </w:r>
            <w:r>
              <w:rPr>
                <w:rFonts w:ascii="Arial" w:cs="Arial" w:eastAsia="Arial" w:hAnsi="Arial"/>
                <w:sz w:val="17"/>
                <w:szCs w:val="17"/>
                <w:color w:val="0000FF"/>
                <w:w w:val="96"/>
              </w:rPr>
              <w:t>33.79</w:t>
            </w: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2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2"/>
              </w:rPr>
              <w:t>85,107</w:t>
            </w: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D</w:t>
            </w: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5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Common Stock</w:t>
            </w: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78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jc w:val="center"/>
              <w:ind w:left="565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1"/>
              </w:rPr>
              <w:t>01/07/2011</w:t>
            </w: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ind w:right="24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6"/>
                <w:szCs w:val="26"/>
                <w:color w:val="0000FF"/>
                <w:w w:val="87"/>
                <w:vertAlign w:val="subscript"/>
              </w:rPr>
              <w:t>S</w:t>
            </w:r>
            <w:r>
              <w:rPr>
                <w:rFonts w:ascii="Arial" w:cs="Arial" w:eastAsia="Arial" w:hAnsi="Arial"/>
                <w:sz w:val="11"/>
                <w:szCs w:val="11"/>
                <w:color w:val="008000"/>
                <w:w w:val="87"/>
              </w:rPr>
              <w:t>(1)</w:t>
            </w: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ind w:left="104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3"/>
              </w:rPr>
              <w:t>1,840</w:t>
            </w: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jc w:val="right"/>
              <w:ind w:righ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D</w:t>
            </w: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  <w:w w:val="88"/>
              </w:rPr>
              <w:t>$</w:t>
            </w:r>
            <w:r>
              <w:rPr>
                <w:rFonts w:ascii="Arial" w:cs="Arial" w:eastAsia="Arial" w:hAnsi="Arial"/>
                <w:sz w:val="17"/>
                <w:szCs w:val="17"/>
                <w:color w:val="0000FF"/>
                <w:w w:val="88"/>
              </w:rPr>
              <w:t>33.95</w:t>
            </w:r>
            <w:r>
              <w:rPr>
                <w:rFonts w:ascii="Arial" w:cs="Arial" w:eastAsia="Arial" w:hAnsi="Arial"/>
                <w:sz w:val="22"/>
                <w:szCs w:val="22"/>
                <w:color w:val="008000"/>
                <w:w w:val="88"/>
                <w:vertAlign w:val="superscript"/>
              </w:rPr>
              <w:t>(2)</w:t>
            </w:r>
          </w:p>
        </w:tc>
        <w:tc>
          <w:tcPr>
            <w:tcW w:w="12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2"/>
              </w:rPr>
              <w:t>83,267</w:t>
            </w: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D</w:t>
            </w: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5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Common Stock</w:t>
            </w: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78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jc w:val="center"/>
              <w:ind w:left="565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1"/>
              </w:rPr>
              <w:t>01/07/2011</w:t>
            </w: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ind w:right="24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6"/>
                <w:szCs w:val="26"/>
                <w:color w:val="0000FF"/>
                <w:w w:val="87"/>
                <w:vertAlign w:val="subscript"/>
              </w:rPr>
              <w:t>S</w:t>
            </w:r>
            <w:r>
              <w:rPr>
                <w:rFonts w:ascii="Arial" w:cs="Arial" w:eastAsia="Arial" w:hAnsi="Arial"/>
                <w:sz w:val="11"/>
                <w:szCs w:val="11"/>
                <w:color w:val="008000"/>
                <w:w w:val="87"/>
              </w:rPr>
              <w:t>(1)</w:t>
            </w: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ind w:left="104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3"/>
              </w:rPr>
              <w:t>5,533</w:t>
            </w: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jc w:val="right"/>
              <w:ind w:righ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D</w:t>
            </w: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  <w:w w:val="88"/>
              </w:rPr>
              <w:t>$</w:t>
            </w:r>
            <w:r>
              <w:rPr>
                <w:rFonts w:ascii="Arial" w:cs="Arial" w:eastAsia="Arial" w:hAnsi="Arial"/>
                <w:sz w:val="17"/>
                <w:szCs w:val="17"/>
                <w:color w:val="0000FF"/>
                <w:w w:val="88"/>
              </w:rPr>
              <w:t>34.14</w:t>
            </w:r>
            <w:r>
              <w:rPr>
                <w:rFonts w:ascii="Arial" w:cs="Arial" w:eastAsia="Arial" w:hAnsi="Arial"/>
                <w:sz w:val="22"/>
                <w:szCs w:val="22"/>
                <w:color w:val="008000"/>
                <w:w w:val="88"/>
                <w:vertAlign w:val="superscript"/>
              </w:rPr>
              <w:t>(3)</w:t>
            </w:r>
          </w:p>
        </w:tc>
        <w:tc>
          <w:tcPr>
            <w:tcW w:w="12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2"/>
              </w:rPr>
              <w:t>77,734</w:t>
            </w: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D</w:t>
            </w: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4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By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52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Common Stock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220" w:type="dxa"/>
            <w:vAlign w:val="bottom"/>
            <w:gridSpan w:val="2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3"/>
              </w:rPr>
              <w:t>5,136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I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401(k)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4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Plan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2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60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48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96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3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600" w:type="dxa"/>
            <w:vAlign w:val="bottom"/>
            <w:tcBorders>
              <w:top w:val="single" w:sz="8" w:color="2C2C2C"/>
            </w:tcBorders>
            <w:gridSpan w:val="18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Table II - Derivative Securities Acquired, Disposed of, or Beneficially Owned</w:t>
            </w:r>
          </w:p>
        </w:tc>
        <w:tc>
          <w:tcPr>
            <w:tcW w:w="6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700" w:type="dxa"/>
            <w:vAlign w:val="bottom"/>
            <w:gridSpan w:val="15"/>
          </w:tcPr>
          <w:p>
            <w:pPr>
              <w:jc w:val="center"/>
              <w:ind w:left="445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(e.g., puts, calls, warrants, options, convertible securities)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56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112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2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560" w:type="dxa"/>
            <w:vAlign w:val="bottom"/>
            <w:gridSpan w:val="3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1300" w:type="dxa"/>
            <w:vAlign w:val="bottom"/>
            <w:gridSpan w:val="5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Title and Amount</w:t>
            </w:r>
          </w:p>
        </w:tc>
        <w:tc>
          <w:tcPr>
            <w:tcW w:w="72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90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</w:t>
            </w:r>
          </w:p>
        </w:tc>
        <w:tc>
          <w:tcPr>
            <w:tcW w:w="7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10.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120" w:type="dxa"/>
            <w:vAlign w:val="bottom"/>
            <w:gridSpan w:val="2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840" w:type="dxa"/>
            <w:vAlign w:val="bottom"/>
            <w:gridSpan w:val="5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86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1560" w:type="dxa"/>
            <w:vAlign w:val="bottom"/>
            <w:gridSpan w:val="3"/>
          </w:tcPr>
          <w:p>
            <w:pPr>
              <w:ind w:left="4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1300" w:type="dxa"/>
            <w:vAlign w:val="bottom"/>
            <w:gridSpan w:val="5"/>
          </w:tcPr>
          <w:p>
            <w:pPr>
              <w:ind w:left="4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Securities</w:t>
            </w:r>
          </w:p>
        </w:tc>
        <w:tc>
          <w:tcPr>
            <w:tcW w:w="720" w:type="dxa"/>
            <w:vAlign w:val="bottom"/>
            <w:gridSpan w:val="2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620" w:type="dxa"/>
            <w:vAlign w:val="bottom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6"/>
              </w:rPr>
              <w:t>Ownership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ind w:left="14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120" w:type="dxa"/>
            <w:vAlign w:val="bottom"/>
            <w:gridSpan w:val="2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840" w:type="dxa"/>
            <w:vAlign w:val="bottom"/>
            <w:gridSpan w:val="5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86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560" w:type="dxa"/>
            <w:vAlign w:val="bottom"/>
            <w:gridSpan w:val="3"/>
          </w:tcPr>
          <w:p>
            <w:pPr>
              <w:ind w:left="4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680" w:type="dxa"/>
            <w:vAlign w:val="bottom"/>
            <w:gridSpan w:val="2"/>
          </w:tcPr>
          <w:p>
            <w:pPr>
              <w:ind w:left="4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Underlying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620" w:type="dxa"/>
            <w:vAlign w:val="bottom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ind w:left="14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200" w:type="dxa"/>
            <w:vAlign w:val="bottom"/>
            <w:gridSpan w:val="2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00" w:type="dxa"/>
            <w:vAlign w:val="bottom"/>
            <w:gridSpan w:val="5"/>
          </w:tcPr>
          <w:p>
            <w:pPr>
              <w:ind w:left="4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 Security</w:t>
            </w:r>
          </w:p>
        </w:tc>
        <w:tc>
          <w:tcPr>
            <w:tcW w:w="720" w:type="dxa"/>
            <w:vAlign w:val="bottom"/>
            <w:gridSpan w:val="2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900" w:type="dxa"/>
            <w:vAlign w:val="bottom"/>
            <w:gridSpan w:val="2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70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ind w:left="14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00" w:type="dxa"/>
            <w:vAlign w:val="bottom"/>
            <w:gridSpan w:val="5"/>
          </w:tcPr>
          <w:p>
            <w:pPr>
              <w:ind w:left="4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ind w:left="14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6"/>
              </w:rPr>
              <w:t>(I) (Instr. 4)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 (Instr.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  <w:gridSpan w:val="2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3, 4 and 5)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  <w:gridSpan w:val="3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  <w:gridSpan w:val="3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  <w:gridSpan w:val="2"/>
          </w:tcPr>
          <w:p>
            <w:pPr>
              <w:ind w:left="4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40" w:type="dxa"/>
            <w:vAlign w:val="bottom"/>
          </w:tcPr>
          <w:p>
            <w:pPr>
              <w:ind w:left="4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  <w:gridSpan w:val="3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  <w:gridSpan w:val="4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 (D)</w:t>
            </w:r>
          </w:p>
        </w:tc>
        <w:tc>
          <w:tcPr>
            <w:tcW w:w="82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74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68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</w:t>
            </w:r>
          </w:p>
        </w:tc>
        <w:tc>
          <w:tcPr>
            <w:tcW w:w="62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Shares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Non-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 w:line="14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Qualified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Stock</w:t>
            </w:r>
          </w:p>
        </w:tc>
        <w:tc>
          <w:tcPr>
            <w:tcW w:w="800" w:type="dxa"/>
            <w:vAlign w:val="bottom"/>
          </w:tcPr>
          <w:p>
            <w:pPr>
              <w:jc w:val="center"/>
              <w:ind w:right="21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$</w:t>
            </w: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13</w:t>
            </w:r>
          </w:p>
        </w:tc>
        <w:tc>
          <w:tcPr>
            <w:tcW w:w="94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01/06/2011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40" w:type="dxa"/>
            <w:vAlign w:val="bottom"/>
            <w:gridSpan w:val="4"/>
          </w:tcPr>
          <w:p>
            <w:pPr>
              <w:ind w:left="100"/>
              <w:spacing w:after="0" w:line="21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4"/>
                <w:szCs w:val="24"/>
                <w:color w:val="0000FF"/>
                <w:vertAlign w:val="subscript"/>
              </w:rPr>
              <w:t>M</w:t>
            </w: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(1)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jc w:val="right"/>
              <w:ind w:right="39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16,058</w:t>
            </w:r>
          </w:p>
        </w:tc>
        <w:tc>
          <w:tcPr>
            <w:tcW w:w="820" w:type="dxa"/>
            <w:vAlign w:val="bottom"/>
            <w:gridSpan w:val="2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(4)</w:t>
            </w:r>
          </w:p>
        </w:tc>
        <w:tc>
          <w:tcPr>
            <w:tcW w:w="74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12/15/2013</w:t>
            </w:r>
          </w:p>
        </w:tc>
        <w:tc>
          <w:tcPr>
            <w:tcW w:w="68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Common</w:t>
            </w:r>
          </w:p>
        </w:tc>
        <w:tc>
          <w:tcPr>
            <w:tcW w:w="560" w:type="dxa"/>
            <w:vAlign w:val="bottom"/>
            <w:gridSpan w:val="2"/>
          </w:tcPr>
          <w:p>
            <w:pPr>
              <w:jc w:val="right"/>
              <w:ind w:right="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88"/>
              </w:rPr>
              <w:t>16,058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(5)</w:t>
            </w:r>
          </w:p>
        </w:tc>
        <w:tc>
          <w:tcPr>
            <w:tcW w:w="620" w:type="dxa"/>
            <w:vAlign w:val="bottom"/>
          </w:tcPr>
          <w:p>
            <w:pPr>
              <w:jc w:val="right"/>
              <w:ind w:right="9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0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D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 w:line="8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color w:val="0000FF"/>
              </w:rPr>
              <w:t>Option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</w:tcPr>
          <w:p>
            <w:pPr>
              <w:jc w:val="right"/>
              <w:ind w:right="240"/>
              <w:spacing w:after="0" w:line="8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color w:val="0000FF"/>
              </w:rPr>
              <w:t>Stock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 w:line="14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(right to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buy)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Non-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 w:line="14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Qualified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 w:line="14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Stock</w:t>
            </w:r>
          </w:p>
        </w:tc>
        <w:tc>
          <w:tcPr>
            <w:tcW w:w="800" w:type="dxa"/>
            <w:vAlign w:val="bottom"/>
            <w:vMerge w:val="restart"/>
          </w:tcPr>
          <w:p>
            <w:pPr>
              <w:jc w:val="center"/>
              <w:ind w:right="11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$</w:t>
            </w: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19.43</w:t>
            </w:r>
          </w:p>
        </w:tc>
        <w:tc>
          <w:tcPr>
            <w:tcW w:w="940" w:type="dxa"/>
            <w:vAlign w:val="bottom"/>
            <w:vMerge w:val="restart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01/06/2011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40" w:type="dxa"/>
            <w:vAlign w:val="bottom"/>
            <w:gridSpan w:val="4"/>
            <w:vMerge w:val="restart"/>
          </w:tcPr>
          <w:p>
            <w:pPr>
              <w:ind w:left="100"/>
              <w:spacing w:after="0" w:line="27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6"/>
                <w:szCs w:val="26"/>
                <w:color w:val="0000FF"/>
                <w:vertAlign w:val="subscript"/>
              </w:rPr>
              <w:t>M</w:t>
            </w: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(1)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60" w:type="dxa"/>
            <w:vAlign w:val="bottom"/>
            <w:vMerge w:val="restart"/>
          </w:tcPr>
          <w:p>
            <w:pPr>
              <w:jc w:val="right"/>
              <w:ind w:right="79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3,942</w:t>
            </w:r>
          </w:p>
        </w:tc>
        <w:tc>
          <w:tcPr>
            <w:tcW w:w="820" w:type="dxa"/>
            <w:vAlign w:val="bottom"/>
            <w:gridSpan w:val="2"/>
            <w:vMerge w:val="restart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(4)</w:t>
            </w:r>
          </w:p>
        </w:tc>
        <w:tc>
          <w:tcPr>
            <w:tcW w:w="740" w:type="dxa"/>
            <w:vAlign w:val="bottom"/>
            <w:vMerge w:val="restart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12/20/2012</w:t>
            </w:r>
          </w:p>
        </w:tc>
        <w:tc>
          <w:tcPr>
            <w:tcW w:w="680" w:type="dxa"/>
            <w:vAlign w:val="bottom"/>
            <w:gridSpan w:val="2"/>
          </w:tcPr>
          <w:p>
            <w:pPr>
              <w:ind w:left="40"/>
              <w:spacing w:after="0" w:line="14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Common</w:t>
            </w:r>
          </w:p>
        </w:tc>
        <w:tc>
          <w:tcPr>
            <w:tcW w:w="560" w:type="dxa"/>
            <w:vAlign w:val="bottom"/>
            <w:gridSpan w:val="2"/>
            <w:vMerge w:val="restart"/>
          </w:tcPr>
          <w:p>
            <w:pPr>
              <w:jc w:val="right"/>
              <w:ind w:right="4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8"/>
              </w:rPr>
              <w:t>3,942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00" w:type="dxa"/>
            <w:vAlign w:val="bottom"/>
            <w:vMerge w:val="restart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(5)</w:t>
            </w:r>
          </w:p>
        </w:tc>
        <w:tc>
          <w:tcPr>
            <w:tcW w:w="620" w:type="dxa"/>
            <w:vAlign w:val="bottom"/>
            <w:vMerge w:val="restart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50,911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00" w:type="dxa"/>
            <w:vAlign w:val="bottom"/>
            <w:vMerge w:val="restart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D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Option</w:t>
            </w:r>
          </w:p>
        </w:tc>
        <w:tc>
          <w:tcPr>
            <w:tcW w:w="800" w:type="dxa"/>
            <w:vAlign w:val="bottom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  <w:vMerge w:val="restart"/>
          </w:tcPr>
          <w:p>
            <w:pPr>
              <w:jc w:val="right"/>
              <w:ind w:right="2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Stock</w:t>
            </w:r>
          </w:p>
        </w:tc>
        <w:tc>
          <w:tcPr>
            <w:tcW w:w="5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</w:tbl>
    <w:p>
      <w:pPr>
        <w:ind w:left="80"/>
        <w:spacing w:after="0" w:line="236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0000FF"/>
        </w:rPr>
        <w:t>(right to</w:t>
      </w:r>
    </w:p>
    <w:p>
      <w:pPr>
        <w:spacing w:after="0" w:line="1" w:lineRule="exact"/>
        <w:rPr>
          <w:sz w:val="20"/>
          <w:szCs w:val="20"/>
          <w:color w:val="auto"/>
        </w:rPr>
      </w:pPr>
    </w:p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0000FF"/>
        </w:rPr>
        <w:t>buy)</w:t>
      </w:r>
    </w:p>
    <w:p>
      <w:pPr>
        <w:spacing w:after="0" w:line="101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Explanation of Responses:</w:t>
      </w:r>
    </w:p>
    <w:p>
      <w:pPr>
        <w:spacing w:after="0" w:line="58" w:lineRule="exact"/>
        <w:rPr>
          <w:sz w:val="20"/>
          <w:szCs w:val="20"/>
          <w:color w:val="auto"/>
        </w:rPr>
      </w:pPr>
    </w:p>
    <w:p>
      <w:pPr>
        <w:ind w:left="180" w:hanging="132"/>
        <w:spacing w:after="0"/>
        <w:tabs>
          <w:tab w:leader="none" w:pos="180" w:val="left"/>
        </w:tabs>
        <w:numPr>
          <w:ilvl w:val="0"/>
          <w:numId w:val="1"/>
        </w:numPr>
        <w:rPr>
          <w:rFonts w:ascii="Arial" w:cs="Arial" w:eastAsia="Arial" w:hAnsi="Arial"/>
          <w:sz w:val="13"/>
          <w:szCs w:val="13"/>
          <w:color w:val="008000"/>
        </w:rPr>
      </w:pPr>
      <w:r>
        <w:rPr>
          <w:rFonts w:ascii="Arial" w:cs="Arial" w:eastAsia="Arial" w:hAnsi="Arial"/>
          <w:sz w:val="13"/>
          <w:szCs w:val="13"/>
          <w:color w:val="008000"/>
        </w:rPr>
        <w:t>Disposition/acquisition made pursuant to a plan intended to comply with Rule 10b5-1(c).</w:t>
      </w:r>
    </w:p>
    <w:p>
      <w:pPr>
        <w:spacing w:after="0" w:line="51" w:lineRule="exact"/>
        <w:rPr>
          <w:rFonts w:ascii="Arial" w:cs="Arial" w:eastAsia="Arial" w:hAnsi="Arial"/>
          <w:sz w:val="13"/>
          <w:szCs w:val="13"/>
          <w:color w:val="008000"/>
        </w:rPr>
      </w:pPr>
    </w:p>
    <w:p>
      <w:pPr>
        <w:ind w:left="40" w:right="660" w:firstLine="8"/>
        <w:spacing w:after="0" w:line="272" w:lineRule="auto"/>
        <w:tabs>
          <w:tab w:leader="none" w:pos="174" w:val="left"/>
        </w:tabs>
        <w:numPr>
          <w:ilvl w:val="0"/>
          <w:numId w:val="1"/>
        </w:numPr>
        <w:rPr>
          <w:rFonts w:ascii="Arial" w:cs="Arial" w:eastAsia="Arial" w:hAnsi="Arial"/>
          <w:sz w:val="13"/>
          <w:szCs w:val="13"/>
          <w:color w:val="008000"/>
        </w:rPr>
      </w:pPr>
      <w:r>
        <w:rPr>
          <w:rFonts w:ascii="Arial" w:cs="Arial" w:eastAsia="Arial" w:hAnsi="Arial"/>
          <w:sz w:val="13"/>
          <w:szCs w:val="13"/>
          <w:color w:val="008000"/>
        </w:rPr>
        <w:t>The reporting person sold 1,840 shares of Company stock on January 7, 2011 at prices ranging from $33.89 to $33.99. Upon request by the Commission staff, the Company, or a security holder of the Company, the reporting person will provide full information regarding the number of shares sold by the reporting person on January 7, 2011 at each separate price.</w:t>
      </w:r>
    </w:p>
    <w:p>
      <w:pPr>
        <w:spacing w:after="0" w:line="9" w:lineRule="exact"/>
        <w:rPr>
          <w:rFonts w:ascii="Arial" w:cs="Arial" w:eastAsia="Arial" w:hAnsi="Arial"/>
          <w:sz w:val="13"/>
          <w:szCs w:val="13"/>
          <w:color w:val="008000"/>
        </w:rPr>
      </w:pPr>
    </w:p>
    <w:p>
      <w:pPr>
        <w:ind w:left="40" w:right="660" w:firstLine="8"/>
        <w:spacing w:after="0" w:line="272" w:lineRule="auto"/>
        <w:tabs>
          <w:tab w:leader="none" w:pos="174" w:val="left"/>
        </w:tabs>
        <w:numPr>
          <w:ilvl w:val="0"/>
          <w:numId w:val="1"/>
        </w:numPr>
        <w:rPr>
          <w:rFonts w:ascii="Arial" w:cs="Arial" w:eastAsia="Arial" w:hAnsi="Arial"/>
          <w:sz w:val="13"/>
          <w:szCs w:val="13"/>
          <w:color w:val="008000"/>
        </w:rPr>
      </w:pPr>
      <w:r>
        <w:rPr>
          <w:rFonts w:ascii="Arial" w:cs="Arial" w:eastAsia="Arial" w:hAnsi="Arial"/>
          <w:sz w:val="13"/>
          <w:szCs w:val="13"/>
          <w:color w:val="008000"/>
        </w:rPr>
        <w:t>The reporting person sold 5,533 shares of Company stock on January 7, 2011 at prices ranging from $34.00 to $34.45. Upon request by the Commission staff, the Company, or a security holder of the Company, the reporting person will provide full information regarding the number of shares sold by the reporting person on January 7, 2011 at each separate price.</w:t>
      </w:r>
    </w:p>
    <w:p>
      <w:pPr>
        <w:spacing w:after="0" w:line="9" w:lineRule="exact"/>
        <w:rPr>
          <w:rFonts w:ascii="Arial" w:cs="Arial" w:eastAsia="Arial" w:hAnsi="Arial"/>
          <w:sz w:val="13"/>
          <w:szCs w:val="13"/>
          <w:color w:val="008000"/>
        </w:rPr>
      </w:pPr>
    </w:p>
    <w:p>
      <w:pPr>
        <w:ind w:left="180" w:hanging="132"/>
        <w:spacing w:after="0"/>
        <w:tabs>
          <w:tab w:leader="none" w:pos="180" w:val="left"/>
        </w:tabs>
        <w:numPr>
          <w:ilvl w:val="0"/>
          <w:numId w:val="1"/>
        </w:numPr>
        <w:rPr>
          <w:rFonts w:ascii="Arial" w:cs="Arial" w:eastAsia="Arial" w:hAnsi="Arial"/>
          <w:sz w:val="13"/>
          <w:szCs w:val="13"/>
          <w:color w:val="008000"/>
        </w:rPr>
      </w:pPr>
      <w:r>
        <w:rPr>
          <w:rFonts w:ascii="Arial" w:cs="Arial" w:eastAsia="Arial" w:hAnsi="Arial"/>
          <w:sz w:val="13"/>
          <w:szCs w:val="13"/>
          <w:color w:val="008000"/>
        </w:rPr>
        <w:t>The stock option award (combined incentive stock option and non-qualified stock option) vests in four equal annual installments, commencing one year after the date of grant.</w:t>
      </w:r>
    </w:p>
    <w:p>
      <w:pPr>
        <w:spacing w:after="0" w:line="51" w:lineRule="exact"/>
        <w:rPr>
          <w:rFonts w:ascii="Arial" w:cs="Arial" w:eastAsia="Arial" w:hAnsi="Arial"/>
          <w:sz w:val="13"/>
          <w:szCs w:val="13"/>
          <w:color w:val="008000"/>
        </w:rPr>
      </w:pPr>
    </w:p>
    <w:p>
      <w:pPr>
        <w:ind w:left="180" w:hanging="132"/>
        <w:spacing w:after="0"/>
        <w:tabs>
          <w:tab w:leader="none" w:pos="180" w:val="left"/>
        </w:tabs>
        <w:numPr>
          <w:ilvl w:val="0"/>
          <w:numId w:val="1"/>
        </w:numPr>
        <w:rPr>
          <w:rFonts w:ascii="Arial" w:cs="Arial" w:eastAsia="Arial" w:hAnsi="Arial"/>
          <w:sz w:val="13"/>
          <w:szCs w:val="13"/>
          <w:color w:val="008000"/>
        </w:rPr>
      </w:pPr>
      <w:r>
        <w:rPr>
          <w:rFonts w:ascii="Arial" w:cs="Arial" w:eastAsia="Arial" w:hAnsi="Arial"/>
          <w:sz w:val="13"/>
          <w:szCs w:val="13"/>
          <w:color w:val="008000"/>
        </w:rPr>
        <w:t>Exercisable date, exercise date, exercise price, purchase price, sales price, and/or expiration date is not applicable in this case.</w:t>
      </w:r>
    </w:p>
    <w:p>
      <w:pPr>
        <w:spacing w:after="0" w:line="68" w:lineRule="exact"/>
        <w:rPr>
          <w:sz w:val="20"/>
          <w:szCs w:val="20"/>
          <w:color w:val="auto"/>
        </w:rPr>
      </w:pPr>
    </w:p>
    <w:tbl>
      <w:tblPr>
        <w:tblLayout w:type="fixed"/>
        <w:tblInd w:w="686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95"/>
        </w:trPr>
        <w:tc>
          <w:tcPr>
            <w:tcW w:w="1780" w:type="dxa"/>
            <w:vAlign w:val="bottom"/>
            <w:tcBorders>
              <w:bottom w:val="single" w:sz="8" w:color="auto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8"/>
              </w:rPr>
              <w:t>/s/**Murray A. Goldberg</w:t>
            </w: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auto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89"/>
              </w:rPr>
              <w:t>01/08/2011</w:t>
            </w:r>
          </w:p>
        </w:tc>
      </w:tr>
      <w:tr>
        <w:trPr>
          <w:trHeight w:val="235"/>
        </w:trPr>
        <w:tc>
          <w:tcPr>
            <w:tcW w:w="230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** Signature of Reporting Person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Date</w:t>
            </w:r>
          </w:p>
        </w:tc>
      </w:tr>
    </w:tbl>
    <w:p>
      <w:pPr>
        <w:spacing w:after="0" w:line="40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Reminder: Report on a separate line for each class of securities beneficially owned directly or indirectly.</w:t>
      </w:r>
    </w:p>
    <w:p>
      <w:pPr>
        <w:sectPr>
          <w:pgSz w:w="11900" w:h="16838" w:orient="portrait"/>
          <w:cols w:equalWidth="0" w:num="1">
            <w:col w:w="11520"/>
          </w:cols>
          <w:pgMar w:left="240" w:top="225" w:right="139" w:bottom="0" w:gutter="0" w:footer="0" w:header="0"/>
          <w:type w:val="continuous"/>
        </w:sectPr>
      </w:pPr>
    </w:p>
    <w:bookmarkStart w:id="1" w:name="page2"/>
    <w:bookmarkEnd w:id="1"/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4 (b)(v).</w:t>
      </w:r>
    </w:p>
    <w:p>
      <w:pPr>
        <w:spacing w:after="0" w:line="51" w:lineRule="exact"/>
        <w:rPr>
          <w:sz w:val="20"/>
          <w:szCs w:val="20"/>
          <w:color w:val="auto"/>
        </w:rPr>
      </w:pPr>
    </w:p>
    <w:p>
      <w:pPr>
        <w:jc w:val="both"/>
        <w:ind w:right="2500" w:firstLine="8"/>
        <w:spacing w:after="0" w:line="321" w:lineRule="auto"/>
        <w:tabs>
          <w:tab w:leader="none" w:pos="142" w:val="left"/>
        </w:tabs>
        <w:numPr>
          <w:ilvl w:val="0"/>
          <w:numId w:val="2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6 for procedure.</w:t>
      </w:r>
    </w:p>
    <w:p>
      <w:pPr>
        <w:spacing w:after="0"/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0240"/>
      </w:cols>
      <w:pgMar w:left="280" w:top="125" w:right="1379" w:bottom="1440" w:gutter="0" w:footer="0" w:header="0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643C9869"/>
    <w:multiLevelType w:val="hybridMultilevel"/>
    <w:lvl w:ilvl="0">
      <w:lvlJc w:val="left"/>
      <w:lvlText w:val="%1."/>
      <w:numFmt w:val="decimal"/>
      <w:start w:val="1"/>
    </w:lvl>
  </w:abstractNum>
  <w:abstractNum w:abstractNumId="1">
    <w:nsid w:val="66334873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pn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2" Type="http://schemas.openxmlformats.org/officeDocument/2006/relationships/hyperlink" Target="http://www.sec.gov/cgi-bin/browse-edgar?action=getcompany&amp;CIK=0001226435" TargetMode="External"/><Relationship Id="rId13" Type="http://schemas.openxmlformats.org/officeDocument/2006/relationships/hyperlink" Target="http://www.sec.gov/cgi-bin/browse-edgar?action=getcompany&amp;CIK=0000872589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2019-12-18T10:28:43Z</dcterms:created>
  <dcterms:modified xsi:type="dcterms:W3CDTF">2019-12-18T10:28:43Z</dcterms:modified>
</cp:coreProperties>
</file>