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63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3"/>
            <w:vMerge w:val="restart"/>
          </w:tcPr>
          <w:p>
            <w:pPr>
              <w:spacing w:after="0" w:line="250" w:lineRule="exact"/>
              <w:rPr>
                <w:rFonts w:ascii="Arial" w:cs="Arial" w:eastAsia="Arial" w:hAnsi="Arial"/>
                <w:sz w:val="22"/>
                <w:szCs w:val="22"/>
                <w:color w:val="0000EE"/>
                <w:w w:val="95"/>
              </w:rPr>
            </w:pPr>
            <w:hyperlink r:id="rId12">
              <w:r>
                <w:rPr>
                  <w:rFonts w:ascii="Arial" w:cs="Arial" w:eastAsia="Arial" w:hAnsi="Arial"/>
                  <w:sz w:val="22"/>
                  <w:szCs w:val="22"/>
                  <w:color w:val="0000EE"/>
                  <w:w w:val="95"/>
                </w:rPr>
                <w:t>GOLDBERG MURRAY A</w:t>
              </w:r>
            </w:hyperlink>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8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tcBorders>
              <w:bottom w:val="single" w:sz="8" w:color="0000EE"/>
            </w:tcBorders>
            <w:gridSpan w:val="3"/>
            <w:vMerge w:val="continue"/>
          </w:tcPr>
          <w:p>
            <w:pPr>
              <w:spacing w:after="0"/>
              <w:rPr>
                <w:sz w:val="5"/>
                <w:szCs w:val="5"/>
                <w:color w:val="auto"/>
              </w:rPr>
            </w:pPr>
          </w:p>
        </w:tc>
        <w:tc>
          <w:tcPr>
            <w:tcW w:w="14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80" w:type="dxa"/>
            <w:vAlign w:val="bottom"/>
            <w:gridSpan w:val="3"/>
          </w:tcPr>
          <w:p>
            <w:pPr>
              <w:spacing w:after="0"/>
              <w:rPr>
                <w:sz w:val="4"/>
                <w:szCs w:val="4"/>
                <w:color w:val="auto"/>
              </w:rPr>
            </w:pPr>
          </w:p>
        </w:tc>
        <w:tc>
          <w:tcPr>
            <w:tcW w:w="14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60" w:type="dxa"/>
            <w:vAlign w:val="bottom"/>
          </w:tcPr>
          <w:p>
            <w:pPr>
              <w:spacing w:after="0"/>
              <w:rPr>
                <w:sz w:val="8"/>
                <w:szCs w:val="8"/>
                <w:color w:val="auto"/>
              </w:rPr>
            </w:pPr>
          </w:p>
        </w:tc>
        <w:tc>
          <w:tcPr>
            <w:tcW w:w="1200" w:type="dxa"/>
            <w:vAlign w:val="bottom"/>
            <w:gridSpan w:val="2"/>
            <w:vMerge w:val="restart"/>
          </w:tcPr>
          <w:p>
            <w:pPr>
              <w:ind w:left="120"/>
              <w:spacing w:after="0" w:line="155" w:lineRule="exact"/>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8"/>
                <w:szCs w:val="8"/>
                <w:color w:val="auto"/>
              </w:rPr>
            </w:pPr>
          </w:p>
        </w:tc>
        <w:tc>
          <w:tcPr>
            <w:tcW w:w="1540" w:type="dxa"/>
            <w:vAlign w:val="bottom"/>
            <w:gridSpan w:val="4"/>
            <w:vMerge w:val="restart"/>
          </w:tcPr>
          <w:p>
            <w:pPr>
              <w:ind w:left="260"/>
              <w:spacing w:after="0" w:line="155"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9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20" w:type="dxa"/>
            <w:vAlign w:val="bottom"/>
            <w:tcBorders>
              <w:top w:val="single" w:sz="8" w:color="EEEEEE"/>
            </w:tcBorders>
          </w:tcPr>
          <w:p>
            <w:pPr>
              <w:spacing w:after="0"/>
              <w:rPr>
                <w:sz w:val="8"/>
                <w:szCs w:val="8"/>
                <w:color w:val="auto"/>
              </w:rPr>
            </w:pPr>
          </w:p>
        </w:tc>
        <w:tc>
          <w:tcPr>
            <w:tcW w:w="940" w:type="dxa"/>
            <w:vAlign w:val="bottom"/>
            <w:tcBorders>
              <w:top w:val="single" w:sz="8" w:color="EEEEEE"/>
            </w:tcBorders>
          </w:tcPr>
          <w:p>
            <w:pPr>
              <w:spacing w:after="0"/>
              <w:rPr>
                <w:sz w:val="8"/>
                <w:szCs w:val="8"/>
                <w:color w:val="auto"/>
              </w:rPr>
            </w:pPr>
          </w:p>
        </w:tc>
        <w:tc>
          <w:tcPr>
            <w:tcW w:w="140" w:type="dxa"/>
            <w:vAlign w:val="bottom"/>
            <w:tcBorders>
              <w:top w:val="single" w:sz="8" w:color="EEEEEE"/>
            </w:tcBorders>
          </w:tcPr>
          <w:p>
            <w:pPr>
              <w:spacing w:after="0"/>
              <w:rPr>
                <w:sz w:val="8"/>
                <w:szCs w:val="8"/>
                <w:color w:val="auto"/>
              </w:rPr>
            </w:pPr>
          </w:p>
        </w:tc>
        <w:tc>
          <w:tcPr>
            <w:tcW w:w="1200" w:type="dxa"/>
            <w:vAlign w:val="bottom"/>
            <w:tcBorders>
              <w:top w:val="single" w:sz="8" w:color="EEEEEE"/>
            </w:tcBorders>
          </w:tcPr>
          <w:p>
            <w:pPr>
              <w:spacing w:after="0"/>
              <w:rPr>
                <w:sz w:val="8"/>
                <w:szCs w:val="8"/>
                <w:color w:val="auto"/>
              </w:rPr>
            </w:pPr>
          </w:p>
        </w:tc>
        <w:tc>
          <w:tcPr>
            <w:tcW w:w="8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100" w:type="dxa"/>
            <w:vAlign w:val="bottom"/>
            <w:gridSpan w:val="8"/>
            <w:vMerge w:val="restart"/>
          </w:tcPr>
          <w:p>
            <w:pPr>
              <w:ind w:left="40"/>
              <w:spacing w:after="0"/>
              <w:rPr>
                <w:sz w:val="20"/>
                <w:szCs w:val="20"/>
                <w:color w:val="auto"/>
              </w:rPr>
            </w:pPr>
            <w:r>
              <w:rPr>
                <w:rFonts w:ascii="Arial" w:cs="Arial" w:eastAsia="Arial" w:hAnsi="Arial"/>
                <w:sz w:val="18"/>
                <w:szCs w:val="18"/>
                <w:color w:val="0000FF"/>
              </w:rPr>
              <w:t>SVP Finance and Admin CFO Trea</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0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777 OLD SAW MILL RIVER ROAD</w:t>
            </w:r>
          </w:p>
        </w:tc>
        <w:tc>
          <w:tcPr>
            <w:tcW w:w="1660" w:type="dxa"/>
            <w:vAlign w:val="bottom"/>
            <w:gridSpan w:val="7"/>
            <w:vMerge w:val="restart"/>
          </w:tcPr>
          <w:p>
            <w:pPr>
              <w:ind w:left="240"/>
              <w:spacing w:after="0"/>
              <w:rPr>
                <w:sz w:val="20"/>
                <w:szCs w:val="20"/>
                <w:color w:val="auto"/>
              </w:rPr>
            </w:pPr>
            <w:r>
              <w:rPr>
                <w:rFonts w:ascii="Arial" w:cs="Arial" w:eastAsia="Arial" w:hAnsi="Arial"/>
                <w:sz w:val="18"/>
                <w:szCs w:val="18"/>
                <w:color w:val="0000FF"/>
              </w:rPr>
              <w:t>11/13/2012</w:t>
            </w: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1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5"/>
            <w:vMerge w:val="continue"/>
          </w:tcPr>
          <w:p>
            <w:pPr>
              <w:spacing w:after="0"/>
              <w:rPr>
                <w:sz w:val="11"/>
                <w:szCs w:val="11"/>
                <w:color w:val="auto"/>
              </w:rPr>
            </w:pPr>
          </w:p>
        </w:tc>
        <w:tc>
          <w:tcPr>
            <w:tcW w:w="1660" w:type="dxa"/>
            <w:vAlign w:val="bottom"/>
            <w:gridSpan w:val="7"/>
            <w:vMerge w:val="continue"/>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gridSpan w:val="2"/>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gridSpan w:val="2"/>
          </w:tcPr>
          <w:p>
            <w:pPr>
              <w:spacing w:after="0"/>
              <w:rPr>
                <w:sz w:val="9"/>
                <w:szCs w:val="9"/>
                <w:color w:val="auto"/>
              </w:rPr>
            </w:pPr>
          </w:p>
        </w:tc>
        <w:tc>
          <w:tcPr>
            <w:tcW w:w="2920" w:type="dxa"/>
            <w:vAlign w:val="bottom"/>
            <w:tcBorders>
              <w:bottom w:val="single" w:sz="8" w:color="2C2C2C"/>
            </w:tcBorders>
            <w:gridSpan w:val="5"/>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20" w:type="dxa"/>
            <w:vAlign w:val="bottom"/>
            <w:gridSpan w:val="8"/>
            <w:vMerge w:val="continue"/>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7"/>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44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0"/>
          </w:tcPr>
          <w:p>
            <w:pPr>
              <w:jc w:val="center"/>
              <w:ind w:left="71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5"/>
          </w:tcPr>
          <w:p>
            <w:pPr>
              <w:jc w:val="center"/>
              <w:ind w:left="521"/>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6"/>
              </w:rPr>
              <w:t>11/13/2012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60" w:type="dxa"/>
            <w:vAlign w:val="bottom"/>
            <w:tcBorders>
              <w:bottom w:val="single" w:sz="8" w:color="2C2C2C"/>
            </w:tcBorders>
          </w:tcPr>
          <w:p>
            <w:pPr>
              <w:jc w:val="center"/>
              <w:ind w:left="40"/>
              <w:spacing w:after="0"/>
              <w:rPr>
                <w:sz w:val="20"/>
                <w:szCs w:val="20"/>
                <w:color w:val="auto"/>
              </w:rPr>
            </w:pPr>
            <w:r>
              <w:rPr>
                <w:rFonts w:ascii="Arial" w:cs="Arial" w:eastAsia="Arial" w:hAnsi="Arial"/>
                <w:sz w:val="18"/>
                <w:szCs w:val="18"/>
                <w:color w:val="0000FF"/>
                <w:w w:val="88"/>
              </w:rPr>
              <w:t>4,745</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9"/>
              </w:rPr>
              <w:t>A</w:t>
            </w: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65.76</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95,259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6"/>
              </w:rPr>
              <w:t>11/13/2012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left="40"/>
              <w:spacing w:after="0"/>
              <w:rPr>
                <w:sz w:val="20"/>
                <w:szCs w:val="20"/>
                <w:color w:val="auto"/>
              </w:rPr>
            </w:pPr>
            <w:r>
              <w:rPr>
                <w:rFonts w:ascii="Arial" w:cs="Arial" w:eastAsia="Arial" w:hAnsi="Arial"/>
                <w:sz w:val="18"/>
                <w:szCs w:val="18"/>
                <w:color w:val="0000FF"/>
                <w:w w:val="88"/>
              </w:rPr>
              <w:t>2,128</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146.6</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93,131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6"/>
              </w:rPr>
              <w:t>11/13/2012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left="40"/>
              <w:spacing w:after="0"/>
              <w:rPr>
                <w:sz w:val="20"/>
                <w:szCs w:val="20"/>
                <w:color w:val="auto"/>
              </w:rPr>
            </w:pPr>
            <w:r>
              <w:rPr>
                <w:rFonts w:ascii="Arial" w:cs="Arial" w:eastAsia="Arial" w:hAnsi="Arial"/>
                <w:sz w:val="18"/>
                <w:szCs w:val="18"/>
                <w:color w:val="0000FF"/>
                <w:w w:val="88"/>
              </w:rPr>
              <w:t>1,205</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146.6</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91,926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6"/>
              </w:rPr>
              <w:t>11/13/2012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60" w:type="dxa"/>
            <w:vAlign w:val="bottom"/>
            <w:tcBorders>
              <w:bottom w:val="single" w:sz="8" w:color="2C2C2C"/>
            </w:tcBorders>
          </w:tcPr>
          <w:p>
            <w:pPr>
              <w:jc w:val="center"/>
              <w:ind w:left="40"/>
              <w:spacing w:after="0"/>
              <w:rPr>
                <w:sz w:val="20"/>
                <w:szCs w:val="20"/>
                <w:color w:val="auto"/>
              </w:rPr>
            </w:pPr>
            <w:r>
              <w:rPr>
                <w:rFonts w:ascii="Arial" w:cs="Arial" w:eastAsia="Arial" w:hAnsi="Arial"/>
                <w:sz w:val="18"/>
                <w:szCs w:val="18"/>
                <w:color w:val="0000FF"/>
                <w:w w:val="88"/>
              </w:rPr>
              <w:t>3,431</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9"/>
              </w:rPr>
              <w:t>A</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left="23"/>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8.5</w:t>
            </w:r>
          </w:p>
        </w:tc>
        <w:tc>
          <w:tcPr>
            <w:tcW w:w="1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95,357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6"/>
              </w:rPr>
              <w:t>11/13/2012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left="20"/>
              <w:spacing w:after="0"/>
              <w:rPr>
                <w:sz w:val="20"/>
                <w:szCs w:val="20"/>
                <w:color w:val="auto"/>
              </w:rPr>
            </w:pPr>
            <w:r>
              <w:rPr>
                <w:rFonts w:ascii="Arial" w:cs="Arial" w:eastAsia="Arial" w:hAnsi="Arial"/>
                <w:sz w:val="18"/>
                <w:szCs w:val="18"/>
                <w:color w:val="0000FF"/>
                <w:w w:val="86"/>
              </w:rPr>
              <w:t>198</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146.6</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95,159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6"/>
              </w:rPr>
              <w:t>11/13/2012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left="40"/>
              <w:spacing w:after="0"/>
              <w:rPr>
                <w:sz w:val="20"/>
                <w:szCs w:val="20"/>
                <w:color w:val="auto"/>
              </w:rPr>
            </w:pPr>
            <w:r>
              <w:rPr>
                <w:rFonts w:ascii="Arial" w:cs="Arial" w:eastAsia="Arial" w:hAnsi="Arial"/>
                <w:sz w:val="18"/>
                <w:szCs w:val="18"/>
                <w:color w:val="0000FF"/>
                <w:w w:val="88"/>
              </w:rPr>
              <w:t>1,489</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146.6</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93,670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6"/>
              </w:rPr>
              <w:t>11/13/2012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0"/>
              <w:spacing w:after="0"/>
              <w:rPr>
                <w:sz w:val="20"/>
                <w:szCs w:val="20"/>
                <w:color w:val="auto"/>
              </w:rPr>
            </w:pPr>
            <w:r>
              <w:rPr>
                <w:rFonts w:ascii="Arial" w:cs="Arial" w:eastAsia="Arial" w:hAnsi="Arial"/>
                <w:sz w:val="18"/>
                <w:szCs w:val="18"/>
                <w:color w:val="0000FF"/>
                <w:w w:val="86"/>
              </w:rPr>
              <w:t>200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144.36</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93,470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6"/>
              </w:rPr>
              <w:t>11/13/2012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0"/>
              <w:spacing w:after="0"/>
              <w:rPr>
                <w:sz w:val="20"/>
                <w:szCs w:val="20"/>
                <w:color w:val="auto"/>
              </w:rPr>
            </w:pPr>
            <w:r>
              <w:rPr>
                <w:rFonts w:ascii="Arial" w:cs="Arial" w:eastAsia="Arial" w:hAnsi="Arial"/>
                <w:sz w:val="18"/>
                <w:szCs w:val="18"/>
                <w:color w:val="0000FF"/>
                <w:w w:val="86"/>
              </w:rPr>
              <w:t>300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145.65</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93,170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6"/>
              </w:rPr>
              <w:t>11/13/2012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40"/>
              <w:spacing w:after="0"/>
              <w:rPr>
                <w:sz w:val="20"/>
                <w:szCs w:val="20"/>
                <w:color w:val="auto"/>
              </w:rPr>
            </w:pPr>
            <w:r>
              <w:rPr>
                <w:rFonts w:ascii="Arial" w:cs="Arial" w:eastAsia="Arial" w:hAnsi="Arial"/>
                <w:sz w:val="18"/>
                <w:szCs w:val="18"/>
                <w:color w:val="0000FF"/>
                <w:w w:val="88"/>
              </w:rPr>
              <w:t>1,400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146.58</w:t>
            </w:r>
            <w:r>
              <w:rPr>
                <w:rFonts w:ascii="Arial" w:cs="Arial" w:eastAsia="Arial" w:hAnsi="Arial"/>
                <w:sz w:val="22"/>
                <w:szCs w:val="22"/>
                <w:color w:val="008000"/>
                <w:w w:val="84"/>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91,770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6"/>
              </w:rPr>
              <w:t>11/13/2012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40"/>
              <w:spacing w:after="0"/>
              <w:rPr>
                <w:sz w:val="20"/>
                <w:szCs w:val="20"/>
                <w:color w:val="auto"/>
              </w:rPr>
            </w:pPr>
            <w:r>
              <w:rPr>
                <w:rFonts w:ascii="Arial" w:cs="Arial" w:eastAsia="Arial" w:hAnsi="Arial"/>
                <w:sz w:val="18"/>
                <w:szCs w:val="18"/>
                <w:color w:val="0000FF"/>
                <w:w w:val="88"/>
              </w:rPr>
              <w:t>3,845</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147.62</w:t>
            </w:r>
            <w:r>
              <w:rPr>
                <w:rFonts w:ascii="Arial" w:cs="Arial" w:eastAsia="Arial" w:hAnsi="Arial"/>
                <w:sz w:val="22"/>
                <w:szCs w:val="22"/>
                <w:color w:val="008000"/>
                <w:w w:val="84"/>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87,925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6"/>
              </w:rPr>
              <w:t>11/13/2012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0"/>
              <w:spacing w:after="0"/>
              <w:rPr>
                <w:sz w:val="20"/>
                <w:szCs w:val="20"/>
                <w:color w:val="auto"/>
              </w:rPr>
            </w:pPr>
            <w:r>
              <w:rPr>
                <w:rFonts w:ascii="Arial" w:cs="Arial" w:eastAsia="Arial" w:hAnsi="Arial"/>
                <w:sz w:val="18"/>
                <w:szCs w:val="18"/>
                <w:color w:val="0000FF"/>
                <w:w w:val="86"/>
              </w:rPr>
              <w:t>792</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148.05</w:t>
            </w:r>
            <w:r>
              <w:rPr>
                <w:rFonts w:ascii="Arial" w:cs="Arial" w:eastAsia="Arial" w:hAnsi="Arial"/>
                <w:sz w:val="22"/>
                <w:szCs w:val="22"/>
                <w:color w:val="008000"/>
                <w:w w:val="84"/>
                <w:vertAlign w:val="superscript"/>
              </w:rPr>
              <w:t>(5)</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87,133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6"/>
              </w:rPr>
              <w:t>11/14/2012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40"/>
              <w:spacing w:after="0"/>
              <w:rPr>
                <w:sz w:val="20"/>
                <w:szCs w:val="20"/>
                <w:color w:val="auto"/>
              </w:rPr>
            </w:pPr>
            <w:r>
              <w:rPr>
                <w:rFonts w:ascii="Arial" w:cs="Arial" w:eastAsia="Arial" w:hAnsi="Arial"/>
                <w:sz w:val="18"/>
                <w:szCs w:val="18"/>
                <w:color w:val="0000FF"/>
                <w:w w:val="88"/>
              </w:rPr>
              <w:t>1,556</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147.65</w:t>
            </w:r>
            <w:r>
              <w:rPr>
                <w:rFonts w:ascii="Arial" w:cs="Arial" w:eastAsia="Arial" w:hAnsi="Arial"/>
                <w:sz w:val="22"/>
                <w:szCs w:val="22"/>
                <w:color w:val="008000"/>
                <w:w w:val="84"/>
                <w:vertAlign w:val="superscript"/>
              </w:rPr>
              <w:t>(6)</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85,577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6"/>
              </w:rPr>
              <w:t>11/14/2012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0"/>
              <w:spacing w:after="0"/>
              <w:rPr>
                <w:sz w:val="20"/>
                <w:szCs w:val="20"/>
                <w:color w:val="auto"/>
              </w:rPr>
            </w:pPr>
            <w:r>
              <w:rPr>
                <w:rFonts w:ascii="Arial" w:cs="Arial" w:eastAsia="Arial" w:hAnsi="Arial"/>
                <w:sz w:val="18"/>
                <w:szCs w:val="18"/>
                <w:color w:val="0000FF"/>
                <w:w w:val="86"/>
              </w:rPr>
              <w:t>900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148.65</w:t>
            </w:r>
            <w:r>
              <w:rPr>
                <w:rFonts w:ascii="Arial" w:cs="Arial" w:eastAsia="Arial" w:hAnsi="Arial"/>
                <w:sz w:val="22"/>
                <w:szCs w:val="22"/>
                <w:color w:val="008000"/>
                <w:w w:val="84"/>
                <w:vertAlign w:val="superscript"/>
              </w:rPr>
              <w:t>(7)</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84,677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6"/>
              </w:rPr>
              <w:t>11/14/2012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0"/>
              <w:spacing w:after="0"/>
              <w:rPr>
                <w:sz w:val="20"/>
                <w:szCs w:val="20"/>
                <w:color w:val="auto"/>
              </w:rPr>
            </w:pPr>
            <w:r>
              <w:rPr>
                <w:rFonts w:ascii="Arial" w:cs="Arial" w:eastAsia="Arial" w:hAnsi="Arial"/>
                <w:sz w:val="18"/>
                <w:szCs w:val="18"/>
                <w:color w:val="0000FF"/>
                <w:w w:val="86"/>
              </w:rPr>
              <w:t>700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149.18</w:t>
            </w:r>
            <w:r>
              <w:rPr>
                <w:rFonts w:ascii="Arial" w:cs="Arial" w:eastAsia="Arial" w:hAnsi="Arial"/>
                <w:sz w:val="22"/>
                <w:szCs w:val="22"/>
                <w:color w:val="008000"/>
                <w:w w:val="84"/>
                <w:vertAlign w:val="superscript"/>
              </w:rPr>
              <w:t>(8)</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83,977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0000FF"/>
                <w:w w:val="88"/>
              </w:rPr>
              <w:t>5,560</w:t>
            </w:r>
          </w:p>
        </w:tc>
        <w:tc>
          <w:tcPr>
            <w:tcW w:w="300" w:type="dxa"/>
            <w:vAlign w:val="bottom"/>
          </w:tcPr>
          <w:p>
            <w:pPr>
              <w:spacing w:after="0"/>
              <w:rPr>
                <w:sz w:val="18"/>
                <w:szCs w:val="18"/>
                <w:color w:val="auto"/>
              </w:rPr>
            </w:pPr>
          </w:p>
        </w:tc>
        <w:tc>
          <w:tcPr>
            <w:tcW w:w="700" w:type="dxa"/>
            <w:vAlign w:val="bottom"/>
          </w:tcPr>
          <w:p>
            <w:pPr>
              <w:jc w:val="center"/>
              <w:ind w:right="322"/>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10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6580" w:type="dxa"/>
            <w:vAlign w:val="bottom"/>
            <w:tcBorders>
              <w:top w:val="single" w:sz="8" w:color="2C2C2C"/>
            </w:tcBorders>
            <w:gridSpan w:val="19"/>
          </w:tcPr>
          <w:p>
            <w:pPr>
              <w:ind w:left="1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80" w:type="dxa"/>
            <w:vAlign w:val="bottom"/>
            <w:gridSpan w:val="16"/>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2"/>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6"/>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6"/>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8.5</w:t>
            </w:r>
          </w:p>
        </w:tc>
        <w:tc>
          <w:tcPr>
            <w:tcW w:w="940" w:type="dxa"/>
            <w:vAlign w:val="bottom"/>
          </w:tcPr>
          <w:p>
            <w:pPr>
              <w:jc w:val="right"/>
              <w:spacing w:after="0"/>
              <w:rPr>
                <w:sz w:val="20"/>
                <w:szCs w:val="20"/>
                <w:color w:val="auto"/>
              </w:rPr>
            </w:pPr>
            <w:r>
              <w:rPr>
                <w:rFonts w:ascii="Arial" w:cs="Arial" w:eastAsia="Arial" w:hAnsi="Arial"/>
                <w:sz w:val="14"/>
                <w:szCs w:val="14"/>
                <w:color w:val="0000FF"/>
              </w:rPr>
              <w:t>11/13/2012</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3"/>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0000FF"/>
              </w:rPr>
              <w:t>3,431</w:t>
            </w:r>
          </w:p>
        </w:tc>
        <w:tc>
          <w:tcPr>
            <w:tcW w:w="780" w:type="dxa"/>
            <w:vAlign w:val="bottom"/>
          </w:tcPr>
          <w:p>
            <w:pPr>
              <w:ind w:left="280"/>
              <w:spacing w:after="0"/>
              <w:rPr>
                <w:sz w:val="20"/>
                <w:szCs w:val="20"/>
                <w:color w:val="auto"/>
              </w:rPr>
            </w:pPr>
            <w:r>
              <w:rPr>
                <w:rFonts w:ascii="Arial" w:cs="Arial" w:eastAsia="Arial" w:hAnsi="Arial"/>
                <w:sz w:val="11"/>
                <w:szCs w:val="11"/>
                <w:color w:val="008000"/>
              </w:rPr>
              <w:t>(9)</w:t>
            </w:r>
          </w:p>
        </w:tc>
        <w:tc>
          <w:tcPr>
            <w:tcW w:w="760" w:type="dxa"/>
            <w:vAlign w:val="bottom"/>
          </w:tcPr>
          <w:p>
            <w:pPr>
              <w:ind w:left="60"/>
              <w:spacing w:after="0"/>
              <w:rPr>
                <w:sz w:val="20"/>
                <w:szCs w:val="20"/>
                <w:color w:val="auto"/>
              </w:rPr>
            </w:pPr>
            <w:r>
              <w:rPr>
                <w:rFonts w:ascii="Arial" w:cs="Arial" w:eastAsia="Arial" w:hAnsi="Arial"/>
                <w:sz w:val="14"/>
                <w:szCs w:val="14"/>
                <w:color w:val="0000FF"/>
                <w:w w:val="96"/>
              </w:rPr>
              <w:t>12/20/2012</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0000FF"/>
                <w:w w:val="87"/>
              </w:rPr>
              <w:t>Common</w:t>
            </w:r>
          </w:p>
        </w:tc>
        <w:tc>
          <w:tcPr>
            <w:tcW w:w="20" w:type="dxa"/>
            <w:vAlign w:val="bottom"/>
          </w:tcPr>
          <w:p>
            <w:pPr>
              <w:spacing w:after="0"/>
              <w:rPr>
                <w:sz w:val="17"/>
                <w:szCs w:val="17"/>
                <w:color w:val="auto"/>
              </w:rPr>
            </w:pP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3,431</w:t>
            </w:r>
          </w:p>
        </w:tc>
        <w:tc>
          <w:tcPr>
            <w:tcW w:w="14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Arial" w:cs="Arial" w:eastAsia="Arial" w:hAnsi="Arial"/>
                <w:sz w:val="11"/>
                <w:szCs w:val="11"/>
                <w:color w:val="008000"/>
              </w:rPr>
              <w:t>(10)</w:t>
            </w:r>
          </w:p>
        </w:tc>
        <w:tc>
          <w:tcPr>
            <w:tcW w:w="600" w:type="dxa"/>
            <w:vAlign w:val="bottom"/>
          </w:tcPr>
          <w:p>
            <w:pPr>
              <w:ind w:left="320"/>
              <w:spacing w:after="0"/>
              <w:rPr>
                <w:sz w:val="20"/>
                <w:szCs w:val="20"/>
                <w:color w:val="auto"/>
              </w:rPr>
            </w:pPr>
            <w:r>
              <w:rPr>
                <w:rFonts w:ascii="Arial" w:cs="Arial" w:eastAsia="Arial" w:hAnsi="Arial"/>
                <w:sz w:val="14"/>
                <w:szCs w:val="14"/>
                <w:color w:val="0000FF"/>
              </w:rPr>
              <w:t>0.0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gridSpan w:val="2"/>
          </w:tcPr>
          <w:p>
            <w:pPr>
              <w:jc w:val="center"/>
              <w:ind w:right="60"/>
              <w:spacing w:after="0" w:line="110" w:lineRule="exact"/>
              <w:rPr>
                <w:sz w:val="20"/>
                <w:szCs w:val="20"/>
                <w:color w:val="auto"/>
              </w:rPr>
            </w:pPr>
            <w:r>
              <w:rPr>
                <w:rFonts w:ascii="Arial" w:cs="Arial" w:eastAsia="Arial" w:hAnsi="Arial"/>
                <w:sz w:val="12"/>
                <w:szCs w:val="12"/>
                <w:color w:val="0000FF"/>
              </w:rPr>
              <w:t>Stock</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ectPr>
          <w:pgSz w:w="11900" w:h="16838" w:orient="portrait"/>
          <w:cols w:equalWidth="0" w:num="1">
            <w:col w:w="11520"/>
          </w:cols>
          <w:pgMar w:left="240" w:top="226" w:right="139" w:bottom="63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22820" cy="2473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2820" cy="2473960"/>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00"/>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65.76</w:t>
            </w:r>
          </w:p>
        </w:tc>
        <w:tc>
          <w:tcPr>
            <w:tcW w:w="1140" w:type="dxa"/>
            <w:vAlign w:val="bottom"/>
          </w:tcPr>
          <w:p>
            <w:pPr>
              <w:jc w:val="right"/>
              <w:ind w:right="198"/>
              <w:spacing w:after="0"/>
              <w:rPr>
                <w:sz w:val="20"/>
                <w:szCs w:val="20"/>
                <w:color w:val="auto"/>
              </w:rPr>
            </w:pPr>
            <w:r>
              <w:rPr>
                <w:rFonts w:ascii="Arial" w:cs="Arial" w:eastAsia="Arial" w:hAnsi="Arial"/>
                <w:sz w:val="14"/>
                <w:szCs w:val="14"/>
                <w:color w:val="0000FF"/>
              </w:rPr>
              <w:t>11/13/2012</w:t>
            </w:r>
          </w:p>
        </w:tc>
        <w:tc>
          <w:tcPr>
            <w:tcW w:w="1140" w:type="dxa"/>
            <w:vAlign w:val="bottom"/>
          </w:tcPr>
          <w:p>
            <w:pPr>
              <w:spacing w:after="0"/>
              <w:rPr>
                <w:sz w:val="17"/>
                <w:szCs w:val="17"/>
                <w:color w:val="auto"/>
              </w:rPr>
            </w:pPr>
          </w:p>
        </w:tc>
        <w:tc>
          <w:tcPr>
            <w:tcW w:w="820" w:type="dxa"/>
            <w:vAlign w:val="bottom"/>
          </w:tcPr>
          <w:p>
            <w:pPr>
              <w:ind w:left="80"/>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780" w:type="dxa"/>
            <w:vAlign w:val="bottom"/>
          </w:tcPr>
          <w:p>
            <w:pPr>
              <w:ind w:left="400"/>
              <w:spacing w:after="0"/>
              <w:rPr>
                <w:sz w:val="20"/>
                <w:szCs w:val="20"/>
                <w:color w:val="auto"/>
              </w:rPr>
            </w:pPr>
            <w:r>
              <w:rPr>
                <w:rFonts w:ascii="Arial" w:cs="Arial" w:eastAsia="Arial" w:hAnsi="Arial"/>
                <w:sz w:val="14"/>
                <w:szCs w:val="14"/>
                <w:color w:val="0000FF"/>
              </w:rPr>
              <w:t>4,745</w:t>
            </w:r>
          </w:p>
        </w:tc>
        <w:tc>
          <w:tcPr>
            <w:tcW w:w="820" w:type="dxa"/>
            <w:vAlign w:val="bottom"/>
          </w:tcPr>
          <w:p>
            <w:pPr>
              <w:ind w:left="100"/>
              <w:spacing w:after="0"/>
              <w:rPr>
                <w:sz w:val="20"/>
                <w:szCs w:val="20"/>
                <w:color w:val="auto"/>
              </w:rPr>
            </w:pPr>
            <w:r>
              <w:rPr>
                <w:rFonts w:ascii="Arial" w:cs="Arial" w:eastAsia="Arial" w:hAnsi="Arial"/>
                <w:sz w:val="14"/>
                <w:szCs w:val="14"/>
                <w:color w:val="0000FF"/>
                <w:w w:val="99"/>
              </w:rPr>
              <w:t>09/06/2011</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12/20/2012</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4,745</w:t>
            </w:r>
          </w:p>
        </w:tc>
        <w:tc>
          <w:tcPr>
            <w:tcW w:w="720" w:type="dxa"/>
            <w:vAlign w:val="bottom"/>
          </w:tcPr>
          <w:p>
            <w:pPr>
              <w:ind w:left="260"/>
              <w:spacing w:after="0"/>
              <w:rPr>
                <w:sz w:val="20"/>
                <w:szCs w:val="20"/>
                <w:color w:val="auto"/>
              </w:rPr>
            </w:pPr>
            <w:r>
              <w:rPr>
                <w:rFonts w:ascii="Arial" w:cs="Arial" w:eastAsia="Arial" w:hAnsi="Arial"/>
                <w:sz w:val="11"/>
                <w:szCs w:val="11"/>
                <w:color w:val="008000"/>
              </w:rPr>
              <w:t>(10)</w:t>
            </w:r>
          </w:p>
        </w:tc>
        <w:tc>
          <w:tcPr>
            <w:tcW w:w="980" w:type="dxa"/>
            <w:vAlign w:val="bottom"/>
          </w:tcPr>
          <w:p>
            <w:pPr>
              <w:ind w:left="400"/>
              <w:spacing w:after="0"/>
              <w:rPr>
                <w:sz w:val="20"/>
                <w:szCs w:val="20"/>
                <w:color w:val="auto"/>
              </w:rPr>
            </w:pPr>
            <w:r>
              <w:rPr>
                <w:rFonts w:ascii="Arial" w:cs="Arial" w:eastAsia="Arial" w:hAnsi="Arial"/>
                <w:sz w:val="14"/>
                <w:szCs w:val="14"/>
                <w:color w:val="0000FF"/>
              </w:rPr>
              <w:t>0.0</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60"/>
        <w:spacing w:after="0" w:line="221" w:lineRule="auto"/>
        <w:rPr>
          <w:sz w:val="20"/>
          <w:szCs w:val="20"/>
          <w:color w:val="auto"/>
        </w:rPr>
      </w:pPr>
      <w:r>
        <w:rPr>
          <w:rFonts w:ascii="Arial" w:cs="Arial" w:eastAsia="Arial" w:hAnsi="Arial"/>
          <w:sz w:val="14"/>
          <w:szCs w:val="14"/>
          <w:color w:val="0000FF"/>
        </w:rPr>
        <w:t>(right to</w:t>
      </w:r>
    </w:p>
    <w:p>
      <w:pPr>
        <w:ind w:left="6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Disposition/acquisition made pursuant to a plan intended to comply with Rule 10b5-1(c).</w:t>
      </w:r>
    </w:p>
    <w:p>
      <w:pPr>
        <w:spacing w:after="0" w:line="41" w:lineRule="exact"/>
        <w:rPr>
          <w:rFonts w:ascii="Arial" w:cs="Arial" w:eastAsia="Arial" w:hAnsi="Arial"/>
          <w:sz w:val="14"/>
          <w:szCs w:val="14"/>
          <w:color w:val="008000"/>
        </w:rPr>
      </w:pPr>
    </w:p>
    <w:p>
      <w:pPr>
        <w:ind w:left="20" w:right="240" w:firstLine="9"/>
        <w:spacing w:after="0" w:line="305"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300 shares of Company stock on November 13, 2012 at prices ranging from $145.47 to $145.76. Upon request by the Commission staff, the Company, or a security holder of the Company, the reporting person will provide full information regarding the number of shares sold by the reporting person on November 13, 2012 at each separate price.</w:t>
      </w:r>
    </w:p>
    <w:p>
      <w:pPr>
        <w:ind w:left="20" w:right="440" w:firstLine="9"/>
        <w:spacing w:after="0" w:line="305"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1,400 shares of Company stock on November 13, 2012 at prices ranging from $146.00 to $146.96. Upon request by the Commission staff, the Company, or a security holder of the Company, the reporting person will provide full information regarding the number of shares sold by the reporting person on November 13, 2012 at each separate price.</w:t>
      </w:r>
    </w:p>
    <w:p>
      <w:pPr>
        <w:ind w:left="20" w:right="440" w:firstLine="9"/>
        <w:spacing w:after="0" w:line="305"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3,845 shares of Company stock on November 13, 2012 at prices ranging from $147.00 to $147.97. Upon request by the Commission staff, the Company, or a security holder of the Company, the reporting person will provide full information regarding the number of shares sold by the reporting person on November 13, 2012 at each separate price.</w:t>
      </w:r>
    </w:p>
    <w:p>
      <w:pPr>
        <w:ind w:left="20" w:right="240" w:firstLine="9"/>
        <w:spacing w:after="0" w:line="305"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792 shares of Company stock on November 13, 2012 at prices ranging from $148.00 to $148.12. Upon request by the Commission staff, the Company, or a security holder of the Company, the reporting person will provide full information regarding the number of shares sold by the reporting person on November 13, 2012 at each separate price.</w:t>
      </w:r>
    </w:p>
    <w:p>
      <w:pPr>
        <w:ind w:left="20" w:right="440" w:firstLine="9"/>
        <w:spacing w:after="0" w:line="305"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1,556 shares of Company stock on November 14, 2012 at prices ranging from $147.27 to $147.91. Upon request by the Commission staff, the Company, or a security holder of the Company, the reporting person will provide full information regarding the number of shares sold by the reporting person on November 14, 2012 at each separate price.</w:t>
      </w:r>
    </w:p>
    <w:p>
      <w:pPr>
        <w:ind w:left="20" w:right="240" w:firstLine="9"/>
        <w:spacing w:after="0" w:line="305"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900 shares of Company stock on November 14, 2012 at prices ranging from $148.19 to $148.97. Upon request by the Commission staff, the Company, or a security holder of the Company, the reporting person will provide full information regarding the number of shares sold by the reporting person on November 14, 2012 at each separate price.</w:t>
      </w:r>
    </w:p>
    <w:p>
      <w:pPr>
        <w:ind w:left="20" w:right="240" w:firstLine="9"/>
        <w:spacing w:after="0" w:line="305"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700 shares of Company stock on November 14, 2012 at prices ranging from $149.04 to $149.54. Upon request by the Commission staff, the Company, or a security holder of the Company, the reporting person will provide full information regarding the number of shares sold by the reporting person on November 14, 2012 at each separate price.</w:t>
      </w: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became exercisable with respect to all shares underlying the option upon the satisfaction by the company of certain performance criteria on February 10, 2012.</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date, exercise date, exercise price, purchase price, sales price, and/or expiration date is/are not applicable in this case.</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220" w:type="dxa"/>
            <w:vAlign w:val="bottom"/>
            <w:gridSpan w:val="3"/>
          </w:tcPr>
          <w:p>
            <w:pPr>
              <w:spacing w:after="0"/>
              <w:rPr>
                <w:sz w:val="20"/>
                <w:szCs w:val="20"/>
                <w:color w:val="auto"/>
              </w:rPr>
            </w:pPr>
            <w:r>
              <w:rPr>
                <w:rFonts w:ascii="Arial" w:cs="Arial" w:eastAsia="Arial" w:hAnsi="Arial"/>
                <w:sz w:val="18"/>
                <w:szCs w:val="18"/>
                <w:color w:val="0000FF"/>
              </w:rPr>
              <w:t>By: /s/**Douglas McCorkle</w:t>
            </w:r>
          </w:p>
        </w:tc>
        <w:tc>
          <w:tcPr>
            <w:tcW w:w="8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8"/>
                <w:szCs w:val="18"/>
                <w:color w:val="0000FF"/>
                <w:w w:val="84"/>
              </w:rPr>
              <w:t>11/15/2012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1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For: /s/**Murray A. Goldberg</w:t>
            </w:r>
          </w:p>
        </w:tc>
        <w:tc>
          <w:tcPr>
            <w:tcW w:w="80" w:type="dxa"/>
            <w:vAlign w:val="bottom"/>
            <w:vMerge w:val="restart"/>
          </w:tcPr>
          <w:p>
            <w:pPr>
              <w:spacing w:after="0"/>
              <w:rPr>
                <w:sz w:val="7"/>
                <w:szCs w:val="7"/>
                <w:color w:val="auto"/>
              </w:rPr>
            </w:pPr>
          </w:p>
        </w:tc>
        <w:tc>
          <w:tcPr>
            <w:tcW w:w="80" w:type="dxa"/>
            <w:vAlign w:val="bottom"/>
            <w:vMerge w:val="continue"/>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14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3"/>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68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00"/>
          </w:cols>
          <w:pgMar w:left="260" w:top="188" w:right="139"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Leonard Schleifer, , Beverly Dubs, Stuart Kolinski, Murray Goldberg, and Douglas McCorkle signing singly, the undersigned's true and lawful attorney-in-fact to:</w:t>
      </w:r>
    </w:p>
    <w:p>
      <w:pPr>
        <w:spacing w:after="0" w:line="207" w:lineRule="exact"/>
        <w:rPr>
          <w:sz w:val="20"/>
          <w:szCs w:val="20"/>
          <w:color w:val="auto"/>
        </w:rPr>
      </w:pPr>
    </w:p>
    <w:p>
      <w:pPr>
        <w:ind w:left="1280" w:right="2099" w:hanging="640"/>
        <w:spacing w:after="0" w:line="275" w:lineRule="auto"/>
        <w:tabs>
          <w:tab w:leader="none" w:pos="12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182"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12th day of September, 2005.</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**/s/Murray A. Goldberg</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Murray A. Goldberg</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643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2019-12-18T10:32:34Z</dcterms:created>
  <dcterms:modified xsi:type="dcterms:W3CDTF">2019-12-18T10:32:34Z</dcterms:modified>
</cp:coreProperties>
</file>