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Washington, D.C. 20549</w:t>
      </w:r>
    </w:p>
    <w:p>
      <w:pPr>
        <w:spacing w:after="0" w:line="131"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SCHEDULE 14A</w:t>
      </w:r>
    </w:p>
    <w:p>
      <w:pPr>
        <w:spacing w:after="0" w:line="131" w:lineRule="exact"/>
        <w:rPr>
          <w:sz w:val="24"/>
          <w:szCs w:val="24"/>
          <w:color w:val="auto"/>
        </w:rPr>
      </w:pPr>
    </w:p>
    <w:p>
      <w:pPr>
        <w:ind w:left="2540"/>
        <w:spacing w:after="0"/>
        <w:rPr>
          <w:sz w:val="20"/>
          <w:szCs w:val="20"/>
          <w:color w:val="auto"/>
        </w:rPr>
      </w:pPr>
      <w:r>
        <w:rPr>
          <w:rFonts w:ascii="Arial" w:cs="Arial" w:eastAsia="Arial" w:hAnsi="Arial"/>
          <w:sz w:val="18"/>
          <w:szCs w:val="18"/>
          <w:color w:val="auto"/>
        </w:rPr>
        <w:t>Proxy Statement Pursuant to Section 14(a) of the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 (Amendment No. )</w:t>
      </w:r>
    </w:p>
    <w:p>
      <w:pPr>
        <w:spacing w:after="0" w:line="155" w:lineRule="exact"/>
        <w:rPr>
          <w:sz w:val="24"/>
          <w:szCs w:val="24"/>
          <w:color w:val="auto"/>
        </w:rPr>
      </w:pPr>
    </w:p>
    <w:p>
      <w:pPr>
        <w:ind w:left="140"/>
        <w:spacing w:after="0" w:line="242" w:lineRule="exact"/>
        <w:tabs>
          <w:tab w:leader="none" w:pos="448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pacing w:after="0" w:line="398" w:lineRule="exact"/>
        <w:rPr>
          <w:sz w:val="24"/>
          <w:szCs w:val="24"/>
          <w:color w:val="auto"/>
        </w:rPr>
      </w:pPr>
    </w:p>
    <w:p>
      <w:pPr>
        <w:ind w:left="2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560" w:hanging="339"/>
        <w:spacing w:after="0"/>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110" w:lineRule="exact"/>
        <w:rPr>
          <w:rFonts w:ascii="MS PGothic" w:cs="MS PGothic" w:eastAsia="MS PGothic" w:hAnsi="MS PGothic"/>
          <w:sz w:val="22"/>
          <w:szCs w:val="22"/>
          <w:color w:val="auto"/>
        </w:rPr>
      </w:pPr>
    </w:p>
    <w:p>
      <w:pPr>
        <w:ind w:left="560" w:hanging="339"/>
        <w:spacing w:after="0"/>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110" w:lineRule="exact"/>
        <w:rPr>
          <w:sz w:val="24"/>
          <w:szCs w:val="24"/>
          <w:color w:val="auto"/>
        </w:rPr>
      </w:pPr>
    </w:p>
    <w:p>
      <w:pPr>
        <w:ind w:left="560" w:hanging="339"/>
        <w:spacing w:after="0"/>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110" w:lineRule="exact"/>
        <w:rPr>
          <w:sz w:val="24"/>
          <w:szCs w:val="24"/>
          <w:color w:val="auto"/>
        </w:rPr>
      </w:pPr>
    </w:p>
    <w:p>
      <w:pPr>
        <w:ind w:left="560" w:hanging="339"/>
        <w:spacing w:after="0"/>
        <w:tabs>
          <w:tab w:leader="none" w:pos="56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110" w:lineRule="exact"/>
        <w:rPr>
          <w:rFonts w:ascii="MS PGothic" w:cs="MS PGothic" w:eastAsia="MS PGothic" w:hAnsi="MS PGothic"/>
          <w:sz w:val="22"/>
          <w:szCs w:val="22"/>
          <w:color w:val="auto"/>
        </w:rPr>
      </w:pPr>
    </w:p>
    <w:p>
      <w:pPr>
        <w:ind w:left="560" w:hanging="339"/>
        <w:spacing w:after="0"/>
        <w:tabs>
          <w:tab w:leader="none" w:pos="56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REGENERON PHARMACEUTICALS, INC.</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of Registrant as Specified In Its Charter)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384" w:lineRule="exact"/>
        <w:rPr>
          <w:sz w:val="24"/>
          <w:szCs w:val="24"/>
          <w:color w:val="auto"/>
        </w:rPr>
      </w:pPr>
    </w:p>
    <w:p>
      <w:pPr>
        <w:ind w:left="220"/>
        <w:spacing w:after="0"/>
        <w:rPr>
          <w:sz w:val="20"/>
          <w:szCs w:val="20"/>
          <w:color w:val="auto"/>
        </w:rPr>
      </w:pPr>
      <w:r>
        <w:rPr>
          <w:rFonts w:ascii="Arial" w:cs="Arial" w:eastAsia="Arial" w:hAnsi="Arial"/>
          <w:sz w:val="18"/>
          <w:szCs w:val="18"/>
          <w:color w:val="auto"/>
        </w:rPr>
        <w:t>PAYMENT OF FILING FEE (CHECK ALL BOXES THAT APPLY):</w:t>
      </w:r>
    </w:p>
    <w:p>
      <w:pPr>
        <w:spacing w:after="0" w:line="77" w:lineRule="exact"/>
        <w:rPr>
          <w:sz w:val="24"/>
          <w:szCs w:val="24"/>
          <w:color w:val="auto"/>
        </w:rPr>
      </w:pPr>
    </w:p>
    <w:p>
      <w:pPr>
        <w:ind w:left="560" w:hanging="339"/>
        <w:spacing w:after="0"/>
        <w:tabs>
          <w:tab w:leader="none" w:pos="56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110" w:lineRule="exact"/>
        <w:rPr>
          <w:sz w:val="24"/>
          <w:szCs w:val="24"/>
          <w:color w:val="auto"/>
        </w:rPr>
      </w:pPr>
    </w:p>
    <w:p>
      <w:pPr>
        <w:ind w:left="560" w:hanging="339"/>
        <w:spacing w:after="0"/>
        <w:tabs>
          <w:tab w:leader="none" w:pos="56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110" w:lineRule="exact"/>
        <w:rPr>
          <w:rFonts w:ascii="MS PGothic" w:cs="MS PGothic" w:eastAsia="MS PGothic" w:hAnsi="MS PGothic"/>
          <w:sz w:val="22"/>
          <w:szCs w:val="22"/>
          <w:color w:val="auto"/>
        </w:rPr>
      </w:pPr>
    </w:p>
    <w:p>
      <w:pPr>
        <w:ind w:left="560" w:hanging="339"/>
        <w:spacing w:after="0"/>
        <w:tabs>
          <w:tab w:leader="none" w:pos="560" w:val="left"/>
        </w:tabs>
        <w:numPr>
          <w:ilvl w:val="0"/>
          <w:numId w:val="5"/>
        </w:numPr>
        <w:rPr>
          <w:rFonts w:ascii="MS PGothic" w:cs="MS PGothic" w:eastAsia="MS PGothic" w:hAnsi="MS PGothic"/>
          <w:sz w:val="21"/>
          <w:szCs w:val="21"/>
          <w:color w:val="auto"/>
        </w:rPr>
      </w:pPr>
      <w:r>
        <w:rPr>
          <w:rFonts w:ascii="Arial" w:cs="Arial" w:eastAsia="Arial" w:hAnsi="Arial"/>
          <w:sz w:val="17"/>
          <w:szCs w:val="17"/>
          <w:color w:val="auto"/>
        </w:rPr>
        <w:t>Fee computed on table in exhibit required by Item 25(b) per Exchange Act Rules 14a-6(i)(1) and 0-11</w:t>
      </w:r>
    </w:p>
    <w:p>
      <w:pPr>
        <w:sectPr>
          <w:pgSz w:w="11900" w:h="16838" w:orient="portrait"/>
          <w:cols w:equalWidth="0" w:num="1">
            <w:col w:w="9019"/>
          </w:cols>
          <w:pgMar w:left="1440" w:top="1440" w:right="1440" w:bottom="1440" w:gutter="0" w:footer="0" w:header="0"/>
        </w:sectPr>
      </w:pPr>
    </w:p>
    <w:bookmarkStart w:id="1" w:name="page2"/>
    <w:bookmarkEnd w:id="1"/>
    <w:p>
      <w:pPr>
        <w:spacing w:after="0"/>
        <w:tabs>
          <w:tab w:leader="none" w:pos="5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right="400"/>
        <w:spacing w:after="0" w:line="317" w:lineRule="auto"/>
        <w:rPr>
          <w:sz w:val="20"/>
          <w:szCs w:val="20"/>
          <w:color w:val="auto"/>
        </w:rPr>
      </w:pPr>
      <w:r>
        <w:rPr>
          <w:rFonts w:ascii="Arial" w:cs="Arial" w:eastAsia="Arial" w:hAnsi="Arial"/>
          <w:sz w:val="25"/>
          <w:szCs w:val="25"/>
          <w:b w:val="1"/>
          <w:bCs w:val="1"/>
          <w:color w:val="auto"/>
        </w:rPr>
        <w:t>A 35+ year journey with a relentless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34"/>
          <w:szCs w:val="34"/>
          <w:b w:val="1"/>
          <w:bCs w:val="1"/>
          <w:color w:val="auto"/>
        </w:rPr>
        <w:t>FOCUS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34"/>
          <w:szCs w:val="34"/>
          <w:b w:val="1"/>
          <w:bCs w:val="1"/>
          <w:color w:val="auto"/>
        </w:rPr>
        <w:t>SCIENCE</w:t>
      </w:r>
    </w:p>
    <w:p>
      <w:pPr>
        <w:spacing w:after="0" w:line="134" w:lineRule="exact"/>
        <w:rPr>
          <w:sz w:val="20"/>
          <w:szCs w:val="20"/>
          <w:color w:val="auto"/>
        </w:rPr>
      </w:pPr>
    </w:p>
    <w:p>
      <w:pPr>
        <w:ind w:left="120" w:right="500"/>
        <w:spacing w:after="0" w:line="289" w:lineRule="auto"/>
        <w:rPr>
          <w:sz w:val="20"/>
          <w:szCs w:val="20"/>
          <w:color w:val="auto"/>
        </w:rPr>
      </w:pPr>
      <w:r>
        <w:rPr>
          <w:rFonts w:ascii="Arial" w:cs="Arial" w:eastAsia="Arial" w:hAnsi="Arial"/>
          <w:sz w:val="16"/>
          <w:szCs w:val="16"/>
          <w:color w:val="auto"/>
        </w:rPr>
        <w:t>Our commitment to patients extends well beyond our labs. We are proud to support the communities we serve, to embrace a patient-centric culture, and to hold the highest ethical standards when it comes to patient well-being.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99"/>
        <w:spacing w:after="0" w:line="264" w:lineRule="auto"/>
        <w:rPr>
          <w:sz w:val="20"/>
          <w:szCs w:val="20"/>
          <w:color w:val="auto"/>
        </w:rPr>
      </w:pPr>
      <w:r>
        <w:rPr>
          <w:rFonts w:ascii="Arial" w:cs="Arial" w:eastAsia="Arial" w:hAnsi="Arial"/>
          <w:sz w:val="22"/>
          <w:szCs w:val="22"/>
          <w:b w:val="1"/>
          <w:bCs w:val="1"/>
          <w:color w:val="auto"/>
        </w:rPr>
        <w:t>Our mission is to use the power of science to bring new medicines to patients … over and over again.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-3122930</wp:posOffset>
            </wp:positionH>
            <wp:positionV relativeFrom="paragraph">
              <wp:posOffset>-5236845</wp:posOffset>
            </wp:positionV>
            <wp:extent cx="6810375" cy="8867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64" w:lineRule="exact"/>
        <w:rPr>
          <w:sz w:val="20"/>
          <w:szCs w:val="20"/>
          <w:color w:val="auto"/>
        </w:rPr>
      </w:pPr>
    </w:p>
    <w:p>
      <w:pPr>
        <w:ind w:right="339"/>
        <w:spacing w:after="0" w:line="288" w:lineRule="auto"/>
        <w:rPr>
          <w:sz w:val="20"/>
          <w:szCs w:val="20"/>
          <w:color w:val="auto"/>
        </w:rPr>
      </w:pPr>
      <w:r>
        <w:rPr>
          <w:rFonts w:ascii="Arial" w:cs="Arial" w:eastAsia="Arial" w:hAnsi="Arial"/>
          <w:sz w:val="16"/>
          <w:szCs w:val="16"/>
          <w:color w:val="auto"/>
        </w:rPr>
        <w:t>We are a leading biotechnology company that invents, develops, and commercializes life-transforming medicines for people with serious diseases. Regeneron’s medicines and pipeline are designed to help patients with eye diseases, allergic and inflammatory diseases, cancer, cardiovascular and metabolic diseases, neurological diseases, hematologic conditions, infectious diseases, and rare diseases.</w:t>
      </w:r>
    </w:p>
    <w:p>
      <w:pPr>
        <w:spacing w:after="0" w:line="115" w:lineRule="exact"/>
        <w:rPr>
          <w:sz w:val="20"/>
          <w:szCs w:val="20"/>
          <w:color w:val="auto"/>
        </w:rPr>
      </w:pPr>
    </w:p>
    <w:p>
      <w:pPr>
        <w:ind w:right="219"/>
        <w:spacing w:after="0" w:line="289" w:lineRule="auto"/>
        <w:rPr>
          <w:sz w:val="20"/>
          <w:szCs w:val="20"/>
          <w:color w:val="auto"/>
        </w:rPr>
      </w:pPr>
      <w:r>
        <w:rPr>
          <w:rFonts w:ascii="Arial" w:cs="Arial" w:eastAsia="Arial" w:hAnsi="Arial"/>
          <w:sz w:val="16"/>
          <w:szCs w:val="16"/>
          <w:color w:val="auto"/>
        </w:rPr>
        <w:t>Regeneron pushes the boundaries of scientific discovery and accelerates drug development using our proprietary technologies. We are shaping the next frontier of medicine with data-powered insights and pioneering genetic medicine platforms, enabling us to identify innovative targets and complementary approaches to potentially treat or cure diseases.</w:t>
      </w:r>
    </w:p>
    <w:p>
      <w:pPr>
        <w:sectPr>
          <w:pgSz w:w="11900" w:h="16838" w:orient="portrait"/>
          <w:cols w:equalWidth="0" w:num="2">
            <w:col w:w="3340" w:space="720"/>
            <w:col w:w="4959"/>
          </w:cols>
          <w:pgMar w:left="1440" w:top="1440" w:right="1440" w:bottom="1440" w:gutter="0" w:footer="0" w:header="0"/>
        </w:sectPr>
      </w:pPr>
    </w:p>
    <w:bookmarkStart w:id="3" w:name="page4"/>
    <w:bookmarkEnd w:id="3"/>
    <w:p>
      <w:pPr>
        <w:spacing w:after="0" w:line="3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480"/>
        <w:spacing w:after="0"/>
        <w:rPr>
          <w:sz w:val="20"/>
          <w:szCs w:val="20"/>
          <w:color w:val="auto"/>
        </w:rPr>
      </w:pPr>
      <w:r>
        <w:rPr>
          <w:rFonts w:ascii="Arial" w:cs="Arial" w:eastAsia="Arial" w:hAnsi="Arial"/>
          <w:sz w:val="34"/>
          <w:szCs w:val="34"/>
          <w:b w:val="1"/>
          <w:bCs w:val="1"/>
          <w:color w:val="002273"/>
        </w:rPr>
        <w:t>2025 At-a-Glance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rPr>
          <w:sz w:val="20"/>
          <w:szCs w:val="20"/>
          <w:color w:val="auto"/>
        </w:rPr>
      </w:pPr>
      <w:r>
        <w:rPr>
          <w:rFonts w:ascii="Arial" w:cs="Arial" w:eastAsia="Arial" w:hAnsi="Arial"/>
          <w:sz w:val="27"/>
          <w:szCs w:val="27"/>
          <w:b w:val="1"/>
          <w:bCs w:val="1"/>
          <w:color w:val="065BAA"/>
        </w:rPr>
        <w:t>Financial Strength</w:t>
      </w:r>
    </w:p>
    <w:p>
      <w:pPr>
        <w:spacing w:after="0" w:line="168" w:lineRule="exact"/>
        <w:rPr>
          <w:sz w:val="20"/>
          <w:szCs w:val="20"/>
          <w:color w:val="auto"/>
        </w:rPr>
      </w:pPr>
    </w:p>
    <w:p>
      <w:pPr>
        <w:ind w:left="1020" w:hanging="188"/>
        <w:spacing w:after="0"/>
        <w:tabs>
          <w:tab w:leader="none" w:pos="1020" w:val="left"/>
        </w:tabs>
        <w:numPr>
          <w:ilvl w:val="0"/>
          <w:numId w:val="6"/>
        </w:numPr>
        <w:rPr>
          <w:rFonts w:ascii="Arial" w:cs="Arial" w:eastAsia="Arial" w:hAnsi="Arial"/>
          <w:sz w:val="16"/>
          <w:szCs w:val="16"/>
          <w:b w:val="1"/>
          <w:bCs w:val="1"/>
          <w:color w:val="065BAA"/>
        </w:rPr>
      </w:pPr>
      <w:r>
        <w:rPr>
          <w:rFonts w:ascii="Arial" w:cs="Arial" w:eastAsia="Arial" w:hAnsi="Arial"/>
          <w:sz w:val="20"/>
          <w:szCs w:val="20"/>
          <w:b w:val="1"/>
          <w:bCs w:val="1"/>
          <w:color w:val="auto"/>
        </w:rPr>
        <w:t xml:space="preserve">$14.3B </w:t>
      </w:r>
      <w:r>
        <w:rPr>
          <w:rFonts w:ascii="Arial" w:cs="Arial" w:eastAsia="Arial" w:hAnsi="Arial"/>
          <w:sz w:val="20"/>
          <w:szCs w:val="20"/>
          <w:color w:val="auto"/>
        </w:rPr>
        <w:t>in 2025 revenues</w:t>
      </w:r>
    </w:p>
    <w:p>
      <w:pPr>
        <w:spacing w:after="0" w:line="53" w:lineRule="exact"/>
        <w:rPr>
          <w:rFonts w:ascii="Arial" w:cs="Arial" w:eastAsia="Arial" w:hAnsi="Arial"/>
          <w:sz w:val="16"/>
          <w:szCs w:val="16"/>
          <w:b w:val="1"/>
          <w:bCs w:val="1"/>
          <w:color w:val="065BAA"/>
        </w:rPr>
      </w:pPr>
    </w:p>
    <w:p>
      <w:pPr>
        <w:jc w:val="both"/>
        <w:ind w:left="1020" w:right="1699" w:hanging="188"/>
        <w:spacing w:after="0" w:line="219" w:lineRule="auto"/>
        <w:tabs>
          <w:tab w:leader="none" w:pos="1020" w:val="left"/>
        </w:tabs>
        <w:numPr>
          <w:ilvl w:val="0"/>
          <w:numId w:val="6"/>
        </w:numPr>
        <w:rPr>
          <w:rFonts w:ascii="Arial" w:cs="Arial" w:eastAsia="Arial" w:hAnsi="Arial"/>
          <w:sz w:val="16"/>
          <w:szCs w:val="16"/>
          <w:b w:val="1"/>
          <w:bCs w:val="1"/>
          <w:color w:val="065BAA"/>
        </w:rPr>
      </w:pPr>
      <w:r>
        <w:rPr>
          <w:rFonts w:ascii="Arial" w:cs="Arial" w:eastAsia="Arial" w:hAnsi="Arial"/>
          <w:sz w:val="20"/>
          <w:szCs w:val="20"/>
          <w:b w:val="1"/>
          <w:bCs w:val="1"/>
          <w:color w:val="auto"/>
        </w:rPr>
        <w:t xml:space="preserve">4 currently marketed blockbuster medicines: </w:t>
      </w:r>
      <w:r>
        <w:rPr>
          <w:rFonts w:ascii="Arial" w:cs="Arial" w:eastAsia="Arial" w:hAnsi="Arial"/>
          <w:sz w:val="20"/>
          <w:szCs w:val="20"/>
          <w:color w:val="auto"/>
        </w:rPr>
        <w:t>Dupixent</w:t>
      </w:r>
      <w:r>
        <w:rPr>
          <w:rFonts w:ascii="Arial" w:cs="Arial" w:eastAsia="Arial" w:hAnsi="Arial"/>
          <w:sz w:val="25"/>
          <w:szCs w:val="25"/>
          <w:color w:val="auto"/>
          <w:vertAlign w:val="superscript"/>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(dupilumab),</w:t>
      </w:r>
      <w:r>
        <w:rPr>
          <w:rFonts w:ascii="Arial" w:cs="Arial" w:eastAsia="Arial" w:hAnsi="Arial"/>
          <w:sz w:val="20"/>
          <w:szCs w:val="20"/>
          <w:b w:val="1"/>
          <w:bCs w:val="1"/>
          <w:color w:val="auto"/>
        </w:rPr>
        <w:t xml:space="preserve"> </w:t>
      </w:r>
      <w:r>
        <w:rPr>
          <w:rFonts w:ascii="Arial" w:cs="Arial" w:eastAsia="Arial" w:hAnsi="Arial"/>
          <w:sz w:val="20"/>
          <w:szCs w:val="20"/>
          <w:color w:val="auto"/>
        </w:rPr>
        <w:t>EYLEA HD</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(aflibercept) Injection 8 mg, EYLEA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(aflibercept) Injection, and Libtayo</w:t>
      </w:r>
      <w:r>
        <w:rPr>
          <w:rFonts w:ascii="Arial" w:cs="Arial" w:eastAsia="Arial" w:hAnsi="Arial"/>
          <w:sz w:val="25"/>
          <w:szCs w:val="25"/>
          <w:color w:val="auto"/>
          <w:vertAlign w:val="superscript"/>
        </w:rPr>
        <w:t>®</w:t>
      </w:r>
      <w:r>
        <w:rPr>
          <w:rFonts w:ascii="Arial" w:cs="Arial" w:eastAsia="Arial" w:hAnsi="Arial"/>
          <w:sz w:val="20"/>
          <w:szCs w:val="20"/>
          <w:color w:val="auto"/>
        </w:rPr>
        <w:t xml:space="preserve"> (cemiplimab)</w:t>
      </w:r>
    </w:p>
    <w:p>
      <w:pPr>
        <w:spacing w:after="0" w:line="2" w:lineRule="exact"/>
        <w:rPr>
          <w:rFonts w:ascii="Arial" w:cs="Arial" w:eastAsia="Arial" w:hAnsi="Arial"/>
          <w:sz w:val="16"/>
          <w:szCs w:val="16"/>
          <w:b w:val="1"/>
          <w:bCs w:val="1"/>
          <w:color w:val="065BAA"/>
        </w:rPr>
      </w:pPr>
    </w:p>
    <w:p>
      <w:pPr>
        <w:ind w:left="1020" w:right="1079" w:hanging="188"/>
        <w:spacing w:after="0" w:line="264" w:lineRule="auto"/>
        <w:tabs>
          <w:tab w:leader="none" w:pos="1020" w:val="left"/>
        </w:tabs>
        <w:numPr>
          <w:ilvl w:val="0"/>
          <w:numId w:val="6"/>
        </w:numPr>
        <w:rPr>
          <w:rFonts w:ascii="Arial" w:cs="Arial" w:eastAsia="Arial" w:hAnsi="Arial"/>
          <w:sz w:val="16"/>
          <w:szCs w:val="16"/>
          <w:b w:val="1"/>
          <w:bCs w:val="1"/>
          <w:color w:val="065BAA"/>
        </w:rPr>
      </w:pPr>
      <w:r>
        <w:rPr>
          <w:rFonts w:ascii="Arial" w:cs="Arial" w:eastAsia="Arial" w:hAnsi="Arial"/>
          <w:sz w:val="20"/>
          <w:szCs w:val="20"/>
          <w:b w:val="1"/>
          <w:bCs w:val="1"/>
          <w:color w:val="auto"/>
        </w:rPr>
        <w:t xml:space="preserve">Dupixent: &gt;1.4M patients actively treated </w:t>
      </w:r>
      <w:r>
        <w:rPr>
          <w:rFonts w:ascii="Arial" w:cs="Arial" w:eastAsia="Arial" w:hAnsi="Arial"/>
          <w:sz w:val="20"/>
          <w:szCs w:val="20"/>
          <w:color w:val="auto"/>
        </w:rPr>
        <w:t>globally;</w:t>
      </w:r>
      <w:r>
        <w:rPr>
          <w:rFonts w:ascii="Arial" w:cs="Arial" w:eastAsia="Arial" w:hAnsi="Arial"/>
          <w:sz w:val="20"/>
          <w:szCs w:val="20"/>
          <w:b w:val="1"/>
          <w:bCs w:val="1"/>
          <w:color w:val="auto"/>
        </w:rPr>
        <w:t xml:space="preserve"> $17.8B </w:t>
      </w:r>
      <w:r>
        <w:rPr>
          <w:rFonts w:ascii="Arial" w:cs="Arial" w:eastAsia="Arial" w:hAnsi="Arial"/>
          <w:sz w:val="20"/>
          <w:szCs w:val="20"/>
          <w:color w:val="auto"/>
        </w:rPr>
        <w:t>in 2025 global net</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sales (recorded by our collaborator Sanofi)</w:t>
      </w:r>
    </w:p>
    <w:p>
      <w:pPr>
        <w:ind w:left="1020" w:right="1119" w:hanging="188"/>
        <w:spacing w:after="0" w:line="274" w:lineRule="auto"/>
        <w:tabs>
          <w:tab w:leader="none" w:pos="1020" w:val="left"/>
        </w:tabs>
        <w:numPr>
          <w:ilvl w:val="0"/>
          <w:numId w:val="6"/>
        </w:numPr>
        <w:rPr>
          <w:rFonts w:ascii="Arial" w:cs="Arial" w:eastAsia="Arial" w:hAnsi="Arial"/>
          <w:sz w:val="16"/>
          <w:szCs w:val="16"/>
          <w:b w:val="1"/>
          <w:bCs w:val="1"/>
          <w:color w:val="065BAA"/>
        </w:rPr>
      </w:pPr>
      <w:r>
        <w:rPr>
          <w:rFonts w:ascii="Arial" w:cs="Arial" w:eastAsia="Arial" w:hAnsi="Arial"/>
          <w:sz w:val="20"/>
          <w:szCs w:val="20"/>
          <w:b w:val="1"/>
          <w:bCs w:val="1"/>
          <w:color w:val="auto"/>
        </w:rPr>
        <w:t xml:space="preserve">Retinal franchise (EYLEA HD and EYLEA): $7.9B </w:t>
      </w:r>
      <w:r>
        <w:rPr>
          <w:rFonts w:ascii="Arial" w:cs="Arial" w:eastAsia="Arial" w:hAnsi="Arial"/>
          <w:sz w:val="20"/>
          <w:szCs w:val="20"/>
          <w:color w:val="auto"/>
        </w:rPr>
        <w:t>in 2025 global net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sales (ex-U.S. sales of $3.5B recorded by our collaborator Bayer)</w:t>
      </w:r>
    </w:p>
    <w:p>
      <w:pPr>
        <w:spacing w:after="0" w:line="1" w:lineRule="exact"/>
        <w:rPr>
          <w:rFonts w:ascii="Arial" w:cs="Arial" w:eastAsia="Arial" w:hAnsi="Arial"/>
          <w:sz w:val="16"/>
          <w:szCs w:val="16"/>
          <w:b w:val="1"/>
          <w:bCs w:val="1"/>
          <w:color w:val="065BAA"/>
        </w:rPr>
      </w:pPr>
    </w:p>
    <w:p>
      <w:pPr>
        <w:ind w:left="1020" w:hanging="188"/>
        <w:spacing w:after="0"/>
        <w:tabs>
          <w:tab w:leader="none" w:pos="1020" w:val="left"/>
        </w:tabs>
        <w:numPr>
          <w:ilvl w:val="0"/>
          <w:numId w:val="6"/>
        </w:numPr>
        <w:rPr>
          <w:rFonts w:ascii="Arial" w:cs="Arial" w:eastAsia="Arial" w:hAnsi="Arial"/>
          <w:sz w:val="16"/>
          <w:szCs w:val="16"/>
          <w:b w:val="1"/>
          <w:bCs w:val="1"/>
          <w:color w:val="065BAA"/>
        </w:rPr>
      </w:pPr>
      <w:r>
        <w:rPr>
          <w:rFonts w:ascii="Arial" w:cs="Arial" w:eastAsia="Arial" w:hAnsi="Arial"/>
          <w:sz w:val="20"/>
          <w:szCs w:val="20"/>
          <w:b w:val="1"/>
          <w:bCs w:val="1"/>
          <w:color w:val="auto"/>
        </w:rPr>
        <w:t xml:space="preserve">Libtayo: $1.5B </w:t>
      </w:r>
      <w:r>
        <w:rPr>
          <w:rFonts w:ascii="Arial" w:cs="Arial" w:eastAsia="Arial" w:hAnsi="Arial"/>
          <w:sz w:val="20"/>
          <w:szCs w:val="20"/>
          <w:color w:val="auto"/>
        </w:rPr>
        <w:t>in 2025 global net product sales</w:t>
      </w:r>
    </w:p>
    <w:p>
      <w:pPr>
        <w:spacing w:after="0" w:line="200" w:lineRule="exact"/>
        <w:rPr>
          <w:sz w:val="20"/>
          <w:szCs w:val="20"/>
          <w:color w:val="auto"/>
        </w:rPr>
      </w:pPr>
    </w:p>
    <w:p>
      <w:pPr>
        <w:spacing w:after="0" w:line="226" w:lineRule="exact"/>
        <w:rPr>
          <w:sz w:val="20"/>
          <w:szCs w:val="20"/>
          <w:color w:val="auto"/>
        </w:rPr>
      </w:pPr>
    </w:p>
    <w:p>
      <w:pPr>
        <w:ind w:left="700"/>
        <w:spacing w:after="0"/>
        <w:rPr>
          <w:sz w:val="20"/>
          <w:szCs w:val="20"/>
          <w:color w:val="auto"/>
        </w:rPr>
      </w:pPr>
      <w:r>
        <w:rPr>
          <w:rFonts w:ascii="Arial" w:cs="Arial" w:eastAsia="Arial" w:hAnsi="Arial"/>
          <w:sz w:val="27"/>
          <w:szCs w:val="27"/>
          <w:b w:val="1"/>
          <w:bCs w:val="1"/>
          <w:color w:val="065BAA"/>
        </w:rPr>
        <w:t>Investing for Growth</w:t>
      </w:r>
    </w:p>
    <w:p>
      <w:pPr>
        <w:spacing w:after="0" w:line="141" w:lineRule="exact"/>
        <w:rPr>
          <w:sz w:val="20"/>
          <w:szCs w:val="20"/>
          <w:color w:val="auto"/>
        </w:rPr>
      </w:pPr>
    </w:p>
    <w:p>
      <w:pPr>
        <w:ind w:left="1040" w:hanging="194"/>
        <w:spacing w:after="0"/>
        <w:tabs>
          <w:tab w:leader="none" w:pos="1040" w:val="left"/>
        </w:tabs>
        <w:numPr>
          <w:ilvl w:val="0"/>
          <w:numId w:val="7"/>
        </w:numPr>
        <w:rPr>
          <w:rFonts w:ascii="Arial" w:cs="Arial" w:eastAsia="Arial" w:hAnsi="Arial"/>
          <w:sz w:val="16"/>
          <w:szCs w:val="16"/>
          <w:b w:val="1"/>
          <w:bCs w:val="1"/>
          <w:color w:val="065BAA"/>
        </w:rPr>
      </w:pPr>
      <w:r>
        <w:rPr>
          <w:rFonts w:ascii="Arial" w:cs="Arial" w:eastAsia="Arial" w:hAnsi="Arial"/>
          <w:sz w:val="20"/>
          <w:szCs w:val="20"/>
          <w:b w:val="1"/>
          <w:bCs w:val="1"/>
          <w:color w:val="auto"/>
        </w:rPr>
        <w:t xml:space="preserve">$5.9B </w:t>
      </w:r>
      <w:r>
        <w:rPr>
          <w:rFonts w:ascii="Arial" w:cs="Arial" w:eastAsia="Arial" w:hAnsi="Arial"/>
          <w:sz w:val="20"/>
          <w:szCs w:val="20"/>
          <w:color w:val="auto"/>
        </w:rPr>
        <w:t>invested in R&amp;D in 2025, representing ~41% of total revenues</w:t>
      </w:r>
    </w:p>
    <w:p>
      <w:pPr>
        <w:spacing w:after="0" w:line="67" w:lineRule="exact"/>
        <w:rPr>
          <w:rFonts w:ascii="Arial" w:cs="Arial" w:eastAsia="Arial" w:hAnsi="Arial"/>
          <w:sz w:val="16"/>
          <w:szCs w:val="16"/>
          <w:b w:val="1"/>
          <w:bCs w:val="1"/>
          <w:color w:val="065BAA"/>
        </w:rPr>
      </w:pPr>
    </w:p>
    <w:p>
      <w:pPr>
        <w:ind w:left="1040" w:hanging="194"/>
        <w:spacing w:after="0"/>
        <w:tabs>
          <w:tab w:leader="none" w:pos="1040" w:val="left"/>
        </w:tabs>
        <w:numPr>
          <w:ilvl w:val="0"/>
          <w:numId w:val="7"/>
        </w:numPr>
        <w:rPr>
          <w:rFonts w:ascii="Arial" w:cs="Arial" w:eastAsia="Arial" w:hAnsi="Arial"/>
          <w:sz w:val="16"/>
          <w:szCs w:val="16"/>
          <w:b w:val="1"/>
          <w:bCs w:val="1"/>
          <w:color w:val="065BAA"/>
        </w:rPr>
      </w:pPr>
      <w:r>
        <w:rPr>
          <w:rFonts w:ascii="Arial" w:cs="Arial" w:eastAsia="Arial" w:hAnsi="Arial"/>
          <w:sz w:val="20"/>
          <w:szCs w:val="20"/>
          <w:b w:val="1"/>
          <w:bCs w:val="1"/>
          <w:color w:val="auto"/>
        </w:rPr>
        <w:t xml:space="preserve">~$6.6B </w:t>
      </w:r>
      <w:r>
        <w:rPr>
          <w:rFonts w:ascii="Arial" w:cs="Arial" w:eastAsia="Arial" w:hAnsi="Arial"/>
          <w:sz w:val="20"/>
          <w:szCs w:val="20"/>
          <w:color w:val="auto"/>
        </w:rPr>
        <w:t>anticipated R&amp;D investment in 2026</w:t>
      </w:r>
    </w:p>
    <w:p>
      <w:pPr>
        <w:spacing w:after="0" w:line="67" w:lineRule="exact"/>
        <w:rPr>
          <w:rFonts w:ascii="Arial" w:cs="Arial" w:eastAsia="Arial" w:hAnsi="Arial"/>
          <w:sz w:val="16"/>
          <w:szCs w:val="16"/>
          <w:b w:val="1"/>
          <w:bCs w:val="1"/>
          <w:color w:val="065BAA"/>
        </w:rPr>
      </w:pPr>
    </w:p>
    <w:p>
      <w:pPr>
        <w:ind w:left="1040" w:right="2159" w:hanging="194"/>
        <w:spacing w:after="0" w:line="274" w:lineRule="auto"/>
        <w:tabs>
          <w:tab w:leader="none" w:pos="1040" w:val="left"/>
        </w:tabs>
        <w:numPr>
          <w:ilvl w:val="0"/>
          <w:numId w:val="7"/>
        </w:numPr>
        <w:rPr>
          <w:rFonts w:ascii="Arial" w:cs="Arial" w:eastAsia="Arial" w:hAnsi="Arial"/>
          <w:sz w:val="16"/>
          <w:szCs w:val="16"/>
          <w:b w:val="1"/>
          <w:bCs w:val="1"/>
          <w:color w:val="065BAA"/>
        </w:rPr>
      </w:pPr>
      <w:r>
        <w:rPr>
          <w:rFonts w:ascii="Arial" w:cs="Arial" w:eastAsia="Arial" w:hAnsi="Arial"/>
          <w:sz w:val="20"/>
          <w:szCs w:val="20"/>
          <w:b w:val="1"/>
          <w:bCs w:val="1"/>
          <w:color w:val="auto"/>
        </w:rPr>
        <w:t xml:space="preserve">$9B </w:t>
      </w:r>
      <w:r>
        <w:rPr>
          <w:rFonts w:ascii="Arial" w:cs="Arial" w:eastAsia="Arial" w:hAnsi="Arial"/>
          <w:sz w:val="20"/>
          <w:szCs w:val="20"/>
          <w:color w:val="auto"/>
        </w:rPr>
        <w:t>committed to ongoing/upcoming U.S. manufacturing and R&amp;D</w:t>
      </w:r>
      <w:r>
        <w:rPr>
          <w:rFonts w:ascii="Arial" w:cs="Arial" w:eastAsia="Arial" w:hAnsi="Arial"/>
          <w:sz w:val="20"/>
          <w:szCs w:val="20"/>
          <w:b w:val="1"/>
          <w:bCs w:val="1"/>
          <w:color w:val="auto"/>
        </w:rPr>
        <w:t xml:space="preserve"> </w:t>
      </w:r>
      <w:r>
        <w:rPr>
          <w:rFonts w:ascii="Arial" w:cs="Arial" w:eastAsia="Arial" w:hAnsi="Arial"/>
          <w:sz w:val="20"/>
          <w:szCs w:val="20"/>
          <w:color w:val="auto"/>
        </w:rPr>
        <w:t>infrastructure expansion</w:t>
      </w:r>
    </w:p>
    <w:p>
      <w:pPr>
        <w:spacing w:after="0" w:line="1" w:lineRule="exact"/>
        <w:rPr>
          <w:rFonts w:ascii="Arial" w:cs="Arial" w:eastAsia="Arial" w:hAnsi="Arial"/>
          <w:sz w:val="16"/>
          <w:szCs w:val="16"/>
          <w:b w:val="1"/>
          <w:bCs w:val="1"/>
          <w:color w:val="065BAA"/>
        </w:rPr>
      </w:pPr>
    </w:p>
    <w:p>
      <w:pPr>
        <w:ind w:left="1040" w:hanging="194"/>
        <w:spacing w:after="0"/>
        <w:tabs>
          <w:tab w:leader="none" w:pos="1040" w:val="left"/>
        </w:tabs>
        <w:numPr>
          <w:ilvl w:val="0"/>
          <w:numId w:val="7"/>
        </w:numPr>
        <w:rPr>
          <w:rFonts w:ascii="Arial" w:cs="Arial" w:eastAsia="Arial" w:hAnsi="Arial"/>
          <w:sz w:val="16"/>
          <w:szCs w:val="16"/>
          <w:b w:val="1"/>
          <w:bCs w:val="1"/>
          <w:color w:val="065BAA"/>
        </w:rPr>
      </w:pPr>
      <w:r>
        <w:rPr>
          <w:rFonts w:ascii="Arial" w:cs="Arial" w:eastAsia="Arial" w:hAnsi="Arial"/>
          <w:sz w:val="20"/>
          <w:szCs w:val="20"/>
          <w:b w:val="1"/>
          <w:bCs w:val="1"/>
          <w:color w:val="auto"/>
        </w:rPr>
        <w:t xml:space="preserve">$3.8B </w:t>
      </w:r>
      <w:r>
        <w:rPr>
          <w:rFonts w:ascii="Arial" w:cs="Arial" w:eastAsia="Arial" w:hAnsi="Arial"/>
          <w:sz w:val="20"/>
          <w:szCs w:val="20"/>
          <w:color w:val="auto"/>
        </w:rPr>
        <w:t>returned to shareholders through share repurchases and dividends in 2025</w:t>
      </w:r>
    </w:p>
    <w:p>
      <w:pPr>
        <w:spacing w:after="0" w:line="200" w:lineRule="exact"/>
        <w:rPr>
          <w:sz w:val="20"/>
          <w:szCs w:val="20"/>
          <w:color w:val="auto"/>
        </w:rPr>
      </w:pPr>
    </w:p>
    <w:p>
      <w:pPr>
        <w:spacing w:after="0" w:line="239" w:lineRule="exact"/>
        <w:rPr>
          <w:sz w:val="20"/>
          <w:szCs w:val="20"/>
          <w:color w:val="auto"/>
        </w:rPr>
      </w:pPr>
    </w:p>
    <w:p>
      <w:pPr>
        <w:ind w:left="700"/>
        <w:spacing w:after="0"/>
        <w:rPr>
          <w:sz w:val="20"/>
          <w:szCs w:val="20"/>
          <w:color w:val="auto"/>
        </w:rPr>
      </w:pPr>
      <w:r>
        <w:rPr>
          <w:rFonts w:ascii="Arial" w:cs="Arial" w:eastAsia="Arial" w:hAnsi="Arial"/>
          <w:sz w:val="27"/>
          <w:szCs w:val="27"/>
          <w:b w:val="1"/>
          <w:bCs w:val="1"/>
          <w:color w:val="065BAA"/>
        </w:rPr>
        <w:t>Innovation Engine</w:t>
      </w:r>
    </w:p>
    <w:p>
      <w:pPr>
        <w:spacing w:after="0" w:line="141" w:lineRule="exact"/>
        <w:rPr>
          <w:sz w:val="20"/>
          <w:szCs w:val="20"/>
          <w:color w:val="auto"/>
        </w:rPr>
      </w:pPr>
    </w:p>
    <w:p>
      <w:pPr>
        <w:ind w:left="1040" w:hanging="194"/>
        <w:spacing w:after="0"/>
        <w:tabs>
          <w:tab w:leader="none" w:pos="1040" w:val="left"/>
        </w:tabs>
        <w:numPr>
          <w:ilvl w:val="0"/>
          <w:numId w:val="8"/>
        </w:numPr>
        <w:rPr>
          <w:rFonts w:ascii="Arial" w:cs="Arial" w:eastAsia="Arial" w:hAnsi="Arial"/>
          <w:sz w:val="16"/>
          <w:szCs w:val="16"/>
          <w:b w:val="1"/>
          <w:bCs w:val="1"/>
          <w:color w:val="065BAA"/>
        </w:rPr>
      </w:pPr>
      <w:r>
        <w:rPr>
          <w:rFonts w:ascii="Arial" w:cs="Arial" w:eastAsia="Arial" w:hAnsi="Arial"/>
          <w:sz w:val="20"/>
          <w:szCs w:val="20"/>
          <w:b w:val="1"/>
          <w:bCs w:val="1"/>
          <w:color w:val="auto"/>
        </w:rPr>
        <w:t xml:space="preserve">Nearly 50 clinical candidates </w:t>
      </w:r>
      <w:r>
        <w:rPr>
          <w:rFonts w:ascii="Arial" w:cs="Arial" w:eastAsia="Arial" w:hAnsi="Arial"/>
          <w:sz w:val="20"/>
          <w:szCs w:val="20"/>
          <w:color w:val="auto"/>
        </w:rPr>
        <w:t>across six therapeutic areas</w:t>
      </w:r>
    </w:p>
    <w:p>
      <w:pPr>
        <w:spacing w:after="0" w:line="67" w:lineRule="exact"/>
        <w:rPr>
          <w:rFonts w:ascii="Arial" w:cs="Arial" w:eastAsia="Arial" w:hAnsi="Arial"/>
          <w:sz w:val="16"/>
          <w:szCs w:val="16"/>
          <w:b w:val="1"/>
          <w:bCs w:val="1"/>
          <w:color w:val="065BAA"/>
        </w:rPr>
      </w:pPr>
    </w:p>
    <w:p>
      <w:pPr>
        <w:jc w:val="both"/>
        <w:ind w:left="1040" w:right="1419" w:hanging="194"/>
        <w:spacing w:after="0" w:line="262" w:lineRule="auto"/>
        <w:tabs>
          <w:tab w:leader="none" w:pos="1040" w:val="left"/>
        </w:tabs>
        <w:numPr>
          <w:ilvl w:val="0"/>
          <w:numId w:val="8"/>
        </w:numPr>
        <w:rPr>
          <w:rFonts w:ascii="Arial" w:cs="Arial" w:eastAsia="Arial" w:hAnsi="Arial"/>
          <w:sz w:val="16"/>
          <w:szCs w:val="16"/>
          <w:b w:val="1"/>
          <w:bCs w:val="1"/>
          <w:color w:val="065BAA"/>
        </w:rPr>
      </w:pPr>
      <w:r>
        <w:rPr>
          <w:rFonts w:ascii="Arial" w:cs="Arial" w:eastAsia="Arial" w:hAnsi="Arial"/>
          <w:sz w:val="20"/>
          <w:szCs w:val="20"/>
          <w:b w:val="1"/>
          <w:bCs w:val="1"/>
          <w:color w:val="auto"/>
        </w:rPr>
        <w:t xml:space="preserve">Advancing clinical programs with near-term impact </w:t>
      </w:r>
      <w:r>
        <w:rPr>
          <w:rFonts w:ascii="Arial" w:cs="Arial" w:eastAsia="Arial" w:hAnsi="Arial"/>
          <w:sz w:val="20"/>
          <w:szCs w:val="20"/>
          <w:color w:val="auto"/>
        </w:rPr>
        <w:t>in immunology and</w:t>
      </w:r>
      <w:r>
        <w:rPr>
          <w:rFonts w:ascii="Arial" w:cs="Arial" w:eastAsia="Arial" w:hAnsi="Arial"/>
          <w:sz w:val="20"/>
          <w:szCs w:val="20"/>
          <w:b w:val="1"/>
          <w:bCs w:val="1"/>
          <w:color w:val="auto"/>
        </w:rPr>
        <w:t xml:space="preserve"> </w:t>
      </w:r>
      <w:r>
        <w:rPr>
          <w:rFonts w:ascii="Arial" w:cs="Arial" w:eastAsia="Arial" w:hAnsi="Arial"/>
          <w:sz w:val="20"/>
          <w:szCs w:val="20"/>
          <w:color w:val="auto"/>
        </w:rPr>
        <w:t>inflammation, cancer, hematology, neurology, cardiovascular and metabolic diseases, and rare diseases</w:t>
      </w:r>
    </w:p>
    <w:p>
      <w:pPr>
        <w:spacing w:after="0" w:line="2" w:lineRule="exact"/>
        <w:rPr>
          <w:rFonts w:ascii="Arial" w:cs="Arial" w:eastAsia="Arial" w:hAnsi="Arial"/>
          <w:sz w:val="16"/>
          <w:szCs w:val="16"/>
          <w:b w:val="1"/>
          <w:bCs w:val="1"/>
          <w:color w:val="065BAA"/>
        </w:rPr>
      </w:pPr>
    </w:p>
    <w:p>
      <w:pPr>
        <w:ind w:left="1040" w:hanging="194"/>
        <w:spacing w:after="0"/>
        <w:tabs>
          <w:tab w:leader="none" w:pos="1040" w:val="left"/>
        </w:tabs>
        <w:numPr>
          <w:ilvl w:val="0"/>
          <w:numId w:val="8"/>
        </w:numPr>
        <w:rPr>
          <w:rFonts w:ascii="Arial" w:cs="Arial" w:eastAsia="Arial" w:hAnsi="Arial"/>
          <w:sz w:val="15"/>
          <w:szCs w:val="15"/>
          <w:b w:val="1"/>
          <w:bCs w:val="1"/>
          <w:color w:val="065BAA"/>
        </w:rPr>
      </w:pPr>
      <w:r>
        <w:rPr>
          <w:rFonts w:ascii="Arial" w:cs="Arial" w:eastAsia="Arial" w:hAnsi="Arial"/>
          <w:sz w:val="19"/>
          <w:szCs w:val="19"/>
          <w:b w:val="1"/>
          <w:bCs w:val="1"/>
          <w:color w:val="auto"/>
        </w:rPr>
        <w:t xml:space="preserve">15 internally developed medicines approved or authorized </w:t>
      </w:r>
      <w:r>
        <w:rPr>
          <w:rFonts w:ascii="Arial" w:cs="Arial" w:eastAsia="Arial" w:hAnsi="Arial"/>
          <w:sz w:val="19"/>
          <w:szCs w:val="19"/>
          <w:color w:val="auto"/>
        </w:rPr>
        <w:t>over past ~15 years</w:t>
      </w:r>
    </w:p>
    <w:p>
      <w:pPr>
        <w:spacing w:after="0" w:line="54" w:lineRule="exact"/>
        <w:rPr>
          <w:rFonts w:ascii="Arial" w:cs="Arial" w:eastAsia="Arial" w:hAnsi="Arial"/>
          <w:sz w:val="15"/>
          <w:szCs w:val="15"/>
          <w:b w:val="1"/>
          <w:bCs w:val="1"/>
          <w:color w:val="065BAA"/>
        </w:rPr>
      </w:pPr>
    </w:p>
    <w:p>
      <w:pPr>
        <w:ind w:left="1040" w:hanging="194"/>
        <w:spacing w:after="0"/>
        <w:tabs>
          <w:tab w:leader="none" w:pos="1040" w:val="left"/>
        </w:tabs>
        <w:numPr>
          <w:ilvl w:val="0"/>
          <w:numId w:val="8"/>
        </w:numPr>
        <w:rPr>
          <w:rFonts w:ascii="Arial" w:cs="Arial" w:eastAsia="Arial" w:hAnsi="Arial"/>
          <w:sz w:val="16"/>
          <w:szCs w:val="16"/>
          <w:b w:val="1"/>
          <w:bCs w:val="1"/>
          <w:color w:val="065BAA"/>
        </w:rPr>
      </w:pPr>
      <w:r>
        <w:rPr>
          <w:rFonts w:ascii="Arial" w:cs="Arial" w:eastAsia="Arial" w:hAnsi="Arial"/>
          <w:sz w:val="20"/>
          <w:szCs w:val="20"/>
          <w:color w:val="auto"/>
        </w:rPr>
        <w:t xml:space="preserve">R&amp;D powered by proprietary </w:t>
      </w:r>
      <w:r>
        <w:rPr>
          <w:rFonts w:ascii="Arial" w:cs="Arial" w:eastAsia="Arial" w:hAnsi="Arial"/>
          <w:sz w:val="20"/>
          <w:szCs w:val="20"/>
          <w:b w:val="1"/>
          <w:bCs w:val="1"/>
          <w:i w:val="1"/>
          <w:iCs w:val="1"/>
          <w:color w:val="auto"/>
        </w:rPr>
        <w:t>VelociSuite</w:t>
      </w:r>
      <w:r>
        <w:rPr>
          <w:rFonts w:ascii="Arial" w:cs="Arial" w:eastAsia="Arial" w:hAnsi="Arial"/>
          <w:sz w:val="25"/>
          <w:szCs w:val="25"/>
          <w:b w:val="1"/>
          <w:bCs w:val="1"/>
          <w:i w:val="1"/>
          <w:iCs w:val="1"/>
          <w:color w:val="auto"/>
          <w:vertAlign w:val="superscript"/>
        </w:rPr>
        <w:t>®</w:t>
      </w:r>
      <w:r>
        <w:rPr>
          <w:rFonts w:ascii="Arial" w:cs="Arial" w:eastAsia="Arial" w:hAnsi="Arial"/>
          <w:sz w:val="20"/>
          <w:szCs w:val="20"/>
          <w:color w:val="auto"/>
        </w:rPr>
        <w:t xml:space="preserve"> technologies and the</w:t>
      </w:r>
    </w:p>
    <w:p>
      <w:pPr>
        <w:ind w:left="1040"/>
        <w:spacing w:after="0"/>
        <w:rPr>
          <w:rFonts w:ascii="Arial" w:cs="Arial" w:eastAsia="Arial" w:hAnsi="Arial"/>
          <w:sz w:val="16"/>
          <w:szCs w:val="16"/>
          <w:b w:val="1"/>
          <w:bCs w:val="1"/>
          <w:color w:val="065BAA"/>
        </w:rPr>
      </w:pPr>
      <w:r>
        <w:rPr>
          <w:rFonts w:ascii="Arial" w:cs="Arial" w:eastAsia="Arial" w:hAnsi="Arial"/>
          <w:sz w:val="20"/>
          <w:szCs w:val="20"/>
          <w:b w:val="1"/>
          <w:bCs w:val="1"/>
          <w:color w:val="auto"/>
        </w:rPr>
        <w:t>Regeneron Genetics Center</w:t>
      </w:r>
      <w:r>
        <w:rPr>
          <w:rFonts w:ascii="Arial" w:cs="Arial" w:eastAsia="Arial" w:hAnsi="Arial"/>
          <w:sz w:val="25"/>
          <w:szCs w:val="25"/>
          <w:b w:val="1"/>
          <w:bCs w:val="1"/>
          <w:color w:val="auto"/>
          <w:vertAlign w:val="superscript"/>
        </w:rPr>
        <w:t>®</w:t>
      </w:r>
    </w:p>
    <w:p>
      <w:pPr>
        <w:spacing w:after="0" w:line="335" w:lineRule="exact"/>
        <w:rPr>
          <w:sz w:val="20"/>
          <w:szCs w:val="20"/>
          <w:color w:val="auto"/>
        </w:rPr>
      </w:pPr>
    </w:p>
    <w:p>
      <w:pPr>
        <w:ind w:left="700"/>
        <w:spacing w:after="0"/>
        <w:rPr>
          <w:sz w:val="20"/>
          <w:szCs w:val="20"/>
          <w:color w:val="auto"/>
        </w:rPr>
      </w:pPr>
      <w:r>
        <w:rPr>
          <w:rFonts w:ascii="Arial" w:cs="Arial" w:eastAsia="Arial" w:hAnsi="Arial"/>
          <w:sz w:val="27"/>
          <w:szCs w:val="27"/>
          <w:b w:val="1"/>
          <w:bCs w:val="1"/>
          <w:color w:val="065BAA"/>
        </w:rPr>
        <w:t>Responsibility</w:t>
      </w:r>
    </w:p>
    <w:p>
      <w:pPr>
        <w:spacing w:after="0" w:line="154" w:lineRule="exact"/>
        <w:rPr>
          <w:sz w:val="20"/>
          <w:szCs w:val="20"/>
          <w:color w:val="auto"/>
        </w:rPr>
      </w:pPr>
    </w:p>
    <w:p>
      <w:pPr>
        <w:ind w:left="1040" w:hanging="194"/>
        <w:spacing w:after="0"/>
        <w:tabs>
          <w:tab w:leader="none" w:pos="1040" w:val="left"/>
        </w:tabs>
        <w:numPr>
          <w:ilvl w:val="0"/>
          <w:numId w:val="9"/>
        </w:numPr>
        <w:rPr>
          <w:rFonts w:ascii="Arial" w:cs="Arial" w:eastAsia="Arial" w:hAnsi="Arial"/>
          <w:sz w:val="16"/>
          <w:szCs w:val="16"/>
          <w:b w:val="1"/>
          <w:bCs w:val="1"/>
          <w:color w:val="065BAA"/>
        </w:rPr>
      </w:pPr>
      <w:r>
        <w:rPr>
          <w:rFonts w:ascii="Arial" w:cs="Arial" w:eastAsia="Arial" w:hAnsi="Arial"/>
          <w:sz w:val="20"/>
          <w:szCs w:val="20"/>
          <w:color w:val="auto"/>
        </w:rPr>
        <w:t xml:space="preserve">Achieved or exceeded nearly all of our </w:t>
      </w:r>
      <w:r>
        <w:rPr>
          <w:rFonts w:ascii="Arial" w:cs="Arial" w:eastAsia="Arial" w:hAnsi="Arial"/>
          <w:sz w:val="20"/>
          <w:szCs w:val="20"/>
          <w:b w:val="1"/>
          <w:bCs w:val="1"/>
          <w:color w:val="auto"/>
        </w:rPr>
        <w:t>2025 responsibility goals</w:t>
      </w:r>
    </w:p>
    <w:p>
      <w:pPr>
        <w:spacing w:after="0" w:line="53" w:lineRule="exact"/>
        <w:rPr>
          <w:rFonts w:ascii="Arial" w:cs="Arial" w:eastAsia="Arial" w:hAnsi="Arial"/>
          <w:sz w:val="16"/>
          <w:szCs w:val="16"/>
          <w:b w:val="1"/>
          <w:bCs w:val="1"/>
          <w:color w:val="065BAA"/>
        </w:rPr>
      </w:pPr>
    </w:p>
    <w:p>
      <w:pPr>
        <w:ind w:left="1040" w:right="1619" w:hanging="194"/>
        <w:spacing w:after="0" w:line="281" w:lineRule="auto"/>
        <w:tabs>
          <w:tab w:leader="none" w:pos="1040" w:val="left"/>
        </w:tabs>
        <w:numPr>
          <w:ilvl w:val="0"/>
          <w:numId w:val="9"/>
        </w:numPr>
        <w:rPr>
          <w:rFonts w:ascii="Arial" w:cs="Arial" w:eastAsia="Arial" w:hAnsi="Arial"/>
          <w:sz w:val="16"/>
          <w:szCs w:val="16"/>
          <w:b w:val="1"/>
          <w:bCs w:val="1"/>
          <w:color w:val="065BAA"/>
        </w:rPr>
      </w:pPr>
      <w:r>
        <w:rPr>
          <w:rFonts w:ascii="Arial" w:cs="Arial" w:eastAsia="Arial" w:hAnsi="Arial"/>
          <w:sz w:val="20"/>
          <w:szCs w:val="20"/>
          <w:b w:val="1"/>
          <w:bCs w:val="1"/>
          <w:color w:val="auto"/>
        </w:rPr>
        <w:t xml:space="preserve">10 years </w:t>
      </w:r>
      <w:r>
        <w:rPr>
          <w:rFonts w:ascii="Arial" w:cs="Arial" w:eastAsia="Arial" w:hAnsi="Arial"/>
          <w:sz w:val="20"/>
          <w:szCs w:val="20"/>
          <w:color w:val="auto"/>
        </w:rPr>
        <w:t>of our flagship social impact programs, the Regeneron Science</w:t>
      </w:r>
      <w:r>
        <w:rPr>
          <w:rFonts w:ascii="Arial" w:cs="Arial" w:eastAsia="Arial" w:hAnsi="Arial"/>
          <w:sz w:val="20"/>
          <w:szCs w:val="20"/>
          <w:b w:val="1"/>
          <w:bCs w:val="1"/>
          <w:color w:val="auto"/>
        </w:rPr>
        <w:t xml:space="preserve"> </w:t>
      </w:r>
      <w:r>
        <w:rPr>
          <w:rFonts w:ascii="Arial" w:cs="Arial" w:eastAsia="Arial" w:hAnsi="Arial"/>
          <w:sz w:val="20"/>
          <w:szCs w:val="20"/>
          <w:color w:val="auto"/>
        </w:rPr>
        <w:t>Talent Search and Day for Doing Good</w:t>
      </w:r>
    </w:p>
    <w:p>
      <w:pPr>
        <w:spacing w:after="0" w:line="1" w:lineRule="exact"/>
        <w:rPr>
          <w:rFonts w:ascii="Arial" w:cs="Arial" w:eastAsia="Arial" w:hAnsi="Arial"/>
          <w:sz w:val="16"/>
          <w:szCs w:val="16"/>
          <w:b w:val="1"/>
          <w:bCs w:val="1"/>
          <w:color w:val="065BAA"/>
        </w:rPr>
      </w:pPr>
    </w:p>
    <w:p>
      <w:pPr>
        <w:ind w:left="1040" w:right="799" w:hanging="194"/>
        <w:spacing w:after="0" w:line="274" w:lineRule="auto"/>
        <w:tabs>
          <w:tab w:leader="none" w:pos="1040" w:val="left"/>
        </w:tabs>
        <w:numPr>
          <w:ilvl w:val="0"/>
          <w:numId w:val="9"/>
        </w:numPr>
        <w:rPr>
          <w:rFonts w:ascii="Arial" w:cs="Arial" w:eastAsia="Arial" w:hAnsi="Arial"/>
          <w:sz w:val="16"/>
          <w:szCs w:val="16"/>
          <w:color w:val="065BAA"/>
        </w:rPr>
      </w:pPr>
      <w:r>
        <w:rPr>
          <w:rFonts w:ascii="Arial" w:cs="Arial" w:eastAsia="Arial" w:hAnsi="Arial"/>
          <w:sz w:val="20"/>
          <w:szCs w:val="20"/>
          <w:color w:val="auto"/>
        </w:rPr>
        <w:t xml:space="preserve">Donated </w:t>
      </w:r>
      <w:r>
        <w:rPr>
          <w:rFonts w:ascii="Arial" w:cs="Arial" w:eastAsia="Arial" w:hAnsi="Arial"/>
          <w:sz w:val="20"/>
          <w:szCs w:val="20"/>
          <w:b w:val="1"/>
          <w:bCs w:val="1"/>
          <w:color w:val="auto"/>
        </w:rPr>
        <w:t>up to 500 doses</w:t>
      </w:r>
      <w:r>
        <w:rPr>
          <w:rFonts w:ascii="Arial" w:cs="Arial" w:eastAsia="Arial" w:hAnsi="Arial"/>
          <w:sz w:val="20"/>
          <w:szCs w:val="20"/>
          <w:color w:val="auto"/>
        </w:rPr>
        <w:t xml:space="preserve"> of our Ebola medicine to the World Health Organization for use in countries most at risk</w:t>
      </w:r>
    </w:p>
    <w:p>
      <w:pPr>
        <w:spacing w:after="0" w:line="1" w:lineRule="exact"/>
        <w:rPr>
          <w:rFonts w:ascii="Arial" w:cs="Arial" w:eastAsia="Arial" w:hAnsi="Arial"/>
          <w:sz w:val="16"/>
          <w:szCs w:val="16"/>
          <w:color w:val="065BAA"/>
        </w:rPr>
      </w:pPr>
    </w:p>
    <w:p>
      <w:pPr>
        <w:ind w:left="1040" w:hanging="194"/>
        <w:spacing w:after="0"/>
        <w:tabs>
          <w:tab w:leader="none" w:pos="1040" w:val="left"/>
        </w:tabs>
        <w:numPr>
          <w:ilvl w:val="0"/>
          <w:numId w:val="9"/>
        </w:numPr>
        <w:rPr>
          <w:rFonts w:ascii="Arial" w:cs="Arial" w:eastAsia="Arial" w:hAnsi="Arial"/>
          <w:sz w:val="16"/>
          <w:szCs w:val="16"/>
          <w:b w:val="1"/>
          <w:bCs w:val="1"/>
          <w:color w:val="065BAA"/>
        </w:rPr>
      </w:pPr>
      <w:r>
        <w:rPr>
          <w:rFonts w:ascii="Arial" w:cs="Arial" w:eastAsia="Arial" w:hAnsi="Arial"/>
          <w:sz w:val="20"/>
          <w:szCs w:val="20"/>
          <w:color w:val="auto"/>
        </w:rPr>
        <w:t xml:space="preserve">Debuted </w:t>
      </w:r>
      <w:r>
        <w:rPr>
          <w:rFonts w:ascii="Arial" w:cs="Arial" w:eastAsia="Arial" w:hAnsi="Arial"/>
          <w:sz w:val="20"/>
          <w:szCs w:val="20"/>
          <w:b w:val="1"/>
          <w:bCs w:val="1"/>
          <w:color w:val="auto"/>
        </w:rPr>
        <w:t>2030 responsibility goals</w:t>
      </w:r>
      <w:r>
        <w:rPr>
          <w:rFonts w:ascii="Arial" w:cs="Arial" w:eastAsia="Arial" w:hAnsi="Arial"/>
          <w:sz w:val="20"/>
          <w:szCs w:val="20"/>
          <w:color w:val="auto"/>
        </w:rPr>
        <w:t xml:space="preserve"> focused on advancing our mission</w:t>
      </w:r>
    </w:p>
    <w:p>
      <w:pPr>
        <w:sectPr>
          <w:pgSz w:w="11900" w:h="16838" w:orient="portrait"/>
          <w:cols w:equalWidth="0" w:num="1">
            <w:col w:w="9019"/>
          </w:cols>
          <w:pgMar w:left="1440" w:top="1440" w:right="1440" w:bottom="1440" w:gutter="0" w:footer="0" w:header="0"/>
        </w:sectPr>
      </w:pPr>
    </w:p>
    <w:bookmarkStart w:id="4" w:name="page5"/>
    <w:bookmarkEnd w:id="4"/>
    <w:p>
      <w:pPr>
        <w:ind w:left="80"/>
        <w:spacing w:after="0"/>
        <w:rPr>
          <w:sz w:val="20"/>
          <w:szCs w:val="20"/>
          <w:color w:val="auto"/>
        </w:rPr>
      </w:pPr>
      <w:r>
        <w:rPr>
          <w:rFonts w:ascii="Arial" w:cs="Arial" w:eastAsia="Arial" w:hAnsi="Arial"/>
          <w:sz w:val="52"/>
          <w:szCs w:val="52"/>
          <w:b w:val="1"/>
          <w:bCs w:val="1"/>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Letter to Shareholders</w:t>
      </w:r>
    </w:p>
    <w:p>
      <w:pPr>
        <w:sectPr>
          <w:pgSz w:w="11900" w:h="16838" w:orient="portrait"/>
          <w:cols w:equalWidth="0" w:num="1">
            <w:col w:w="9019"/>
          </w:cols>
          <w:pgMar w:left="1440" w:top="1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Arial" w:cs="Arial" w:eastAsia="Arial" w:hAnsi="Arial"/>
                <w:sz w:val="16"/>
                <w:szCs w:val="16"/>
                <w:b w:val="1"/>
                <w:bCs w:val="1"/>
                <w:color w:val="065BAA"/>
              </w:rPr>
              <w:t>Leonard S. Schleifer,</w:t>
            </w:r>
          </w:p>
        </w:tc>
        <w:tc>
          <w:tcPr>
            <w:tcW w:w="2140" w:type="dxa"/>
            <w:vAlign w:val="bottom"/>
          </w:tcPr>
          <w:p>
            <w:pPr>
              <w:ind w:left="280"/>
              <w:spacing w:after="0"/>
              <w:rPr>
                <w:sz w:val="20"/>
                <w:szCs w:val="20"/>
                <w:color w:val="auto"/>
              </w:rPr>
            </w:pPr>
            <w:r>
              <w:rPr>
                <w:rFonts w:ascii="Arial" w:cs="Arial" w:eastAsia="Arial" w:hAnsi="Arial"/>
                <w:sz w:val="16"/>
                <w:szCs w:val="16"/>
                <w:b w:val="1"/>
                <w:bCs w:val="1"/>
                <w:color w:val="065BAA"/>
                <w:w w:val="98"/>
              </w:rPr>
              <w:t>George D. Yancopoulos,</w:t>
            </w:r>
          </w:p>
        </w:tc>
      </w:tr>
      <w:tr>
        <w:trPr>
          <w:trHeight w:val="223"/>
        </w:trPr>
        <w:tc>
          <w:tcPr>
            <w:tcW w:w="1860" w:type="dxa"/>
            <w:vAlign w:val="bottom"/>
          </w:tcPr>
          <w:p>
            <w:pPr>
              <w:spacing w:after="0"/>
              <w:rPr>
                <w:sz w:val="20"/>
                <w:szCs w:val="20"/>
                <w:color w:val="auto"/>
              </w:rPr>
            </w:pPr>
            <w:r>
              <w:rPr>
                <w:rFonts w:ascii="Arial" w:cs="Arial" w:eastAsia="Arial" w:hAnsi="Arial"/>
                <w:sz w:val="16"/>
                <w:szCs w:val="16"/>
                <w:b w:val="1"/>
                <w:bCs w:val="1"/>
                <w:color w:val="065BAA"/>
              </w:rPr>
              <w:t>M.D., Ph.D</w:t>
            </w:r>
          </w:p>
        </w:tc>
        <w:tc>
          <w:tcPr>
            <w:tcW w:w="2140" w:type="dxa"/>
            <w:vAlign w:val="bottom"/>
          </w:tcPr>
          <w:p>
            <w:pPr>
              <w:ind w:left="280"/>
              <w:spacing w:after="0"/>
              <w:rPr>
                <w:sz w:val="20"/>
                <w:szCs w:val="20"/>
                <w:color w:val="auto"/>
              </w:rPr>
            </w:pPr>
            <w:r>
              <w:rPr>
                <w:rFonts w:ascii="Arial" w:cs="Arial" w:eastAsia="Arial" w:hAnsi="Arial"/>
                <w:sz w:val="16"/>
                <w:szCs w:val="16"/>
                <w:b w:val="1"/>
                <w:bCs w:val="1"/>
                <w:color w:val="065BAA"/>
              </w:rPr>
              <w:t>M.D., Ph.D.</w:t>
            </w:r>
          </w:p>
        </w:tc>
      </w:tr>
    </w:tbl>
    <w:p>
      <w:pPr>
        <w:spacing w:after="0" w:line="357"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065BAA"/>
        </w:rPr>
        <w:t>DEAR FELLOW SHAREHOLDERS,</w:t>
      </w:r>
    </w:p>
    <w:p>
      <w:pPr>
        <w:spacing w:after="0" w:line="136" w:lineRule="exact"/>
        <w:rPr>
          <w:sz w:val="20"/>
          <w:szCs w:val="20"/>
          <w:color w:val="auto"/>
        </w:rPr>
      </w:pPr>
    </w:p>
    <w:p>
      <w:pPr>
        <w:ind w:left="140" w:right="139"/>
        <w:spacing w:after="0" w:line="273" w:lineRule="auto"/>
        <w:rPr>
          <w:sz w:val="20"/>
          <w:szCs w:val="20"/>
          <w:color w:val="auto"/>
        </w:rPr>
      </w:pPr>
      <w:r>
        <w:rPr>
          <w:rFonts w:ascii="Arial" w:cs="Arial" w:eastAsia="Arial" w:hAnsi="Arial"/>
          <w:sz w:val="15"/>
          <w:szCs w:val="15"/>
          <w:color w:val="auto"/>
        </w:rPr>
        <w:t>Regeneron’s future is more promising than ever, and we remain true to what has set us apart from the beginning: a deep scientific focus, a commitment to developing novel, disruptive technologies that deliver real-world impact, and a relentless drive to continue to push the boundaries that currently limit progress and patient benefit.</w:t>
      </w:r>
    </w:p>
    <w:p>
      <w:pPr>
        <w:spacing w:after="0" w:line="59" w:lineRule="exact"/>
        <w:rPr>
          <w:sz w:val="20"/>
          <w:szCs w:val="20"/>
          <w:color w:val="auto"/>
        </w:rPr>
      </w:pPr>
    </w:p>
    <w:p>
      <w:pPr>
        <w:ind w:left="140" w:right="239"/>
        <w:spacing w:after="0" w:line="282" w:lineRule="auto"/>
        <w:rPr>
          <w:sz w:val="20"/>
          <w:szCs w:val="20"/>
          <w:color w:val="auto"/>
        </w:rPr>
      </w:pPr>
      <w:r>
        <w:rPr>
          <w:rFonts w:ascii="Arial" w:cs="Arial" w:eastAsia="Arial" w:hAnsi="Arial"/>
          <w:sz w:val="15"/>
          <w:szCs w:val="15"/>
          <w:color w:val="auto"/>
        </w:rPr>
        <w:t>With a high-performing commercial portfolio, a highly productive research and development (“R&amp;D”) effort that has generated nearly 50 novel drug candidates currently in clinical development, disciplined capital allocation, and a talented workforce, we are poised to deliver multiple new breakthrough medicines in the coming years and help even more people in need.</w:t>
      </w:r>
    </w:p>
    <w:p>
      <w:pPr>
        <w:spacing w:after="0" w:line="53" w:lineRule="exact"/>
        <w:rPr>
          <w:sz w:val="20"/>
          <w:szCs w:val="20"/>
          <w:color w:val="auto"/>
        </w:rPr>
      </w:pPr>
    </w:p>
    <w:p>
      <w:pPr>
        <w:ind w:left="140" w:right="179"/>
        <w:spacing w:after="0" w:line="259" w:lineRule="auto"/>
        <w:rPr>
          <w:sz w:val="20"/>
          <w:szCs w:val="20"/>
          <w:color w:val="auto"/>
        </w:rPr>
      </w:pPr>
      <w:r>
        <w:rPr>
          <w:rFonts w:ascii="Arial" w:cs="Arial" w:eastAsia="Arial" w:hAnsi="Arial"/>
          <w:sz w:val="15"/>
          <w:szCs w:val="15"/>
          <w:color w:val="auto"/>
        </w:rPr>
        <w:t>For Regeneron to continue to succeed, we must also understand and acknowledge the broader forces shaping our industry. For many years, the biopharma industry has been under attack regarding affordability of drugs for the average person. While this is a critical issue that needs solving, it should not overshadow the tremendous overall burden healthcare imposes on our society and economic system: U.S. healthcare spending currently accounts for almost 20% of the Gross Domestic Product (GDP), only a small fraction of which is spent on medicines, and is estimated to grow substantially as the population ages and inadequately treated chronic diseases become more prevalent. Devoting so much of our economy to healthcare is simply unsustainable and threatens not only our entire economic system but our way of life. The only solution is disruptive innovation – improving the efficiency of preventative and interventional healthcare delivery while developing new medicines that can effectively reduce disease burden. Achieving this requires the right incentives and environment, including sustained investment in and support for a robust biotech ecosystem, as well as efforts to educate and attract the best and the brightest minds to address the looming existential crisis.</w:t>
      </w:r>
    </w:p>
    <w:p>
      <w:pPr>
        <w:spacing w:after="0" w:line="272" w:lineRule="exact"/>
        <w:rPr>
          <w:sz w:val="20"/>
          <w:szCs w:val="20"/>
          <w:color w:val="auto"/>
        </w:rPr>
      </w:pPr>
    </w:p>
    <w:p>
      <w:pPr>
        <w:ind w:left="140" w:right="279"/>
        <w:spacing w:after="0" w:line="269" w:lineRule="auto"/>
        <w:rPr>
          <w:sz w:val="20"/>
          <w:szCs w:val="20"/>
          <w:color w:val="auto"/>
        </w:rPr>
      </w:pPr>
      <w:r>
        <w:rPr>
          <w:rFonts w:ascii="Arial" w:cs="Arial" w:eastAsia="Arial" w:hAnsi="Arial"/>
          <w:sz w:val="15"/>
          <w:szCs w:val="15"/>
          <w:color w:val="auto"/>
        </w:rPr>
        <w:t>The United States has long been the world leader in healthcare innovation, particularly in drug discovery. That leadership has been threatened as other developed countries benefit from U.S. innovation without contributing their fair share of the cost. More recently, the industry faces growing competition from China, driven by increased government investment and support for its biotech sector and efforts to streamline regulatory inefficiencies.</w:t>
      </w:r>
    </w:p>
    <w:p>
      <w:pPr>
        <w:spacing w:after="0" w:line="64" w:lineRule="exact"/>
        <w:rPr>
          <w:sz w:val="20"/>
          <w:szCs w:val="20"/>
          <w:color w:val="auto"/>
        </w:rPr>
      </w:pPr>
    </w:p>
    <w:p>
      <w:pPr>
        <w:ind w:left="140" w:right="179"/>
        <w:spacing w:after="0" w:line="263" w:lineRule="auto"/>
        <w:rPr>
          <w:sz w:val="20"/>
          <w:szCs w:val="20"/>
          <w:color w:val="auto"/>
        </w:rPr>
      </w:pPr>
      <w:r>
        <w:rPr>
          <w:rFonts w:ascii="Arial" w:cs="Arial" w:eastAsia="Arial" w:hAnsi="Arial"/>
          <w:sz w:val="15"/>
          <w:szCs w:val="15"/>
          <w:color w:val="auto"/>
        </w:rPr>
        <w:t>For more than a decade, we have argued that one approach to improving affordability in the United States is to compel other developed nations to contribute an equitable share of the cost of innovation. Decreasing the price of drugs in the United States, without raising prices for other developed nations, would eventually result in a substantial decrease in the enormous and risky investments required to discover and develop them. For this reason, we have supported the Administration’s efforts to promote a more balanced sharing of costs for medicines other developed countries rely upon. We are encouraged by initial progress on this front, including our recently announced “Most Favored Nation” agreement and similar agreements from biopharma peers, which we believe offer an important step forward while still supporting innovation within the robust American biotechnology industry.</w:t>
      </w:r>
    </w:p>
    <w:p>
      <w:pPr>
        <w:spacing w:after="0" w:line="67" w:lineRule="exact"/>
        <w:rPr>
          <w:sz w:val="20"/>
          <w:szCs w:val="20"/>
          <w:color w:val="auto"/>
        </w:rPr>
      </w:pPr>
    </w:p>
    <w:p>
      <w:pPr>
        <w:ind w:left="140" w:right="159"/>
        <w:spacing w:after="0" w:line="263" w:lineRule="auto"/>
        <w:rPr>
          <w:sz w:val="20"/>
          <w:szCs w:val="20"/>
          <w:color w:val="auto"/>
        </w:rPr>
      </w:pPr>
      <w:r>
        <w:rPr>
          <w:rFonts w:ascii="Arial" w:cs="Arial" w:eastAsia="Arial" w:hAnsi="Arial"/>
          <w:sz w:val="15"/>
          <w:szCs w:val="15"/>
          <w:color w:val="auto"/>
        </w:rPr>
        <w:t>Just as urgently, the United States must dramatically increase investment to meet the challenge posed by China’s rapidly expanding biomedical ambitions. China is investing heavily and strategically in drug discovery and development, and the United States’ leadership position, which was built over decades through sustained public and private investment, cannot be taken for granted. Rather than vilifying the biopharmaceutical industry, we urge policymakers, regulators, and the public to recognize what is truly at stake: America’s ability to remain the world’s main driver of the scientific and medical progress that will deliver the many novel treatments our aging population will require. Much of healthcare R&amp;D is funded by the profits of our industry – if we lose those profits to China, R&amp;D investment and progress in the United States would grind to a halt.</w:t>
      </w:r>
    </w:p>
    <w:p>
      <w:pPr>
        <w:spacing w:after="0" w:line="81" w:lineRule="exact"/>
        <w:rPr>
          <w:sz w:val="20"/>
          <w:szCs w:val="20"/>
          <w:color w:val="auto"/>
        </w:rPr>
      </w:pPr>
    </w:p>
    <w:p>
      <w:pPr>
        <w:ind w:left="140" w:right="179"/>
        <w:spacing w:after="0" w:line="263" w:lineRule="auto"/>
        <w:rPr>
          <w:sz w:val="20"/>
          <w:szCs w:val="20"/>
          <w:color w:val="auto"/>
        </w:rPr>
      </w:pPr>
      <w:r>
        <w:rPr>
          <w:rFonts w:ascii="Arial" w:cs="Arial" w:eastAsia="Arial" w:hAnsi="Arial"/>
          <w:sz w:val="15"/>
          <w:szCs w:val="15"/>
          <w:color w:val="auto"/>
        </w:rPr>
        <w:t>To sustain R&amp;D innovation, we can no longer accept the inefficiencies and delays in the complex clinical development process that often takes 5-10 years to bring an important new medicine to patients. We must find ways to make the regulatory process for new medicines more efficient, while remaining rigorous and patient-focused. We believe the U.S. Food and Drug Administration (“FDA”) has taken recent steps to this end, and we look forward to continued interactions to further our shared goal of bringing safe and effective medicines to people in need as quickly as possible.</w:t>
      </w:r>
    </w:p>
    <w:p>
      <w:pPr>
        <w:spacing w:after="0" w:line="31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i</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1139" w:right="1440"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right="159"/>
        <w:spacing w:after="0" w:line="263" w:lineRule="auto"/>
        <w:rPr>
          <w:sz w:val="20"/>
          <w:szCs w:val="20"/>
          <w:color w:val="auto"/>
        </w:rPr>
      </w:pPr>
      <w:r>
        <w:rPr>
          <w:rFonts w:ascii="Arial" w:cs="Arial" w:eastAsia="Arial" w:hAnsi="Arial"/>
          <w:sz w:val="15"/>
          <w:szCs w:val="15"/>
          <w:color w:val="auto"/>
        </w:rPr>
        <w:t>In addition, we need to remain leaders in the high-tech manufacturing of biopharmaceuticals. Regeneron advocated in front of Congress in 2014 for increased focus and investment on large-scale domestic biopharmaceutical manufacturing capacity, in anticipation of future biologic threats. The COVID-19 crisis brought this warning to bear. We are encouraged by recent efforts of the Administration to incentivize increased investment in such domestic capabilities, and Regeneron has continued to expand our own capacity in the United States.</w:t>
      </w:r>
    </w:p>
    <w:p>
      <w:pPr>
        <w:spacing w:after="0" w:line="81" w:lineRule="exact"/>
        <w:rPr>
          <w:sz w:val="20"/>
          <w:szCs w:val="20"/>
          <w:color w:val="auto"/>
        </w:rPr>
      </w:pPr>
    </w:p>
    <w:p>
      <w:pPr>
        <w:ind w:left="140" w:right="459"/>
        <w:spacing w:after="0" w:line="263" w:lineRule="auto"/>
        <w:rPr>
          <w:sz w:val="20"/>
          <w:szCs w:val="20"/>
          <w:color w:val="auto"/>
        </w:rPr>
      </w:pPr>
      <w:r>
        <w:rPr>
          <w:rFonts w:ascii="Arial" w:cs="Arial" w:eastAsia="Arial" w:hAnsi="Arial"/>
          <w:sz w:val="15"/>
          <w:szCs w:val="15"/>
          <w:color w:val="auto"/>
        </w:rPr>
        <w:t>Finally, we cannot ignore that disruptive innovation depends on people – and this nation must do more to find, educate, and attract the best and the brightest of the next generation to tackle the most important problems. We are trying to do our part at Regeneron. Like many of our country’s leading innovators, both of us got our start participating in high school science competitions – and we are proud that Regeneron is now the sponsor of the world’s premier high school competitions that first engaged us – the Regeneron Science Talent Search and the Regeneron International Science and Engineering Fair.</w:t>
      </w:r>
    </w:p>
    <w:p>
      <w:pPr>
        <w:spacing w:after="0" w:line="81" w:lineRule="exact"/>
        <w:rPr>
          <w:sz w:val="20"/>
          <w:szCs w:val="20"/>
          <w:color w:val="auto"/>
        </w:rPr>
      </w:pPr>
    </w:p>
    <w:p>
      <w:pPr>
        <w:ind w:left="140" w:right="259"/>
        <w:spacing w:after="0" w:line="234" w:lineRule="auto"/>
        <w:rPr>
          <w:sz w:val="20"/>
          <w:szCs w:val="20"/>
          <w:color w:val="auto"/>
        </w:rPr>
      </w:pPr>
      <w:r>
        <w:rPr>
          <w:rFonts w:ascii="Arial" w:cs="Arial" w:eastAsia="Arial" w:hAnsi="Arial"/>
          <w:sz w:val="15"/>
          <w:szCs w:val="15"/>
          <w:color w:val="auto"/>
        </w:rPr>
        <w:t>Regeneron’s nimble, data-focused, and creative culture makes us perfectly suited to thrive in today’s dynamic landscape. Our history has been distinguished by the pioneering of new technologies that made us leaders in many of the major fields that have revolutionized the biotechnology industry: from our soluble receptor (or Trap) technology that delivered EYLEA HD</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(aflibercept) Injection 8 mg and EYLEA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(aflibercept) Injection, to our </w:t>
      </w:r>
      <w:r>
        <w:rPr>
          <w:rFonts w:ascii="Arial" w:cs="Arial" w:eastAsia="Arial" w:hAnsi="Arial"/>
          <w:sz w:val="15"/>
          <w:szCs w:val="15"/>
          <w:i w:val="1"/>
          <w:iCs w:val="1"/>
          <w:color w:val="auto"/>
        </w:rPr>
        <w:t>VelocImmune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technology (utilizing mice with genetically-humanized immune systems) that delivered Dupixent</w:t>
      </w:r>
      <w:r>
        <w:rPr>
          <w:rFonts w:ascii="Arial" w:cs="Arial" w:eastAsia="Arial" w:hAnsi="Arial"/>
          <w:sz w:val="9"/>
          <w:szCs w:val="9"/>
          <w:color w:val="auto"/>
        </w:rPr>
        <w:t>®</w:t>
      </w:r>
      <w:r>
        <w:rPr>
          <w:rFonts w:ascii="Arial" w:cs="Arial" w:eastAsia="Arial" w:hAnsi="Arial"/>
          <w:sz w:val="15"/>
          <w:szCs w:val="15"/>
          <w:color w:val="auto"/>
        </w:rPr>
        <w:t xml:space="preserve"> (dupilumab) and Libtayo</w:t>
      </w:r>
      <w:r>
        <w:rPr>
          <w:rFonts w:ascii="Arial" w:cs="Arial" w:eastAsia="Arial" w:hAnsi="Arial"/>
          <w:sz w:val="9"/>
          <w:szCs w:val="9"/>
          <w:color w:val="auto"/>
        </w:rPr>
        <w:t>®</w:t>
      </w:r>
      <w:r>
        <w:rPr>
          <w:rFonts w:ascii="Arial" w:cs="Arial" w:eastAsia="Arial" w:hAnsi="Arial"/>
          <w:sz w:val="15"/>
          <w:szCs w:val="15"/>
          <w:color w:val="auto"/>
        </w:rPr>
        <w:t xml:space="preserve"> (cemiplimab) and helped us become leaders in the human antibody space, to our bispecific technologies that delivered Lynozyfic</w:t>
      </w:r>
      <w:r>
        <w:rPr>
          <w:rFonts w:ascii="Arial" w:cs="Arial" w:eastAsia="Arial" w:hAnsi="Arial"/>
          <w:sz w:val="19"/>
          <w:szCs w:val="19"/>
          <w:color w:val="auto"/>
          <w:vertAlign w:val="superscript"/>
        </w:rPr>
        <w:t>®</w:t>
      </w:r>
      <w:r>
        <w:rPr>
          <w:rFonts w:ascii="Arial" w:cs="Arial" w:eastAsia="Arial" w:hAnsi="Arial"/>
          <w:sz w:val="15"/>
          <w:szCs w:val="15"/>
          <w:color w:val="auto"/>
        </w:rPr>
        <w:t xml:space="preserve"> (linvoseltamab) and Ordspono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(odronextamab), to our advances in human sequencing and genetic medicines that are delivering new breakthroughs such as Otarmeni™ (lunsotogene parvec-cwha), which was recently approved by the FDA for genetic hearing loss.</w:t>
      </w:r>
    </w:p>
    <w:p>
      <w:pPr>
        <w:spacing w:after="0" w:line="100" w:lineRule="exact"/>
        <w:rPr>
          <w:sz w:val="20"/>
          <w:szCs w:val="20"/>
          <w:color w:val="auto"/>
        </w:rPr>
      </w:pPr>
    </w:p>
    <w:p>
      <w:pPr>
        <w:ind w:left="140" w:right="179"/>
        <w:spacing w:after="0" w:line="260" w:lineRule="auto"/>
        <w:rPr>
          <w:sz w:val="20"/>
          <w:szCs w:val="20"/>
          <w:color w:val="auto"/>
        </w:rPr>
      </w:pPr>
      <w:r>
        <w:rPr>
          <w:rFonts w:ascii="Arial" w:cs="Arial" w:eastAsia="Arial" w:hAnsi="Arial"/>
          <w:sz w:val="15"/>
          <w:szCs w:val="15"/>
          <w:color w:val="auto"/>
        </w:rPr>
        <w:t>Altogether, our team and technologies have delivered 15 approved or authorized medicines since our inception, averaging nearly one new product launch per year over the past 15 years (including several “blockbusters”) and representing industry-leading in-house productivity. We have an ever-expanding toolkit of therapeutic modalities to help us solve some of the toughest healthcare challenges, often through novel and creative combinatorial therapeutic approaches. In addition, over the last decade, we have made enormous investments to build the world’s largest collection of “big data” in which de-identified electronic health records (“EHRs”) are linked to molecular data (DNA sequence and proteomics data). While artificial intelligence (“AI”) offers enormous potential, it depends on large, high-quality datasets, and integrating those data with AI is already accelerating our drug discovery and development efforts.</w:t>
      </w:r>
    </w:p>
    <w:p>
      <w:pPr>
        <w:spacing w:after="0" w:line="85" w:lineRule="exact"/>
        <w:rPr>
          <w:sz w:val="20"/>
          <w:szCs w:val="20"/>
          <w:color w:val="auto"/>
        </w:rPr>
      </w:pPr>
    </w:p>
    <w:p>
      <w:pPr>
        <w:ind w:left="140" w:right="319"/>
        <w:spacing w:after="0" w:line="283" w:lineRule="auto"/>
        <w:rPr>
          <w:sz w:val="20"/>
          <w:szCs w:val="20"/>
          <w:color w:val="auto"/>
        </w:rPr>
      </w:pPr>
      <w:r>
        <w:rPr>
          <w:rFonts w:ascii="Arial" w:cs="Arial" w:eastAsia="Arial" w:hAnsi="Arial"/>
          <w:sz w:val="15"/>
          <w:szCs w:val="15"/>
          <w:color w:val="auto"/>
        </w:rPr>
        <w:t>At the core of these capabilities is the best team in the industry, bringing a broad array of expertise and shared focus on patient impact, which gives us confidence that we will continue our track record of remarkable productivity.</w:t>
      </w:r>
    </w:p>
    <w:p>
      <w:pPr>
        <w:spacing w:after="0" w:line="66" w:lineRule="exact"/>
        <w:rPr>
          <w:sz w:val="20"/>
          <w:szCs w:val="20"/>
          <w:color w:val="auto"/>
        </w:rPr>
      </w:pPr>
    </w:p>
    <w:p>
      <w:pPr>
        <w:jc w:val="both"/>
        <w:ind w:left="140" w:right="719"/>
        <w:spacing w:after="0" w:line="269" w:lineRule="auto"/>
        <w:rPr>
          <w:sz w:val="20"/>
          <w:szCs w:val="20"/>
          <w:color w:val="auto"/>
        </w:rPr>
      </w:pPr>
      <w:r>
        <w:rPr>
          <w:rFonts w:ascii="Arial" w:cs="Arial" w:eastAsia="Arial" w:hAnsi="Arial"/>
          <w:sz w:val="15"/>
          <w:szCs w:val="15"/>
          <w:color w:val="auto"/>
        </w:rPr>
        <w:t>In 2026, we look to maximize commercial and pipeline opportunities as we enhance our focus on speed and operational efficiency. We are building on our foundation with long-term investments in science, capabilities, and people, including by integrating new digital technologies (such as AI), expanding our manufacturing footprint, and advancing a broad range of therapeutics and targets to create new possibilities for patients in need.</w:t>
      </w:r>
    </w:p>
    <w:p>
      <w:pPr>
        <w:spacing w:after="0" w:line="64" w:lineRule="exact"/>
        <w:rPr>
          <w:sz w:val="20"/>
          <w:szCs w:val="20"/>
          <w:color w:val="auto"/>
        </w:rPr>
      </w:pPr>
    </w:p>
    <w:p>
      <w:pPr>
        <w:ind w:left="140" w:right="239"/>
        <w:spacing w:after="0" w:line="263" w:lineRule="auto"/>
        <w:rPr>
          <w:sz w:val="20"/>
          <w:szCs w:val="20"/>
          <w:color w:val="auto"/>
        </w:rPr>
      </w:pPr>
      <w:r>
        <w:rPr>
          <w:rFonts w:ascii="Arial" w:cs="Arial" w:eastAsia="Arial" w:hAnsi="Arial"/>
          <w:sz w:val="15"/>
          <w:szCs w:val="15"/>
          <w:color w:val="auto"/>
        </w:rPr>
        <w:t>Our ability to continuously push the boundaries that currently limit biotechnology is reflected in our first approved gene therapy, Otarmeni, for people born with an ultra-rare condition resulting in severe-to-profound hearing loss due to variants of the otoferlin gene. Otarmeni was selected by the FDA to receive a National Priority Voucher intended to dramatically accelerate the review and approval process for crucial, high-priority new medicines. Many of the children treated with Otarmeni in our clinical trial went from having profound hearing loss to normal or near-normal natural hearing. This achievement reminds us of the power of science and the very real impact we make on people’s lives.</w:t>
      </w:r>
    </w:p>
    <w:p>
      <w:pPr>
        <w:spacing w:after="0" w:line="81" w:lineRule="exact"/>
        <w:rPr>
          <w:sz w:val="20"/>
          <w:szCs w:val="20"/>
          <w:color w:val="auto"/>
        </w:rPr>
      </w:pPr>
    </w:p>
    <w:p>
      <w:pPr>
        <w:ind w:left="140" w:right="139"/>
        <w:spacing w:after="0" w:line="273" w:lineRule="auto"/>
        <w:rPr>
          <w:sz w:val="20"/>
          <w:szCs w:val="20"/>
          <w:color w:val="auto"/>
        </w:rPr>
      </w:pPr>
      <w:r>
        <w:rPr>
          <w:rFonts w:ascii="Arial" w:cs="Arial" w:eastAsia="Arial" w:hAnsi="Arial"/>
          <w:sz w:val="15"/>
          <w:szCs w:val="15"/>
          <w:color w:val="auto"/>
        </w:rPr>
        <w:t>Moreover, we are proud to provide this groundbreaking new gene therapy for free in the United States, an unprecedented offering that demonstrates how Regeneron is a very different type of company – and is willing to do things that few others would even consider – to further our goal of making a difference in people’s lives.</w:t>
      </w:r>
    </w:p>
    <w:p>
      <w:pPr>
        <w:spacing w:after="0" w:line="73" w:lineRule="exact"/>
        <w:rPr>
          <w:sz w:val="20"/>
          <w:szCs w:val="20"/>
          <w:color w:val="auto"/>
        </w:rPr>
      </w:pPr>
    </w:p>
    <w:p>
      <w:pPr>
        <w:ind w:left="140" w:right="319"/>
        <w:spacing w:after="0" w:line="263" w:lineRule="auto"/>
        <w:rPr>
          <w:sz w:val="20"/>
          <w:szCs w:val="20"/>
          <w:color w:val="auto"/>
        </w:rPr>
      </w:pPr>
      <w:r>
        <w:rPr>
          <w:rFonts w:ascii="Arial" w:cs="Arial" w:eastAsia="Arial" w:hAnsi="Arial"/>
          <w:sz w:val="15"/>
          <w:szCs w:val="15"/>
          <w:color w:val="auto"/>
        </w:rPr>
        <w:t>Advances like Otarmeni remind us why we do what we do and inspire us for what is to come. We have already built one of the industry’s most successful commercial portfolios and promising clinical pipelines, and we are just getting started. We are committed to doing our part to keep Regeneron and America the undisputed leader in scientific and biomedical innovation, and we thank you for your continued trust and partnership in this journey.</w:t>
      </w:r>
    </w:p>
    <w:p>
      <w:pPr>
        <w:spacing w:after="0" w:line="8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b w:val="1"/>
                <w:bCs w:val="1"/>
                <w:color w:val="065BAA"/>
              </w:rPr>
              <w:t>Leonard S. Schleifer,</w:t>
            </w:r>
          </w:p>
        </w:tc>
        <w:tc>
          <w:tcPr>
            <w:tcW w:w="6300" w:type="dxa"/>
            <w:vAlign w:val="bottom"/>
          </w:tcPr>
          <w:p>
            <w:pPr>
              <w:ind w:left="100"/>
              <w:spacing w:after="0"/>
              <w:rPr>
                <w:sz w:val="20"/>
                <w:szCs w:val="20"/>
                <w:color w:val="auto"/>
              </w:rPr>
            </w:pPr>
            <w:r>
              <w:rPr>
                <w:rFonts w:ascii="Arial" w:cs="Arial" w:eastAsia="Arial" w:hAnsi="Arial"/>
                <w:sz w:val="16"/>
                <w:szCs w:val="16"/>
                <w:b w:val="1"/>
                <w:bCs w:val="1"/>
                <w:color w:val="065BAA"/>
              </w:rPr>
              <w:t>George D. Yancopoulos,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20" w:type="dxa"/>
            <w:vAlign w:val="bottom"/>
          </w:tcPr>
          <w:p>
            <w:pPr>
              <w:spacing w:after="0" w:line="176" w:lineRule="exact"/>
              <w:rPr>
                <w:sz w:val="20"/>
                <w:szCs w:val="20"/>
                <w:color w:val="auto"/>
              </w:rPr>
            </w:pPr>
            <w:r>
              <w:rPr>
                <w:rFonts w:ascii="Arial" w:cs="Arial" w:eastAsia="Arial" w:hAnsi="Arial"/>
                <w:sz w:val="16"/>
                <w:szCs w:val="16"/>
                <w:b w:val="1"/>
                <w:bCs w:val="1"/>
                <w:color w:val="065BAA"/>
              </w:rPr>
              <w:t>M.D., Ph.D.</w:t>
            </w:r>
          </w:p>
        </w:tc>
        <w:tc>
          <w:tcPr>
            <w:tcW w:w="6300" w:type="dxa"/>
            <w:vAlign w:val="bottom"/>
          </w:tcPr>
          <w:p>
            <w:pPr>
              <w:ind w:left="100"/>
              <w:spacing w:after="0" w:line="176" w:lineRule="exact"/>
              <w:rPr>
                <w:sz w:val="20"/>
                <w:szCs w:val="20"/>
                <w:color w:val="auto"/>
              </w:rPr>
            </w:pPr>
            <w:r>
              <w:rPr>
                <w:rFonts w:ascii="Arial" w:cs="Arial" w:eastAsia="Arial" w:hAnsi="Arial"/>
                <w:sz w:val="16"/>
                <w:szCs w:val="16"/>
                <w:b w:val="1"/>
                <w:bCs w:val="1"/>
                <w:color w:val="065BAA"/>
              </w:rPr>
              <w:t>M.D., Ph.D.</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20" w:type="dxa"/>
            <w:vAlign w:val="bottom"/>
          </w:tcPr>
          <w:p>
            <w:pPr>
              <w:spacing w:after="0" w:line="161" w:lineRule="exact"/>
              <w:rPr>
                <w:sz w:val="20"/>
                <w:szCs w:val="20"/>
                <w:color w:val="auto"/>
              </w:rPr>
            </w:pPr>
            <w:r>
              <w:rPr>
                <w:rFonts w:ascii="Arial" w:cs="Arial" w:eastAsia="Arial" w:hAnsi="Arial"/>
                <w:sz w:val="14"/>
                <w:szCs w:val="14"/>
                <w:color w:val="auto"/>
              </w:rPr>
              <w:t>Board co</w:t>
            </w:r>
            <w:r>
              <w:rPr>
                <w:rFonts w:ascii="MS PGothic" w:cs="MS PGothic" w:eastAsia="MS PGothic" w:hAnsi="MS PGothic"/>
                <w:sz w:val="14"/>
                <w:szCs w:val="14"/>
                <w:color w:val="auto"/>
              </w:rPr>
              <w:t>‑</w:t>
            </w:r>
            <w:r>
              <w:rPr>
                <w:rFonts w:ascii="Arial" w:cs="Arial" w:eastAsia="Arial" w:hAnsi="Arial"/>
                <w:sz w:val="14"/>
                <w:szCs w:val="14"/>
                <w:color w:val="auto"/>
              </w:rPr>
              <w:t>Chair, President and</w:t>
            </w:r>
          </w:p>
        </w:tc>
        <w:tc>
          <w:tcPr>
            <w:tcW w:w="6300" w:type="dxa"/>
            <w:vAlign w:val="bottom"/>
          </w:tcPr>
          <w:p>
            <w:pPr>
              <w:ind w:left="100"/>
              <w:spacing w:after="0" w:line="161" w:lineRule="exact"/>
              <w:rPr>
                <w:sz w:val="20"/>
                <w:szCs w:val="20"/>
                <w:color w:val="auto"/>
              </w:rPr>
            </w:pPr>
            <w:r>
              <w:rPr>
                <w:rFonts w:ascii="Arial" w:cs="Arial" w:eastAsia="Arial" w:hAnsi="Arial"/>
                <w:sz w:val="14"/>
                <w:szCs w:val="14"/>
                <w:color w:val="auto"/>
              </w:rPr>
              <w:t>Board co</w:t>
            </w:r>
            <w:r>
              <w:rPr>
                <w:rFonts w:ascii="MS PGothic" w:cs="MS PGothic" w:eastAsia="MS PGothic" w:hAnsi="MS PGothic"/>
                <w:sz w:val="14"/>
                <w:szCs w:val="14"/>
                <w:color w:val="auto"/>
              </w:rPr>
              <w:t>‑</w:t>
            </w:r>
            <w:r>
              <w:rPr>
                <w:rFonts w:ascii="Arial" w:cs="Arial" w:eastAsia="Arial" w:hAnsi="Arial"/>
                <w:sz w:val="14"/>
                <w:szCs w:val="14"/>
                <w:color w:val="auto"/>
              </w:rPr>
              <w:t>Chair, President and</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20" w:type="dxa"/>
            <w:vAlign w:val="bottom"/>
          </w:tcPr>
          <w:p>
            <w:pPr>
              <w:spacing w:after="0"/>
              <w:rPr>
                <w:sz w:val="20"/>
                <w:szCs w:val="20"/>
                <w:color w:val="auto"/>
              </w:rPr>
            </w:pPr>
            <w:r>
              <w:rPr>
                <w:rFonts w:ascii="Arial" w:cs="Arial" w:eastAsia="Arial" w:hAnsi="Arial"/>
                <w:sz w:val="14"/>
                <w:szCs w:val="14"/>
                <w:color w:val="auto"/>
              </w:rPr>
              <w:t>Chief Executive Officer</w:t>
            </w:r>
          </w:p>
        </w:tc>
        <w:tc>
          <w:tcPr>
            <w:tcW w:w="6300" w:type="dxa"/>
            <w:vAlign w:val="bottom"/>
          </w:tcPr>
          <w:p>
            <w:pPr>
              <w:ind w:left="100"/>
              <w:spacing w:after="0"/>
              <w:rPr>
                <w:sz w:val="20"/>
                <w:szCs w:val="20"/>
                <w:color w:val="auto"/>
              </w:rPr>
            </w:pPr>
            <w:r>
              <w:rPr>
                <w:rFonts w:ascii="Arial" w:cs="Arial" w:eastAsia="Arial" w:hAnsi="Arial"/>
                <w:sz w:val="14"/>
                <w:szCs w:val="14"/>
                <w:color w:val="auto"/>
              </w:rPr>
              <w:t>Chief Scientific Officer</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7"/>
        </w:trPr>
        <w:tc>
          <w:tcPr>
            <w:tcW w:w="8320" w:type="dxa"/>
            <w:vAlign w:val="bottom"/>
            <w:gridSpan w:val="2"/>
            <w:vMerge w:val="restart"/>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20" w:type="dxa"/>
            <w:vAlign w:val="bottom"/>
          </w:tcPr>
          <w:p>
            <w:pPr>
              <w:spacing w:after="0"/>
              <w:rPr>
                <w:sz w:val="24"/>
                <w:szCs w:val="24"/>
                <w:color w:val="auto"/>
              </w:rPr>
            </w:pPr>
          </w:p>
        </w:tc>
        <w:tc>
          <w:tcPr>
            <w:tcW w:w="300" w:type="dxa"/>
            <w:vAlign w:val="bottom"/>
            <w:vMerge w:val="restart"/>
          </w:tcPr>
          <w:p>
            <w:pPr>
              <w:ind w:left="220"/>
              <w:spacing w:after="0"/>
              <w:rPr>
                <w:sz w:val="20"/>
                <w:szCs w:val="20"/>
                <w:color w:val="auto"/>
              </w:rPr>
            </w:pPr>
            <w:r>
              <w:rPr>
                <w:rFonts w:ascii="Arial" w:cs="Arial" w:eastAsia="Arial" w:hAnsi="Arial"/>
                <w:sz w:val="14"/>
                <w:szCs w:val="14"/>
                <w:b w:val="1"/>
                <w:bCs w:val="1"/>
                <w:color w:val="065BAA"/>
                <w:w w:val="76"/>
              </w:rPr>
              <w:t>ii</w:t>
            </w:r>
          </w:p>
        </w:tc>
        <w:tc>
          <w:tcPr>
            <w:tcW w:w="0" w:type="dxa"/>
            <w:vAlign w:val="bottom"/>
          </w:tcPr>
          <w:p>
            <w:pPr>
              <w:spacing w:after="0"/>
              <w:rPr>
                <w:sz w:val="1"/>
                <w:szCs w:val="1"/>
                <w:color w:val="auto"/>
              </w:rPr>
            </w:pPr>
          </w:p>
        </w:tc>
      </w:tr>
      <w:tr>
        <w:trPr>
          <w:trHeight w:val="216"/>
        </w:trPr>
        <w:tc>
          <w:tcPr>
            <w:tcW w:w="8320" w:type="dxa"/>
            <w:vAlign w:val="bottom"/>
            <w:gridSpan w:val="2"/>
            <w:vMerge w:val="continue"/>
          </w:tcPr>
          <w:p>
            <w:pPr>
              <w:spacing w:after="0"/>
              <w:rPr>
                <w:sz w:val="18"/>
                <w:szCs w:val="18"/>
                <w:color w:val="auto"/>
              </w:rPr>
            </w:pPr>
          </w:p>
        </w:tc>
        <w:tc>
          <w:tcPr>
            <w:tcW w:w="20" w:type="dxa"/>
            <w:vAlign w:val="bottom"/>
            <w:shd w:val="clear" w:color="auto" w:fill="CCCCCC"/>
          </w:tcPr>
          <w:p>
            <w:pPr>
              <w:spacing w:after="0"/>
              <w:rPr>
                <w:sz w:val="18"/>
                <w:szCs w:val="18"/>
                <w:color w:val="auto"/>
              </w:rPr>
            </w:pP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6" w:name="page7"/>
    <w:bookmarkEnd w:id="6"/>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REGENERON PHARMACEUTICALS, INC.</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777 Old Saw Mill River Road</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Tarrytown, New York 10591-6707</w:t>
      </w:r>
    </w:p>
    <w:p>
      <w:pPr>
        <w:spacing w:after="0" w:line="171" w:lineRule="exact"/>
        <w:rPr>
          <w:sz w:val="20"/>
          <w:szCs w:val="20"/>
          <w:color w:val="auto"/>
        </w:rPr>
      </w:pPr>
    </w:p>
    <w:p>
      <w:pPr>
        <w:ind w:left="140" w:right="2619"/>
        <w:spacing w:after="0" w:line="265" w:lineRule="auto"/>
        <w:rPr>
          <w:sz w:val="20"/>
          <w:szCs w:val="20"/>
          <w:color w:val="auto"/>
        </w:rPr>
      </w:pPr>
      <w:r>
        <w:rPr>
          <w:rFonts w:ascii="Arial" w:cs="Arial" w:eastAsia="Arial" w:hAnsi="Arial"/>
          <w:sz w:val="52"/>
          <w:szCs w:val="52"/>
          <w:b w:val="1"/>
          <w:bCs w:val="1"/>
          <w:color w:val="auto"/>
        </w:rPr>
        <w:t>Notice of Annual Meeting of Shareholders</w:t>
      </w:r>
    </w:p>
    <w:p>
      <w:pPr>
        <w:spacing w:after="0" w:line="137" w:lineRule="exact"/>
        <w:rPr>
          <w:sz w:val="20"/>
          <w:szCs w:val="20"/>
          <w:color w:val="auto"/>
        </w:rPr>
      </w:pPr>
    </w:p>
    <w:p>
      <w:pPr>
        <w:ind w:left="140" w:right="939"/>
        <w:spacing w:after="0" w:line="306" w:lineRule="auto"/>
        <w:rPr>
          <w:sz w:val="20"/>
          <w:szCs w:val="20"/>
          <w:color w:val="auto"/>
        </w:rPr>
      </w:pPr>
      <w:r>
        <w:rPr>
          <w:rFonts w:ascii="Arial" w:cs="Arial" w:eastAsia="Arial" w:hAnsi="Arial"/>
          <w:sz w:val="16"/>
          <w:szCs w:val="16"/>
          <w:color w:val="auto"/>
        </w:rPr>
        <w:t xml:space="preserve">The 2026 Annual Meeting of Shareholders of Regeneron Pharmaceuticals, Inc. (the “Company”) will be held on Friday, June 12, 2026, commencing at 10:30 a.m., Eastern Time, virtually via the Internet at </w:t>
      </w:r>
      <w:r>
        <w:rPr>
          <w:rFonts w:ascii="Arial" w:cs="Arial" w:eastAsia="Arial" w:hAnsi="Arial"/>
          <w:sz w:val="16"/>
          <w:szCs w:val="16"/>
          <w:b w:val="1"/>
          <w:bCs w:val="1"/>
          <w:color w:val="2069E7"/>
        </w:rPr>
        <w:t>www.virtualshareholdermeeting.com/REGN2026</w:t>
      </w:r>
      <w:r>
        <w:rPr>
          <w:rFonts w:ascii="Arial" w:cs="Arial" w:eastAsia="Arial" w:hAnsi="Arial"/>
          <w:sz w:val="16"/>
          <w:szCs w:val="16"/>
          <w:color w:val="000000"/>
        </w:rPr>
        <w:t>, for the following purposes:</w:t>
      </w:r>
    </w:p>
    <w:p>
      <w:pPr>
        <w:sectPr>
          <w:pgSz w:w="11900" w:h="16838" w:orient="portrait"/>
          <w:cols w:equalWidth="0" w:num="1">
            <w:col w:w="9019"/>
          </w:cols>
          <w:pgMar w:left="1440" w:top="1440" w:right="1440" w:bottom="1440" w:gutter="0" w:footer="0" w:header="0"/>
        </w:sectPr>
      </w:pPr>
    </w:p>
    <w:p>
      <w:pPr>
        <w:spacing w:after="0" w:line="302" w:lineRule="exact"/>
        <w:rPr>
          <w:sz w:val="20"/>
          <w:szCs w:val="20"/>
          <w:color w:val="auto"/>
        </w:rPr>
      </w:pPr>
    </w:p>
    <w:p>
      <w:pPr>
        <w:ind w:left="340"/>
        <w:spacing w:after="0"/>
        <w:rPr>
          <w:sz w:val="20"/>
          <w:szCs w:val="20"/>
          <w:color w:val="auto"/>
        </w:rPr>
      </w:pPr>
      <w:r>
        <w:rPr>
          <w:rFonts w:ascii="Arial" w:cs="Arial" w:eastAsia="Arial" w:hAnsi="Arial"/>
          <w:sz w:val="29"/>
          <w:szCs w:val="29"/>
          <w:b w:val="1"/>
          <w:bCs w:val="1"/>
          <w:color w:val="065BAA"/>
        </w:rPr>
        <w:t>1</w:t>
      </w:r>
    </w:p>
    <w:p>
      <w:pPr>
        <w:spacing w:after="0" w:line="177" w:lineRule="exact"/>
        <w:rPr>
          <w:sz w:val="20"/>
          <w:szCs w:val="20"/>
          <w:color w:val="auto"/>
        </w:rPr>
      </w:pPr>
    </w:p>
    <w:p>
      <w:pPr>
        <w:ind w:left="340"/>
        <w:spacing w:after="0" w:line="325" w:lineRule="auto"/>
        <w:rPr>
          <w:sz w:val="20"/>
          <w:szCs w:val="20"/>
          <w:color w:val="auto"/>
        </w:rPr>
      </w:pPr>
      <w:r>
        <w:rPr>
          <w:rFonts w:ascii="Arial" w:cs="Arial" w:eastAsia="Arial" w:hAnsi="Arial"/>
          <w:sz w:val="14"/>
          <w:szCs w:val="14"/>
          <w:color w:val="auto"/>
        </w:rPr>
        <w:t>Elect five directors for a one-year term</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065BAA"/>
        </w:rPr>
        <w:t>2</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Ratify the appointment of PricewaterhouseCoopers LLP as the Company’s independent registered public accounting firm for the fiscal year ending December 31, 2026</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065BAA"/>
        </w:rPr>
        <w:t>3</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Cast an advisory vote to approve the compensation of the Company’s Named Executive Officers as disclosed in these proxy materials (say-on-pay)</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065BAA"/>
        </w:rPr>
        <w:t>4</w:t>
      </w:r>
    </w:p>
    <w:p>
      <w:pPr>
        <w:spacing w:after="0" w:line="177" w:lineRule="exact"/>
        <w:rPr>
          <w:sz w:val="20"/>
          <w:szCs w:val="20"/>
          <w:color w:val="auto"/>
        </w:rPr>
      </w:pPr>
    </w:p>
    <w:p>
      <w:pPr>
        <w:ind w:right="399"/>
        <w:spacing w:after="0" w:line="292" w:lineRule="auto"/>
        <w:rPr>
          <w:sz w:val="20"/>
          <w:szCs w:val="20"/>
          <w:color w:val="auto"/>
        </w:rPr>
      </w:pPr>
      <w:r>
        <w:rPr>
          <w:rFonts w:ascii="Arial" w:cs="Arial" w:eastAsia="Arial" w:hAnsi="Arial"/>
          <w:sz w:val="14"/>
          <w:szCs w:val="14"/>
          <w:color w:val="auto"/>
        </w:rPr>
        <w:t>Act upon such other matters as may properly come before the meeting and any adjournment(s) or postponement(s) thereof</w:t>
      </w:r>
    </w:p>
    <w:p>
      <w:pPr>
        <w:spacing w:after="0" w:line="403" w:lineRule="exact"/>
        <w:rPr>
          <w:sz w:val="20"/>
          <w:szCs w:val="20"/>
          <w:color w:val="auto"/>
        </w:rPr>
      </w:pPr>
    </w:p>
    <w:p>
      <w:pPr>
        <w:sectPr>
          <w:pgSz w:w="11900" w:h="16838" w:orient="portrait"/>
          <w:cols w:equalWidth="0" w:num="4">
            <w:col w:w="1860" w:space="300"/>
            <w:col w:w="2060" w:space="280"/>
            <w:col w:w="1980" w:space="280"/>
            <w:col w:w="2259"/>
          </w:cols>
          <w:pgMar w:left="1440" w:top="1440" w:right="1440" w:bottom="1440" w:gutter="0" w:footer="0" w:header="0"/>
          <w:type w:val="continuous"/>
        </w:sectPr>
      </w:pPr>
    </w:p>
    <w:p>
      <w:pPr>
        <w:spacing w:after="0" w:line="367" w:lineRule="exact"/>
        <w:rPr>
          <w:sz w:val="20"/>
          <w:szCs w:val="20"/>
          <w:color w:val="auto"/>
        </w:rPr>
      </w:pPr>
    </w:p>
    <w:p>
      <w:pPr>
        <w:ind w:left="140" w:right="319"/>
        <w:spacing w:after="0" w:line="304" w:lineRule="auto"/>
        <w:rPr>
          <w:sz w:val="20"/>
          <w:szCs w:val="20"/>
          <w:color w:val="auto"/>
        </w:rPr>
      </w:pPr>
      <w:r>
        <w:rPr>
          <w:rFonts w:ascii="Arial" w:cs="Arial" w:eastAsia="Arial" w:hAnsi="Arial"/>
          <w:sz w:val="16"/>
          <w:szCs w:val="16"/>
          <w:color w:val="auto"/>
        </w:rPr>
        <w:t>The board of directors has fixed the close of business on April 14, 2026 as the record date for determining shareholders entitled to notice of, and to vote at, the Annual Meeting and at any adjournment(s) or postponement(s) thereof.</w:t>
      </w:r>
    </w:p>
    <w:p>
      <w:pPr>
        <w:spacing w:after="0" w:line="101" w:lineRule="exact"/>
        <w:rPr>
          <w:sz w:val="20"/>
          <w:szCs w:val="20"/>
          <w:color w:val="auto"/>
        </w:rPr>
      </w:pPr>
    </w:p>
    <w:p>
      <w:pPr>
        <w:ind w:left="140" w:right="139"/>
        <w:spacing w:after="0" w:line="287" w:lineRule="auto"/>
        <w:rPr>
          <w:sz w:val="20"/>
          <w:szCs w:val="20"/>
          <w:color w:val="auto"/>
        </w:rPr>
      </w:pPr>
      <w:r>
        <w:rPr>
          <w:rFonts w:ascii="Arial" w:cs="Arial" w:eastAsia="Arial" w:hAnsi="Arial"/>
          <w:sz w:val="16"/>
          <w:szCs w:val="16"/>
          <w:color w:val="auto"/>
        </w:rPr>
        <w:t>Pursuant to the rules of the U.S. Securities and Exchange Commission, we have elected to use the “Notice and Access” method of providing our proxy materials over the Internet. Accordingly, we will mail, beginning on or about April 24, 2026, a Notice of Internet Availability of Proxy Materials to our shareholders of record and beneficial owners as of the record date (other than (i) those who previously elected to receive proxy materials by e-mail, (ii) those who have previously asked to receive paper copies of the proxy materials, and (iii) shareholders who participate and hold shares of common stock in the Regeneron Pharmaceuticals, Inc. 401(k) Savings Plan or the Regeneron Ireland Share Participation Plan). As of the date of mailing of the Notice of Internet Availability of Proxy Materials, all shareholders and beneficial owners will have the ability to access all of the proxy materials on a website referenced in the Notice of Internet Availability of Proxy Materials.</w:t>
      </w:r>
    </w:p>
    <w:p>
      <w:pPr>
        <w:spacing w:after="0" w:line="103" w:lineRule="exact"/>
        <w:rPr>
          <w:sz w:val="20"/>
          <w:szCs w:val="20"/>
          <w:color w:val="auto"/>
        </w:rPr>
      </w:pPr>
    </w:p>
    <w:p>
      <w:pPr>
        <w:ind w:left="140" w:right="139"/>
        <w:spacing w:after="0" w:line="295" w:lineRule="auto"/>
        <w:rPr>
          <w:sz w:val="20"/>
          <w:szCs w:val="20"/>
          <w:color w:val="auto"/>
        </w:rPr>
      </w:pPr>
      <w:r>
        <w:rPr>
          <w:rFonts w:ascii="Arial" w:cs="Arial" w:eastAsia="Arial" w:hAnsi="Arial"/>
          <w:sz w:val="16"/>
          <w:szCs w:val="16"/>
          <w:color w:val="auto"/>
        </w:rPr>
        <w:t>The Notice of Internet Availability of Proxy Materials also contains a toll-free telephone number, an e-mail address, and a website where shareholders can request a paper or electronic copy of the proxy statement, our 2025 annual report, and/or a form of proxy relating to the Annual Meeting. These materials are available free of charge. The Notice of Internet Availability of Proxy Materials also contains information on how to access and vote the form of proxy.</w:t>
      </w:r>
    </w:p>
    <w:p>
      <w:pPr>
        <w:spacing w:after="0" w:line="108" w:lineRule="exact"/>
        <w:rPr>
          <w:sz w:val="20"/>
          <w:szCs w:val="20"/>
          <w:color w:val="auto"/>
        </w:rPr>
      </w:pPr>
    </w:p>
    <w:p>
      <w:pPr>
        <w:ind w:left="140" w:right="259"/>
        <w:spacing w:after="0" w:line="291" w:lineRule="auto"/>
        <w:rPr>
          <w:sz w:val="20"/>
          <w:szCs w:val="20"/>
          <w:color w:val="auto"/>
        </w:rPr>
      </w:pPr>
      <w:r>
        <w:rPr>
          <w:rFonts w:ascii="Arial" w:cs="Arial" w:eastAsia="Arial" w:hAnsi="Arial"/>
          <w:sz w:val="16"/>
          <w:szCs w:val="16"/>
          <w:color w:val="auto"/>
        </w:rPr>
        <w:t>We have opted to hold the Annual Meeting as a virtual-only meeting, which means that you will not be able to attend the Annual Meeting in person. All shareholders will be able to attend the Annual Meeting and participate electronically, which will allow them to vote their shares on the date of the Annual Meeting and ask questions during the meeting. We have designed the format of the Annual Meeting to ensure that shareholders are afforded similar rights and opportunities to participate as they would at an in-person meeting.</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As Authorized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65BAA"/>
        </w:rPr>
        <w:t>Joseph J. LaRosa</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Executive Vice President, General Counsel and Secretary</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April 24, 2026</w:t>
      </w:r>
    </w:p>
    <w:p>
      <w:pPr>
        <w:spacing w:after="0" w:line="29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iii</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1440"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p>
    <w:p>
      <w:pPr>
        <w:sectPr>
          <w:pgSz w:w="11900" w:h="16838" w:orient="portrait"/>
          <w:cols w:equalWidth="0" w:num="1">
            <w:col w:w="9019"/>
          </w:cols>
          <w:pgMar w:left="1440" w:top="1139"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260"/>
        <w:spacing w:after="0"/>
        <w:tabs>
          <w:tab w:leader="dot" w:pos="4060" w:val="left"/>
        </w:tabs>
        <w:rPr>
          <w:sz w:val="20"/>
          <w:szCs w:val="20"/>
          <w:color w:val="auto"/>
        </w:rPr>
      </w:pPr>
      <w:r>
        <w:rPr>
          <w:rFonts w:ascii="Arial" w:cs="Arial" w:eastAsia="Arial" w:hAnsi="Arial"/>
          <w:sz w:val="16"/>
          <w:szCs w:val="16"/>
          <w:b w:val="1"/>
          <w:bCs w:val="1"/>
          <w:color w:val="065BAA"/>
        </w:rPr>
        <w:t>Introduction</w:t>
      </w:r>
      <w:r>
        <w:rPr>
          <w:sz w:val="20"/>
          <w:szCs w:val="20"/>
          <w:color w:val="auto"/>
        </w:rPr>
        <w:tab/>
      </w:r>
      <w:r>
        <w:rPr>
          <w:rFonts w:ascii="Arial" w:cs="Arial" w:eastAsia="Arial" w:hAnsi="Arial"/>
          <w:sz w:val="16"/>
          <w:szCs w:val="16"/>
          <w:b w:val="1"/>
          <w:bCs w:val="1"/>
          <w:color w:val="065BAA"/>
        </w:rPr>
        <w:t>1</w:t>
      </w:r>
    </w:p>
    <w:p>
      <w:pPr>
        <w:spacing w:after="0" w:line="127" w:lineRule="exact"/>
        <w:rPr>
          <w:sz w:val="20"/>
          <w:szCs w:val="20"/>
          <w:color w:val="auto"/>
        </w:rPr>
      </w:pPr>
    </w:p>
    <w:p>
      <w:pPr>
        <w:ind w:left="460"/>
        <w:spacing w:after="0"/>
        <w:tabs>
          <w:tab w:leader="dot" w:pos="4060" w:val="left"/>
        </w:tabs>
        <w:rPr>
          <w:sz w:val="20"/>
          <w:szCs w:val="20"/>
          <w:color w:val="auto"/>
        </w:rPr>
      </w:pPr>
      <w:r>
        <w:rPr>
          <w:rFonts w:ascii="Arial" w:cs="Arial" w:eastAsia="Arial" w:hAnsi="Arial"/>
          <w:sz w:val="16"/>
          <w:szCs w:val="16"/>
          <w:b w:val="1"/>
          <w:bCs w:val="1"/>
          <w:color w:val="auto"/>
        </w:rPr>
        <w:t>Annual Meeting Dashboard</w:t>
      </w:r>
      <w:r>
        <w:rPr>
          <w:sz w:val="20"/>
          <w:szCs w:val="20"/>
          <w:color w:val="auto"/>
        </w:rPr>
        <w:tab/>
      </w:r>
      <w:r>
        <w:rPr>
          <w:rFonts w:ascii="Arial" w:cs="Arial" w:eastAsia="Arial" w:hAnsi="Arial"/>
          <w:sz w:val="16"/>
          <w:szCs w:val="16"/>
          <w:b w:val="1"/>
          <w:bCs w:val="1"/>
          <w:color w:val="auto"/>
        </w:rPr>
        <w:t>1</w:t>
      </w:r>
    </w:p>
    <w:p>
      <w:pPr>
        <w:spacing w:after="0" w:line="46" w:lineRule="exact"/>
        <w:rPr>
          <w:sz w:val="20"/>
          <w:szCs w:val="20"/>
          <w:color w:val="auto"/>
        </w:rPr>
      </w:pPr>
    </w:p>
    <w:p>
      <w:pPr>
        <w:ind w:left="460"/>
        <w:spacing w:after="0"/>
        <w:tabs>
          <w:tab w:leader="dot" w:pos="4060" w:val="left"/>
        </w:tabs>
        <w:rPr>
          <w:sz w:val="20"/>
          <w:szCs w:val="20"/>
          <w:color w:val="auto"/>
        </w:rPr>
      </w:pPr>
      <w:r>
        <w:rPr>
          <w:rFonts w:ascii="Arial" w:cs="Arial" w:eastAsia="Arial" w:hAnsi="Arial"/>
          <w:sz w:val="16"/>
          <w:szCs w:val="16"/>
          <w:b w:val="1"/>
          <w:bCs w:val="1"/>
          <w:color w:val="auto"/>
        </w:rPr>
        <w:t>Regeneron’s Story</w:t>
      </w:r>
      <w:r>
        <w:rPr>
          <w:sz w:val="20"/>
          <w:szCs w:val="20"/>
          <w:color w:val="auto"/>
        </w:rPr>
        <w:tab/>
      </w:r>
      <w:r>
        <w:rPr>
          <w:rFonts w:ascii="Arial" w:cs="Arial" w:eastAsia="Arial" w:hAnsi="Arial"/>
          <w:sz w:val="16"/>
          <w:szCs w:val="16"/>
          <w:b w:val="1"/>
          <w:bCs w:val="1"/>
          <w:color w:val="auto"/>
        </w:rPr>
        <w:t>2</w:t>
      </w:r>
    </w:p>
    <w:p>
      <w:pPr>
        <w:spacing w:after="0" w:line="46" w:lineRule="exact"/>
        <w:rPr>
          <w:sz w:val="20"/>
          <w:szCs w:val="20"/>
          <w:color w:val="auto"/>
        </w:rPr>
      </w:pPr>
    </w:p>
    <w:p>
      <w:pPr>
        <w:ind w:left="460"/>
        <w:spacing w:after="0"/>
        <w:tabs>
          <w:tab w:leader="dot" w:pos="4060" w:val="left"/>
        </w:tabs>
        <w:rPr>
          <w:sz w:val="20"/>
          <w:szCs w:val="20"/>
          <w:color w:val="auto"/>
        </w:rPr>
      </w:pPr>
      <w:r>
        <w:rPr>
          <w:rFonts w:ascii="Arial" w:cs="Arial" w:eastAsia="Arial" w:hAnsi="Arial"/>
          <w:sz w:val="16"/>
          <w:szCs w:val="16"/>
          <w:b w:val="1"/>
          <w:bCs w:val="1"/>
          <w:color w:val="auto"/>
        </w:rPr>
        <w:t>What’s New</w:t>
      </w:r>
      <w:r>
        <w:rPr>
          <w:sz w:val="20"/>
          <w:szCs w:val="20"/>
          <w:color w:val="auto"/>
        </w:rPr>
        <w:tab/>
      </w:r>
      <w:r>
        <w:rPr>
          <w:rFonts w:ascii="Arial" w:cs="Arial" w:eastAsia="Arial" w:hAnsi="Arial"/>
          <w:sz w:val="16"/>
          <w:szCs w:val="16"/>
          <w:b w:val="1"/>
          <w:bCs w:val="1"/>
          <w:color w:val="auto"/>
        </w:rPr>
        <w:t>3</w:t>
      </w:r>
    </w:p>
    <w:p>
      <w:pPr>
        <w:spacing w:after="0" w:line="46" w:lineRule="exact"/>
        <w:rPr>
          <w:sz w:val="20"/>
          <w:szCs w:val="20"/>
          <w:color w:val="auto"/>
        </w:rPr>
      </w:pPr>
    </w:p>
    <w:p>
      <w:pPr>
        <w:ind w:left="620"/>
        <w:spacing w:after="0"/>
        <w:tabs>
          <w:tab w:leader="dot" w:pos="4060" w:val="left"/>
        </w:tabs>
        <w:rPr>
          <w:sz w:val="20"/>
          <w:szCs w:val="20"/>
          <w:color w:val="auto"/>
        </w:rPr>
      </w:pPr>
      <w:r>
        <w:rPr>
          <w:rFonts w:ascii="Arial" w:cs="Arial" w:eastAsia="Arial" w:hAnsi="Arial"/>
          <w:sz w:val="16"/>
          <w:szCs w:val="16"/>
          <w:color w:val="auto"/>
        </w:rPr>
        <w:t>Declassified the Board of Directors</w:t>
      </w:r>
      <w:r>
        <w:rPr>
          <w:sz w:val="20"/>
          <w:szCs w:val="20"/>
          <w:color w:val="auto"/>
        </w:rPr>
        <w:tab/>
      </w:r>
      <w:r>
        <w:rPr>
          <w:rFonts w:ascii="Arial" w:cs="Arial" w:eastAsia="Arial" w:hAnsi="Arial"/>
          <w:sz w:val="16"/>
          <w:szCs w:val="16"/>
          <w:color w:val="auto"/>
        </w:rPr>
        <w:t>3</w:t>
      </w:r>
    </w:p>
    <w:p>
      <w:pPr>
        <w:ind w:left="620"/>
        <w:spacing w:after="0" w:line="190" w:lineRule="auto"/>
        <w:tabs>
          <w:tab w:leader="none" w:pos="4060" w:val="left"/>
        </w:tabs>
        <w:rPr>
          <w:sz w:val="20"/>
          <w:szCs w:val="20"/>
          <w:color w:val="auto"/>
        </w:rPr>
      </w:pPr>
      <w:r>
        <w:rPr>
          <w:rFonts w:ascii="Arial" w:cs="Arial" w:eastAsia="Arial" w:hAnsi="Arial"/>
          <w:sz w:val="16"/>
          <w:szCs w:val="16"/>
          <w:color w:val="auto"/>
        </w:rPr>
        <w:t>Established New Digital</w:t>
      </w:r>
      <w:r>
        <w:rPr>
          <w:sz w:val="20"/>
          <w:szCs w:val="20"/>
          <w:color w:val="auto"/>
        </w:rPr>
        <w:tab/>
      </w:r>
      <w:r>
        <w:rPr>
          <w:rFonts w:ascii="Arial" w:cs="Arial" w:eastAsia="Arial" w:hAnsi="Arial"/>
          <w:sz w:val="26"/>
          <w:szCs w:val="26"/>
          <w:color w:val="auto"/>
          <w:vertAlign w:val="subscript"/>
        </w:rPr>
        <w:t>3</w:t>
      </w:r>
    </w:p>
    <w:p>
      <w:pPr>
        <w:ind w:left="620"/>
        <w:spacing w:after="0"/>
        <w:tabs>
          <w:tab w:leader="none" w:pos="2240" w:val="left"/>
        </w:tabs>
        <w:rPr>
          <w:sz w:val="20"/>
          <w:szCs w:val="20"/>
          <w:color w:val="auto"/>
        </w:rPr>
      </w:pPr>
      <w:r>
        <w:rPr>
          <w:rFonts w:ascii="Arial" w:cs="Arial" w:eastAsia="Arial" w:hAnsi="Arial"/>
          <w:sz w:val="16"/>
          <w:szCs w:val="16"/>
          <w:color w:val="auto"/>
        </w:rPr>
        <w:t>Technology Committee</w:t>
      </w:r>
      <w:r>
        <w:rPr>
          <w:sz w:val="20"/>
          <w:szCs w:val="20"/>
          <w:color w:val="auto"/>
        </w:rPr>
        <w:tab/>
      </w:r>
      <w:r>
        <w:rPr>
          <w:rFonts w:ascii="Arial" w:cs="Arial" w:eastAsia="Arial" w:hAnsi="Arial"/>
          <w:sz w:val="15"/>
          <w:szCs w:val="15"/>
          <w:color w:val="auto"/>
        </w:rPr>
        <w:t>................................</w:t>
      </w:r>
    </w:p>
    <w:p>
      <w:pPr>
        <w:ind w:left="620"/>
        <w:spacing w:after="0" w:line="188" w:lineRule="auto"/>
        <w:tabs>
          <w:tab w:leader="none" w:pos="4060" w:val="left"/>
        </w:tabs>
        <w:rPr>
          <w:sz w:val="20"/>
          <w:szCs w:val="20"/>
          <w:color w:val="auto"/>
        </w:rPr>
      </w:pPr>
      <w:r>
        <w:rPr>
          <w:rFonts w:ascii="Arial" w:cs="Arial" w:eastAsia="Arial" w:hAnsi="Arial"/>
          <w:sz w:val="16"/>
          <w:szCs w:val="16"/>
          <w:color w:val="auto"/>
        </w:rPr>
        <w:t>Enhanced Board</w:t>
      </w:r>
      <w:r>
        <w:rPr>
          <w:sz w:val="20"/>
          <w:szCs w:val="20"/>
          <w:color w:val="auto"/>
        </w:rPr>
        <w:tab/>
      </w:r>
      <w:r>
        <w:rPr>
          <w:rFonts w:ascii="Arial" w:cs="Arial" w:eastAsia="Arial" w:hAnsi="Arial"/>
          <w:sz w:val="26"/>
          <w:szCs w:val="26"/>
          <w:color w:val="auto"/>
          <w:vertAlign w:val="subscript"/>
        </w:rPr>
        <w:t>3</w:t>
      </w:r>
    </w:p>
    <w:p>
      <w:pPr>
        <w:ind w:left="620"/>
        <w:spacing w:after="0"/>
        <w:tabs>
          <w:tab w:leader="none" w:pos="2360" w:val="left"/>
        </w:tabs>
        <w:rPr>
          <w:sz w:val="20"/>
          <w:szCs w:val="20"/>
          <w:color w:val="auto"/>
        </w:rPr>
      </w:pPr>
      <w:r>
        <w:rPr>
          <w:rFonts w:ascii="Arial" w:cs="Arial" w:eastAsia="Arial" w:hAnsi="Arial"/>
          <w:sz w:val="16"/>
          <w:szCs w:val="16"/>
          <w:color w:val="auto"/>
        </w:rPr>
        <w:t>Committee Membership</w:t>
        <w:tab/>
        <w:t>............................</w:t>
      </w:r>
    </w:p>
    <w:p>
      <w:pPr>
        <w:ind w:left="620"/>
        <w:spacing w:after="0" w:line="188" w:lineRule="auto"/>
        <w:tabs>
          <w:tab w:leader="none" w:pos="4060" w:val="left"/>
        </w:tabs>
        <w:rPr>
          <w:sz w:val="20"/>
          <w:szCs w:val="20"/>
          <w:color w:val="auto"/>
        </w:rPr>
      </w:pPr>
      <w:r>
        <w:rPr>
          <w:rFonts w:ascii="Arial" w:cs="Arial" w:eastAsia="Arial" w:hAnsi="Arial"/>
          <w:sz w:val="16"/>
          <w:szCs w:val="16"/>
          <w:color w:val="auto"/>
        </w:rPr>
        <w:t>Continued to Engage Extensively</w:t>
      </w:r>
      <w:r>
        <w:rPr>
          <w:sz w:val="20"/>
          <w:szCs w:val="20"/>
          <w:color w:val="auto"/>
        </w:rPr>
        <w:tab/>
      </w:r>
      <w:r>
        <w:rPr>
          <w:rFonts w:ascii="Arial" w:cs="Arial" w:eastAsia="Arial" w:hAnsi="Arial"/>
          <w:sz w:val="26"/>
          <w:szCs w:val="26"/>
          <w:color w:val="auto"/>
          <w:vertAlign w:val="subscript"/>
        </w:rPr>
        <w:t>3</w:t>
      </w:r>
    </w:p>
    <w:p>
      <w:pPr>
        <w:ind w:left="620"/>
        <w:spacing w:after="0"/>
        <w:rPr>
          <w:sz w:val="20"/>
          <w:szCs w:val="20"/>
          <w:color w:val="auto"/>
        </w:rPr>
      </w:pPr>
      <w:r>
        <w:rPr>
          <w:rFonts w:ascii="Arial" w:cs="Arial" w:eastAsia="Arial" w:hAnsi="Arial"/>
          <w:sz w:val="16"/>
          <w:szCs w:val="16"/>
          <w:color w:val="auto"/>
        </w:rPr>
        <w:t>with Shareholders........…............................</w:t>
      </w:r>
    </w:p>
    <w:p>
      <w:pPr>
        <w:ind w:left="620"/>
        <w:spacing w:after="0" w:line="188" w:lineRule="auto"/>
        <w:tabs>
          <w:tab w:leader="none" w:pos="4060" w:val="left"/>
        </w:tabs>
        <w:rPr>
          <w:sz w:val="20"/>
          <w:szCs w:val="20"/>
          <w:color w:val="auto"/>
        </w:rPr>
      </w:pPr>
      <w:r>
        <w:rPr>
          <w:rFonts w:ascii="Arial" w:cs="Arial" w:eastAsia="Arial" w:hAnsi="Arial"/>
          <w:sz w:val="16"/>
          <w:szCs w:val="16"/>
          <w:color w:val="auto"/>
        </w:rPr>
        <w:t>Key Compensation Decisions and</w:t>
      </w:r>
      <w:r>
        <w:rPr>
          <w:sz w:val="20"/>
          <w:szCs w:val="20"/>
          <w:color w:val="auto"/>
        </w:rPr>
        <w:tab/>
      </w:r>
      <w:r>
        <w:rPr>
          <w:rFonts w:ascii="Arial" w:cs="Arial" w:eastAsia="Arial" w:hAnsi="Arial"/>
          <w:sz w:val="26"/>
          <w:szCs w:val="26"/>
          <w:color w:val="auto"/>
          <w:vertAlign w:val="subscript"/>
        </w:rPr>
        <w:t>4</w:t>
      </w:r>
    </w:p>
    <w:p>
      <w:pPr>
        <w:ind w:left="620"/>
        <w:spacing w:after="0"/>
        <w:tabs>
          <w:tab w:leader="none" w:pos="3040" w:val="left"/>
        </w:tabs>
        <w:rPr>
          <w:sz w:val="20"/>
          <w:szCs w:val="20"/>
          <w:color w:val="auto"/>
        </w:rPr>
      </w:pPr>
      <w:r>
        <w:rPr>
          <w:rFonts w:ascii="Arial" w:cs="Arial" w:eastAsia="Arial" w:hAnsi="Arial"/>
          <w:sz w:val="16"/>
          <w:szCs w:val="16"/>
          <w:color w:val="auto"/>
        </w:rPr>
        <w:t>Compensation-Related Outcomes</w:t>
      </w:r>
      <w:r>
        <w:rPr>
          <w:sz w:val="20"/>
          <w:szCs w:val="20"/>
          <w:color w:val="auto"/>
        </w:rPr>
        <w:tab/>
      </w:r>
      <w:r>
        <w:rPr>
          <w:rFonts w:ascii="Arial" w:cs="Arial" w:eastAsia="Arial" w:hAnsi="Arial"/>
          <w:sz w:val="15"/>
          <w:szCs w:val="15"/>
          <w:color w:val="auto"/>
        </w:rPr>
        <w:t>..............</w:t>
      </w:r>
    </w:p>
    <w:p>
      <w:pPr>
        <w:spacing w:after="0" w:line="43" w:lineRule="exact"/>
        <w:rPr>
          <w:sz w:val="20"/>
          <w:szCs w:val="20"/>
          <w:color w:val="auto"/>
        </w:rPr>
      </w:pPr>
    </w:p>
    <w:p>
      <w:pPr>
        <w:ind w:left="620"/>
        <w:spacing w:after="0"/>
        <w:tabs>
          <w:tab w:leader="dot" w:pos="4060" w:val="left"/>
        </w:tabs>
        <w:rPr>
          <w:sz w:val="20"/>
          <w:szCs w:val="20"/>
          <w:color w:val="auto"/>
        </w:rPr>
      </w:pPr>
      <w:r>
        <w:rPr>
          <w:rFonts w:ascii="Arial" w:cs="Arial" w:eastAsia="Arial" w:hAnsi="Arial"/>
          <w:sz w:val="16"/>
          <w:szCs w:val="16"/>
          <w:color w:val="auto"/>
        </w:rPr>
        <w:t>Business Highlights</w:t>
      </w:r>
      <w:r>
        <w:rPr>
          <w:sz w:val="20"/>
          <w:szCs w:val="20"/>
          <w:color w:val="auto"/>
        </w:rPr>
        <w:tab/>
      </w:r>
      <w:r>
        <w:rPr>
          <w:rFonts w:ascii="Arial" w:cs="Arial" w:eastAsia="Arial" w:hAnsi="Arial"/>
          <w:sz w:val="16"/>
          <w:szCs w:val="16"/>
          <w:color w:val="auto"/>
        </w:rPr>
        <w:t>4</w:t>
      </w:r>
    </w:p>
    <w:p>
      <w:pPr>
        <w:spacing w:after="0" w:line="46" w:lineRule="exact"/>
        <w:rPr>
          <w:sz w:val="20"/>
          <w:szCs w:val="20"/>
          <w:color w:val="auto"/>
        </w:rPr>
      </w:pPr>
    </w:p>
    <w:p>
      <w:pPr>
        <w:ind w:left="620"/>
        <w:spacing w:after="0"/>
        <w:tabs>
          <w:tab w:leader="dot" w:pos="4060" w:val="left"/>
        </w:tabs>
        <w:rPr>
          <w:sz w:val="20"/>
          <w:szCs w:val="20"/>
          <w:color w:val="auto"/>
        </w:rPr>
      </w:pPr>
      <w:r>
        <w:rPr>
          <w:rFonts w:ascii="Arial" w:cs="Arial" w:eastAsia="Arial" w:hAnsi="Arial"/>
          <w:sz w:val="16"/>
          <w:szCs w:val="16"/>
          <w:color w:val="auto"/>
        </w:rPr>
        <w:t>Board Snapshot</w:t>
      </w:r>
      <w:r>
        <w:rPr>
          <w:sz w:val="20"/>
          <w:szCs w:val="20"/>
          <w:color w:val="auto"/>
        </w:rPr>
        <w:tab/>
      </w:r>
      <w:r>
        <w:rPr>
          <w:rFonts w:ascii="Arial" w:cs="Arial" w:eastAsia="Arial" w:hAnsi="Arial"/>
          <w:sz w:val="16"/>
          <w:szCs w:val="16"/>
          <w:color w:val="auto"/>
        </w:rPr>
        <w:t>5</w:t>
      </w:r>
    </w:p>
    <w:p>
      <w:pPr>
        <w:spacing w:after="0" w:line="59" w:lineRule="exact"/>
        <w:rPr>
          <w:sz w:val="20"/>
          <w:szCs w:val="20"/>
          <w:color w:val="auto"/>
        </w:rPr>
      </w:pPr>
    </w:p>
    <w:p>
      <w:pPr>
        <w:ind w:left="260"/>
        <w:spacing w:after="0"/>
        <w:tabs>
          <w:tab w:leader="dot" w:pos="4060" w:val="left"/>
        </w:tabs>
        <w:rPr>
          <w:sz w:val="20"/>
          <w:szCs w:val="20"/>
          <w:color w:val="auto"/>
        </w:rPr>
      </w:pPr>
      <w:r>
        <w:rPr>
          <w:rFonts w:ascii="Arial" w:cs="Arial" w:eastAsia="Arial" w:hAnsi="Arial"/>
          <w:sz w:val="16"/>
          <w:szCs w:val="16"/>
          <w:b w:val="1"/>
          <w:bCs w:val="1"/>
          <w:color w:val="065BAA"/>
        </w:rPr>
        <w:t>Board of Directors</w:t>
      </w:r>
      <w:r>
        <w:rPr>
          <w:sz w:val="20"/>
          <w:szCs w:val="20"/>
          <w:color w:val="auto"/>
        </w:rPr>
        <w:tab/>
      </w:r>
      <w:r>
        <w:rPr>
          <w:rFonts w:ascii="Arial" w:cs="Arial" w:eastAsia="Arial" w:hAnsi="Arial"/>
          <w:sz w:val="16"/>
          <w:szCs w:val="16"/>
          <w:b w:val="1"/>
          <w:bCs w:val="1"/>
          <w:color w:val="065BAA"/>
        </w:rPr>
        <w:t>6</w:t>
      </w:r>
    </w:p>
    <w:p>
      <w:pPr>
        <w:spacing w:after="0" w:line="73" w:lineRule="exact"/>
        <w:rPr>
          <w:sz w:val="20"/>
          <w:szCs w:val="20"/>
          <w:color w:val="auto"/>
        </w:rPr>
      </w:pPr>
    </w:p>
    <w:p>
      <w:pPr>
        <w:ind w:left="460"/>
        <w:spacing w:after="0"/>
        <w:tabs>
          <w:tab w:leader="dot" w:pos="4060" w:val="left"/>
        </w:tabs>
        <w:rPr>
          <w:sz w:val="20"/>
          <w:szCs w:val="20"/>
          <w:color w:val="auto"/>
        </w:rPr>
      </w:pPr>
      <w:r>
        <w:rPr>
          <w:rFonts w:ascii="Arial" w:cs="Arial" w:eastAsia="Arial" w:hAnsi="Arial"/>
          <w:sz w:val="16"/>
          <w:szCs w:val="16"/>
          <w:b w:val="1"/>
          <w:bCs w:val="1"/>
          <w:color w:val="auto"/>
        </w:rPr>
        <w:t>Meet the Board</w:t>
      </w:r>
      <w:r>
        <w:rPr>
          <w:sz w:val="20"/>
          <w:szCs w:val="20"/>
          <w:color w:val="auto"/>
        </w:rPr>
        <w:tab/>
      </w:r>
      <w:r>
        <w:rPr>
          <w:rFonts w:ascii="Arial" w:cs="Arial" w:eastAsia="Arial" w:hAnsi="Arial"/>
          <w:sz w:val="16"/>
          <w:szCs w:val="16"/>
          <w:b w:val="1"/>
          <w:bCs w:val="1"/>
          <w:color w:val="auto"/>
        </w:rPr>
        <w:t>6</w:t>
      </w:r>
    </w:p>
    <w:p>
      <w:pPr>
        <w:spacing w:after="0" w:line="46" w:lineRule="exact"/>
        <w:rPr>
          <w:sz w:val="20"/>
          <w:szCs w:val="20"/>
          <w:color w:val="auto"/>
        </w:rPr>
      </w:pPr>
    </w:p>
    <w:p>
      <w:pPr>
        <w:ind w:left="620"/>
        <w:spacing w:after="0"/>
        <w:tabs>
          <w:tab w:leader="dot" w:pos="4060" w:val="left"/>
        </w:tabs>
        <w:rPr>
          <w:sz w:val="20"/>
          <w:szCs w:val="20"/>
          <w:color w:val="auto"/>
        </w:rPr>
      </w:pPr>
      <w:r>
        <w:rPr>
          <w:rFonts w:ascii="Arial" w:cs="Arial" w:eastAsia="Arial" w:hAnsi="Arial"/>
          <w:sz w:val="16"/>
          <w:szCs w:val="16"/>
          <w:color w:val="auto"/>
        </w:rPr>
        <w:t>Director Matrix</w:t>
      </w:r>
      <w:r>
        <w:rPr>
          <w:sz w:val="20"/>
          <w:szCs w:val="20"/>
          <w:color w:val="auto"/>
        </w:rPr>
        <w:tab/>
      </w:r>
      <w:r>
        <w:rPr>
          <w:rFonts w:ascii="Arial" w:cs="Arial" w:eastAsia="Arial" w:hAnsi="Arial"/>
          <w:sz w:val="16"/>
          <w:szCs w:val="16"/>
          <w:color w:val="auto"/>
        </w:rPr>
        <w:t>7</w:t>
      </w:r>
    </w:p>
    <w:p>
      <w:pPr>
        <w:spacing w:after="0" w:line="46" w:lineRule="exact"/>
        <w:rPr>
          <w:sz w:val="20"/>
          <w:szCs w:val="20"/>
          <w:color w:val="auto"/>
        </w:rPr>
      </w:pPr>
    </w:p>
    <w:p>
      <w:pPr>
        <w:ind w:left="460"/>
        <w:spacing w:after="0"/>
        <w:tabs>
          <w:tab w:leader="dot" w:pos="4060" w:val="left"/>
        </w:tabs>
        <w:rPr>
          <w:sz w:val="20"/>
          <w:szCs w:val="20"/>
          <w:color w:val="auto"/>
        </w:rPr>
      </w:pPr>
      <w:r>
        <w:rPr>
          <w:rFonts w:ascii="Arial" w:cs="Arial" w:eastAsia="Arial" w:hAnsi="Arial"/>
          <w:sz w:val="16"/>
          <w:szCs w:val="16"/>
          <w:b w:val="1"/>
          <w:bCs w:val="1"/>
          <w:color w:val="auto"/>
        </w:rPr>
        <w:t>Director Nominees</w:t>
      </w:r>
      <w:r>
        <w:rPr>
          <w:sz w:val="20"/>
          <w:szCs w:val="20"/>
          <w:color w:val="auto"/>
        </w:rPr>
        <w:tab/>
      </w:r>
      <w:r>
        <w:rPr>
          <w:rFonts w:ascii="Arial" w:cs="Arial" w:eastAsia="Arial" w:hAnsi="Arial"/>
          <w:sz w:val="16"/>
          <w:szCs w:val="16"/>
          <w:b w:val="1"/>
          <w:bCs w:val="1"/>
          <w:color w:val="auto"/>
        </w:rPr>
        <w:t>8</w:t>
      </w:r>
    </w:p>
    <w:p>
      <w:pPr>
        <w:spacing w:after="0" w:line="46" w:lineRule="exact"/>
        <w:rPr>
          <w:sz w:val="20"/>
          <w:szCs w:val="20"/>
          <w:color w:val="auto"/>
        </w:rPr>
      </w:pPr>
    </w:p>
    <w:p>
      <w:pPr>
        <w:ind w:left="460"/>
        <w:spacing w:after="0"/>
        <w:tabs>
          <w:tab w:leader="dot" w:pos="3980" w:val="left"/>
        </w:tabs>
        <w:rPr>
          <w:sz w:val="20"/>
          <w:szCs w:val="20"/>
          <w:color w:val="auto"/>
        </w:rPr>
      </w:pPr>
      <w:r>
        <w:rPr>
          <w:rFonts w:ascii="Arial" w:cs="Arial" w:eastAsia="Arial" w:hAnsi="Arial"/>
          <w:sz w:val="16"/>
          <w:szCs w:val="16"/>
          <w:b w:val="1"/>
          <w:bCs w:val="1"/>
          <w:color w:val="auto"/>
        </w:rPr>
        <w:t>Director Independence</w:t>
      </w:r>
      <w:r>
        <w:rPr>
          <w:sz w:val="20"/>
          <w:szCs w:val="20"/>
          <w:color w:val="auto"/>
        </w:rPr>
        <w:tab/>
      </w:r>
      <w:r>
        <w:rPr>
          <w:rFonts w:ascii="Arial" w:cs="Arial" w:eastAsia="Arial" w:hAnsi="Arial"/>
          <w:sz w:val="16"/>
          <w:szCs w:val="16"/>
          <w:b w:val="1"/>
          <w:bCs w:val="1"/>
          <w:color w:val="auto"/>
        </w:rPr>
        <w:t>21</w:t>
      </w:r>
    </w:p>
    <w:p>
      <w:pPr>
        <w:spacing w:after="0" w:line="46" w:lineRule="exact"/>
        <w:rPr>
          <w:sz w:val="20"/>
          <w:szCs w:val="20"/>
          <w:color w:val="auto"/>
        </w:rPr>
      </w:pPr>
    </w:p>
    <w:p>
      <w:pPr>
        <w:ind w:left="460"/>
        <w:spacing w:after="0"/>
        <w:tabs>
          <w:tab w:leader="dot" w:pos="3980" w:val="left"/>
        </w:tabs>
        <w:rPr>
          <w:sz w:val="20"/>
          <w:szCs w:val="20"/>
          <w:color w:val="auto"/>
        </w:rPr>
      </w:pPr>
      <w:r>
        <w:rPr>
          <w:rFonts w:ascii="Arial" w:cs="Arial" w:eastAsia="Arial" w:hAnsi="Arial"/>
          <w:sz w:val="16"/>
          <w:szCs w:val="16"/>
          <w:b w:val="1"/>
          <w:bCs w:val="1"/>
          <w:color w:val="auto"/>
        </w:rPr>
        <w:t>Board Committees</w:t>
      </w:r>
      <w:r>
        <w:rPr>
          <w:sz w:val="20"/>
          <w:szCs w:val="20"/>
          <w:color w:val="auto"/>
        </w:rPr>
        <w:tab/>
      </w:r>
      <w:r>
        <w:rPr>
          <w:rFonts w:ascii="Arial" w:cs="Arial" w:eastAsia="Arial" w:hAnsi="Arial"/>
          <w:sz w:val="16"/>
          <w:szCs w:val="16"/>
          <w:b w:val="1"/>
          <w:bCs w:val="1"/>
          <w:color w:val="auto"/>
        </w:rPr>
        <w:t>21</w:t>
      </w:r>
    </w:p>
    <w:p>
      <w:pPr>
        <w:spacing w:after="0" w:line="46" w:lineRule="exact"/>
        <w:rPr>
          <w:sz w:val="20"/>
          <w:szCs w:val="20"/>
          <w:color w:val="auto"/>
        </w:rPr>
      </w:pPr>
    </w:p>
    <w:p>
      <w:pPr>
        <w:ind w:left="460"/>
        <w:spacing w:after="0"/>
        <w:tabs>
          <w:tab w:leader="dot" w:pos="3980" w:val="left"/>
        </w:tabs>
        <w:rPr>
          <w:sz w:val="20"/>
          <w:szCs w:val="20"/>
          <w:color w:val="auto"/>
        </w:rPr>
      </w:pPr>
      <w:r>
        <w:rPr>
          <w:rFonts w:ascii="Arial" w:cs="Arial" w:eastAsia="Arial" w:hAnsi="Arial"/>
          <w:sz w:val="16"/>
          <w:szCs w:val="16"/>
          <w:b w:val="1"/>
          <w:bCs w:val="1"/>
          <w:color w:val="auto"/>
        </w:rPr>
        <w:t>Compensation of Directors</w:t>
      </w:r>
      <w:r>
        <w:rPr>
          <w:sz w:val="20"/>
          <w:szCs w:val="20"/>
          <w:color w:val="auto"/>
        </w:rPr>
        <w:tab/>
      </w:r>
      <w:r>
        <w:rPr>
          <w:rFonts w:ascii="Arial" w:cs="Arial" w:eastAsia="Arial" w:hAnsi="Arial"/>
          <w:sz w:val="16"/>
          <w:szCs w:val="16"/>
          <w:b w:val="1"/>
          <w:bCs w:val="1"/>
          <w:color w:val="auto"/>
        </w:rPr>
        <w:t>27</w:t>
      </w:r>
    </w:p>
    <w:p>
      <w:pPr>
        <w:spacing w:after="0" w:line="46" w:lineRule="exact"/>
        <w:rPr>
          <w:sz w:val="20"/>
          <w:szCs w:val="20"/>
          <w:color w:val="auto"/>
        </w:rPr>
      </w:pPr>
    </w:p>
    <w:p>
      <w:pPr>
        <w:ind w:left="620"/>
        <w:spacing w:after="0"/>
        <w:tabs>
          <w:tab w:leader="dot" w:pos="3980" w:val="left"/>
        </w:tabs>
        <w:rPr>
          <w:sz w:val="20"/>
          <w:szCs w:val="20"/>
          <w:color w:val="auto"/>
        </w:rPr>
      </w:pPr>
      <w:r>
        <w:rPr>
          <w:rFonts w:ascii="Arial" w:cs="Arial" w:eastAsia="Arial" w:hAnsi="Arial"/>
          <w:sz w:val="16"/>
          <w:szCs w:val="16"/>
          <w:color w:val="auto"/>
        </w:rPr>
        <w:t>Overview</w:t>
      </w:r>
      <w:r>
        <w:rPr>
          <w:sz w:val="20"/>
          <w:szCs w:val="20"/>
          <w:color w:val="auto"/>
        </w:rPr>
        <w:tab/>
      </w:r>
      <w:r>
        <w:rPr>
          <w:rFonts w:ascii="Arial" w:cs="Arial" w:eastAsia="Arial" w:hAnsi="Arial"/>
          <w:sz w:val="16"/>
          <w:szCs w:val="16"/>
          <w:color w:val="auto"/>
        </w:rPr>
        <w:t>27</w:t>
      </w:r>
    </w:p>
    <w:p>
      <w:pPr>
        <w:ind w:left="620"/>
        <w:spacing w:after="0" w:line="206" w:lineRule="auto"/>
        <w:tabs>
          <w:tab w:leader="none" w:pos="3980" w:val="left"/>
        </w:tabs>
        <w:rPr>
          <w:sz w:val="20"/>
          <w:szCs w:val="20"/>
          <w:color w:val="auto"/>
        </w:rPr>
      </w:pPr>
      <w:r>
        <w:rPr>
          <w:rFonts w:ascii="Arial" w:cs="Arial" w:eastAsia="Arial" w:hAnsi="Arial"/>
          <w:sz w:val="16"/>
          <w:szCs w:val="16"/>
          <w:color w:val="auto"/>
        </w:rPr>
        <w:t>Non-Employee Director</w:t>
      </w:r>
      <w:r>
        <w:rPr>
          <w:sz w:val="20"/>
          <w:szCs w:val="20"/>
          <w:color w:val="auto"/>
        </w:rPr>
        <w:tab/>
      </w:r>
      <w:r>
        <w:rPr>
          <w:rFonts w:ascii="Arial" w:cs="Arial" w:eastAsia="Arial" w:hAnsi="Arial"/>
          <w:sz w:val="24"/>
          <w:szCs w:val="24"/>
          <w:color w:val="auto"/>
          <w:vertAlign w:val="subscript"/>
        </w:rPr>
        <w:t>27</w:t>
      </w:r>
    </w:p>
    <w:p>
      <w:pPr>
        <w:ind w:left="620"/>
        <w:spacing w:after="0"/>
        <w:tabs>
          <w:tab w:leader="none" w:pos="2480" w:val="left"/>
        </w:tabs>
        <w:rPr>
          <w:sz w:val="20"/>
          <w:szCs w:val="20"/>
          <w:color w:val="auto"/>
        </w:rPr>
      </w:pPr>
      <w:r>
        <w:rPr>
          <w:rFonts w:ascii="Arial" w:cs="Arial" w:eastAsia="Arial" w:hAnsi="Arial"/>
          <w:sz w:val="16"/>
          <w:szCs w:val="16"/>
          <w:color w:val="auto"/>
        </w:rPr>
        <w:t>Compensation Philosophy</w:t>
      </w:r>
      <w:r>
        <w:rPr>
          <w:sz w:val="20"/>
          <w:szCs w:val="20"/>
          <w:color w:val="auto"/>
        </w:rPr>
        <w:tab/>
      </w:r>
      <w:r>
        <w:rPr>
          <w:rFonts w:ascii="Arial" w:cs="Arial" w:eastAsia="Arial" w:hAnsi="Arial"/>
          <w:sz w:val="15"/>
          <w:szCs w:val="15"/>
          <w:color w:val="auto"/>
        </w:rPr>
        <w:t>...........................</w:t>
      </w:r>
    </w:p>
    <w:p>
      <w:pPr>
        <w:ind w:left="620"/>
        <w:spacing w:after="0" w:line="203" w:lineRule="auto"/>
        <w:tabs>
          <w:tab w:leader="none" w:pos="3980" w:val="left"/>
        </w:tabs>
        <w:rPr>
          <w:sz w:val="20"/>
          <w:szCs w:val="20"/>
          <w:color w:val="auto"/>
        </w:rPr>
      </w:pPr>
      <w:r>
        <w:rPr>
          <w:rFonts w:ascii="Arial" w:cs="Arial" w:eastAsia="Arial" w:hAnsi="Arial"/>
          <w:sz w:val="16"/>
          <w:szCs w:val="16"/>
          <w:color w:val="auto"/>
        </w:rPr>
        <w:t>Cash Fees, Expenses, and Matching</w:t>
      </w:r>
      <w:r>
        <w:rPr>
          <w:sz w:val="20"/>
          <w:szCs w:val="20"/>
          <w:color w:val="auto"/>
        </w:rPr>
        <w:tab/>
      </w:r>
      <w:r>
        <w:rPr>
          <w:rFonts w:ascii="Arial" w:cs="Arial" w:eastAsia="Arial" w:hAnsi="Arial"/>
          <w:sz w:val="24"/>
          <w:szCs w:val="24"/>
          <w:color w:val="auto"/>
          <w:vertAlign w:val="subscript"/>
        </w:rPr>
        <w:t>27</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Gift Program.......................................….....</w:t>
      </w:r>
    </w:p>
    <w:p>
      <w:pPr>
        <w:spacing w:after="0" w:line="43" w:lineRule="exact"/>
        <w:rPr>
          <w:sz w:val="20"/>
          <w:szCs w:val="20"/>
          <w:color w:val="auto"/>
        </w:rPr>
      </w:pPr>
    </w:p>
    <w:p>
      <w:pPr>
        <w:ind w:left="620"/>
        <w:spacing w:after="0"/>
        <w:tabs>
          <w:tab w:leader="dot" w:pos="3980" w:val="left"/>
        </w:tabs>
        <w:rPr>
          <w:sz w:val="20"/>
          <w:szCs w:val="20"/>
          <w:color w:val="auto"/>
        </w:rPr>
      </w:pPr>
      <w:r>
        <w:rPr>
          <w:rFonts w:ascii="Arial" w:cs="Arial" w:eastAsia="Arial" w:hAnsi="Arial"/>
          <w:sz w:val="16"/>
          <w:szCs w:val="16"/>
          <w:color w:val="auto"/>
        </w:rPr>
        <w:t>Annual Equity Awards</w:t>
      </w:r>
      <w:r>
        <w:rPr>
          <w:sz w:val="20"/>
          <w:szCs w:val="20"/>
          <w:color w:val="auto"/>
        </w:rPr>
        <w:tab/>
      </w:r>
      <w:r>
        <w:rPr>
          <w:rFonts w:ascii="Arial" w:cs="Arial" w:eastAsia="Arial" w:hAnsi="Arial"/>
          <w:sz w:val="16"/>
          <w:szCs w:val="16"/>
          <w:color w:val="auto"/>
        </w:rPr>
        <w:t>28</w:t>
      </w:r>
    </w:p>
    <w:p>
      <w:pPr>
        <w:spacing w:after="0" w:line="46" w:lineRule="exact"/>
        <w:rPr>
          <w:sz w:val="20"/>
          <w:szCs w:val="20"/>
          <w:color w:val="auto"/>
        </w:rPr>
      </w:pPr>
    </w:p>
    <w:p>
      <w:pPr>
        <w:ind w:left="620"/>
        <w:spacing w:after="0"/>
        <w:tabs>
          <w:tab w:leader="dot" w:pos="3980" w:val="left"/>
        </w:tabs>
        <w:rPr>
          <w:sz w:val="20"/>
          <w:szCs w:val="20"/>
          <w:color w:val="auto"/>
        </w:rPr>
      </w:pPr>
      <w:r>
        <w:rPr>
          <w:rFonts w:ascii="Arial" w:cs="Arial" w:eastAsia="Arial" w:hAnsi="Arial"/>
          <w:sz w:val="16"/>
          <w:szCs w:val="16"/>
          <w:color w:val="auto"/>
        </w:rPr>
        <w:t>Equity Awards to New Directors</w:t>
      </w:r>
      <w:r>
        <w:rPr>
          <w:sz w:val="20"/>
          <w:szCs w:val="20"/>
          <w:color w:val="auto"/>
        </w:rPr>
        <w:tab/>
      </w:r>
      <w:r>
        <w:rPr>
          <w:rFonts w:ascii="Arial" w:cs="Arial" w:eastAsia="Arial" w:hAnsi="Arial"/>
          <w:sz w:val="16"/>
          <w:szCs w:val="16"/>
          <w:color w:val="auto"/>
        </w:rPr>
        <w:t>28</w:t>
      </w:r>
    </w:p>
    <w:p>
      <w:pPr>
        <w:spacing w:after="0" w:line="46" w:lineRule="exact"/>
        <w:rPr>
          <w:sz w:val="20"/>
          <w:szCs w:val="20"/>
          <w:color w:val="auto"/>
        </w:rPr>
      </w:pPr>
    </w:p>
    <w:p>
      <w:pPr>
        <w:ind w:left="620"/>
        <w:spacing w:after="0"/>
        <w:tabs>
          <w:tab w:leader="dot" w:pos="3980" w:val="left"/>
        </w:tabs>
        <w:rPr>
          <w:sz w:val="20"/>
          <w:szCs w:val="20"/>
          <w:color w:val="auto"/>
        </w:rPr>
      </w:pPr>
      <w:r>
        <w:rPr>
          <w:rFonts w:ascii="Arial" w:cs="Arial" w:eastAsia="Arial" w:hAnsi="Arial"/>
          <w:sz w:val="16"/>
          <w:szCs w:val="16"/>
          <w:color w:val="auto"/>
        </w:rPr>
        <w:t>2025 Director Compensation</w:t>
      </w:r>
      <w:r>
        <w:rPr>
          <w:sz w:val="20"/>
          <w:szCs w:val="20"/>
          <w:color w:val="auto"/>
        </w:rPr>
        <w:tab/>
      </w:r>
      <w:r>
        <w:rPr>
          <w:rFonts w:ascii="Arial" w:cs="Arial" w:eastAsia="Arial" w:hAnsi="Arial"/>
          <w:sz w:val="16"/>
          <w:szCs w:val="16"/>
          <w:color w:val="auto"/>
        </w:rPr>
        <w:t>29</w:t>
      </w:r>
    </w:p>
    <w:p>
      <w:pPr>
        <w:spacing w:after="0" w:line="60" w:lineRule="exact"/>
        <w:rPr>
          <w:sz w:val="20"/>
          <w:szCs w:val="20"/>
          <w:color w:val="auto"/>
        </w:rPr>
      </w:pPr>
    </w:p>
    <w:p>
      <w:pPr>
        <w:ind w:left="620"/>
        <w:spacing w:after="0"/>
        <w:tabs>
          <w:tab w:leader="none" w:pos="3960" w:val="left"/>
        </w:tabs>
        <w:rPr>
          <w:sz w:val="20"/>
          <w:szCs w:val="20"/>
          <w:color w:val="auto"/>
        </w:rPr>
      </w:pPr>
      <w:r>
        <w:rPr>
          <w:rFonts w:ascii="Arial" w:cs="Arial" w:eastAsia="Arial" w:hAnsi="Arial"/>
          <w:sz w:val="16"/>
          <w:szCs w:val="16"/>
          <w:b w:val="1"/>
          <w:bCs w:val="1"/>
          <w:color w:val="065BAA"/>
        </w:rPr>
        <w:t>Proposal No. 1:</w:t>
      </w:r>
      <w:r>
        <w:rPr>
          <w:sz w:val="20"/>
          <w:szCs w:val="20"/>
          <w:color w:val="auto"/>
        </w:rPr>
        <w:tab/>
      </w:r>
      <w:r>
        <w:rPr>
          <w:rFonts w:ascii="Arial" w:cs="Arial" w:eastAsia="Arial" w:hAnsi="Arial"/>
          <w:sz w:val="26"/>
          <w:szCs w:val="26"/>
          <w:b w:val="1"/>
          <w:bCs w:val="1"/>
          <w:color w:val="065BAA"/>
          <w:vertAlign w:val="subscript"/>
        </w:rPr>
        <w:t>29</w:t>
      </w:r>
    </w:p>
    <w:p>
      <w:pPr>
        <w:ind w:left="620"/>
        <w:spacing w:after="0"/>
        <w:rPr>
          <w:sz w:val="20"/>
          <w:szCs w:val="20"/>
          <w:color w:val="auto"/>
        </w:rPr>
      </w:pPr>
      <w:r>
        <w:rPr>
          <w:rFonts w:ascii="Arial" w:cs="Arial" w:eastAsia="Arial" w:hAnsi="Arial"/>
          <w:sz w:val="16"/>
          <w:szCs w:val="16"/>
          <w:b w:val="1"/>
          <w:bCs w:val="1"/>
          <w:color w:val="auto"/>
        </w:rPr>
        <w:t>Election of Directors</w:t>
      </w:r>
    </w:p>
    <w:p>
      <w:pPr>
        <w:spacing w:after="0" w:line="151" w:lineRule="exact"/>
        <w:rPr>
          <w:sz w:val="20"/>
          <w:szCs w:val="20"/>
          <w:color w:val="auto"/>
        </w:rPr>
      </w:pPr>
    </w:p>
    <w:p>
      <w:pPr>
        <w:ind w:left="260"/>
        <w:spacing w:after="0"/>
        <w:tabs>
          <w:tab w:leader="dot" w:pos="3980" w:val="left"/>
        </w:tabs>
        <w:rPr>
          <w:sz w:val="20"/>
          <w:szCs w:val="20"/>
          <w:color w:val="auto"/>
        </w:rPr>
      </w:pPr>
      <w:r>
        <w:rPr>
          <w:rFonts w:ascii="Arial" w:cs="Arial" w:eastAsia="Arial" w:hAnsi="Arial"/>
          <w:sz w:val="16"/>
          <w:szCs w:val="16"/>
          <w:b w:val="1"/>
          <w:bCs w:val="1"/>
          <w:color w:val="065BAA"/>
        </w:rPr>
        <w:t>Corporate Governance</w:t>
      </w:r>
      <w:r>
        <w:rPr>
          <w:sz w:val="20"/>
          <w:szCs w:val="20"/>
          <w:color w:val="auto"/>
        </w:rPr>
        <w:tab/>
      </w:r>
      <w:r>
        <w:rPr>
          <w:rFonts w:ascii="Arial" w:cs="Arial" w:eastAsia="Arial" w:hAnsi="Arial"/>
          <w:sz w:val="16"/>
          <w:szCs w:val="16"/>
          <w:b w:val="1"/>
          <w:bCs w:val="1"/>
          <w:color w:val="065BAA"/>
        </w:rPr>
        <w:t>30</w:t>
      </w:r>
    </w:p>
    <w:p>
      <w:pPr>
        <w:spacing w:after="0" w:line="73" w:lineRule="exact"/>
        <w:rPr>
          <w:sz w:val="20"/>
          <w:szCs w:val="20"/>
          <w:color w:val="auto"/>
        </w:rPr>
      </w:pPr>
    </w:p>
    <w:p>
      <w:pPr>
        <w:ind w:left="460"/>
        <w:spacing w:after="0"/>
        <w:tabs>
          <w:tab w:leader="dot" w:pos="3980" w:val="left"/>
        </w:tabs>
        <w:rPr>
          <w:sz w:val="20"/>
          <w:szCs w:val="20"/>
          <w:color w:val="auto"/>
        </w:rPr>
      </w:pPr>
      <w:r>
        <w:rPr>
          <w:rFonts w:ascii="Arial" w:cs="Arial" w:eastAsia="Arial" w:hAnsi="Arial"/>
          <w:sz w:val="16"/>
          <w:szCs w:val="16"/>
          <w:b w:val="1"/>
          <w:bCs w:val="1"/>
          <w:color w:val="auto"/>
        </w:rPr>
        <w:t>Governance Overview</w:t>
      </w:r>
      <w:r>
        <w:rPr>
          <w:sz w:val="20"/>
          <w:szCs w:val="20"/>
          <w:color w:val="auto"/>
        </w:rPr>
        <w:tab/>
      </w:r>
      <w:r>
        <w:rPr>
          <w:rFonts w:ascii="Arial" w:cs="Arial" w:eastAsia="Arial" w:hAnsi="Arial"/>
          <w:sz w:val="16"/>
          <w:szCs w:val="16"/>
          <w:b w:val="1"/>
          <w:bCs w:val="1"/>
          <w:color w:val="auto"/>
        </w:rPr>
        <w:t>30</w:t>
      </w:r>
    </w:p>
    <w:p>
      <w:pPr>
        <w:spacing w:after="0" w:line="46" w:lineRule="exact"/>
        <w:rPr>
          <w:sz w:val="20"/>
          <w:szCs w:val="20"/>
          <w:color w:val="auto"/>
        </w:rPr>
      </w:pPr>
    </w:p>
    <w:p>
      <w:pPr>
        <w:ind w:left="460"/>
        <w:spacing w:after="0"/>
        <w:tabs>
          <w:tab w:leader="dot" w:pos="3980" w:val="left"/>
        </w:tabs>
        <w:rPr>
          <w:sz w:val="20"/>
          <w:szCs w:val="20"/>
          <w:color w:val="auto"/>
        </w:rPr>
      </w:pPr>
      <w:r>
        <w:rPr>
          <w:rFonts w:ascii="Arial" w:cs="Arial" w:eastAsia="Arial" w:hAnsi="Arial"/>
          <w:sz w:val="16"/>
          <w:szCs w:val="16"/>
          <w:b w:val="1"/>
          <w:bCs w:val="1"/>
          <w:color w:val="auto"/>
        </w:rPr>
        <w:t>Board Governance</w:t>
      </w:r>
      <w:r>
        <w:rPr>
          <w:sz w:val="20"/>
          <w:szCs w:val="20"/>
          <w:color w:val="auto"/>
        </w:rPr>
        <w:tab/>
      </w:r>
      <w:r>
        <w:rPr>
          <w:rFonts w:ascii="Arial" w:cs="Arial" w:eastAsia="Arial" w:hAnsi="Arial"/>
          <w:sz w:val="16"/>
          <w:szCs w:val="16"/>
          <w:b w:val="1"/>
          <w:bCs w:val="1"/>
          <w:color w:val="auto"/>
        </w:rPr>
        <w:t>31</w:t>
      </w:r>
    </w:p>
    <w:p>
      <w:pPr>
        <w:ind w:left="620"/>
        <w:spacing w:after="0" w:line="206" w:lineRule="auto"/>
        <w:tabs>
          <w:tab w:leader="none" w:pos="3980" w:val="left"/>
        </w:tabs>
        <w:rPr>
          <w:sz w:val="20"/>
          <w:szCs w:val="20"/>
          <w:color w:val="auto"/>
        </w:rPr>
      </w:pPr>
      <w:r>
        <w:rPr>
          <w:rFonts w:ascii="Arial" w:cs="Arial" w:eastAsia="Arial" w:hAnsi="Arial"/>
          <w:sz w:val="16"/>
          <w:szCs w:val="16"/>
          <w:color w:val="auto"/>
        </w:rPr>
        <w:t>Declassification of the Board</w:t>
      </w:r>
      <w:r>
        <w:rPr>
          <w:sz w:val="20"/>
          <w:szCs w:val="20"/>
          <w:color w:val="auto"/>
        </w:rPr>
        <w:tab/>
      </w:r>
      <w:r>
        <w:rPr>
          <w:rFonts w:ascii="Arial" w:cs="Arial" w:eastAsia="Arial" w:hAnsi="Arial"/>
          <w:sz w:val="24"/>
          <w:szCs w:val="24"/>
          <w:color w:val="auto"/>
          <w:vertAlign w:val="subscript"/>
        </w:rPr>
        <w:t>31</w:t>
      </w:r>
    </w:p>
    <w:p>
      <w:pPr>
        <w:ind w:left="620"/>
        <w:spacing w:after="0"/>
        <w:tabs>
          <w:tab w:leader="none" w:pos="1420" w:val="left"/>
        </w:tabs>
        <w:rPr>
          <w:sz w:val="20"/>
          <w:szCs w:val="20"/>
          <w:color w:val="auto"/>
        </w:rPr>
      </w:pPr>
      <w:r>
        <w:rPr>
          <w:rFonts w:ascii="Arial" w:cs="Arial" w:eastAsia="Arial" w:hAnsi="Arial"/>
          <w:sz w:val="16"/>
          <w:szCs w:val="16"/>
          <w:color w:val="auto"/>
        </w:rPr>
        <w:t>of Directors</w:t>
        <w:tab/>
        <w:t>..................................................</w:t>
      </w:r>
    </w:p>
    <w:p>
      <w:pPr>
        <w:ind w:left="620"/>
        <w:spacing w:after="0" w:line="203" w:lineRule="auto"/>
        <w:tabs>
          <w:tab w:leader="none" w:pos="3980" w:val="left"/>
        </w:tabs>
        <w:rPr>
          <w:sz w:val="20"/>
          <w:szCs w:val="20"/>
          <w:color w:val="auto"/>
        </w:rPr>
      </w:pPr>
      <w:r>
        <w:rPr>
          <w:rFonts w:ascii="Arial" w:cs="Arial" w:eastAsia="Arial" w:hAnsi="Arial"/>
          <w:sz w:val="16"/>
          <w:szCs w:val="16"/>
          <w:color w:val="auto"/>
        </w:rPr>
        <w:t>Board Meetings and Attendance</w:t>
      </w:r>
      <w:r>
        <w:rPr>
          <w:sz w:val="20"/>
          <w:szCs w:val="20"/>
          <w:color w:val="auto"/>
        </w:rPr>
        <w:tab/>
      </w:r>
      <w:r>
        <w:rPr>
          <w:rFonts w:ascii="Arial" w:cs="Arial" w:eastAsia="Arial" w:hAnsi="Arial"/>
          <w:sz w:val="24"/>
          <w:szCs w:val="24"/>
          <w:color w:val="auto"/>
          <w:vertAlign w:val="subscript"/>
        </w:rPr>
        <w:t>31</w:t>
      </w:r>
    </w:p>
    <w:p>
      <w:pPr>
        <w:spacing w:after="0" w:line="1" w:lineRule="exact"/>
        <w:rPr>
          <w:sz w:val="20"/>
          <w:szCs w:val="20"/>
          <w:color w:val="auto"/>
        </w:rPr>
      </w:pPr>
    </w:p>
    <w:p>
      <w:pPr>
        <w:ind w:left="620"/>
        <w:spacing w:after="0"/>
        <w:tabs>
          <w:tab w:leader="none" w:pos="1420" w:val="left"/>
        </w:tabs>
        <w:rPr>
          <w:sz w:val="20"/>
          <w:szCs w:val="20"/>
          <w:color w:val="auto"/>
        </w:rPr>
      </w:pPr>
      <w:r>
        <w:rPr>
          <w:rFonts w:ascii="Arial" w:cs="Arial" w:eastAsia="Arial" w:hAnsi="Arial"/>
          <w:sz w:val="16"/>
          <w:szCs w:val="16"/>
          <w:color w:val="auto"/>
        </w:rPr>
        <w:t>of Directors</w:t>
        <w:tab/>
        <w:t>..................................................</w:t>
      </w:r>
    </w:p>
    <w:p>
      <w:pPr>
        <w:spacing w:after="0" w:line="43" w:lineRule="exact"/>
        <w:rPr>
          <w:sz w:val="20"/>
          <w:szCs w:val="20"/>
          <w:color w:val="auto"/>
        </w:rPr>
      </w:pPr>
    </w:p>
    <w:p>
      <w:pPr>
        <w:ind w:left="620"/>
        <w:spacing w:after="0"/>
        <w:tabs>
          <w:tab w:leader="dot" w:pos="3980" w:val="left"/>
        </w:tabs>
        <w:rPr>
          <w:sz w:val="20"/>
          <w:szCs w:val="20"/>
          <w:color w:val="auto"/>
        </w:rPr>
      </w:pPr>
      <w:r>
        <w:rPr>
          <w:rFonts w:ascii="Arial" w:cs="Arial" w:eastAsia="Arial" w:hAnsi="Arial"/>
          <w:sz w:val="16"/>
          <w:szCs w:val="16"/>
          <w:color w:val="auto"/>
        </w:rPr>
        <w:t>Director Refreshment Philosophy</w:t>
      </w:r>
      <w:r>
        <w:rPr>
          <w:sz w:val="20"/>
          <w:szCs w:val="20"/>
          <w:color w:val="auto"/>
        </w:rPr>
        <w:tab/>
      </w:r>
      <w:r>
        <w:rPr>
          <w:rFonts w:ascii="Arial" w:cs="Arial" w:eastAsia="Arial" w:hAnsi="Arial"/>
          <w:sz w:val="16"/>
          <w:szCs w:val="16"/>
          <w:color w:val="auto"/>
        </w:rPr>
        <w:t>31</w:t>
      </w:r>
    </w:p>
    <w:p>
      <w:pPr>
        <w:ind w:left="620"/>
        <w:spacing w:after="0" w:line="206" w:lineRule="auto"/>
        <w:tabs>
          <w:tab w:leader="none" w:pos="3980" w:val="left"/>
        </w:tabs>
        <w:rPr>
          <w:sz w:val="20"/>
          <w:szCs w:val="20"/>
          <w:color w:val="auto"/>
        </w:rPr>
      </w:pPr>
      <w:r>
        <w:rPr>
          <w:rFonts w:ascii="Arial" w:cs="Arial" w:eastAsia="Arial" w:hAnsi="Arial"/>
          <w:sz w:val="16"/>
          <w:szCs w:val="16"/>
          <w:color w:val="auto"/>
        </w:rPr>
        <w:t>Procedures Relating to Nominees; Board</w:t>
      </w:r>
      <w:r>
        <w:rPr>
          <w:sz w:val="20"/>
          <w:szCs w:val="20"/>
          <w:color w:val="auto"/>
        </w:rPr>
        <w:tab/>
      </w:r>
      <w:r>
        <w:rPr>
          <w:rFonts w:ascii="Arial" w:cs="Arial" w:eastAsia="Arial" w:hAnsi="Arial"/>
          <w:sz w:val="24"/>
          <w:szCs w:val="24"/>
          <w:color w:val="auto"/>
          <w:vertAlign w:val="subscript"/>
        </w:rPr>
        <w:t>33</w:t>
      </w:r>
    </w:p>
    <w:p>
      <w:pPr>
        <w:ind w:left="620"/>
        <w:spacing w:after="0"/>
        <w:tabs>
          <w:tab w:leader="none" w:pos="2100" w:val="left"/>
        </w:tabs>
        <w:rPr>
          <w:sz w:val="20"/>
          <w:szCs w:val="20"/>
          <w:color w:val="auto"/>
        </w:rPr>
      </w:pPr>
      <w:r>
        <w:rPr>
          <w:rFonts w:ascii="Arial" w:cs="Arial" w:eastAsia="Arial" w:hAnsi="Arial"/>
          <w:sz w:val="16"/>
          <w:szCs w:val="16"/>
          <w:color w:val="auto"/>
        </w:rPr>
        <w:t>Succession Planning</w:t>
        <w:tab/>
        <w:t>...................................</w:t>
      </w:r>
    </w:p>
    <w:p>
      <w:pPr>
        <w:spacing w:after="0" w:line="43" w:lineRule="exact"/>
        <w:rPr>
          <w:sz w:val="20"/>
          <w:szCs w:val="20"/>
          <w:color w:val="auto"/>
        </w:rPr>
      </w:pPr>
    </w:p>
    <w:p>
      <w:pPr>
        <w:ind w:left="620"/>
        <w:spacing w:after="0"/>
        <w:tabs>
          <w:tab w:leader="dot" w:pos="3980" w:val="left"/>
        </w:tabs>
        <w:rPr>
          <w:sz w:val="20"/>
          <w:szCs w:val="20"/>
          <w:color w:val="auto"/>
        </w:rPr>
      </w:pPr>
      <w:r>
        <w:rPr>
          <w:rFonts w:ascii="Arial" w:cs="Arial" w:eastAsia="Arial" w:hAnsi="Arial"/>
          <w:sz w:val="16"/>
          <w:szCs w:val="16"/>
          <w:color w:val="auto"/>
        </w:rPr>
        <w:t>Director Onboarding</w:t>
      </w:r>
      <w:r>
        <w:rPr>
          <w:sz w:val="20"/>
          <w:szCs w:val="20"/>
          <w:color w:val="auto"/>
        </w:rPr>
        <w:tab/>
      </w:r>
      <w:r>
        <w:rPr>
          <w:rFonts w:ascii="Arial" w:cs="Arial" w:eastAsia="Arial" w:hAnsi="Arial"/>
          <w:sz w:val="16"/>
          <w:szCs w:val="16"/>
          <w:color w:val="auto"/>
        </w:rPr>
        <w:t>34</w:t>
      </w:r>
    </w:p>
    <w:p>
      <w:pPr>
        <w:spacing w:after="0" w:line="46" w:lineRule="exact"/>
        <w:rPr>
          <w:sz w:val="20"/>
          <w:szCs w:val="20"/>
          <w:color w:val="auto"/>
        </w:rPr>
      </w:pPr>
    </w:p>
    <w:p>
      <w:pPr>
        <w:ind w:left="620"/>
        <w:spacing w:after="0"/>
        <w:tabs>
          <w:tab w:leader="dot" w:pos="3980" w:val="left"/>
        </w:tabs>
        <w:rPr>
          <w:sz w:val="20"/>
          <w:szCs w:val="20"/>
          <w:color w:val="auto"/>
        </w:rPr>
      </w:pPr>
      <w:r>
        <w:rPr>
          <w:rFonts w:ascii="Arial" w:cs="Arial" w:eastAsia="Arial" w:hAnsi="Arial"/>
          <w:sz w:val="16"/>
          <w:szCs w:val="16"/>
          <w:color w:val="auto"/>
        </w:rPr>
        <w:t>Board and Committee Self-Assessments</w:t>
      </w:r>
      <w:r>
        <w:rPr>
          <w:sz w:val="20"/>
          <w:szCs w:val="20"/>
          <w:color w:val="auto"/>
        </w:rPr>
        <w:tab/>
      </w:r>
      <w:r>
        <w:rPr>
          <w:rFonts w:ascii="Arial" w:cs="Arial" w:eastAsia="Arial" w:hAnsi="Arial"/>
          <w:sz w:val="16"/>
          <w:szCs w:val="16"/>
          <w:color w:val="auto"/>
        </w:rPr>
        <w:t>34</w:t>
      </w:r>
    </w:p>
    <w:p>
      <w:pPr>
        <w:spacing w:after="0" w:line="46" w:lineRule="exact"/>
        <w:rPr>
          <w:sz w:val="20"/>
          <w:szCs w:val="20"/>
          <w:color w:val="auto"/>
        </w:rPr>
      </w:pPr>
    </w:p>
    <w:p>
      <w:pPr>
        <w:ind w:left="620"/>
        <w:spacing w:after="0"/>
        <w:tabs>
          <w:tab w:leader="dot" w:pos="3980" w:val="left"/>
        </w:tabs>
        <w:rPr>
          <w:sz w:val="20"/>
          <w:szCs w:val="20"/>
          <w:color w:val="auto"/>
        </w:rPr>
      </w:pPr>
      <w:r>
        <w:rPr>
          <w:rFonts w:ascii="Arial" w:cs="Arial" w:eastAsia="Arial" w:hAnsi="Arial"/>
          <w:sz w:val="16"/>
          <w:szCs w:val="16"/>
          <w:color w:val="auto"/>
        </w:rPr>
        <w:t>Board Leadership</w:t>
      </w:r>
      <w:r>
        <w:rPr>
          <w:sz w:val="20"/>
          <w:szCs w:val="20"/>
          <w:color w:val="auto"/>
        </w:rPr>
        <w:tab/>
      </w:r>
      <w:r>
        <w:rPr>
          <w:rFonts w:ascii="Arial" w:cs="Arial" w:eastAsia="Arial" w:hAnsi="Arial"/>
          <w:sz w:val="16"/>
          <w:szCs w:val="16"/>
          <w:color w:val="auto"/>
        </w:rPr>
        <w:t>35</w:t>
      </w:r>
    </w:p>
    <w:p>
      <w:pPr>
        <w:ind w:left="620"/>
        <w:spacing w:after="0" w:line="206" w:lineRule="auto"/>
        <w:tabs>
          <w:tab w:leader="none" w:pos="3980" w:val="left"/>
        </w:tabs>
        <w:rPr>
          <w:sz w:val="20"/>
          <w:szCs w:val="20"/>
          <w:color w:val="auto"/>
        </w:rPr>
      </w:pPr>
      <w:r>
        <w:rPr>
          <w:rFonts w:ascii="Arial" w:cs="Arial" w:eastAsia="Arial" w:hAnsi="Arial"/>
          <w:sz w:val="16"/>
          <w:szCs w:val="16"/>
          <w:color w:val="auto"/>
        </w:rPr>
        <w:t>Management Succession Planning and</w:t>
      </w:r>
      <w:r>
        <w:rPr>
          <w:sz w:val="20"/>
          <w:szCs w:val="20"/>
          <w:color w:val="auto"/>
        </w:rPr>
        <w:tab/>
      </w:r>
      <w:r>
        <w:rPr>
          <w:rFonts w:ascii="Arial" w:cs="Arial" w:eastAsia="Arial" w:hAnsi="Arial"/>
          <w:sz w:val="24"/>
          <w:szCs w:val="24"/>
          <w:color w:val="auto"/>
          <w:vertAlign w:val="subscript"/>
        </w:rPr>
        <w:t>37</w:t>
      </w:r>
    </w:p>
    <w:p>
      <w:pPr>
        <w:ind w:left="620"/>
        <w:spacing w:after="0"/>
        <w:tabs>
          <w:tab w:leader="none" w:pos="2660" w:val="left"/>
        </w:tabs>
        <w:rPr>
          <w:sz w:val="20"/>
          <w:szCs w:val="20"/>
          <w:color w:val="auto"/>
        </w:rPr>
      </w:pPr>
      <w:r>
        <w:rPr>
          <w:rFonts w:ascii="Arial" w:cs="Arial" w:eastAsia="Arial" w:hAnsi="Arial"/>
          <w:sz w:val="16"/>
          <w:szCs w:val="16"/>
          <w:color w:val="auto"/>
        </w:rPr>
        <w:t>Talent Development Process</w:t>
        <w:tab/>
        <w:t>......................</w:t>
      </w:r>
    </w:p>
    <w:p>
      <w:pPr>
        <w:spacing w:after="0" w:line="43" w:lineRule="exact"/>
        <w:rPr>
          <w:sz w:val="20"/>
          <w:szCs w:val="20"/>
          <w:color w:val="auto"/>
        </w:rPr>
      </w:pPr>
    </w:p>
    <w:p>
      <w:pPr>
        <w:ind w:left="620"/>
        <w:spacing w:after="0"/>
        <w:tabs>
          <w:tab w:leader="dot" w:pos="3980" w:val="left"/>
        </w:tabs>
        <w:rPr>
          <w:sz w:val="20"/>
          <w:szCs w:val="20"/>
          <w:color w:val="auto"/>
        </w:rPr>
      </w:pPr>
      <w:r>
        <w:rPr>
          <w:rFonts w:ascii="Arial" w:cs="Arial" w:eastAsia="Arial" w:hAnsi="Arial"/>
          <w:sz w:val="16"/>
          <w:szCs w:val="16"/>
          <w:color w:val="auto"/>
        </w:rPr>
        <w:t>Board Oversight of Risk</w:t>
      </w:r>
      <w:r>
        <w:rPr>
          <w:sz w:val="20"/>
          <w:szCs w:val="20"/>
          <w:color w:val="auto"/>
        </w:rPr>
        <w:tab/>
      </w:r>
      <w:r>
        <w:rPr>
          <w:rFonts w:ascii="Arial" w:cs="Arial" w:eastAsia="Arial" w:hAnsi="Arial"/>
          <w:sz w:val="16"/>
          <w:szCs w:val="16"/>
          <w:color w:val="auto"/>
        </w:rPr>
        <w:t>38</w:t>
      </w:r>
    </w:p>
    <w:p>
      <w:pPr>
        <w:spacing w:after="0" w:line="46" w:lineRule="exact"/>
        <w:rPr>
          <w:sz w:val="20"/>
          <w:szCs w:val="20"/>
          <w:color w:val="auto"/>
        </w:rPr>
      </w:pPr>
    </w:p>
    <w:p>
      <w:pPr>
        <w:ind w:left="620"/>
        <w:spacing w:after="0"/>
        <w:tabs>
          <w:tab w:leader="dot" w:pos="3980" w:val="left"/>
        </w:tabs>
        <w:rPr>
          <w:sz w:val="20"/>
          <w:szCs w:val="20"/>
          <w:color w:val="auto"/>
        </w:rPr>
      </w:pPr>
      <w:r>
        <w:rPr>
          <w:rFonts w:ascii="Arial" w:cs="Arial" w:eastAsia="Arial" w:hAnsi="Arial"/>
          <w:sz w:val="16"/>
          <w:szCs w:val="16"/>
          <w:color w:val="auto"/>
        </w:rPr>
        <w:t>Communicating with the Board</w:t>
      </w:r>
      <w:r>
        <w:rPr>
          <w:sz w:val="20"/>
          <w:szCs w:val="20"/>
          <w:color w:val="auto"/>
        </w:rPr>
        <w:tab/>
      </w:r>
      <w:r>
        <w:rPr>
          <w:rFonts w:ascii="Arial" w:cs="Arial" w:eastAsia="Arial" w:hAnsi="Arial"/>
          <w:sz w:val="16"/>
          <w:szCs w:val="16"/>
          <w:color w:val="auto"/>
        </w:rPr>
        <w:t>39</w:t>
      </w:r>
    </w:p>
    <w:p>
      <w:pPr>
        <w:spacing w:after="0" w:line="34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65BAA"/>
        </w:rPr>
        <w:t>2026 Proxy Statement and Notice of Annual Shareholder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Longstanding Commitment to</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Shareholder Engagement............................</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Overview of Our Engagement Program......</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2025 Shareholder Engagement..................</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Additional Actions Responsive to</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Shareholder Feedback................................</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Capital Structure...........................................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Other Governance Policies..........................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Code of Ethics.............................................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Public Policy Engagement..........................</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Stock Ownership Guidelines.......................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Insider Trading Policy..................................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65BAA"/>
        </w:rPr>
        <w:t>The Company....................................................</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Executive Officers of the Company............</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Corporate Responsibility.............................</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2025 Highlights...........................................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2030 Goals..................................................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Certain Relationships and</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Related Transactions...................................</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Review, Approval, or Ratification of</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Transactions with Related Persons.............</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Transactions with Related Persons.............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Indemnification of Directors and Officers.....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Security Ownership of Certain Beneficial</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Owners and Management............................</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Audit Matters................................................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Introduction.................................................</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Information about Fees Paid to</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Independent Registered Public</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Accounting Firm..........................................</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Audit Committee Report..............................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65BAA"/>
        </w:rPr>
        <w:t>Proposal No. 2:</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Ratification of Appointment of</w:t>
      </w:r>
    </w:p>
    <w:p>
      <w:pPr>
        <w:ind w:left="380"/>
        <w:spacing w:after="0" w:line="235" w:lineRule="auto"/>
        <w:rPr>
          <w:sz w:val="20"/>
          <w:szCs w:val="20"/>
          <w:color w:val="auto"/>
        </w:rPr>
      </w:pPr>
      <w:r>
        <w:rPr>
          <w:rFonts w:ascii="Arial" w:cs="Arial" w:eastAsia="Arial" w:hAnsi="Arial"/>
          <w:sz w:val="16"/>
          <w:szCs w:val="16"/>
          <w:b w:val="1"/>
          <w:bCs w:val="1"/>
          <w:color w:val="auto"/>
        </w:rPr>
        <w:t>Independent Registered Public</w:t>
      </w:r>
    </w:p>
    <w:p>
      <w:pPr>
        <w:ind w:left="380"/>
        <w:spacing w:after="0"/>
        <w:rPr>
          <w:sz w:val="20"/>
          <w:szCs w:val="20"/>
          <w:color w:val="auto"/>
        </w:rPr>
      </w:pPr>
      <w:r>
        <w:rPr>
          <w:rFonts w:ascii="Arial" w:cs="Arial" w:eastAsia="Arial" w:hAnsi="Arial"/>
          <w:sz w:val="16"/>
          <w:szCs w:val="16"/>
          <w:b w:val="1"/>
          <w:bCs w:val="1"/>
          <w:color w:val="auto"/>
        </w:rPr>
        <w:t>Accounting Firm</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65BAA"/>
        </w:rPr>
        <w:t>Compensation-Related Matters.......................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Named Executive Officers....................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Executive Summary.....................................</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Introduction to Our</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Compensation Program............................</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What’s New..............................................</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Compensation Program Overview..............</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Compensation Program Objectives</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and Principles...........................................</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How Our Compensation</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Program Works.........................................</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Key Compensation Program</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Governance Features..............................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39</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39</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40</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41</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42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44</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44</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44</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44</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44</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65BAA"/>
        </w:rPr>
        <w:t>45</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45</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48</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48</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48</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49</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49</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49</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49</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50</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53</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53</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54</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55</w:t>
      </w: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065BAA"/>
        </w:rPr>
        <w:t>55</w:t>
      </w: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65BAA"/>
        </w:rPr>
        <w:t>56</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56</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56</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57</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57</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58</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61</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61</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62</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63</w:t>
      </w:r>
    </w:p>
    <w:p>
      <w:pPr>
        <w:spacing w:after="0" w:line="200" w:lineRule="exact"/>
        <w:rPr>
          <w:sz w:val="20"/>
          <w:szCs w:val="20"/>
          <w:color w:val="auto"/>
        </w:rPr>
      </w:pPr>
    </w:p>
    <w:p>
      <w:pPr>
        <w:spacing w:after="0" w:line="377" w:lineRule="exact"/>
        <w:rPr>
          <w:sz w:val="20"/>
          <w:szCs w:val="20"/>
          <w:color w:val="auto"/>
        </w:rPr>
      </w:pPr>
    </w:p>
    <w:p>
      <w:pPr>
        <w:jc w:val="right"/>
        <w:ind w:right="179"/>
        <w:spacing w:after="0"/>
        <w:rPr>
          <w:sz w:val="20"/>
          <w:szCs w:val="20"/>
          <w:color w:val="auto"/>
        </w:rPr>
      </w:pPr>
      <w:r>
        <w:rPr>
          <w:rFonts w:ascii="Arial" w:cs="Arial" w:eastAsia="Arial" w:hAnsi="Arial"/>
          <w:sz w:val="14"/>
          <w:szCs w:val="14"/>
          <w:b w:val="1"/>
          <w:bCs w:val="1"/>
          <w:color w:val="065BAA"/>
        </w:rPr>
        <w:t>iv</w:t>
      </w:r>
    </w:p>
    <w:p>
      <w:pPr>
        <w:sectPr>
          <w:pgSz w:w="11900" w:h="16838" w:orient="portrait"/>
          <w:cols w:equalWidth="0" w:num="3">
            <w:col w:w="4620" w:space="220"/>
            <w:col w:w="3460" w:space="260"/>
            <w:col w:w="459"/>
          </w:cols>
          <w:pgMar w:left="1440" w:top="1139" w:right="1440" w:bottom="1440" w:gutter="0" w:footer="0" w:header="0"/>
          <w:type w:val="continuous"/>
        </w:sectPr>
      </w:pPr>
    </w:p>
    <w:bookmarkStart w:id="8" w:name="page9"/>
    <w:bookmarkEnd w:id="8"/>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620"/>
        <w:spacing w:after="0"/>
        <w:tabs>
          <w:tab w:leader="none" w:pos="3980" w:val="left"/>
        </w:tabs>
        <w:rPr>
          <w:sz w:val="20"/>
          <w:szCs w:val="20"/>
          <w:color w:val="auto"/>
        </w:rPr>
      </w:pPr>
      <w:r>
        <w:rPr>
          <w:rFonts w:ascii="Arial" w:cs="Arial" w:eastAsia="Arial" w:hAnsi="Arial"/>
          <w:sz w:val="16"/>
          <w:szCs w:val="16"/>
          <w:color w:val="auto"/>
        </w:rPr>
        <w:t>Components of Executive Pay: What We</w:t>
      </w:r>
      <w:r>
        <w:rPr>
          <w:sz w:val="20"/>
          <w:szCs w:val="20"/>
          <w:color w:val="auto"/>
        </w:rPr>
        <w:tab/>
      </w:r>
      <w:r>
        <w:rPr>
          <w:rFonts w:ascii="Arial" w:cs="Arial" w:eastAsia="Arial" w:hAnsi="Arial"/>
          <w:sz w:val="24"/>
          <w:szCs w:val="24"/>
          <w:color w:val="auto"/>
          <w:vertAlign w:val="subscript"/>
        </w:rPr>
        <w:t>64</w:t>
      </w:r>
    </w:p>
    <w:p>
      <w:pPr>
        <w:ind w:left="620"/>
        <w:spacing w:after="0"/>
        <w:tabs>
          <w:tab w:leader="none" w:pos="2300" w:val="left"/>
        </w:tabs>
        <w:rPr>
          <w:sz w:val="20"/>
          <w:szCs w:val="20"/>
          <w:color w:val="auto"/>
        </w:rPr>
      </w:pPr>
      <w:r>
        <w:rPr>
          <w:rFonts w:ascii="Arial" w:cs="Arial" w:eastAsia="Arial" w:hAnsi="Arial"/>
          <w:sz w:val="16"/>
          <w:szCs w:val="16"/>
          <w:color w:val="auto"/>
        </w:rPr>
        <w:t>Pay and Why We Pay It</w:t>
        <w:tab/>
        <w:t>..............................</w:t>
      </w:r>
    </w:p>
    <w:p>
      <w:pPr>
        <w:spacing w:after="0" w:line="30" w:lineRule="exact"/>
        <w:rPr>
          <w:sz w:val="20"/>
          <w:szCs w:val="20"/>
          <w:color w:val="auto"/>
        </w:rPr>
      </w:pPr>
    </w:p>
    <w:p>
      <w:pPr>
        <w:ind w:left="740"/>
        <w:spacing w:after="0"/>
        <w:tabs>
          <w:tab w:leader="dot" w:pos="3980" w:val="left"/>
        </w:tabs>
        <w:rPr>
          <w:sz w:val="20"/>
          <w:szCs w:val="20"/>
          <w:color w:val="auto"/>
        </w:rPr>
      </w:pPr>
      <w:r>
        <w:rPr>
          <w:rFonts w:ascii="Arial" w:cs="Arial" w:eastAsia="Arial" w:hAnsi="Arial"/>
          <w:sz w:val="16"/>
          <w:szCs w:val="16"/>
          <w:color w:val="auto"/>
        </w:rPr>
        <w:t>Base Salaries</w:t>
      </w:r>
      <w:r>
        <w:rPr>
          <w:sz w:val="20"/>
          <w:szCs w:val="20"/>
          <w:color w:val="auto"/>
        </w:rPr>
        <w:tab/>
      </w:r>
      <w:r>
        <w:rPr>
          <w:rFonts w:ascii="Arial" w:cs="Arial" w:eastAsia="Arial" w:hAnsi="Arial"/>
          <w:sz w:val="16"/>
          <w:szCs w:val="16"/>
          <w:color w:val="auto"/>
        </w:rPr>
        <w:t>64</w:t>
      </w:r>
    </w:p>
    <w:p>
      <w:pPr>
        <w:spacing w:after="0" w:line="46" w:lineRule="exact"/>
        <w:rPr>
          <w:sz w:val="20"/>
          <w:szCs w:val="20"/>
          <w:color w:val="auto"/>
        </w:rPr>
      </w:pPr>
    </w:p>
    <w:p>
      <w:pPr>
        <w:ind w:left="740"/>
        <w:spacing w:after="0"/>
        <w:tabs>
          <w:tab w:leader="dot" w:pos="3980" w:val="left"/>
        </w:tabs>
        <w:rPr>
          <w:sz w:val="20"/>
          <w:szCs w:val="20"/>
          <w:color w:val="auto"/>
        </w:rPr>
      </w:pPr>
      <w:r>
        <w:rPr>
          <w:rFonts w:ascii="Arial" w:cs="Arial" w:eastAsia="Arial" w:hAnsi="Arial"/>
          <w:sz w:val="16"/>
          <w:szCs w:val="16"/>
          <w:color w:val="auto"/>
        </w:rPr>
        <w:t>Annual Cash Incentives</w:t>
      </w:r>
      <w:r>
        <w:rPr>
          <w:sz w:val="20"/>
          <w:szCs w:val="20"/>
          <w:color w:val="auto"/>
        </w:rPr>
        <w:tab/>
      </w:r>
      <w:r>
        <w:rPr>
          <w:rFonts w:ascii="Arial" w:cs="Arial" w:eastAsia="Arial" w:hAnsi="Arial"/>
          <w:sz w:val="16"/>
          <w:szCs w:val="16"/>
          <w:color w:val="auto"/>
        </w:rPr>
        <w:t>65</w:t>
      </w:r>
    </w:p>
    <w:p>
      <w:pPr>
        <w:spacing w:after="0" w:line="46" w:lineRule="exact"/>
        <w:rPr>
          <w:sz w:val="20"/>
          <w:szCs w:val="20"/>
          <w:color w:val="auto"/>
        </w:rPr>
      </w:pPr>
    </w:p>
    <w:p>
      <w:pPr>
        <w:ind w:left="740"/>
        <w:spacing w:after="0"/>
        <w:tabs>
          <w:tab w:leader="dot" w:pos="3980" w:val="left"/>
        </w:tabs>
        <w:rPr>
          <w:sz w:val="20"/>
          <w:szCs w:val="20"/>
          <w:color w:val="auto"/>
        </w:rPr>
      </w:pPr>
      <w:r>
        <w:rPr>
          <w:rFonts w:ascii="Arial" w:cs="Arial" w:eastAsia="Arial" w:hAnsi="Arial"/>
          <w:sz w:val="16"/>
          <w:szCs w:val="16"/>
          <w:color w:val="auto"/>
        </w:rPr>
        <w:t>Annual Equity Awards</w:t>
      </w:r>
      <w:r>
        <w:rPr>
          <w:sz w:val="20"/>
          <w:szCs w:val="20"/>
          <w:color w:val="auto"/>
        </w:rPr>
        <w:tab/>
      </w:r>
      <w:r>
        <w:rPr>
          <w:rFonts w:ascii="Arial" w:cs="Arial" w:eastAsia="Arial" w:hAnsi="Arial"/>
          <w:sz w:val="16"/>
          <w:szCs w:val="16"/>
          <w:color w:val="auto"/>
        </w:rPr>
        <w:t>69</w:t>
      </w:r>
    </w:p>
    <w:p>
      <w:pPr>
        <w:spacing w:after="0" w:line="46" w:lineRule="exact"/>
        <w:rPr>
          <w:sz w:val="20"/>
          <w:szCs w:val="20"/>
          <w:color w:val="auto"/>
        </w:rPr>
      </w:pPr>
    </w:p>
    <w:p>
      <w:pPr>
        <w:ind w:left="740"/>
        <w:spacing w:after="0"/>
        <w:tabs>
          <w:tab w:leader="dot" w:pos="3980" w:val="left"/>
        </w:tabs>
        <w:rPr>
          <w:sz w:val="20"/>
          <w:szCs w:val="20"/>
          <w:color w:val="auto"/>
        </w:rPr>
      </w:pPr>
      <w:r>
        <w:rPr>
          <w:rFonts w:ascii="Arial" w:cs="Arial" w:eastAsia="Arial" w:hAnsi="Arial"/>
          <w:sz w:val="16"/>
          <w:szCs w:val="16"/>
          <w:color w:val="auto"/>
        </w:rPr>
        <w:t>Perquisites and Personal Benefits</w:t>
      </w:r>
      <w:r>
        <w:rPr>
          <w:sz w:val="20"/>
          <w:szCs w:val="20"/>
          <w:color w:val="auto"/>
        </w:rPr>
        <w:tab/>
      </w:r>
      <w:r>
        <w:rPr>
          <w:rFonts w:ascii="Arial" w:cs="Arial" w:eastAsia="Arial" w:hAnsi="Arial"/>
          <w:sz w:val="16"/>
          <w:szCs w:val="16"/>
          <w:color w:val="auto"/>
        </w:rPr>
        <w:t>72</w:t>
      </w:r>
    </w:p>
    <w:p>
      <w:pPr>
        <w:spacing w:after="0" w:line="46" w:lineRule="exact"/>
        <w:rPr>
          <w:sz w:val="20"/>
          <w:szCs w:val="20"/>
          <w:color w:val="auto"/>
        </w:rPr>
      </w:pPr>
    </w:p>
    <w:p>
      <w:pPr>
        <w:ind w:left="740"/>
        <w:spacing w:after="0"/>
        <w:tabs>
          <w:tab w:leader="dot" w:pos="3980" w:val="left"/>
        </w:tabs>
        <w:rPr>
          <w:sz w:val="20"/>
          <w:szCs w:val="20"/>
          <w:color w:val="auto"/>
        </w:rPr>
      </w:pPr>
      <w:r>
        <w:rPr>
          <w:rFonts w:ascii="Arial" w:cs="Arial" w:eastAsia="Arial" w:hAnsi="Arial"/>
          <w:sz w:val="16"/>
          <w:szCs w:val="16"/>
          <w:color w:val="auto"/>
        </w:rPr>
        <w:t>Potential Severance Payments</w:t>
      </w:r>
      <w:r>
        <w:rPr>
          <w:sz w:val="20"/>
          <w:szCs w:val="20"/>
          <w:color w:val="auto"/>
        </w:rPr>
        <w:tab/>
      </w:r>
      <w:r>
        <w:rPr>
          <w:rFonts w:ascii="Arial" w:cs="Arial" w:eastAsia="Arial" w:hAnsi="Arial"/>
          <w:sz w:val="16"/>
          <w:szCs w:val="16"/>
          <w:color w:val="auto"/>
        </w:rPr>
        <w:t>72</w:t>
      </w:r>
    </w:p>
    <w:p>
      <w:pPr>
        <w:spacing w:after="0" w:line="46" w:lineRule="exact"/>
        <w:rPr>
          <w:sz w:val="20"/>
          <w:szCs w:val="20"/>
          <w:color w:val="auto"/>
        </w:rPr>
      </w:pPr>
    </w:p>
    <w:p>
      <w:pPr>
        <w:ind w:left="620"/>
        <w:spacing w:after="0"/>
        <w:tabs>
          <w:tab w:leader="dot" w:pos="3980" w:val="left"/>
        </w:tabs>
        <w:rPr>
          <w:sz w:val="20"/>
          <w:szCs w:val="20"/>
          <w:color w:val="auto"/>
        </w:rPr>
      </w:pPr>
      <w:r>
        <w:rPr>
          <w:rFonts w:ascii="Arial" w:cs="Arial" w:eastAsia="Arial" w:hAnsi="Arial"/>
          <w:sz w:val="16"/>
          <w:szCs w:val="16"/>
          <w:color w:val="auto"/>
        </w:rPr>
        <w:t>Compensation Processes</w:t>
      </w:r>
      <w:r>
        <w:rPr>
          <w:sz w:val="20"/>
          <w:szCs w:val="20"/>
          <w:color w:val="auto"/>
        </w:rPr>
        <w:tab/>
      </w:r>
      <w:r>
        <w:rPr>
          <w:rFonts w:ascii="Arial" w:cs="Arial" w:eastAsia="Arial" w:hAnsi="Arial"/>
          <w:sz w:val="16"/>
          <w:szCs w:val="16"/>
          <w:color w:val="auto"/>
        </w:rPr>
        <w:t>73</w:t>
      </w:r>
    </w:p>
    <w:p>
      <w:pPr>
        <w:spacing w:after="0" w:line="46" w:lineRule="exact"/>
        <w:rPr>
          <w:sz w:val="20"/>
          <w:szCs w:val="20"/>
          <w:color w:val="auto"/>
        </w:rPr>
      </w:pPr>
    </w:p>
    <w:p>
      <w:pPr>
        <w:ind w:left="740"/>
        <w:spacing w:after="0"/>
        <w:tabs>
          <w:tab w:leader="dot" w:pos="3980" w:val="left"/>
        </w:tabs>
        <w:rPr>
          <w:sz w:val="20"/>
          <w:szCs w:val="20"/>
          <w:color w:val="auto"/>
        </w:rPr>
      </w:pPr>
      <w:r>
        <w:rPr>
          <w:rFonts w:ascii="Arial" w:cs="Arial" w:eastAsia="Arial" w:hAnsi="Arial"/>
          <w:sz w:val="16"/>
          <w:szCs w:val="16"/>
          <w:color w:val="auto"/>
        </w:rPr>
        <w:t>Compensation Committee</w:t>
      </w:r>
      <w:r>
        <w:rPr>
          <w:sz w:val="20"/>
          <w:szCs w:val="20"/>
          <w:color w:val="auto"/>
        </w:rPr>
        <w:tab/>
      </w:r>
      <w:r>
        <w:rPr>
          <w:rFonts w:ascii="Arial" w:cs="Arial" w:eastAsia="Arial" w:hAnsi="Arial"/>
          <w:sz w:val="16"/>
          <w:szCs w:val="16"/>
          <w:color w:val="auto"/>
        </w:rPr>
        <w:t>73</w:t>
      </w:r>
    </w:p>
    <w:p>
      <w:pPr>
        <w:ind w:left="740"/>
        <w:spacing w:after="0" w:line="206" w:lineRule="auto"/>
        <w:tabs>
          <w:tab w:leader="none" w:pos="3980" w:val="left"/>
        </w:tabs>
        <w:rPr>
          <w:sz w:val="20"/>
          <w:szCs w:val="20"/>
          <w:color w:val="auto"/>
        </w:rPr>
      </w:pPr>
      <w:r>
        <w:rPr>
          <w:rFonts w:ascii="Arial" w:cs="Arial" w:eastAsia="Arial" w:hAnsi="Arial"/>
          <w:sz w:val="16"/>
          <w:szCs w:val="16"/>
          <w:color w:val="auto"/>
        </w:rPr>
        <w:t>Management; Management’s</w:t>
      </w:r>
      <w:r>
        <w:rPr>
          <w:sz w:val="20"/>
          <w:szCs w:val="20"/>
          <w:color w:val="auto"/>
        </w:rPr>
        <w:tab/>
      </w:r>
      <w:r>
        <w:rPr>
          <w:rFonts w:ascii="Arial" w:cs="Arial" w:eastAsia="Arial" w:hAnsi="Arial"/>
          <w:sz w:val="24"/>
          <w:szCs w:val="24"/>
          <w:color w:val="auto"/>
          <w:vertAlign w:val="subscript"/>
        </w:rPr>
        <w:t>74</w:t>
      </w:r>
    </w:p>
    <w:p>
      <w:pPr>
        <w:ind w:left="740"/>
        <w:spacing w:after="0"/>
        <w:tabs>
          <w:tab w:leader="none" w:pos="2600" w:val="left"/>
        </w:tabs>
        <w:rPr>
          <w:sz w:val="20"/>
          <w:szCs w:val="20"/>
          <w:color w:val="auto"/>
        </w:rPr>
      </w:pPr>
      <w:r>
        <w:rPr>
          <w:rFonts w:ascii="Arial" w:cs="Arial" w:eastAsia="Arial" w:hAnsi="Arial"/>
          <w:sz w:val="16"/>
          <w:szCs w:val="16"/>
          <w:color w:val="auto"/>
        </w:rPr>
        <w:t>Compensation Consultant</w:t>
      </w:r>
      <w:r>
        <w:rPr>
          <w:sz w:val="20"/>
          <w:szCs w:val="20"/>
          <w:color w:val="auto"/>
        </w:rPr>
        <w:tab/>
      </w:r>
      <w:r>
        <w:rPr>
          <w:rFonts w:ascii="Arial" w:cs="Arial" w:eastAsia="Arial" w:hAnsi="Arial"/>
          <w:sz w:val="15"/>
          <w:szCs w:val="15"/>
          <w:color w:val="auto"/>
        </w:rPr>
        <w:t>........................</w:t>
      </w:r>
    </w:p>
    <w:p>
      <w:pPr>
        <w:ind w:left="740"/>
        <w:spacing w:after="0" w:line="203" w:lineRule="auto"/>
        <w:tabs>
          <w:tab w:leader="none" w:pos="3980" w:val="left"/>
        </w:tabs>
        <w:rPr>
          <w:sz w:val="20"/>
          <w:szCs w:val="20"/>
          <w:color w:val="auto"/>
        </w:rPr>
      </w:pPr>
      <w:r>
        <w:rPr>
          <w:rFonts w:ascii="Arial" w:cs="Arial" w:eastAsia="Arial" w:hAnsi="Arial"/>
          <w:sz w:val="16"/>
          <w:szCs w:val="16"/>
          <w:color w:val="auto"/>
        </w:rPr>
        <w:t>Shareholder Input and Outreach and the</w:t>
      </w:r>
      <w:r>
        <w:rPr>
          <w:sz w:val="20"/>
          <w:szCs w:val="20"/>
          <w:color w:val="auto"/>
        </w:rPr>
        <w:tab/>
      </w:r>
      <w:r>
        <w:rPr>
          <w:rFonts w:ascii="Arial" w:cs="Arial" w:eastAsia="Arial" w:hAnsi="Arial"/>
          <w:sz w:val="24"/>
          <w:szCs w:val="24"/>
          <w:color w:val="auto"/>
          <w:vertAlign w:val="subscript"/>
        </w:rPr>
        <w:t>74</w:t>
      </w:r>
    </w:p>
    <w:p>
      <w:pPr>
        <w:spacing w:after="0" w:line="1" w:lineRule="exact"/>
        <w:rPr>
          <w:sz w:val="20"/>
          <w:szCs w:val="20"/>
          <w:color w:val="auto"/>
        </w:rPr>
      </w:pPr>
    </w:p>
    <w:p>
      <w:pPr>
        <w:ind w:left="740"/>
        <w:spacing w:after="0"/>
        <w:tabs>
          <w:tab w:leader="none" w:pos="2860" w:val="left"/>
        </w:tabs>
        <w:rPr>
          <w:sz w:val="20"/>
          <w:szCs w:val="20"/>
          <w:color w:val="auto"/>
        </w:rPr>
      </w:pPr>
      <w:r>
        <w:rPr>
          <w:rFonts w:ascii="Arial" w:cs="Arial" w:eastAsia="Arial" w:hAnsi="Arial"/>
          <w:sz w:val="16"/>
          <w:szCs w:val="16"/>
          <w:color w:val="auto"/>
        </w:rPr>
        <w:t>2025 Say-on-Pay Vote Result</w:t>
      </w:r>
      <w:r>
        <w:rPr>
          <w:sz w:val="20"/>
          <w:szCs w:val="20"/>
          <w:color w:val="auto"/>
        </w:rPr>
        <w:tab/>
      </w:r>
      <w:r>
        <w:rPr>
          <w:rFonts w:ascii="Arial" w:cs="Arial" w:eastAsia="Arial" w:hAnsi="Arial"/>
          <w:sz w:val="15"/>
          <w:szCs w:val="15"/>
          <w:color w:val="auto"/>
        </w:rPr>
        <w:t>..................</w:t>
      </w:r>
    </w:p>
    <w:p>
      <w:pPr>
        <w:spacing w:after="0" w:line="43" w:lineRule="exact"/>
        <w:rPr>
          <w:sz w:val="20"/>
          <w:szCs w:val="20"/>
          <w:color w:val="auto"/>
        </w:rPr>
      </w:pPr>
    </w:p>
    <w:p>
      <w:pPr>
        <w:ind w:left="740"/>
        <w:spacing w:after="0"/>
        <w:tabs>
          <w:tab w:leader="dot" w:pos="3980" w:val="left"/>
        </w:tabs>
        <w:rPr>
          <w:sz w:val="20"/>
          <w:szCs w:val="20"/>
          <w:color w:val="auto"/>
        </w:rPr>
      </w:pPr>
      <w:r>
        <w:rPr>
          <w:rFonts w:ascii="Arial" w:cs="Arial" w:eastAsia="Arial" w:hAnsi="Arial"/>
          <w:sz w:val="16"/>
          <w:szCs w:val="16"/>
          <w:color w:val="auto"/>
        </w:rPr>
        <w:t>Independent Compensation Consultant</w:t>
      </w:r>
      <w:r>
        <w:rPr>
          <w:sz w:val="20"/>
          <w:szCs w:val="20"/>
          <w:color w:val="auto"/>
        </w:rPr>
        <w:tab/>
      </w:r>
      <w:r>
        <w:rPr>
          <w:rFonts w:ascii="Arial" w:cs="Arial" w:eastAsia="Arial" w:hAnsi="Arial"/>
          <w:sz w:val="16"/>
          <w:szCs w:val="16"/>
          <w:color w:val="auto"/>
        </w:rPr>
        <w:t>76</w:t>
      </w:r>
    </w:p>
    <w:p>
      <w:pPr>
        <w:spacing w:after="0" w:line="46" w:lineRule="exact"/>
        <w:rPr>
          <w:sz w:val="20"/>
          <w:szCs w:val="20"/>
          <w:color w:val="auto"/>
        </w:rPr>
      </w:pPr>
    </w:p>
    <w:p>
      <w:pPr>
        <w:ind w:left="740"/>
        <w:spacing w:after="0"/>
        <w:tabs>
          <w:tab w:leader="dot" w:pos="3980" w:val="left"/>
        </w:tabs>
        <w:rPr>
          <w:sz w:val="20"/>
          <w:szCs w:val="20"/>
          <w:color w:val="auto"/>
        </w:rPr>
      </w:pPr>
      <w:r>
        <w:rPr>
          <w:rFonts w:ascii="Arial" w:cs="Arial" w:eastAsia="Arial" w:hAnsi="Arial"/>
          <w:sz w:val="16"/>
          <w:szCs w:val="16"/>
          <w:color w:val="auto"/>
        </w:rPr>
        <w:t>Peer and Other Market Data</w:t>
      </w:r>
      <w:r>
        <w:rPr>
          <w:sz w:val="20"/>
          <w:szCs w:val="20"/>
          <w:color w:val="auto"/>
        </w:rPr>
        <w:tab/>
      </w:r>
      <w:r>
        <w:rPr>
          <w:rFonts w:ascii="Arial" w:cs="Arial" w:eastAsia="Arial" w:hAnsi="Arial"/>
          <w:sz w:val="16"/>
          <w:szCs w:val="16"/>
          <w:color w:val="auto"/>
        </w:rPr>
        <w:t>76</w:t>
      </w:r>
    </w:p>
    <w:p>
      <w:pPr>
        <w:spacing w:after="0" w:line="46" w:lineRule="exact"/>
        <w:rPr>
          <w:sz w:val="20"/>
          <w:szCs w:val="20"/>
          <w:color w:val="auto"/>
        </w:rPr>
      </w:pPr>
    </w:p>
    <w:p>
      <w:pPr>
        <w:ind w:left="740"/>
        <w:spacing w:after="0"/>
        <w:tabs>
          <w:tab w:leader="dot" w:pos="3980" w:val="left"/>
        </w:tabs>
        <w:rPr>
          <w:sz w:val="20"/>
          <w:szCs w:val="20"/>
          <w:color w:val="auto"/>
        </w:rPr>
      </w:pPr>
      <w:r>
        <w:rPr>
          <w:rFonts w:ascii="Arial" w:cs="Arial" w:eastAsia="Arial" w:hAnsi="Arial"/>
          <w:sz w:val="16"/>
          <w:szCs w:val="16"/>
          <w:color w:val="auto"/>
        </w:rPr>
        <w:t>Risk Assessment</w:t>
      </w:r>
      <w:r>
        <w:rPr>
          <w:sz w:val="20"/>
          <w:szCs w:val="20"/>
          <w:color w:val="auto"/>
        </w:rPr>
        <w:tab/>
      </w:r>
      <w:r>
        <w:rPr>
          <w:rFonts w:ascii="Arial" w:cs="Arial" w:eastAsia="Arial" w:hAnsi="Arial"/>
          <w:sz w:val="16"/>
          <w:szCs w:val="16"/>
          <w:color w:val="auto"/>
        </w:rPr>
        <w:t>78</w:t>
      </w:r>
    </w:p>
    <w:p>
      <w:pPr>
        <w:spacing w:after="0" w:line="46" w:lineRule="exact"/>
        <w:rPr>
          <w:sz w:val="20"/>
          <w:szCs w:val="20"/>
          <w:color w:val="auto"/>
        </w:rPr>
      </w:pPr>
    </w:p>
    <w:p>
      <w:pPr>
        <w:ind w:left="740"/>
        <w:spacing w:after="0"/>
        <w:tabs>
          <w:tab w:leader="dot" w:pos="3980" w:val="left"/>
        </w:tabs>
        <w:rPr>
          <w:sz w:val="20"/>
          <w:szCs w:val="20"/>
          <w:color w:val="auto"/>
        </w:rPr>
      </w:pPr>
      <w:r>
        <w:rPr>
          <w:rFonts w:ascii="Arial" w:cs="Arial" w:eastAsia="Arial" w:hAnsi="Arial"/>
          <w:sz w:val="16"/>
          <w:szCs w:val="16"/>
          <w:color w:val="auto"/>
        </w:rPr>
        <w:t>Tax Implications</w:t>
      </w:r>
      <w:r>
        <w:rPr>
          <w:sz w:val="20"/>
          <w:szCs w:val="20"/>
          <w:color w:val="auto"/>
        </w:rPr>
        <w:tab/>
      </w:r>
      <w:r>
        <w:rPr>
          <w:rFonts w:ascii="Arial" w:cs="Arial" w:eastAsia="Arial" w:hAnsi="Arial"/>
          <w:sz w:val="16"/>
          <w:szCs w:val="16"/>
          <w:color w:val="auto"/>
        </w:rPr>
        <w:t>78</w:t>
      </w:r>
    </w:p>
    <w:p>
      <w:pPr>
        <w:spacing w:after="0" w:line="46" w:lineRule="exact"/>
        <w:rPr>
          <w:sz w:val="20"/>
          <w:szCs w:val="20"/>
          <w:color w:val="auto"/>
        </w:rPr>
      </w:pPr>
    </w:p>
    <w:p>
      <w:pPr>
        <w:ind w:left="460"/>
        <w:spacing w:after="0"/>
        <w:tabs>
          <w:tab w:leader="dot" w:pos="3980" w:val="left"/>
        </w:tabs>
        <w:rPr>
          <w:sz w:val="20"/>
          <w:szCs w:val="20"/>
          <w:color w:val="auto"/>
        </w:rPr>
      </w:pPr>
      <w:r>
        <w:rPr>
          <w:rFonts w:ascii="Arial" w:cs="Arial" w:eastAsia="Arial" w:hAnsi="Arial"/>
          <w:sz w:val="16"/>
          <w:szCs w:val="16"/>
          <w:b w:val="1"/>
          <w:bCs w:val="1"/>
          <w:color w:val="auto"/>
        </w:rPr>
        <w:t>Compensation Committee Report</w:t>
      </w:r>
      <w:r>
        <w:rPr>
          <w:sz w:val="20"/>
          <w:szCs w:val="20"/>
          <w:color w:val="auto"/>
        </w:rPr>
        <w:tab/>
      </w:r>
      <w:r>
        <w:rPr>
          <w:rFonts w:ascii="Arial" w:cs="Arial" w:eastAsia="Arial" w:hAnsi="Arial"/>
          <w:sz w:val="16"/>
          <w:szCs w:val="16"/>
          <w:b w:val="1"/>
          <w:bCs w:val="1"/>
          <w:color w:val="auto"/>
        </w:rPr>
        <w:t>79</w:t>
      </w:r>
    </w:p>
    <w:p>
      <w:pPr>
        <w:ind w:left="460"/>
        <w:spacing w:after="0" w:line="206" w:lineRule="auto"/>
        <w:tabs>
          <w:tab w:leader="none" w:pos="3980" w:val="left"/>
        </w:tabs>
        <w:rPr>
          <w:sz w:val="20"/>
          <w:szCs w:val="20"/>
          <w:color w:val="auto"/>
        </w:rPr>
      </w:pPr>
      <w:r>
        <w:rPr>
          <w:rFonts w:ascii="Arial" w:cs="Arial" w:eastAsia="Arial" w:hAnsi="Arial"/>
          <w:sz w:val="16"/>
          <w:szCs w:val="16"/>
          <w:b w:val="1"/>
          <w:bCs w:val="1"/>
          <w:color w:val="auto"/>
        </w:rPr>
        <w:t>Compensation Committee Interlocks and</w:t>
      </w:r>
      <w:r>
        <w:rPr>
          <w:sz w:val="20"/>
          <w:szCs w:val="20"/>
          <w:color w:val="auto"/>
        </w:rPr>
        <w:tab/>
      </w:r>
      <w:r>
        <w:rPr>
          <w:rFonts w:ascii="Arial" w:cs="Arial" w:eastAsia="Arial" w:hAnsi="Arial"/>
          <w:sz w:val="24"/>
          <w:szCs w:val="24"/>
          <w:b w:val="1"/>
          <w:bCs w:val="1"/>
          <w:color w:val="auto"/>
          <w:vertAlign w:val="subscript"/>
        </w:rPr>
        <w:t>79</w:t>
      </w:r>
    </w:p>
    <w:p>
      <w:pPr>
        <w:ind w:left="460"/>
        <w:spacing w:after="0"/>
        <w:tabs>
          <w:tab w:leader="none" w:pos="2000" w:val="left"/>
        </w:tabs>
        <w:rPr>
          <w:sz w:val="20"/>
          <w:szCs w:val="20"/>
          <w:color w:val="auto"/>
        </w:rPr>
      </w:pPr>
      <w:r>
        <w:rPr>
          <w:rFonts w:ascii="Arial" w:cs="Arial" w:eastAsia="Arial" w:hAnsi="Arial"/>
          <w:sz w:val="16"/>
          <w:szCs w:val="16"/>
          <w:b w:val="1"/>
          <w:bCs w:val="1"/>
          <w:color w:val="auto"/>
        </w:rPr>
        <w:t>Insider Participation</w:t>
        <w:tab/>
        <w:t>....................................</w:t>
      </w:r>
    </w:p>
    <w:p>
      <w:pPr>
        <w:spacing w:after="0" w:line="43" w:lineRule="exact"/>
        <w:rPr>
          <w:sz w:val="20"/>
          <w:szCs w:val="20"/>
          <w:color w:val="auto"/>
        </w:rPr>
      </w:pPr>
    </w:p>
    <w:p>
      <w:pPr>
        <w:ind w:left="460"/>
        <w:spacing w:after="0"/>
        <w:tabs>
          <w:tab w:leader="dot" w:pos="3980" w:val="left"/>
        </w:tabs>
        <w:rPr>
          <w:sz w:val="20"/>
          <w:szCs w:val="20"/>
          <w:color w:val="auto"/>
        </w:rPr>
      </w:pPr>
      <w:r>
        <w:rPr>
          <w:rFonts w:ascii="Arial" w:cs="Arial" w:eastAsia="Arial" w:hAnsi="Arial"/>
          <w:sz w:val="16"/>
          <w:szCs w:val="16"/>
          <w:b w:val="1"/>
          <w:bCs w:val="1"/>
          <w:color w:val="auto"/>
        </w:rPr>
        <w:t>Compensation Dashboard</w:t>
      </w:r>
      <w:r>
        <w:rPr>
          <w:sz w:val="20"/>
          <w:szCs w:val="20"/>
          <w:color w:val="auto"/>
        </w:rPr>
        <w:tab/>
      </w:r>
      <w:r>
        <w:rPr>
          <w:rFonts w:ascii="Arial" w:cs="Arial" w:eastAsia="Arial" w:hAnsi="Arial"/>
          <w:sz w:val="16"/>
          <w:szCs w:val="16"/>
          <w:b w:val="1"/>
          <w:bCs w:val="1"/>
          <w:color w:val="auto"/>
        </w:rPr>
        <w:t>80</w:t>
      </w:r>
    </w:p>
    <w:p>
      <w:pPr>
        <w:spacing w:after="0" w:line="46" w:lineRule="exact"/>
        <w:rPr>
          <w:sz w:val="20"/>
          <w:szCs w:val="20"/>
          <w:color w:val="auto"/>
        </w:rPr>
      </w:pPr>
    </w:p>
    <w:p>
      <w:pPr>
        <w:ind w:left="620"/>
        <w:spacing w:after="0"/>
        <w:tabs>
          <w:tab w:leader="dot" w:pos="3980" w:val="left"/>
        </w:tabs>
        <w:rPr>
          <w:sz w:val="20"/>
          <w:szCs w:val="20"/>
          <w:color w:val="auto"/>
        </w:rPr>
      </w:pPr>
      <w:r>
        <w:rPr>
          <w:rFonts w:ascii="Arial" w:cs="Arial" w:eastAsia="Arial" w:hAnsi="Arial"/>
          <w:sz w:val="16"/>
          <w:szCs w:val="16"/>
          <w:color w:val="auto"/>
        </w:rPr>
        <w:t>2025 Executive Compensation Tables</w:t>
      </w:r>
      <w:r>
        <w:rPr>
          <w:sz w:val="20"/>
          <w:szCs w:val="20"/>
          <w:color w:val="auto"/>
        </w:rPr>
        <w:tab/>
      </w:r>
      <w:r>
        <w:rPr>
          <w:rFonts w:ascii="Arial" w:cs="Arial" w:eastAsia="Arial" w:hAnsi="Arial"/>
          <w:sz w:val="16"/>
          <w:szCs w:val="16"/>
          <w:color w:val="auto"/>
        </w:rPr>
        <w:t>80</w:t>
      </w:r>
    </w:p>
    <w:p>
      <w:pPr>
        <w:spacing w:after="0" w:line="46" w:lineRule="exact"/>
        <w:rPr>
          <w:sz w:val="20"/>
          <w:szCs w:val="20"/>
          <w:color w:val="auto"/>
        </w:rPr>
      </w:pPr>
    </w:p>
    <w:p>
      <w:pPr>
        <w:ind w:left="740"/>
        <w:spacing w:after="0"/>
        <w:tabs>
          <w:tab w:leader="dot" w:pos="3980" w:val="left"/>
        </w:tabs>
        <w:rPr>
          <w:sz w:val="20"/>
          <w:szCs w:val="20"/>
          <w:color w:val="auto"/>
        </w:rPr>
      </w:pPr>
      <w:r>
        <w:rPr>
          <w:rFonts w:ascii="Arial" w:cs="Arial" w:eastAsia="Arial" w:hAnsi="Arial"/>
          <w:sz w:val="16"/>
          <w:szCs w:val="16"/>
          <w:color w:val="auto"/>
        </w:rPr>
        <w:t>2025 Summary Compensation Table</w:t>
      </w:r>
      <w:r>
        <w:rPr>
          <w:sz w:val="20"/>
          <w:szCs w:val="20"/>
          <w:color w:val="auto"/>
        </w:rPr>
        <w:tab/>
      </w:r>
      <w:r>
        <w:rPr>
          <w:rFonts w:ascii="Arial" w:cs="Arial" w:eastAsia="Arial" w:hAnsi="Arial"/>
          <w:sz w:val="16"/>
          <w:szCs w:val="16"/>
          <w:color w:val="auto"/>
        </w:rPr>
        <w:t>80</w:t>
      </w:r>
    </w:p>
    <w:p>
      <w:pPr>
        <w:spacing w:after="0" w:line="46" w:lineRule="exact"/>
        <w:rPr>
          <w:sz w:val="20"/>
          <w:szCs w:val="20"/>
          <w:color w:val="auto"/>
        </w:rPr>
      </w:pPr>
    </w:p>
    <w:p>
      <w:pPr>
        <w:ind w:left="740"/>
        <w:spacing w:after="0"/>
        <w:tabs>
          <w:tab w:leader="dot" w:pos="3980" w:val="left"/>
        </w:tabs>
        <w:rPr>
          <w:sz w:val="20"/>
          <w:szCs w:val="20"/>
          <w:color w:val="auto"/>
        </w:rPr>
      </w:pPr>
      <w:r>
        <w:rPr>
          <w:rFonts w:ascii="Arial" w:cs="Arial" w:eastAsia="Arial" w:hAnsi="Arial"/>
          <w:sz w:val="16"/>
          <w:szCs w:val="16"/>
          <w:color w:val="auto"/>
        </w:rPr>
        <w:t>2025 Grants of Plan-Based Awards</w:t>
      </w:r>
      <w:r>
        <w:rPr>
          <w:sz w:val="20"/>
          <w:szCs w:val="20"/>
          <w:color w:val="auto"/>
        </w:rPr>
        <w:tab/>
      </w:r>
      <w:r>
        <w:rPr>
          <w:rFonts w:ascii="Arial" w:cs="Arial" w:eastAsia="Arial" w:hAnsi="Arial"/>
          <w:sz w:val="16"/>
          <w:szCs w:val="16"/>
          <w:color w:val="auto"/>
        </w:rPr>
        <w:t>81</w:t>
      </w:r>
    </w:p>
    <w:p>
      <w:pPr>
        <w:ind w:left="740"/>
        <w:spacing w:after="0" w:line="206" w:lineRule="auto"/>
        <w:tabs>
          <w:tab w:leader="none" w:pos="3980" w:val="left"/>
        </w:tabs>
        <w:rPr>
          <w:sz w:val="20"/>
          <w:szCs w:val="20"/>
          <w:color w:val="auto"/>
        </w:rPr>
      </w:pPr>
      <w:r>
        <w:rPr>
          <w:rFonts w:ascii="Arial" w:cs="Arial" w:eastAsia="Arial" w:hAnsi="Arial"/>
          <w:sz w:val="16"/>
          <w:szCs w:val="16"/>
          <w:color w:val="auto"/>
        </w:rPr>
        <w:t>Outstanding Equity Awards at 2025</w:t>
      </w:r>
      <w:r>
        <w:rPr>
          <w:sz w:val="20"/>
          <w:szCs w:val="20"/>
          <w:color w:val="auto"/>
        </w:rPr>
        <w:tab/>
      </w:r>
      <w:r>
        <w:rPr>
          <w:rFonts w:ascii="Arial" w:cs="Arial" w:eastAsia="Arial" w:hAnsi="Arial"/>
          <w:sz w:val="24"/>
          <w:szCs w:val="24"/>
          <w:color w:val="auto"/>
          <w:vertAlign w:val="subscript"/>
        </w:rPr>
        <w:t>82</w:t>
      </w:r>
    </w:p>
    <w:p>
      <w:pPr>
        <w:ind w:left="740"/>
        <w:spacing w:after="0"/>
        <w:tabs>
          <w:tab w:leader="none" w:pos="1860" w:val="left"/>
        </w:tabs>
        <w:rPr>
          <w:sz w:val="20"/>
          <w:szCs w:val="20"/>
          <w:color w:val="auto"/>
        </w:rPr>
      </w:pPr>
      <w:r>
        <w:rPr>
          <w:rFonts w:ascii="Arial" w:cs="Arial" w:eastAsia="Arial" w:hAnsi="Arial"/>
          <w:sz w:val="16"/>
          <w:szCs w:val="16"/>
          <w:color w:val="auto"/>
        </w:rPr>
        <w:t>Fiscal Year-End</w:t>
        <w:tab/>
        <w:t>........................................</w:t>
      </w:r>
    </w:p>
    <w:p>
      <w:pPr>
        <w:ind w:left="740"/>
        <w:spacing w:after="0" w:line="203" w:lineRule="auto"/>
        <w:tabs>
          <w:tab w:leader="none" w:pos="3980" w:val="left"/>
        </w:tabs>
        <w:rPr>
          <w:sz w:val="20"/>
          <w:szCs w:val="20"/>
          <w:color w:val="auto"/>
        </w:rPr>
      </w:pPr>
      <w:r>
        <w:rPr>
          <w:rFonts w:ascii="Arial" w:cs="Arial" w:eastAsia="Arial" w:hAnsi="Arial"/>
          <w:sz w:val="16"/>
          <w:szCs w:val="16"/>
          <w:color w:val="auto"/>
        </w:rPr>
        <w:t>2025 Option Exercises and</w:t>
      </w:r>
      <w:r>
        <w:rPr>
          <w:sz w:val="20"/>
          <w:szCs w:val="20"/>
          <w:color w:val="auto"/>
        </w:rPr>
        <w:tab/>
      </w:r>
      <w:r>
        <w:rPr>
          <w:rFonts w:ascii="Arial" w:cs="Arial" w:eastAsia="Arial" w:hAnsi="Arial"/>
          <w:sz w:val="24"/>
          <w:szCs w:val="24"/>
          <w:color w:val="auto"/>
          <w:vertAlign w:val="subscript"/>
        </w:rPr>
        <w:t>85</w:t>
      </w:r>
    </w:p>
    <w:p>
      <w:pPr>
        <w:spacing w:after="0" w:line="1" w:lineRule="exact"/>
        <w:rPr>
          <w:sz w:val="20"/>
          <w:szCs w:val="20"/>
          <w:color w:val="auto"/>
        </w:rPr>
      </w:pPr>
    </w:p>
    <w:p>
      <w:pPr>
        <w:ind w:left="740"/>
        <w:spacing w:after="0"/>
        <w:tabs>
          <w:tab w:leader="none" w:pos="1680" w:val="left"/>
        </w:tabs>
        <w:rPr>
          <w:sz w:val="20"/>
          <w:szCs w:val="20"/>
          <w:color w:val="auto"/>
        </w:rPr>
      </w:pPr>
      <w:r>
        <w:rPr>
          <w:rFonts w:ascii="Arial" w:cs="Arial" w:eastAsia="Arial" w:hAnsi="Arial"/>
          <w:sz w:val="16"/>
          <w:szCs w:val="16"/>
          <w:color w:val="auto"/>
        </w:rPr>
        <w:t>Stock Vested</w:t>
        <w:tab/>
        <w:t>............................................</w:t>
      </w:r>
    </w:p>
    <w:p>
      <w:pPr>
        <w:ind w:left="740"/>
        <w:spacing w:after="0" w:line="203" w:lineRule="auto"/>
        <w:tabs>
          <w:tab w:leader="none" w:pos="3980" w:val="left"/>
        </w:tabs>
        <w:rPr>
          <w:sz w:val="20"/>
          <w:szCs w:val="20"/>
          <w:color w:val="auto"/>
        </w:rPr>
      </w:pPr>
      <w:r>
        <w:rPr>
          <w:rFonts w:ascii="Arial" w:cs="Arial" w:eastAsia="Arial" w:hAnsi="Arial"/>
          <w:sz w:val="16"/>
          <w:szCs w:val="16"/>
          <w:color w:val="auto"/>
        </w:rPr>
        <w:t>Nonqualified Deferred Compensation at</w:t>
      </w:r>
      <w:r>
        <w:rPr>
          <w:sz w:val="20"/>
          <w:szCs w:val="20"/>
          <w:color w:val="auto"/>
        </w:rPr>
        <w:tab/>
      </w:r>
      <w:r>
        <w:rPr>
          <w:rFonts w:ascii="Arial" w:cs="Arial" w:eastAsia="Arial" w:hAnsi="Arial"/>
          <w:sz w:val="24"/>
          <w:szCs w:val="24"/>
          <w:color w:val="auto"/>
          <w:vertAlign w:val="subscript"/>
        </w:rPr>
        <w:t>85</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2025 Fiscal Year-End</w:t>
      </w:r>
      <w:r>
        <w:rPr>
          <w:sz w:val="20"/>
          <w:szCs w:val="20"/>
          <w:color w:val="auto"/>
        </w:rPr>
        <w:t xml:space="preserve"> </w:t>
      </w:r>
      <w:r>
        <w:rPr>
          <w:rFonts w:ascii="Arial" w:cs="Arial" w:eastAsia="Arial" w:hAnsi="Arial"/>
          <w:sz w:val="16"/>
          <w:szCs w:val="16"/>
          <w:color w:val="auto"/>
        </w:rPr>
        <w:t>...............................</w:t>
      </w:r>
    </w:p>
    <w:p>
      <w:pPr>
        <w:spacing w:after="0" w:line="16" w:lineRule="exact"/>
        <w:rPr>
          <w:sz w:val="20"/>
          <w:szCs w:val="20"/>
          <w:color w:val="auto"/>
        </w:rPr>
      </w:pPr>
    </w:p>
    <w:p>
      <w:pPr>
        <w:ind w:left="740"/>
        <w:spacing w:after="0"/>
        <w:tabs>
          <w:tab w:leader="dot" w:pos="3980" w:val="left"/>
        </w:tabs>
        <w:rPr>
          <w:sz w:val="20"/>
          <w:szCs w:val="20"/>
          <w:color w:val="auto"/>
        </w:rPr>
      </w:pPr>
      <w:r>
        <w:rPr>
          <w:rFonts w:ascii="Arial" w:cs="Arial" w:eastAsia="Arial" w:hAnsi="Arial"/>
          <w:sz w:val="16"/>
          <w:szCs w:val="16"/>
          <w:color w:val="auto"/>
        </w:rPr>
        <w:t>Post-Employment Compensation</w:t>
      </w:r>
      <w:r>
        <w:rPr>
          <w:sz w:val="20"/>
          <w:szCs w:val="20"/>
          <w:color w:val="auto"/>
        </w:rPr>
        <w:tab/>
      </w: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360"/>
        <w:spacing w:after="0"/>
        <w:tabs>
          <w:tab w:leader="dot" w:pos="3720" w:val="left"/>
        </w:tabs>
        <w:rPr>
          <w:sz w:val="20"/>
          <w:szCs w:val="20"/>
          <w:color w:val="auto"/>
        </w:rPr>
      </w:pPr>
      <w:r>
        <w:rPr>
          <w:rFonts w:ascii="Arial" w:cs="Arial" w:eastAsia="Arial" w:hAnsi="Arial"/>
          <w:sz w:val="16"/>
          <w:szCs w:val="16"/>
          <w:color w:val="auto"/>
        </w:rPr>
        <w:t>Additional Compensation Information</w:t>
      </w:r>
      <w:r>
        <w:rPr>
          <w:sz w:val="20"/>
          <w:szCs w:val="20"/>
          <w:color w:val="auto"/>
        </w:rPr>
        <w:tab/>
      </w:r>
      <w:r>
        <w:rPr>
          <w:rFonts w:ascii="Arial" w:cs="Arial" w:eastAsia="Arial" w:hAnsi="Arial"/>
          <w:sz w:val="16"/>
          <w:szCs w:val="16"/>
          <w:color w:val="auto"/>
        </w:rPr>
        <w:t>90</w:t>
      </w:r>
    </w:p>
    <w:p>
      <w:pPr>
        <w:spacing w:after="0" w:line="32" w:lineRule="exact"/>
        <w:rPr>
          <w:sz w:val="20"/>
          <w:szCs w:val="20"/>
          <w:color w:val="auto"/>
        </w:rPr>
      </w:pPr>
    </w:p>
    <w:p>
      <w:pPr>
        <w:jc w:val="right"/>
        <w:ind w:right="259"/>
        <w:spacing w:after="0"/>
        <w:tabs>
          <w:tab w:leader="dot" w:pos="160" w:val="left"/>
        </w:tabs>
        <w:rPr>
          <w:sz w:val="20"/>
          <w:szCs w:val="20"/>
          <w:color w:val="auto"/>
        </w:rPr>
      </w:pPr>
      <w:r>
        <w:rPr>
          <w:rFonts w:ascii="Arial" w:cs="Arial" w:eastAsia="Arial" w:hAnsi="Arial"/>
          <w:sz w:val="16"/>
          <w:szCs w:val="16"/>
          <w:color w:val="auto"/>
        </w:rPr>
        <w:t>Annual Cash Incentives</w:t>
      </w:r>
      <w:r>
        <w:rPr>
          <w:sz w:val="20"/>
          <w:szCs w:val="20"/>
          <w:color w:val="auto"/>
        </w:rPr>
        <w:tab/>
      </w:r>
      <w:r>
        <w:rPr>
          <w:rFonts w:ascii="Arial" w:cs="Arial" w:eastAsia="Arial" w:hAnsi="Arial"/>
          <w:sz w:val="16"/>
          <w:szCs w:val="16"/>
          <w:color w:val="auto"/>
        </w:rPr>
        <w:t>90</w:t>
      </w:r>
    </w:p>
    <w:p>
      <w:pPr>
        <w:spacing w:after="0" w:line="46" w:lineRule="exact"/>
        <w:rPr>
          <w:sz w:val="20"/>
          <w:szCs w:val="20"/>
          <w:color w:val="auto"/>
        </w:rPr>
      </w:pPr>
    </w:p>
    <w:p>
      <w:pPr>
        <w:jc w:val="right"/>
        <w:ind w:right="259"/>
        <w:spacing w:after="0"/>
        <w:tabs>
          <w:tab w:leader="dot" w:pos="160" w:val="left"/>
        </w:tabs>
        <w:rPr>
          <w:sz w:val="20"/>
          <w:szCs w:val="20"/>
          <w:color w:val="auto"/>
        </w:rPr>
      </w:pPr>
      <w:r>
        <w:rPr>
          <w:rFonts w:ascii="Arial" w:cs="Arial" w:eastAsia="Arial" w:hAnsi="Arial"/>
          <w:sz w:val="16"/>
          <w:szCs w:val="16"/>
          <w:color w:val="auto"/>
        </w:rPr>
        <w:t>Perquisites and Personal Benefits</w:t>
      </w:r>
      <w:r>
        <w:rPr>
          <w:sz w:val="20"/>
          <w:szCs w:val="20"/>
          <w:color w:val="auto"/>
        </w:rPr>
        <w:tab/>
      </w:r>
      <w:r>
        <w:rPr>
          <w:rFonts w:ascii="Arial" w:cs="Arial" w:eastAsia="Arial" w:hAnsi="Arial"/>
          <w:sz w:val="16"/>
          <w:szCs w:val="16"/>
          <w:color w:val="auto"/>
        </w:rPr>
        <w:t>92</w:t>
      </w:r>
    </w:p>
    <w:p>
      <w:pPr>
        <w:spacing w:after="0" w:line="46" w:lineRule="exact"/>
        <w:rPr>
          <w:sz w:val="20"/>
          <w:szCs w:val="20"/>
          <w:color w:val="auto"/>
        </w:rPr>
      </w:pPr>
    </w:p>
    <w:p>
      <w:pPr>
        <w:jc w:val="right"/>
        <w:ind w:right="259"/>
        <w:spacing w:after="0"/>
        <w:tabs>
          <w:tab w:leader="dot" w:pos="160" w:val="left"/>
        </w:tabs>
        <w:rPr>
          <w:sz w:val="20"/>
          <w:szCs w:val="20"/>
          <w:color w:val="auto"/>
        </w:rPr>
      </w:pPr>
      <w:r>
        <w:rPr>
          <w:rFonts w:ascii="Arial" w:cs="Arial" w:eastAsia="Arial" w:hAnsi="Arial"/>
          <w:sz w:val="16"/>
          <w:szCs w:val="16"/>
          <w:color w:val="auto"/>
        </w:rPr>
        <w:t>Potential Severance Payments</w:t>
      </w:r>
      <w:r>
        <w:rPr>
          <w:sz w:val="20"/>
          <w:szCs w:val="20"/>
          <w:color w:val="auto"/>
        </w:rPr>
        <w:tab/>
      </w:r>
      <w:r>
        <w:rPr>
          <w:rFonts w:ascii="Arial" w:cs="Arial" w:eastAsia="Arial" w:hAnsi="Arial"/>
          <w:sz w:val="16"/>
          <w:szCs w:val="16"/>
          <w:color w:val="auto"/>
        </w:rPr>
        <w:t>93</w:t>
      </w:r>
    </w:p>
    <w:p>
      <w:pPr>
        <w:spacing w:after="0" w:line="46" w:lineRule="exact"/>
        <w:rPr>
          <w:sz w:val="20"/>
          <w:szCs w:val="20"/>
          <w:color w:val="auto"/>
        </w:rPr>
      </w:pPr>
    </w:p>
    <w:p>
      <w:pPr>
        <w:jc w:val="right"/>
        <w:ind w:right="259"/>
        <w:spacing w:after="0"/>
        <w:tabs>
          <w:tab w:leader="dot" w:pos="160" w:val="left"/>
        </w:tabs>
        <w:rPr>
          <w:sz w:val="20"/>
          <w:szCs w:val="20"/>
          <w:color w:val="auto"/>
        </w:rPr>
      </w:pPr>
      <w:r>
        <w:rPr>
          <w:rFonts w:ascii="Arial" w:cs="Arial" w:eastAsia="Arial" w:hAnsi="Arial"/>
          <w:sz w:val="16"/>
          <w:szCs w:val="16"/>
          <w:color w:val="auto"/>
        </w:rPr>
        <w:t>Pay Ratio</w:t>
      </w:r>
      <w:r>
        <w:rPr>
          <w:sz w:val="20"/>
          <w:szCs w:val="20"/>
          <w:color w:val="auto"/>
        </w:rPr>
        <w:tab/>
      </w:r>
      <w:r>
        <w:rPr>
          <w:rFonts w:ascii="Arial" w:cs="Arial" w:eastAsia="Arial" w:hAnsi="Arial"/>
          <w:sz w:val="16"/>
          <w:szCs w:val="16"/>
          <w:color w:val="auto"/>
        </w:rPr>
        <w:t>94</w:t>
      </w:r>
    </w:p>
    <w:p>
      <w:pPr>
        <w:spacing w:after="0" w:line="46" w:lineRule="exact"/>
        <w:rPr>
          <w:sz w:val="20"/>
          <w:szCs w:val="20"/>
          <w:color w:val="auto"/>
        </w:rPr>
      </w:pPr>
    </w:p>
    <w:p>
      <w:pPr>
        <w:jc w:val="right"/>
        <w:ind w:right="259"/>
        <w:spacing w:after="0"/>
        <w:tabs>
          <w:tab w:leader="dot" w:pos="160" w:val="left"/>
        </w:tabs>
        <w:rPr>
          <w:sz w:val="20"/>
          <w:szCs w:val="20"/>
          <w:color w:val="auto"/>
        </w:rPr>
      </w:pPr>
      <w:r>
        <w:rPr>
          <w:rFonts w:ascii="Arial" w:cs="Arial" w:eastAsia="Arial" w:hAnsi="Arial"/>
          <w:sz w:val="16"/>
          <w:szCs w:val="16"/>
          <w:color w:val="auto"/>
        </w:rPr>
        <w:t>Pay Versus Performance</w:t>
      </w:r>
      <w:r>
        <w:rPr>
          <w:sz w:val="20"/>
          <w:szCs w:val="20"/>
          <w:color w:val="auto"/>
        </w:rPr>
        <w:tab/>
      </w:r>
      <w:r>
        <w:rPr>
          <w:rFonts w:ascii="Arial" w:cs="Arial" w:eastAsia="Arial" w:hAnsi="Arial"/>
          <w:sz w:val="16"/>
          <w:szCs w:val="16"/>
          <w:color w:val="auto"/>
        </w:rPr>
        <w:t>95</w:t>
      </w:r>
    </w:p>
    <w:p>
      <w:pPr>
        <w:spacing w:after="0" w:line="46" w:lineRule="exact"/>
        <w:rPr>
          <w:sz w:val="20"/>
          <w:szCs w:val="20"/>
          <w:color w:val="auto"/>
        </w:rPr>
      </w:pPr>
    </w:p>
    <w:p>
      <w:pPr>
        <w:jc w:val="right"/>
        <w:ind w:right="259"/>
        <w:spacing w:after="0"/>
        <w:tabs>
          <w:tab w:leader="dot" w:pos="160" w:val="left"/>
        </w:tabs>
        <w:rPr>
          <w:sz w:val="20"/>
          <w:szCs w:val="20"/>
          <w:color w:val="auto"/>
        </w:rPr>
      </w:pPr>
      <w:r>
        <w:rPr>
          <w:rFonts w:ascii="Arial" w:cs="Arial" w:eastAsia="Arial" w:hAnsi="Arial"/>
          <w:sz w:val="16"/>
          <w:szCs w:val="16"/>
          <w:color w:val="auto"/>
        </w:rPr>
        <w:t>Equity Compensation Information</w:t>
      </w:r>
      <w:r>
        <w:rPr>
          <w:sz w:val="20"/>
          <w:szCs w:val="20"/>
          <w:color w:val="auto"/>
        </w:rPr>
        <w:tab/>
      </w:r>
      <w:r>
        <w:rPr>
          <w:rFonts w:ascii="Arial" w:cs="Arial" w:eastAsia="Arial" w:hAnsi="Arial"/>
          <w:sz w:val="16"/>
          <w:szCs w:val="16"/>
          <w:color w:val="auto"/>
        </w:rPr>
        <w:t>98</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65BAA"/>
        </w:rPr>
        <w:t>Proposal No. 3:</w:t>
      </w:r>
    </w:p>
    <w:p>
      <w:pPr>
        <w:ind w:left="380"/>
        <w:spacing w:after="0" w:line="186" w:lineRule="auto"/>
        <w:tabs>
          <w:tab w:leader="none" w:pos="3600" w:val="left"/>
        </w:tabs>
        <w:rPr>
          <w:sz w:val="20"/>
          <w:szCs w:val="20"/>
          <w:color w:val="auto"/>
        </w:rPr>
      </w:pPr>
      <w:r>
        <w:rPr>
          <w:rFonts w:ascii="Arial" w:cs="Arial" w:eastAsia="Arial" w:hAnsi="Arial"/>
          <w:sz w:val="16"/>
          <w:szCs w:val="16"/>
          <w:b w:val="1"/>
          <w:bCs w:val="1"/>
          <w:color w:val="auto"/>
        </w:rPr>
        <w:t>Advisory Vote on Compensation of</w:t>
      </w:r>
      <w:r>
        <w:rPr>
          <w:sz w:val="20"/>
          <w:szCs w:val="20"/>
          <w:color w:val="auto"/>
        </w:rPr>
        <w:tab/>
      </w:r>
      <w:r>
        <w:rPr>
          <w:rFonts w:ascii="Arial" w:cs="Arial" w:eastAsia="Arial" w:hAnsi="Arial"/>
          <w:sz w:val="22"/>
          <w:szCs w:val="22"/>
          <w:b w:val="1"/>
          <w:bCs w:val="1"/>
          <w:color w:val="065BAA"/>
          <w:vertAlign w:val="subscript"/>
        </w:rPr>
        <w:t>101</w:t>
      </w:r>
    </w:p>
    <w:p>
      <w:pPr>
        <w:ind w:left="380"/>
        <w:spacing w:after="0"/>
        <w:rPr>
          <w:sz w:val="20"/>
          <w:szCs w:val="20"/>
          <w:color w:val="auto"/>
        </w:rPr>
      </w:pPr>
      <w:r>
        <w:rPr>
          <w:rFonts w:ascii="Arial" w:cs="Arial" w:eastAsia="Arial" w:hAnsi="Arial"/>
          <w:sz w:val="16"/>
          <w:szCs w:val="16"/>
          <w:b w:val="1"/>
          <w:bCs w:val="1"/>
          <w:color w:val="auto"/>
        </w:rPr>
        <w:t>Named Executive Officers</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(Say-on-Pay)</w:t>
      </w:r>
    </w:p>
    <w:p>
      <w:pPr>
        <w:spacing w:after="0" w:line="178" w:lineRule="exact"/>
        <w:rPr>
          <w:sz w:val="20"/>
          <w:szCs w:val="20"/>
          <w:color w:val="auto"/>
        </w:rPr>
      </w:pPr>
    </w:p>
    <w:p>
      <w:pPr>
        <w:spacing w:after="0"/>
        <w:tabs>
          <w:tab w:leader="dot" w:pos="3640" w:val="left"/>
        </w:tabs>
        <w:rPr>
          <w:sz w:val="20"/>
          <w:szCs w:val="20"/>
          <w:color w:val="auto"/>
        </w:rPr>
      </w:pPr>
      <w:r>
        <w:rPr>
          <w:rFonts w:ascii="Arial" w:cs="Arial" w:eastAsia="Arial" w:hAnsi="Arial"/>
          <w:sz w:val="16"/>
          <w:szCs w:val="16"/>
          <w:b w:val="1"/>
          <w:bCs w:val="1"/>
          <w:color w:val="065BAA"/>
        </w:rPr>
        <w:t>Other Matters</w:t>
      </w:r>
      <w:r>
        <w:rPr>
          <w:sz w:val="20"/>
          <w:szCs w:val="20"/>
          <w:color w:val="auto"/>
        </w:rPr>
        <w:tab/>
      </w:r>
      <w:r>
        <w:rPr>
          <w:rFonts w:ascii="Arial" w:cs="Arial" w:eastAsia="Arial" w:hAnsi="Arial"/>
          <w:sz w:val="15"/>
          <w:szCs w:val="15"/>
          <w:b w:val="1"/>
          <w:bCs w:val="1"/>
          <w:color w:val="065BAA"/>
        </w:rPr>
        <w:t>102</w:t>
      </w:r>
    </w:p>
    <w:p>
      <w:pPr>
        <w:spacing w:after="0" w:line="73" w:lineRule="exact"/>
        <w:rPr>
          <w:sz w:val="20"/>
          <w:szCs w:val="20"/>
          <w:color w:val="auto"/>
        </w:rPr>
      </w:pPr>
    </w:p>
    <w:p>
      <w:pPr>
        <w:ind w:left="220"/>
        <w:spacing w:after="0"/>
        <w:tabs>
          <w:tab w:leader="dot" w:pos="3640" w:val="left"/>
        </w:tabs>
        <w:rPr>
          <w:sz w:val="20"/>
          <w:szCs w:val="20"/>
          <w:color w:val="auto"/>
        </w:rPr>
      </w:pPr>
      <w:r>
        <w:rPr>
          <w:rFonts w:ascii="Arial" w:cs="Arial" w:eastAsia="Arial" w:hAnsi="Arial"/>
          <w:sz w:val="16"/>
          <w:szCs w:val="16"/>
          <w:b w:val="1"/>
          <w:bCs w:val="1"/>
          <w:color w:val="auto"/>
        </w:rPr>
        <w:t>General Information about the Meeting</w:t>
      </w:r>
      <w:r>
        <w:rPr>
          <w:sz w:val="20"/>
          <w:szCs w:val="20"/>
          <w:color w:val="auto"/>
        </w:rPr>
        <w:tab/>
      </w:r>
      <w:r>
        <w:rPr>
          <w:rFonts w:ascii="Arial" w:cs="Arial" w:eastAsia="Arial" w:hAnsi="Arial"/>
          <w:sz w:val="15"/>
          <w:szCs w:val="15"/>
          <w:b w:val="1"/>
          <w:bCs w:val="1"/>
          <w:color w:val="auto"/>
        </w:rPr>
        <w:t>102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65BAA"/>
        </w:rPr>
        <w:t>Appendix A – Note Regarding Forward-</w:t>
      </w:r>
    </w:p>
    <w:p>
      <w:pPr>
        <w:spacing w:after="0" w:line="8" w:lineRule="exact"/>
        <w:rPr>
          <w:sz w:val="20"/>
          <w:szCs w:val="20"/>
          <w:color w:val="auto"/>
        </w:rPr>
      </w:pPr>
    </w:p>
    <w:p>
      <w:pPr>
        <w:spacing w:after="0"/>
        <w:tabs>
          <w:tab w:leader="none" w:pos="3640" w:val="left"/>
        </w:tabs>
        <w:rPr>
          <w:sz w:val="20"/>
          <w:szCs w:val="20"/>
          <w:color w:val="auto"/>
        </w:rPr>
      </w:pPr>
      <w:r>
        <w:rPr>
          <w:rFonts w:ascii="Arial" w:cs="Arial" w:eastAsia="Arial" w:hAnsi="Arial"/>
          <w:sz w:val="16"/>
          <w:szCs w:val="16"/>
          <w:b w:val="1"/>
          <w:bCs w:val="1"/>
          <w:color w:val="065BAA"/>
        </w:rPr>
        <w:t>Looking Statements and Non-GAAP</w:t>
      </w:r>
      <w:r>
        <w:rPr>
          <w:sz w:val="20"/>
          <w:szCs w:val="20"/>
          <w:color w:val="auto"/>
        </w:rPr>
        <w:tab/>
      </w:r>
      <w:r>
        <w:rPr>
          <w:rFonts w:ascii="Arial" w:cs="Arial" w:eastAsia="Arial" w:hAnsi="Arial"/>
          <w:sz w:val="15"/>
          <w:szCs w:val="15"/>
          <w:b w:val="1"/>
          <w:bCs w:val="1"/>
          <w:color w:val="065BAA"/>
        </w:rPr>
        <w:t>109</w:t>
      </w:r>
    </w:p>
    <w:p>
      <w:pPr>
        <w:spacing w:after="0" w:line="5" w:lineRule="exact"/>
        <w:rPr>
          <w:sz w:val="20"/>
          <w:szCs w:val="20"/>
          <w:color w:val="auto"/>
        </w:rPr>
      </w:pPr>
    </w:p>
    <w:p>
      <w:pPr>
        <w:spacing w:after="0"/>
        <w:tabs>
          <w:tab w:leader="none" w:pos="1480" w:val="left"/>
        </w:tabs>
        <w:rPr>
          <w:sz w:val="20"/>
          <w:szCs w:val="20"/>
          <w:color w:val="auto"/>
        </w:rPr>
      </w:pPr>
      <w:r>
        <w:rPr>
          <w:rFonts w:ascii="Arial" w:cs="Arial" w:eastAsia="Arial" w:hAnsi="Arial"/>
          <w:sz w:val="16"/>
          <w:szCs w:val="16"/>
          <w:b w:val="1"/>
          <w:bCs w:val="1"/>
          <w:color w:val="065BAA"/>
        </w:rPr>
        <w:t>Financial Measures</w:t>
        <w:tab/>
        <w:t>...........................................</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065BAA"/>
        </w:rPr>
        <w:t>Key Proxy Information</w:t>
      </w:r>
    </w:p>
    <w:p>
      <w:pPr>
        <w:spacing w:after="0" w:line="59" w:lineRule="exact"/>
        <w:rPr>
          <w:sz w:val="20"/>
          <w:szCs w:val="20"/>
          <w:color w:val="auto"/>
        </w:rPr>
      </w:pPr>
    </w:p>
    <w:p>
      <w:pPr>
        <w:ind w:left="260"/>
        <w:spacing w:after="0"/>
        <w:tabs>
          <w:tab w:leader="dot" w:pos="3820" w:val="left"/>
        </w:tabs>
        <w:rPr>
          <w:sz w:val="20"/>
          <w:szCs w:val="20"/>
          <w:color w:val="auto"/>
        </w:rPr>
      </w:pPr>
      <w:r>
        <w:rPr>
          <w:rFonts w:ascii="Arial" w:cs="Arial" w:eastAsia="Arial" w:hAnsi="Arial"/>
          <w:sz w:val="16"/>
          <w:szCs w:val="16"/>
          <w:color w:val="auto"/>
        </w:rPr>
        <w:t>What’s New</w:t>
      </w:r>
      <w:r>
        <w:rPr>
          <w:sz w:val="20"/>
          <w:szCs w:val="20"/>
          <w:color w:val="auto"/>
        </w:rPr>
        <w:tab/>
      </w:r>
      <w:r>
        <w:rPr>
          <w:rFonts w:ascii="Arial" w:cs="Arial" w:eastAsia="Arial" w:hAnsi="Arial"/>
          <w:sz w:val="14"/>
          <w:szCs w:val="14"/>
          <w:color w:val="auto"/>
        </w:rPr>
        <w:t>3</w:t>
      </w:r>
    </w:p>
    <w:p>
      <w:pPr>
        <w:spacing w:after="0" w:line="46" w:lineRule="exact"/>
        <w:rPr>
          <w:sz w:val="20"/>
          <w:szCs w:val="20"/>
          <w:color w:val="auto"/>
        </w:rPr>
      </w:pPr>
    </w:p>
    <w:p>
      <w:pPr>
        <w:ind w:left="260"/>
        <w:spacing w:after="0"/>
        <w:tabs>
          <w:tab w:leader="dot" w:pos="3720" w:val="left"/>
        </w:tabs>
        <w:rPr>
          <w:sz w:val="20"/>
          <w:szCs w:val="20"/>
          <w:color w:val="auto"/>
        </w:rPr>
      </w:pPr>
      <w:r>
        <w:rPr>
          <w:rFonts w:ascii="Arial" w:cs="Arial" w:eastAsia="Arial" w:hAnsi="Arial"/>
          <w:sz w:val="16"/>
          <w:szCs w:val="16"/>
          <w:color w:val="auto"/>
        </w:rPr>
        <w:t>Governance Overview</w:t>
      </w:r>
      <w:r>
        <w:rPr>
          <w:sz w:val="20"/>
          <w:szCs w:val="20"/>
          <w:color w:val="auto"/>
        </w:rPr>
        <w:tab/>
      </w:r>
      <w:r>
        <w:rPr>
          <w:rFonts w:ascii="Arial" w:cs="Arial" w:eastAsia="Arial" w:hAnsi="Arial"/>
          <w:sz w:val="16"/>
          <w:szCs w:val="16"/>
          <w:color w:val="auto"/>
        </w:rPr>
        <w:t>30</w:t>
      </w:r>
    </w:p>
    <w:p>
      <w:pPr>
        <w:spacing w:after="0" w:line="46" w:lineRule="exact"/>
        <w:rPr>
          <w:sz w:val="20"/>
          <w:szCs w:val="20"/>
          <w:color w:val="auto"/>
        </w:rPr>
      </w:pPr>
    </w:p>
    <w:p>
      <w:pPr>
        <w:ind w:left="260"/>
        <w:spacing w:after="0"/>
        <w:tabs>
          <w:tab w:leader="dot" w:pos="3720" w:val="left"/>
        </w:tabs>
        <w:rPr>
          <w:sz w:val="20"/>
          <w:szCs w:val="20"/>
          <w:color w:val="auto"/>
        </w:rPr>
      </w:pPr>
      <w:r>
        <w:rPr>
          <w:rFonts w:ascii="Arial" w:cs="Arial" w:eastAsia="Arial" w:hAnsi="Arial"/>
          <w:sz w:val="16"/>
          <w:szCs w:val="16"/>
          <w:color w:val="auto"/>
        </w:rPr>
        <w:t>Board Oversight of Risk</w:t>
      </w:r>
      <w:r>
        <w:rPr>
          <w:sz w:val="20"/>
          <w:szCs w:val="20"/>
          <w:color w:val="auto"/>
        </w:rPr>
        <w:tab/>
      </w:r>
      <w:r>
        <w:rPr>
          <w:rFonts w:ascii="Arial" w:cs="Arial" w:eastAsia="Arial" w:hAnsi="Arial"/>
          <w:sz w:val="16"/>
          <w:szCs w:val="16"/>
          <w:color w:val="auto"/>
        </w:rPr>
        <w:t>38</w:t>
      </w:r>
    </w:p>
    <w:p>
      <w:pPr>
        <w:spacing w:after="0" w:line="46" w:lineRule="exact"/>
        <w:rPr>
          <w:sz w:val="20"/>
          <w:szCs w:val="20"/>
          <w:color w:val="auto"/>
        </w:rPr>
      </w:pPr>
    </w:p>
    <w:p>
      <w:pPr>
        <w:ind w:left="260"/>
        <w:spacing w:after="0"/>
        <w:tabs>
          <w:tab w:leader="dot" w:pos="3720" w:val="left"/>
        </w:tabs>
        <w:rPr>
          <w:sz w:val="20"/>
          <w:szCs w:val="20"/>
          <w:color w:val="auto"/>
        </w:rPr>
      </w:pPr>
      <w:r>
        <w:rPr>
          <w:rFonts w:ascii="Arial" w:cs="Arial" w:eastAsia="Arial" w:hAnsi="Arial"/>
          <w:sz w:val="16"/>
          <w:szCs w:val="16"/>
          <w:color w:val="auto"/>
        </w:rPr>
        <w:t>2025 Shareholder Engagement</w:t>
      </w:r>
      <w:r>
        <w:rPr>
          <w:sz w:val="20"/>
          <w:szCs w:val="20"/>
          <w:color w:val="auto"/>
        </w:rPr>
        <w:tab/>
      </w:r>
      <w:r>
        <w:rPr>
          <w:rFonts w:ascii="Arial" w:cs="Arial" w:eastAsia="Arial" w:hAnsi="Arial"/>
          <w:sz w:val="16"/>
          <w:szCs w:val="16"/>
          <w:color w:val="auto"/>
        </w:rPr>
        <w:t>40</w:t>
      </w:r>
    </w:p>
    <w:p>
      <w:pPr>
        <w:spacing w:after="0" w:line="46" w:lineRule="exact"/>
        <w:rPr>
          <w:sz w:val="20"/>
          <w:szCs w:val="20"/>
          <w:color w:val="auto"/>
        </w:rPr>
      </w:pPr>
    </w:p>
    <w:p>
      <w:pPr>
        <w:ind w:left="260"/>
        <w:spacing w:after="0"/>
        <w:tabs>
          <w:tab w:leader="dot" w:pos="3720" w:val="left"/>
        </w:tabs>
        <w:rPr>
          <w:sz w:val="20"/>
          <w:szCs w:val="20"/>
          <w:color w:val="auto"/>
        </w:rPr>
      </w:pPr>
      <w:r>
        <w:rPr>
          <w:rFonts w:ascii="Arial" w:cs="Arial" w:eastAsia="Arial" w:hAnsi="Arial"/>
          <w:sz w:val="16"/>
          <w:szCs w:val="16"/>
          <w:color w:val="auto"/>
        </w:rPr>
        <w:t>Corporate Responsibility</w:t>
      </w:r>
      <w:r>
        <w:rPr>
          <w:sz w:val="20"/>
          <w:szCs w:val="20"/>
          <w:color w:val="auto"/>
        </w:rPr>
        <w:tab/>
      </w:r>
      <w:r>
        <w:rPr>
          <w:rFonts w:ascii="Arial" w:cs="Arial" w:eastAsia="Arial" w:hAnsi="Arial"/>
          <w:sz w:val="16"/>
          <w:szCs w:val="16"/>
          <w:color w:val="auto"/>
        </w:rPr>
        <w:t>48</w:t>
      </w:r>
    </w:p>
    <w:p>
      <w:pPr>
        <w:spacing w:after="0" w:line="46" w:lineRule="exact"/>
        <w:rPr>
          <w:sz w:val="20"/>
          <w:szCs w:val="20"/>
          <w:color w:val="auto"/>
        </w:rPr>
      </w:pPr>
    </w:p>
    <w:p>
      <w:pPr>
        <w:ind w:left="260"/>
        <w:spacing w:after="0"/>
        <w:tabs>
          <w:tab w:leader="dot" w:pos="3720" w:val="left"/>
        </w:tabs>
        <w:rPr>
          <w:sz w:val="20"/>
          <w:szCs w:val="20"/>
          <w:color w:val="auto"/>
        </w:rPr>
      </w:pPr>
      <w:r>
        <w:rPr>
          <w:rFonts w:ascii="Arial" w:cs="Arial" w:eastAsia="Arial" w:hAnsi="Arial"/>
          <w:sz w:val="16"/>
          <w:szCs w:val="16"/>
          <w:color w:val="auto"/>
        </w:rPr>
        <w:t>Compensation Program Overview</w:t>
      </w:r>
      <w:r>
        <w:rPr>
          <w:sz w:val="20"/>
          <w:szCs w:val="20"/>
          <w:color w:val="auto"/>
        </w:rPr>
        <w:tab/>
      </w:r>
      <w:r>
        <w:rPr>
          <w:rFonts w:ascii="Arial" w:cs="Arial" w:eastAsia="Arial" w:hAnsi="Arial"/>
          <w:sz w:val="16"/>
          <w:szCs w:val="16"/>
          <w:color w:val="auto"/>
        </w:rPr>
        <w:t>61</w:t>
      </w:r>
    </w:p>
    <w:p>
      <w:pPr>
        <w:spacing w:after="0" w:line="1225" w:lineRule="exact"/>
        <w:rPr>
          <w:sz w:val="20"/>
          <w:szCs w:val="20"/>
          <w:color w:val="auto"/>
        </w:rPr>
      </w:pPr>
    </w:p>
    <w:p>
      <w:pPr>
        <w:sectPr>
          <w:pgSz w:w="11900" w:h="16838" w:orient="portrait"/>
          <w:cols w:equalWidth="0" w:num="2">
            <w:col w:w="4180" w:space="660"/>
            <w:col w:w="417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0" w:right="259"/>
        <w:spacing w:after="0" w:line="301" w:lineRule="auto"/>
        <w:rPr>
          <w:sz w:val="20"/>
          <w:szCs w:val="20"/>
          <w:color w:val="auto"/>
        </w:rPr>
      </w:pPr>
      <w:r>
        <w:rPr>
          <w:rFonts w:ascii="Arial" w:cs="Arial" w:eastAsia="Arial" w:hAnsi="Arial"/>
          <w:sz w:val="16"/>
          <w:szCs w:val="16"/>
          <w:b w:val="1"/>
          <w:bCs w:val="1"/>
          <w:color w:val="065BAA"/>
        </w:rPr>
        <w:t xml:space="preserve">NOTE REGARDING FORWARD-LOOKING STATEMENTS AND NON-GAAP FINANCIAL MEASURES: </w:t>
      </w:r>
      <w:r>
        <w:rPr>
          <w:rFonts w:ascii="Arial" w:cs="Arial" w:eastAsia="Arial" w:hAnsi="Arial"/>
          <w:sz w:val="16"/>
          <w:szCs w:val="16"/>
          <w:color w:val="000000"/>
        </w:rPr>
        <w:t>See Appendix</w:t>
      </w:r>
      <w:r>
        <w:rPr>
          <w:rFonts w:ascii="Arial" w:cs="Arial" w:eastAsia="Arial" w:hAnsi="Arial"/>
          <w:sz w:val="16"/>
          <w:szCs w:val="16"/>
          <w:b w:val="1"/>
          <w:bCs w:val="1"/>
          <w:color w:val="065BAA"/>
        </w:rPr>
        <w:t xml:space="preserve"> </w:t>
      </w:r>
      <w:r>
        <w:rPr>
          <w:rFonts w:ascii="Arial" w:cs="Arial" w:eastAsia="Arial" w:hAnsi="Arial"/>
          <w:sz w:val="16"/>
          <w:szCs w:val="16"/>
          <w:color w:val="000000"/>
        </w:rPr>
        <w:t>A for important information regarding forward-looking statements and financial measures not calculated in accordance with U.S. Generally Accepted Accounting Principles contained in this proxy statement.</w:t>
      </w:r>
    </w:p>
    <w:p>
      <w:pPr>
        <w:spacing w:after="0" w:line="94" w:lineRule="exact"/>
        <w:rPr>
          <w:sz w:val="20"/>
          <w:szCs w:val="20"/>
          <w:color w:val="auto"/>
        </w:rPr>
      </w:pPr>
    </w:p>
    <w:p>
      <w:pPr>
        <w:ind w:left="140" w:right="159"/>
        <w:spacing w:after="0" w:line="217" w:lineRule="auto"/>
        <w:rPr>
          <w:sz w:val="20"/>
          <w:szCs w:val="20"/>
          <w:color w:val="auto"/>
        </w:rPr>
      </w:pPr>
      <w:r>
        <w:rPr>
          <w:rFonts w:ascii="Arial" w:cs="Arial" w:eastAsia="Arial" w:hAnsi="Arial"/>
          <w:sz w:val="16"/>
          <w:szCs w:val="16"/>
          <w:b w:val="1"/>
          <w:bCs w:val="1"/>
          <w:color w:val="065BAA"/>
        </w:rPr>
        <w:t xml:space="preserve">NOTE REGARDING TRADEMARKS AND PRODUCT NAMES: </w:t>
      </w:r>
      <w:r>
        <w:rPr>
          <w:rFonts w:ascii="Arial" w:cs="Arial" w:eastAsia="Arial" w:hAnsi="Arial"/>
          <w:sz w:val="16"/>
          <w:szCs w:val="16"/>
          <w:color w:val="000000"/>
        </w:rPr>
        <w:t>“ARCALYST</w:t>
      </w:r>
      <w:r>
        <w:rPr>
          <w:rFonts w:ascii="Arial" w:cs="Arial" w:eastAsia="Arial" w:hAnsi="Arial"/>
          <w:sz w:val="21"/>
          <w:szCs w:val="21"/>
          <w:color w:val="000000"/>
          <w:vertAlign w:val="superscript"/>
        </w:rPr>
        <w:t>®</w:t>
      </w:r>
      <w:r>
        <w:rPr>
          <w:rFonts w:ascii="Arial" w:cs="Arial" w:eastAsia="Arial" w:hAnsi="Arial"/>
          <w:sz w:val="16"/>
          <w:szCs w:val="16"/>
          <w:color w:val="000000"/>
        </w:rPr>
        <w:t>,” “Evkeeza</w:t>
      </w:r>
      <w:r>
        <w:rPr>
          <w:rFonts w:ascii="Arial" w:cs="Arial" w:eastAsia="Arial" w:hAnsi="Arial"/>
          <w:sz w:val="21"/>
          <w:szCs w:val="21"/>
          <w:color w:val="000000"/>
          <w:vertAlign w:val="superscript"/>
        </w:rPr>
        <w:t>®</w:t>
      </w:r>
      <w:r>
        <w:rPr>
          <w:rFonts w:ascii="Arial" w:cs="Arial" w:eastAsia="Arial" w:hAnsi="Arial"/>
          <w:sz w:val="16"/>
          <w:szCs w:val="16"/>
          <w:color w:val="000000"/>
        </w:rPr>
        <w:t>,” “EYLEA</w:t>
      </w:r>
      <w:r>
        <w:rPr>
          <w:rFonts w:ascii="Arial" w:cs="Arial" w:eastAsia="Arial" w:hAnsi="Arial"/>
          <w:sz w:val="21"/>
          <w:szCs w:val="21"/>
          <w:color w:val="000000"/>
          <w:vertAlign w:val="superscript"/>
        </w:rPr>
        <w:t>®</w:t>
      </w:r>
      <w:r>
        <w:rPr>
          <w:rFonts w:ascii="Arial" w:cs="Arial" w:eastAsia="Arial" w:hAnsi="Arial"/>
          <w:sz w:val="16"/>
          <w:szCs w:val="16"/>
          <w:color w:val="000000"/>
        </w:rPr>
        <w:t>,” “EYLEA HD</w:t>
      </w:r>
      <w:r>
        <w:rPr>
          <w:rFonts w:ascii="Arial" w:cs="Arial" w:eastAsia="Arial" w:hAnsi="Arial"/>
          <w:sz w:val="21"/>
          <w:szCs w:val="21"/>
          <w:color w:val="000000"/>
          <w:vertAlign w:val="superscript"/>
        </w:rPr>
        <w:t>®</w:t>
      </w:r>
      <w:r>
        <w:rPr>
          <w:rFonts w:ascii="Arial" w:cs="Arial" w:eastAsia="Arial" w:hAnsi="Arial"/>
          <w:sz w:val="16"/>
          <w:szCs w:val="16"/>
          <w:color w:val="000000"/>
        </w:rPr>
        <w:t>,”</w:t>
      </w:r>
      <w:r>
        <w:rPr>
          <w:rFonts w:ascii="Arial" w:cs="Arial" w:eastAsia="Arial" w:hAnsi="Arial"/>
          <w:sz w:val="16"/>
          <w:szCs w:val="16"/>
          <w:b w:val="1"/>
          <w:bCs w:val="1"/>
          <w:color w:val="065BAA"/>
        </w:rPr>
        <w:t xml:space="preserve"> </w:t>
      </w:r>
      <w:r>
        <w:rPr>
          <w:rFonts w:ascii="Arial" w:cs="Arial" w:eastAsia="Arial" w:hAnsi="Arial"/>
          <w:sz w:val="16"/>
          <w:szCs w:val="16"/>
          <w:color w:val="000000"/>
        </w:rPr>
        <w:t>“Inmazeb</w:t>
      </w:r>
      <w:r>
        <w:rPr>
          <w:rFonts w:ascii="Arial" w:cs="Arial" w:eastAsia="Arial" w:hAnsi="Arial"/>
          <w:sz w:val="21"/>
          <w:szCs w:val="21"/>
          <w:color w:val="000000"/>
          <w:vertAlign w:val="superscript"/>
        </w:rPr>
        <w:t>®</w:t>
      </w:r>
      <w:r>
        <w:rPr>
          <w:rFonts w:ascii="Arial" w:cs="Arial" w:eastAsia="Arial" w:hAnsi="Arial"/>
          <w:sz w:val="16"/>
          <w:szCs w:val="16"/>
          <w:color w:val="000000"/>
        </w:rPr>
        <w:t>,” “Libtayo</w:t>
      </w:r>
      <w:r>
        <w:rPr>
          <w:rFonts w:ascii="Arial" w:cs="Arial" w:eastAsia="Arial" w:hAnsi="Arial"/>
          <w:sz w:val="21"/>
          <w:szCs w:val="21"/>
          <w:color w:val="000000"/>
          <w:vertAlign w:val="superscript"/>
        </w:rPr>
        <w:t>®</w:t>
      </w:r>
      <w:r>
        <w:rPr>
          <w:rFonts w:ascii="Arial" w:cs="Arial" w:eastAsia="Arial" w:hAnsi="Arial"/>
          <w:sz w:val="16"/>
          <w:szCs w:val="16"/>
          <w:color w:val="000000"/>
        </w:rPr>
        <w:t>,” Lynozyfic</w:t>
      </w:r>
      <w:r>
        <w:rPr>
          <w:rFonts w:ascii="Arial" w:cs="Arial" w:eastAsia="Arial" w:hAnsi="Arial"/>
          <w:sz w:val="21"/>
          <w:szCs w:val="21"/>
          <w:color w:val="000000"/>
          <w:vertAlign w:val="superscript"/>
        </w:rPr>
        <w:t>®</w:t>
      </w:r>
      <w:r>
        <w:rPr>
          <w:rFonts w:ascii="Arial" w:cs="Arial" w:eastAsia="Arial" w:hAnsi="Arial"/>
          <w:sz w:val="16"/>
          <w:szCs w:val="16"/>
          <w:color w:val="000000"/>
        </w:rPr>
        <w:t>," "Ordspono™,” “Otarmeni™,” “Praluent</w:t>
      </w:r>
      <w:r>
        <w:rPr>
          <w:rFonts w:ascii="Arial" w:cs="Arial" w:eastAsia="Arial" w:hAnsi="Arial"/>
          <w:sz w:val="21"/>
          <w:szCs w:val="21"/>
          <w:color w:val="000000"/>
          <w:vertAlign w:val="superscript"/>
        </w:rPr>
        <w:t>®</w:t>
      </w:r>
      <w:r>
        <w:rPr>
          <w:rFonts w:ascii="Arial" w:cs="Arial" w:eastAsia="Arial" w:hAnsi="Arial"/>
          <w:sz w:val="16"/>
          <w:szCs w:val="16"/>
          <w:color w:val="000000"/>
        </w:rPr>
        <w:t>” (in the United States), “REGEN-COV</w:t>
      </w:r>
      <w:r>
        <w:rPr>
          <w:rFonts w:ascii="Arial" w:cs="Arial" w:eastAsia="Arial" w:hAnsi="Arial"/>
          <w:sz w:val="21"/>
          <w:szCs w:val="21"/>
          <w:color w:val="000000"/>
          <w:vertAlign w:val="superscript"/>
        </w:rPr>
        <w:t>®</w:t>
      </w:r>
      <w:r>
        <w:rPr>
          <w:rFonts w:ascii="Arial" w:cs="Arial" w:eastAsia="Arial" w:hAnsi="Arial"/>
          <w:sz w:val="16"/>
          <w:szCs w:val="16"/>
          <w:color w:val="000000"/>
        </w:rPr>
        <w:t>,” Regeneron</w:t>
      </w:r>
      <w:r>
        <w:rPr>
          <w:rFonts w:ascii="Arial" w:cs="Arial" w:eastAsia="Arial" w:hAnsi="Arial"/>
          <w:sz w:val="21"/>
          <w:szCs w:val="21"/>
          <w:color w:val="000000"/>
          <w:vertAlign w:val="superscript"/>
        </w:rPr>
        <w:t>®</w:t>
      </w:r>
      <w:r>
        <w:rPr>
          <w:rFonts w:ascii="Arial" w:cs="Arial" w:eastAsia="Arial" w:hAnsi="Arial"/>
          <w:sz w:val="16"/>
          <w:szCs w:val="16"/>
          <w:color w:val="000000"/>
        </w:rPr>
        <w:t>,” “Regeneron Genetics Center</w:t>
      </w:r>
      <w:r>
        <w:rPr>
          <w:rFonts w:ascii="Arial" w:cs="Arial" w:eastAsia="Arial" w:hAnsi="Arial"/>
          <w:sz w:val="21"/>
          <w:szCs w:val="21"/>
          <w:color w:val="000000"/>
          <w:vertAlign w:val="superscript"/>
        </w:rPr>
        <w:t>®</w:t>
      </w:r>
      <w:r>
        <w:rPr>
          <w:rFonts w:ascii="Arial" w:cs="Arial" w:eastAsia="Arial" w:hAnsi="Arial"/>
          <w:sz w:val="16"/>
          <w:szCs w:val="16"/>
          <w:color w:val="000000"/>
        </w:rPr>
        <w:t>,” “RGC</w:t>
      </w:r>
      <w:r>
        <w:rPr>
          <w:rFonts w:ascii="Arial" w:cs="Arial" w:eastAsia="Arial" w:hAnsi="Arial"/>
          <w:sz w:val="21"/>
          <w:szCs w:val="21"/>
          <w:color w:val="000000"/>
          <w:vertAlign w:val="superscript"/>
        </w:rPr>
        <w:t>®</w:t>
      </w:r>
      <w:r>
        <w:rPr>
          <w:rFonts w:ascii="Arial" w:cs="Arial" w:eastAsia="Arial" w:hAnsi="Arial"/>
          <w:sz w:val="16"/>
          <w:szCs w:val="16"/>
          <w:color w:val="000000"/>
        </w:rPr>
        <w:t>,” “Veopoz</w:t>
      </w:r>
      <w:r>
        <w:rPr>
          <w:rFonts w:ascii="Arial" w:cs="Arial" w:eastAsia="Arial" w:hAnsi="Arial"/>
          <w:sz w:val="21"/>
          <w:szCs w:val="21"/>
          <w:color w:val="000000"/>
          <w:vertAlign w:val="superscript"/>
        </w:rPr>
        <w:t>®</w:t>
      </w:r>
      <w:r>
        <w:rPr>
          <w:rFonts w:ascii="Arial" w:cs="Arial" w:eastAsia="Arial" w:hAnsi="Arial"/>
          <w:sz w:val="16"/>
          <w:szCs w:val="16"/>
          <w:color w:val="000000"/>
        </w:rPr>
        <w:t>,” “</w:t>
      </w:r>
      <w:r>
        <w:rPr>
          <w:rFonts w:ascii="Arial" w:cs="Arial" w:eastAsia="Arial" w:hAnsi="Arial"/>
          <w:sz w:val="16"/>
          <w:szCs w:val="16"/>
          <w:i w:val="1"/>
          <w:iCs w:val="1"/>
          <w:color w:val="000000"/>
        </w:rPr>
        <w:t>VelociGene</w:t>
      </w:r>
      <w:r>
        <w:rPr>
          <w:rFonts w:ascii="Arial" w:cs="Arial" w:eastAsia="Arial" w:hAnsi="Arial"/>
          <w:sz w:val="21"/>
          <w:szCs w:val="21"/>
          <w:color w:val="000000"/>
          <w:vertAlign w:val="superscript"/>
        </w:rPr>
        <w:t>®</w:t>
      </w:r>
      <w:r>
        <w:rPr>
          <w:rFonts w:ascii="Arial" w:cs="Arial" w:eastAsia="Arial" w:hAnsi="Arial"/>
          <w:sz w:val="16"/>
          <w:szCs w:val="16"/>
          <w:color w:val="000000"/>
        </w:rPr>
        <w:t>,” “</w:t>
      </w:r>
      <w:r>
        <w:rPr>
          <w:rFonts w:ascii="Arial" w:cs="Arial" w:eastAsia="Arial" w:hAnsi="Arial"/>
          <w:sz w:val="16"/>
          <w:szCs w:val="16"/>
          <w:i w:val="1"/>
          <w:iCs w:val="1"/>
          <w:color w:val="000000"/>
        </w:rPr>
        <w:t>VelocImmune</w:t>
      </w:r>
      <w:r>
        <w:rPr>
          <w:rFonts w:ascii="Arial" w:cs="Arial" w:eastAsia="Arial" w:hAnsi="Arial"/>
          <w:sz w:val="21"/>
          <w:szCs w:val="21"/>
          <w:color w:val="000000"/>
          <w:vertAlign w:val="superscript"/>
        </w:rPr>
        <w:t>®</w:t>
      </w:r>
      <w:r>
        <w:rPr>
          <w:rFonts w:ascii="Arial" w:cs="Arial" w:eastAsia="Arial" w:hAnsi="Arial"/>
          <w:sz w:val="16"/>
          <w:szCs w:val="16"/>
          <w:color w:val="000000"/>
        </w:rPr>
        <w:t>,” and “ZALTRAP</w:t>
      </w:r>
      <w:r>
        <w:rPr>
          <w:rFonts w:ascii="Arial" w:cs="Arial" w:eastAsia="Arial" w:hAnsi="Arial"/>
          <w:sz w:val="21"/>
          <w:szCs w:val="21"/>
          <w:color w:val="000000"/>
          <w:vertAlign w:val="superscript"/>
        </w:rPr>
        <w:t>®</w:t>
      </w:r>
      <w:r>
        <w:rPr>
          <w:rFonts w:ascii="Arial" w:cs="Arial" w:eastAsia="Arial" w:hAnsi="Arial"/>
          <w:sz w:val="16"/>
          <w:szCs w:val="16"/>
          <w:color w:val="000000"/>
        </w:rPr>
        <w:t>” are trademarks of Regeneron Pharmaceuticals, Inc. (“Regeneron”). This proxy statement refers to products marketed or otherwise commercialized by Regeneron, its collaborators, and other parties. Consult the product label in each territory for specific information about such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v</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1440" w:right="1440" w:bottom="1440" w:gutter="0" w:footer="0" w:header="0"/>
          <w:type w:val="continuous"/>
        </w:sectPr>
      </w:pPr>
    </w:p>
    <w:bookmarkStart w:id="9" w:name="page10"/>
    <w:bookmarkEnd w:id="9"/>
    <w:p>
      <w:pPr>
        <w:ind w:left="200"/>
        <w:spacing w:after="0"/>
        <w:tabs>
          <w:tab w:leader="none" w:pos="1260" w:val="left"/>
          <w:tab w:leader="none" w:pos="2680" w:val="left"/>
          <w:tab w:leader="none" w:pos="4440" w:val="left"/>
          <w:tab w:leader="none" w:pos="5660" w:val="left"/>
          <w:tab w:leader="none" w:pos="7900" w:val="left"/>
        </w:tabs>
        <w:rPr>
          <w:sz w:val="20"/>
          <w:szCs w:val="20"/>
          <w:color w:val="auto"/>
        </w:rPr>
      </w:pPr>
      <w:r>
        <w:rPr>
          <w:rFonts w:ascii="Arial" w:cs="Arial" w:eastAsia="Arial" w:hAnsi="Arial"/>
          <w:sz w:val="14"/>
          <w:szCs w:val="14"/>
          <w:b w:val="1"/>
          <w:bCs w:val="1"/>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color w:val="343434"/>
        </w:rPr>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307" w:lineRule="exact"/>
        <w:rPr>
          <w:sz w:val="20"/>
          <w:szCs w:val="20"/>
          <w:color w:val="auto"/>
        </w:rPr>
      </w:pPr>
    </w:p>
    <w:p>
      <w:pPr>
        <w:ind w:left="60"/>
        <w:spacing w:after="0"/>
        <w:rPr>
          <w:sz w:val="20"/>
          <w:szCs w:val="20"/>
          <w:color w:val="auto"/>
        </w:rPr>
      </w:pPr>
      <w:r>
        <w:rPr>
          <w:rFonts w:ascii="Arial" w:cs="Arial" w:eastAsia="Arial" w:hAnsi="Arial"/>
          <w:sz w:val="52"/>
          <w:szCs w:val="52"/>
          <w:b w:val="1"/>
          <w:bCs w:val="1"/>
          <w:color w:val="auto"/>
        </w:rPr>
        <w:t>Introduction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Annual Meeting Dashboard</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General Information</w:t>
      </w:r>
    </w:p>
    <w:p>
      <w:pPr>
        <w:spacing w:after="0" w:line="200" w:lineRule="exact"/>
        <w:rPr>
          <w:sz w:val="20"/>
          <w:szCs w:val="20"/>
          <w:color w:val="auto"/>
        </w:rPr>
      </w:pPr>
    </w:p>
    <w:p>
      <w:pPr>
        <w:spacing w:after="0" w:line="292" w:lineRule="exact"/>
        <w:rPr>
          <w:sz w:val="20"/>
          <w:szCs w:val="20"/>
          <w:color w:val="auto"/>
        </w:rPr>
      </w:pPr>
    </w:p>
    <w:tbl>
      <w:tblPr>
        <w:tblLayout w:type="fixed"/>
        <w:tblInd w:w="720" w:type="dxa"/>
        <w:tblCellMar>
          <w:top w:w="0" w:type="dxa"/>
          <w:left w:w="0" w:type="dxa"/>
          <w:bottom w:w="0" w:type="dxa"/>
          <w:right w:w="0" w:type="dxa"/>
        </w:tblCellMar>
      </w:tblPr>
      <w:tr>
        <w:trPr>
          <w:trHeight w:val="247"/>
        </w:trPr>
        <w:tc>
          <w:tcPr>
            <w:tcW w:w="2360" w:type="dxa"/>
            <w:vAlign w:val="bottom"/>
          </w:tcPr>
          <w:p>
            <w:pPr>
              <w:spacing w:after="0"/>
              <w:rPr>
                <w:sz w:val="20"/>
                <w:szCs w:val="20"/>
                <w:color w:val="auto"/>
              </w:rPr>
            </w:pPr>
            <w:r>
              <w:rPr>
                <w:rFonts w:ascii="Arial" w:cs="Arial" w:eastAsia="Arial" w:hAnsi="Arial"/>
                <w:sz w:val="18"/>
                <w:szCs w:val="18"/>
                <w:b w:val="1"/>
                <w:bCs w:val="1"/>
                <w:color w:val="auto"/>
              </w:rPr>
              <w:t>Meeting Date and Time</w:t>
            </w:r>
          </w:p>
        </w:tc>
        <w:tc>
          <w:tcPr>
            <w:tcW w:w="1820" w:type="dxa"/>
            <w:vAlign w:val="bottom"/>
          </w:tcPr>
          <w:p>
            <w:pPr>
              <w:ind w:left="380"/>
              <w:spacing w:after="0"/>
              <w:rPr>
                <w:sz w:val="20"/>
                <w:szCs w:val="20"/>
                <w:color w:val="auto"/>
              </w:rPr>
            </w:pPr>
            <w:r>
              <w:rPr>
                <w:rFonts w:ascii="Arial" w:cs="Arial" w:eastAsia="Arial" w:hAnsi="Arial"/>
                <w:sz w:val="18"/>
                <w:szCs w:val="18"/>
                <w:b w:val="1"/>
                <w:bCs w:val="1"/>
                <w:color w:val="auto"/>
              </w:rPr>
              <w:t>Record Date</w:t>
            </w:r>
          </w:p>
        </w:tc>
        <w:tc>
          <w:tcPr>
            <w:tcW w:w="3920" w:type="dxa"/>
            <w:vAlign w:val="bottom"/>
          </w:tcPr>
          <w:p>
            <w:pPr>
              <w:ind w:left="360"/>
              <w:spacing w:after="0"/>
              <w:rPr>
                <w:sz w:val="20"/>
                <w:szCs w:val="20"/>
                <w:color w:val="auto"/>
              </w:rPr>
            </w:pPr>
            <w:r>
              <w:rPr>
                <w:rFonts w:ascii="Arial" w:cs="Arial" w:eastAsia="Arial" w:hAnsi="Arial"/>
                <w:sz w:val="18"/>
                <w:szCs w:val="18"/>
                <w:b w:val="1"/>
                <w:bCs w:val="1"/>
                <w:color w:val="auto"/>
              </w:rPr>
              <w:t>Location</w:t>
            </w:r>
          </w:p>
        </w:tc>
      </w:tr>
      <w:tr>
        <w:trPr>
          <w:trHeight w:val="310"/>
        </w:trPr>
        <w:tc>
          <w:tcPr>
            <w:tcW w:w="2360" w:type="dxa"/>
            <w:vAlign w:val="bottom"/>
          </w:tcPr>
          <w:p>
            <w:pPr>
              <w:spacing w:after="0"/>
              <w:rPr>
                <w:sz w:val="20"/>
                <w:szCs w:val="20"/>
                <w:color w:val="auto"/>
              </w:rPr>
            </w:pPr>
            <w:r>
              <w:rPr>
                <w:rFonts w:ascii="Arial" w:cs="Arial" w:eastAsia="Arial" w:hAnsi="Arial"/>
                <w:sz w:val="16"/>
                <w:szCs w:val="16"/>
                <w:color w:val="auto"/>
              </w:rPr>
              <w:t>June 12, 2026</w:t>
            </w:r>
          </w:p>
        </w:tc>
        <w:tc>
          <w:tcPr>
            <w:tcW w:w="1820" w:type="dxa"/>
            <w:vAlign w:val="bottom"/>
          </w:tcPr>
          <w:p>
            <w:pPr>
              <w:ind w:left="380"/>
              <w:spacing w:after="0"/>
              <w:rPr>
                <w:sz w:val="20"/>
                <w:szCs w:val="20"/>
                <w:color w:val="auto"/>
              </w:rPr>
            </w:pPr>
            <w:r>
              <w:rPr>
                <w:rFonts w:ascii="Arial" w:cs="Arial" w:eastAsia="Arial" w:hAnsi="Arial"/>
                <w:sz w:val="16"/>
                <w:szCs w:val="16"/>
                <w:color w:val="auto"/>
              </w:rPr>
              <w:t>April 14, 2026</w:t>
            </w:r>
          </w:p>
        </w:tc>
        <w:tc>
          <w:tcPr>
            <w:tcW w:w="3920" w:type="dxa"/>
            <w:vAlign w:val="bottom"/>
          </w:tcPr>
          <w:p>
            <w:pPr>
              <w:ind w:left="360"/>
              <w:spacing w:after="0"/>
              <w:rPr>
                <w:sz w:val="20"/>
                <w:szCs w:val="20"/>
                <w:color w:val="auto"/>
              </w:rPr>
            </w:pPr>
            <w:r>
              <w:rPr>
                <w:rFonts w:ascii="Arial" w:cs="Arial" w:eastAsia="Arial" w:hAnsi="Arial"/>
                <w:sz w:val="16"/>
                <w:szCs w:val="16"/>
                <w:color w:val="auto"/>
              </w:rPr>
              <w:t>Online at</w:t>
            </w:r>
          </w:p>
        </w:tc>
      </w:tr>
      <w:tr>
        <w:trPr>
          <w:trHeight w:val="224"/>
        </w:trPr>
        <w:tc>
          <w:tcPr>
            <w:tcW w:w="2360" w:type="dxa"/>
            <w:vAlign w:val="bottom"/>
          </w:tcPr>
          <w:p>
            <w:pPr>
              <w:spacing w:after="0"/>
              <w:rPr>
                <w:sz w:val="20"/>
                <w:szCs w:val="20"/>
                <w:color w:val="auto"/>
              </w:rPr>
            </w:pPr>
            <w:r>
              <w:rPr>
                <w:rFonts w:ascii="Arial" w:cs="Arial" w:eastAsia="Arial" w:hAnsi="Arial"/>
                <w:sz w:val="16"/>
                <w:szCs w:val="16"/>
                <w:color w:val="auto"/>
              </w:rPr>
              <w:t>10:30 am., Eastern Time</w:t>
            </w:r>
          </w:p>
        </w:tc>
        <w:tc>
          <w:tcPr>
            <w:tcW w:w="1820" w:type="dxa"/>
            <w:vAlign w:val="bottom"/>
          </w:tcPr>
          <w:p>
            <w:pPr>
              <w:spacing w:after="0"/>
              <w:rPr>
                <w:sz w:val="19"/>
                <w:szCs w:val="19"/>
                <w:color w:val="auto"/>
              </w:rPr>
            </w:pPr>
          </w:p>
        </w:tc>
        <w:tc>
          <w:tcPr>
            <w:tcW w:w="3920" w:type="dxa"/>
            <w:vAlign w:val="bottom"/>
          </w:tcPr>
          <w:p>
            <w:pPr>
              <w:ind w:left="360"/>
              <w:spacing w:after="0"/>
              <w:rPr>
                <w:sz w:val="20"/>
                <w:szCs w:val="20"/>
                <w:color w:val="auto"/>
              </w:rPr>
            </w:pPr>
            <w:r>
              <w:rPr>
                <w:rFonts w:ascii="Arial" w:cs="Arial" w:eastAsia="Arial" w:hAnsi="Arial"/>
                <w:sz w:val="16"/>
                <w:szCs w:val="16"/>
                <w:b w:val="1"/>
                <w:bCs w:val="1"/>
                <w:color w:val="2069E7"/>
                <w:w w:val="96"/>
              </w:rPr>
              <w:t>www.virtualshareholdermeeting.com/REGN2026</w:t>
            </w:r>
          </w:p>
        </w:tc>
      </w:tr>
    </w:tbl>
    <w:p>
      <w:pPr>
        <w:spacing w:after="0" w:line="351"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Meeting Agenda</w:t>
      </w:r>
    </w:p>
    <w:p>
      <w:pPr>
        <w:spacing w:after="0" w:line="383"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065BAA"/>
        </w:rPr>
        <w:t>Proposal 1</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Election of five directors for a one-year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0"/>
        <w:spacing w:after="0"/>
        <w:tabs>
          <w:tab w:leader="none" w:pos="2080" w:val="left"/>
          <w:tab w:leader="none" w:pos="3780" w:val="left"/>
          <w:tab w:leader="none" w:pos="5480" w:val="left"/>
          <w:tab w:leader="none" w:pos="7200" w:val="left"/>
        </w:tabs>
        <w:rPr>
          <w:sz w:val="20"/>
          <w:szCs w:val="20"/>
          <w:color w:val="auto"/>
        </w:rPr>
      </w:pPr>
      <w:r>
        <w:rPr>
          <w:rFonts w:ascii="Arial" w:cs="Arial" w:eastAsia="Arial" w:hAnsi="Arial"/>
          <w:sz w:val="13"/>
          <w:szCs w:val="13"/>
          <w:b w:val="1"/>
          <w:bCs w:val="1"/>
          <w:color w:val="065BAA"/>
        </w:rPr>
        <w:t>Joseph L. Goldstein, M.D.</w:t>
        <w:tab/>
        <w:t>Christine A. Poon</w:t>
      </w:r>
      <w:r>
        <w:rPr>
          <w:sz w:val="20"/>
          <w:szCs w:val="20"/>
          <w:color w:val="auto"/>
        </w:rPr>
        <w:tab/>
      </w:r>
      <w:r>
        <w:rPr>
          <w:rFonts w:ascii="Arial" w:cs="Arial" w:eastAsia="Arial" w:hAnsi="Arial"/>
          <w:sz w:val="13"/>
          <w:szCs w:val="13"/>
          <w:b w:val="1"/>
          <w:bCs w:val="1"/>
          <w:color w:val="065BAA"/>
        </w:rPr>
        <w:t>David P. Schenkein, M.D.</w:t>
        <w:tab/>
        <w:t>Craig B. Thompson, M.D.</w:t>
      </w:r>
      <w:r>
        <w:rPr>
          <w:sz w:val="20"/>
          <w:szCs w:val="20"/>
          <w:color w:val="auto"/>
        </w:rPr>
        <w:tab/>
      </w:r>
      <w:r>
        <w:rPr>
          <w:rFonts w:ascii="Arial" w:cs="Arial" w:eastAsia="Arial" w:hAnsi="Arial"/>
          <w:sz w:val="12"/>
          <w:szCs w:val="12"/>
          <w:b w:val="1"/>
          <w:bCs w:val="1"/>
          <w:color w:val="065BAA"/>
        </w:rPr>
        <w:t>Huda Y. Zoghbi, M.D.</w:t>
      </w:r>
    </w:p>
    <w:p>
      <w:pPr>
        <w:spacing w:after="0" w:line="200" w:lineRule="exact"/>
        <w:rPr>
          <w:sz w:val="20"/>
          <w:szCs w:val="20"/>
          <w:color w:val="auto"/>
        </w:rPr>
      </w:pPr>
    </w:p>
    <w:p>
      <w:pPr>
        <w:spacing w:after="0" w:line="272" w:lineRule="exact"/>
        <w:rPr>
          <w:sz w:val="20"/>
          <w:szCs w:val="20"/>
          <w:color w:val="auto"/>
        </w:rPr>
      </w:pPr>
    </w:p>
    <w:p>
      <w:pPr>
        <w:ind w:left="700"/>
        <w:spacing w:after="0"/>
        <w:tabs>
          <w:tab w:leader="none" w:pos="7640" w:val="left"/>
        </w:tabs>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each director nominee</w:t>
      </w:r>
      <w:r>
        <w:rPr>
          <w:sz w:val="20"/>
          <w:szCs w:val="20"/>
          <w:color w:val="auto"/>
        </w:rPr>
        <w:tab/>
      </w:r>
      <w:r>
        <w:rPr>
          <w:rFonts w:ascii="Arial" w:cs="Arial" w:eastAsia="Arial" w:hAnsi="Arial"/>
          <w:sz w:val="15"/>
          <w:szCs w:val="15"/>
          <w:color w:val="auto"/>
        </w:rPr>
        <w:t xml:space="preserve">see page </w:t>
      </w:r>
      <w:r>
        <w:rPr>
          <w:rFonts w:ascii="Arial" w:cs="Arial" w:eastAsia="Arial" w:hAnsi="Arial"/>
          <w:sz w:val="15"/>
          <w:szCs w:val="15"/>
          <w:b w:val="1"/>
          <w:bCs w:val="1"/>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065BAA"/>
        </w:rPr>
        <w:t>Proposal 2</w:t>
      </w:r>
    </w:p>
    <w:p>
      <w:pPr>
        <w:spacing w:after="0" w:line="119" w:lineRule="exact"/>
        <w:rPr>
          <w:sz w:val="20"/>
          <w:szCs w:val="20"/>
          <w:color w:val="auto"/>
        </w:rPr>
      </w:pPr>
    </w:p>
    <w:p>
      <w:pPr>
        <w:ind w:left="400" w:right="1019"/>
        <w:spacing w:after="0" w:line="321" w:lineRule="auto"/>
        <w:rPr>
          <w:sz w:val="20"/>
          <w:szCs w:val="20"/>
          <w:color w:val="auto"/>
        </w:rPr>
      </w:pPr>
      <w:r>
        <w:rPr>
          <w:rFonts w:ascii="Arial" w:cs="Arial" w:eastAsia="Arial" w:hAnsi="Arial"/>
          <w:sz w:val="16"/>
          <w:szCs w:val="16"/>
          <w:color w:val="auto"/>
        </w:rPr>
        <w:t>Ratification of the appointment of PricewaterhouseCoopers LLP as the Company’s independent registered public accounting firm for the fiscal year ending December 31, 2026</w:t>
      </w:r>
    </w:p>
    <w:p>
      <w:pPr>
        <w:spacing w:after="0" w:line="156" w:lineRule="exact"/>
        <w:rPr>
          <w:sz w:val="20"/>
          <w:szCs w:val="20"/>
          <w:color w:val="auto"/>
        </w:rPr>
      </w:pPr>
    </w:p>
    <w:p>
      <w:pPr>
        <w:ind w:left="700"/>
        <w:spacing w:after="0"/>
        <w:tabs>
          <w:tab w:leader="none" w:pos="7660" w:val="left"/>
        </w:tabs>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this proposal</w:t>
      </w:r>
      <w:r>
        <w:rPr>
          <w:sz w:val="20"/>
          <w:szCs w:val="20"/>
          <w:color w:val="auto"/>
        </w:rPr>
        <w:tab/>
      </w:r>
      <w:r>
        <w:rPr>
          <w:rFonts w:ascii="Arial" w:cs="Arial" w:eastAsia="Arial" w:hAnsi="Arial"/>
          <w:sz w:val="16"/>
          <w:szCs w:val="16"/>
          <w:color w:val="auto"/>
        </w:rPr>
        <w:t xml:space="preserve">see page </w:t>
      </w:r>
      <w:r>
        <w:rPr>
          <w:rFonts w:ascii="Arial" w:cs="Arial" w:eastAsia="Arial" w:hAnsi="Arial"/>
          <w:sz w:val="16"/>
          <w:szCs w:val="16"/>
          <w:b w:val="1"/>
          <w:bCs w:val="1"/>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065BAA"/>
        </w:rPr>
        <w:t>Proposal 3</w:t>
      </w:r>
    </w:p>
    <w:p>
      <w:pPr>
        <w:spacing w:after="0" w:line="119" w:lineRule="exact"/>
        <w:rPr>
          <w:sz w:val="20"/>
          <w:szCs w:val="20"/>
          <w:color w:val="auto"/>
        </w:rPr>
      </w:pPr>
    </w:p>
    <w:p>
      <w:pPr>
        <w:ind w:left="400" w:right="759"/>
        <w:spacing w:after="0" w:line="321" w:lineRule="auto"/>
        <w:rPr>
          <w:sz w:val="20"/>
          <w:szCs w:val="20"/>
          <w:color w:val="auto"/>
        </w:rPr>
      </w:pPr>
      <w:r>
        <w:rPr>
          <w:rFonts w:ascii="Arial" w:cs="Arial" w:eastAsia="Arial" w:hAnsi="Arial"/>
          <w:sz w:val="16"/>
          <w:szCs w:val="16"/>
          <w:color w:val="auto"/>
        </w:rPr>
        <w:t>Advisory vote to approve the compensation of the Company’s Named Executive Officers as disclosed in these proxy materials (say-on-pay)</w:t>
      </w:r>
    </w:p>
    <w:p>
      <w:pPr>
        <w:spacing w:after="0" w:line="156" w:lineRule="exact"/>
        <w:rPr>
          <w:sz w:val="20"/>
          <w:szCs w:val="20"/>
          <w:color w:val="auto"/>
        </w:rPr>
      </w:pPr>
    </w:p>
    <w:p>
      <w:pPr>
        <w:ind w:left="700"/>
        <w:spacing w:after="0"/>
        <w:tabs>
          <w:tab w:leader="none" w:pos="7580" w:val="left"/>
        </w:tabs>
        <w:rPr>
          <w:sz w:val="20"/>
          <w:szCs w:val="20"/>
          <w:color w:val="auto"/>
        </w:rPr>
      </w:pPr>
      <w:r>
        <w:rPr>
          <w:rFonts w:ascii="Arial" w:cs="Arial" w:eastAsia="Arial" w:hAnsi="Arial"/>
          <w:sz w:val="16"/>
          <w:szCs w:val="16"/>
          <w:color w:val="auto"/>
        </w:rPr>
        <w:t xml:space="preserve">The board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this proposal</w:t>
      </w:r>
      <w:r>
        <w:rPr>
          <w:sz w:val="20"/>
          <w:szCs w:val="20"/>
          <w:color w:val="auto"/>
        </w:rPr>
        <w:tab/>
      </w:r>
      <w:r>
        <w:rPr>
          <w:rFonts w:ascii="Arial" w:cs="Arial" w:eastAsia="Arial" w:hAnsi="Arial"/>
          <w:sz w:val="16"/>
          <w:szCs w:val="16"/>
          <w:color w:val="auto"/>
        </w:rPr>
        <w:t xml:space="preserve">see page </w:t>
      </w:r>
      <w:r>
        <w:rPr>
          <w:rFonts w:ascii="Arial" w:cs="Arial" w:eastAsia="Arial" w:hAnsi="Arial"/>
          <w:sz w:val="16"/>
          <w:szCs w:val="16"/>
          <w:b w:val="1"/>
          <w:bCs w:val="1"/>
          <w:color w:val="auto"/>
        </w:rPr>
        <w:t>101</w:t>
      </w:r>
    </w:p>
    <w:p>
      <w:pPr>
        <w:spacing w:after="0" w:line="370" w:lineRule="exact"/>
        <w:rPr>
          <w:sz w:val="20"/>
          <w:szCs w:val="20"/>
          <w:color w:val="auto"/>
        </w:rPr>
      </w:pPr>
    </w:p>
    <w:p>
      <w:pPr>
        <w:ind w:left="140" w:right="359"/>
        <w:spacing w:after="0" w:line="321" w:lineRule="auto"/>
        <w:rPr>
          <w:sz w:val="20"/>
          <w:szCs w:val="20"/>
          <w:color w:val="auto"/>
        </w:rPr>
      </w:pPr>
      <w:r>
        <w:rPr>
          <w:rFonts w:ascii="Arial" w:cs="Arial" w:eastAsia="Arial" w:hAnsi="Arial"/>
          <w:sz w:val="16"/>
          <w:szCs w:val="16"/>
          <w:color w:val="auto"/>
        </w:rPr>
        <w:t>See “Other Matters—General Information about the Meeting” starting on page 102 for questions and answers related to the annual meeting, how to vote, and 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1</w:t>
            </w:r>
          </w:p>
        </w:tc>
      </w:tr>
    </w:tbl>
    <w:p>
      <w:pPr>
        <w:sectPr>
          <w:pgSz w:w="11900" w:h="16838" w:orient="portrait"/>
          <w:cols w:equalWidth="0" w:num="1">
            <w:col w:w="9019"/>
          </w:cols>
          <w:pgMar w:left="1440" w:top="657" w:right="1440" w:bottom="1440" w:gutter="0" w:footer="0" w:header="0"/>
        </w:sectPr>
      </w:pPr>
    </w:p>
    <w:bookmarkStart w:id="10" w:name="page11"/>
    <w:bookmarkEnd w:id="10"/>
    <w:p>
      <w:pPr>
        <w:ind w:left="200"/>
        <w:spacing w:after="0"/>
        <w:tabs>
          <w:tab w:leader="none" w:pos="1260" w:val="left"/>
          <w:tab w:leader="none" w:pos="2680" w:val="left"/>
          <w:tab w:leader="none" w:pos="4440" w:val="left"/>
          <w:tab w:leader="none" w:pos="5660" w:val="left"/>
          <w:tab w:leader="none" w:pos="7900" w:val="left"/>
        </w:tabs>
        <w:rPr>
          <w:sz w:val="20"/>
          <w:szCs w:val="20"/>
          <w:color w:val="auto"/>
        </w:rPr>
      </w:pPr>
      <w:r>
        <w:rPr>
          <w:rFonts w:ascii="Arial" w:cs="Arial" w:eastAsia="Arial" w:hAnsi="Arial"/>
          <w:sz w:val="14"/>
          <w:szCs w:val="14"/>
          <w:b w:val="1"/>
          <w:bCs w:val="1"/>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color w:val="343434"/>
        </w:rPr>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Regeneron’s Story</w:t>
      </w:r>
    </w:p>
    <w:p>
      <w:pPr>
        <w:spacing w:after="0" w:line="195" w:lineRule="exact"/>
        <w:rPr>
          <w:sz w:val="20"/>
          <w:szCs w:val="20"/>
          <w:color w:val="auto"/>
        </w:rPr>
      </w:pPr>
    </w:p>
    <w:p>
      <w:pPr>
        <w:ind w:left="140" w:right="799"/>
        <w:spacing w:after="0" w:line="286" w:lineRule="auto"/>
        <w:rPr>
          <w:sz w:val="20"/>
          <w:szCs w:val="20"/>
          <w:color w:val="auto"/>
        </w:rPr>
      </w:pPr>
      <w:r>
        <w:rPr>
          <w:rFonts w:ascii="Arial" w:cs="Arial" w:eastAsia="Arial" w:hAnsi="Arial"/>
          <w:sz w:val="16"/>
          <w:szCs w:val="16"/>
          <w:color w:val="auto"/>
        </w:rPr>
        <w:t>As you read this proxy statement, we encourage you to consider Regeneron’s unique story, which is an important backdrop for understanding our company, our corporate governance structure, and our compensation program.</w:t>
      </w:r>
    </w:p>
    <w:p>
      <w:pPr>
        <w:spacing w:after="0" w:line="34" w:lineRule="exact"/>
        <w:rPr>
          <w:sz w:val="20"/>
          <w:szCs w:val="20"/>
          <w:color w:val="auto"/>
        </w:rPr>
      </w:pPr>
    </w:p>
    <w:p>
      <w:pPr>
        <w:ind w:left="140" w:right="179"/>
        <w:spacing w:after="0" w:line="249" w:lineRule="auto"/>
        <w:rPr>
          <w:sz w:val="20"/>
          <w:szCs w:val="20"/>
          <w:color w:val="auto"/>
        </w:rPr>
      </w:pPr>
      <w:r>
        <w:rPr>
          <w:rFonts w:ascii="Arial" w:cs="Arial" w:eastAsia="Arial" w:hAnsi="Arial"/>
          <w:sz w:val="16"/>
          <w:szCs w:val="16"/>
          <w:color w:val="auto"/>
        </w:rPr>
        <w:t>Since its founding in 1988, Regeneron’s mission has been to use the power of science to repeatedly bring new medicines to patients in need. To date, Regeneron has internally developed 15 approved or authorized medicines,</w:t>
      </w:r>
      <w:r>
        <w:rPr>
          <w:rFonts w:ascii="Arial" w:cs="Arial" w:eastAsia="Arial" w:hAnsi="Arial"/>
          <w:sz w:val="19"/>
          <w:szCs w:val="19"/>
          <w:color w:val="auto"/>
          <w:vertAlign w:val="superscript"/>
        </w:rPr>
        <w:t>1</w:t>
      </w:r>
      <w:r>
        <w:rPr>
          <w:rFonts w:ascii="Arial" w:cs="Arial" w:eastAsia="Arial" w:hAnsi="Arial"/>
          <w:sz w:val="16"/>
          <w:szCs w:val="16"/>
          <w:color w:val="auto"/>
        </w:rPr>
        <w:t xml:space="preserve"> including four current “blockbuster” medicines that are each generating over $1 billion of net product sales annually. In the last 15 years, we have averaged nearly one new product launch per year, significantly outpacing the industry while also advancing a best-in-class pipeline that now consists of nearly 50 product candidates across many different therapeutic areas.</w:t>
      </w:r>
    </w:p>
    <w:p>
      <w:pPr>
        <w:spacing w:after="0" w:line="63" w:lineRule="exact"/>
        <w:rPr>
          <w:sz w:val="20"/>
          <w:szCs w:val="20"/>
          <w:color w:val="auto"/>
        </w:rPr>
      </w:pPr>
    </w:p>
    <w:p>
      <w:pPr>
        <w:ind w:left="140" w:right="139"/>
        <w:spacing w:after="0" w:line="256" w:lineRule="auto"/>
        <w:rPr>
          <w:sz w:val="20"/>
          <w:szCs w:val="20"/>
          <w:color w:val="auto"/>
        </w:rPr>
      </w:pPr>
      <w:r>
        <w:rPr>
          <w:rFonts w:ascii="Arial" w:cs="Arial" w:eastAsia="Arial" w:hAnsi="Arial"/>
          <w:sz w:val="16"/>
          <w:szCs w:val="16"/>
          <w:color w:val="auto"/>
        </w:rPr>
        <w:t>But how did we get here? Our path to success has been unusual, with remarkable consistency of purpose and leadership despite decades of adversity in an industry where failure is the rule, not the exception. It took over 20 years to produce the Company’s first approved product, and nearly 25 years to turn a profit. All the while, Regeneron remained steadfast in its belief that advancing fundamental science and establishing foundational technologies would eventually yield a robust pipeline of products. And that is exactly what has transpired. Each of Regeneron’s approved medicines was invented using foundational technologies developed at Regeneron. It was those technologies that enabled Regeneron to discover and develop a COVID-19 therapeutic in record time and bring to the world the first-ever approved treatment for the Ebola virus – testaments to Regeneron’s corporate philosophy of “Doing Well by Doing Good.” In the most recent decade, Regeneron has been a pioneer in the development of genetics-based technologies, which, together with its other foundational technologies, continue to drive pipeline growth as we pursue the next wave of life-changing medicines.</w:t>
      </w:r>
    </w:p>
    <w:p>
      <w:pPr>
        <w:spacing w:after="0" w:line="62" w:lineRule="exact"/>
        <w:rPr>
          <w:sz w:val="20"/>
          <w:szCs w:val="20"/>
          <w:color w:val="auto"/>
        </w:rPr>
      </w:pPr>
    </w:p>
    <w:p>
      <w:pPr>
        <w:ind w:left="140" w:right="139"/>
        <w:spacing w:after="0" w:line="256" w:lineRule="auto"/>
        <w:rPr>
          <w:sz w:val="20"/>
          <w:szCs w:val="20"/>
          <w:color w:val="auto"/>
        </w:rPr>
      </w:pPr>
      <w:r>
        <w:rPr>
          <w:rFonts w:ascii="Arial" w:cs="Arial" w:eastAsia="Arial" w:hAnsi="Arial"/>
          <w:sz w:val="16"/>
          <w:szCs w:val="16"/>
          <w:color w:val="auto"/>
        </w:rPr>
        <w:t>We have been led on this incredible journey for nearly four decades by our co-founders, Drs. Schleifer and Yancopoulos, who still run the Company today and represent the longest-tenured Chief Executive Officer and Chief Scientific Officer pair in the history of the industry. Consistency of leadership and strong employee retention have had a lasting impact on the organization and represent one of our key competitive advantages in an industry where it typically takes over a decade to develop and bring a new product to market. Some of the earliest scientists to join Drs. Schleifer and Yancopoulos still play critical roles in the Company’s research and development efforts and have helped instill our distinct culture in the next generation of leaders. Company-wide, we had an industry-leading retention rate of 93% in 2025.</w:t>
      </w:r>
    </w:p>
    <w:p>
      <w:pPr>
        <w:spacing w:after="0" w:line="57" w:lineRule="exact"/>
        <w:rPr>
          <w:sz w:val="20"/>
          <w:szCs w:val="20"/>
          <w:color w:val="auto"/>
        </w:rPr>
      </w:pPr>
    </w:p>
    <w:p>
      <w:pPr>
        <w:ind w:left="140" w:right="159"/>
        <w:spacing w:after="0" w:line="261" w:lineRule="auto"/>
        <w:rPr>
          <w:sz w:val="20"/>
          <w:szCs w:val="20"/>
          <w:color w:val="auto"/>
        </w:rPr>
      </w:pPr>
      <w:r>
        <w:rPr>
          <w:rFonts w:ascii="Arial" w:cs="Arial" w:eastAsia="Arial" w:hAnsi="Arial"/>
          <w:sz w:val="16"/>
          <w:szCs w:val="16"/>
          <w:color w:val="auto"/>
        </w:rPr>
        <w:t>Despite our size and maturity today, our science-first approach still makes us who we are and drives everything we do. The current makeup of our board of directors reflects this principle: six of our 13 directors are members of the National Academy of Sciences, and our board includes two Nobel laureates and holders of many scientific awards. Company-wide, over 1,800 of our over 15,000 full-time employees as of year-end 2025 held a Ph.D. and/or M.D. Our primary capital allocation strategy remains the investment in best-in-class research and development capabilities, including $5.9 billion invested in 2025 alone.</w:t>
      </w:r>
    </w:p>
    <w:p>
      <w:pPr>
        <w:spacing w:after="0" w:line="55" w:lineRule="exact"/>
        <w:rPr>
          <w:sz w:val="20"/>
          <w:szCs w:val="20"/>
          <w:color w:val="auto"/>
        </w:rPr>
      </w:pPr>
    </w:p>
    <w:p>
      <w:pPr>
        <w:ind w:left="140" w:right="179"/>
        <w:spacing w:after="0" w:line="266" w:lineRule="auto"/>
        <w:rPr>
          <w:sz w:val="20"/>
          <w:szCs w:val="20"/>
          <w:color w:val="auto"/>
        </w:rPr>
      </w:pPr>
      <w:r>
        <w:rPr>
          <w:rFonts w:ascii="Arial" w:cs="Arial" w:eastAsia="Arial" w:hAnsi="Arial"/>
          <w:sz w:val="16"/>
          <w:szCs w:val="16"/>
          <w:color w:val="auto"/>
        </w:rPr>
        <w:t>We continue to invest in our deep scientific and technological capabilities because we believe our story is just beginning. We remain committed to operating with the long-term outlook that is required to turn rigorous scientific research into groundbreaking new medicines, the ultimate driver of sustainable, long-term value creation for Regeneron’s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139" w:hanging="190"/>
        <w:spacing w:after="0" w:line="223" w:lineRule="auto"/>
        <w:tabs>
          <w:tab w:leader="none" w:pos="320" w:val="left"/>
        </w:tabs>
        <w:numPr>
          <w:ilvl w:val="0"/>
          <w:numId w:val="10"/>
        </w:numPr>
        <w:rPr>
          <w:rFonts w:ascii="Arial" w:cs="Arial" w:eastAsia="Arial" w:hAnsi="Arial"/>
          <w:sz w:val="15"/>
          <w:szCs w:val="15"/>
          <w:color w:val="auto"/>
          <w:vertAlign w:val="superscript"/>
        </w:rPr>
      </w:pPr>
      <w:r>
        <w:rPr>
          <w:rFonts w:ascii="Arial" w:cs="Arial" w:eastAsia="Arial" w:hAnsi="Arial"/>
          <w:sz w:val="12"/>
          <w:szCs w:val="12"/>
          <w:color w:val="auto"/>
        </w:rPr>
        <w:t>These medicines span multiple therapeutic areas, including ophthalmology, immunology and inflammation, cancer, hematology, cardiovascular diseases, and rare diseases, and comprise EYLEA HD</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(aflibercept) Injection 8 mg, EYLEA</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(aflibercept) Injection, Dupixent</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(dupilumab), Libtayo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(cemiplimab), Praluent</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(alirocumab), Kevzara</w:t>
      </w:r>
      <w:r>
        <w:rPr>
          <w:rFonts w:ascii="Arial" w:cs="Arial" w:eastAsia="Arial" w:hAnsi="Arial"/>
          <w:sz w:val="15"/>
          <w:szCs w:val="15"/>
          <w:color w:val="auto"/>
          <w:vertAlign w:val="superscript"/>
        </w:rPr>
        <w:t>®</w:t>
      </w:r>
      <w:r>
        <w:rPr>
          <w:rFonts w:ascii="Arial" w:cs="Arial" w:eastAsia="Arial" w:hAnsi="Arial"/>
          <w:sz w:val="12"/>
          <w:szCs w:val="12"/>
          <w:color w:val="auto"/>
        </w:rPr>
        <w:t xml:space="preserve"> (sarilumab), Evkeeza</w:t>
      </w:r>
      <w:r>
        <w:rPr>
          <w:rFonts w:ascii="Arial" w:cs="Arial" w:eastAsia="Arial" w:hAnsi="Arial"/>
          <w:sz w:val="15"/>
          <w:szCs w:val="15"/>
          <w:color w:val="auto"/>
          <w:vertAlign w:val="superscript"/>
        </w:rPr>
        <w:t>®</w:t>
      </w:r>
      <w:r>
        <w:rPr>
          <w:rFonts w:ascii="Arial" w:cs="Arial" w:eastAsia="Arial" w:hAnsi="Arial"/>
          <w:sz w:val="12"/>
          <w:szCs w:val="12"/>
          <w:color w:val="auto"/>
        </w:rPr>
        <w:t xml:space="preserve"> (evinacumab), Ordspono™ (odronextamab), Lynozyfic</w:t>
      </w:r>
      <w:r>
        <w:rPr>
          <w:rFonts w:ascii="Arial" w:cs="Arial" w:eastAsia="Arial" w:hAnsi="Arial"/>
          <w:sz w:val="15"/>
          <w:szCs w:val="15"/>
          <w:color w:val="auto"/>
          <w:vertAlign w:val="superscript"/>
        </w:rPr>
        <w:t>®</w:t>
      </w:r>
      <w:r>
        <w:rPr>
          <w:rFonts w:ascii="Arial" w:cs="Arial" w:eastAsia="Arial" w:hAnsi="Arial"/>
          <w:sz w:val="12"/>
          <w:szCs w:val="12"/>
          <w:color w:val="auto"/>
        </w:rPr>
        <w:t xml:space="preserve"> (linvoseltamab), Inmazeb</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(atoltivimab, maftivimab, and odesivimab), Veopoz</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(pozelimab), Otarmeni™ (lunsotogene parvec-cwha), ARCALYST</w:t>
      </w:r>
      <w:r>
        <w:rPr>
          <w:rFonts w:ascii="Arial" w:cs="Arial" w:eastAsia="Arial" w:hAnsi="Arial"/>
          <w:sz w:val="15"/>
          <w:szCs w:val="15"/>
          <w:color w:val="auto"/>
          <w:vertAlign w:val="superscript"/>
        </w:rPr>
        <w:t>®</w:t>
      </w:r>
      <w:r>
        <w:rPr>
          <w:rFonts w:ascii="Arial" w:cs="Arial" w:eastAsia="Arial" w:hAnsi="Arial"/>
          <w:sz w:val="12"/>
          <w:szCs w:val="12"/>
          <w:color w:val="auto"/>
        </w:rPr>
        <w:t xml:space="preserve"> (rilonacept), ZALTRAP</w:t>
      </w:r>
      <w:r>
        <w:rPr>
          <w:rFonts w:ascii="Arial" w:cs="Arial" w:eastAsia="Arial" w:hAnsi="Arial"/>
          <w:sz w:val="15"/>
          <w:szCs w:val="15"/>
          <w:color w:val="auto"/>
          <w:vertAlign w:val="superscript"/>
        </w:rPr>
        <w:t>®</w:t>
      </w:r>
      <w:r>
        <w:rPr>
          <w:rFonts w:ascii="Arial" w:cs="Arial" w:eastAsia="Arial" w:hAnsi="Arial"/>
          <w:sz w:val="12"/>
          <w:szCs w:val="12"/>
          <w:color w:val="auto"/>
        </w:rPr>
        <w:t xml:space="preserve"> (ziv-aflibercept), and REGEN-COV</w:t>
      </w:r>
      <w:r>
        <w:rPr>
          <w:rFonts w:ascii="Arial" w:cs="Arial" w:eastAsia="Arial" w:hAnsi="Arial"/>
          <w:sz w:val="15"/>
          <w:szCs w:val="15"/>
          <w:color w:val="auto"/>
          <w:vertAlign w:val="superscript"/>
        </w:rPr>
        <w:t>®</w:t>
      </w:r>
      <w:r>
        <w:rPr>
          <w:rFonts w:ascii="Arial" w:cs="Arial" w:eastAsia="Arial" w:hAnsi="Arial"/>
          <w:sz w:val="12"/>
          <w:szCs w:val="12"/>
          <w:color w:val="auto"/>
        </w:rPr>
        <w:t>/Ronapreve™(previously approved/authorized for the treatment of COVID-19 until the emergence of variants not susceptible to the treatment).</w:t>
      </w:r>
    </w:p>
    <w:p>
      <w:pPr>
        <w:spacing w:after="0" w:line="8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168"/>
              <w:spacing w:after="0"/>
              <w:rPr>
                <w:sz w:val="20"/>
                <w:szCs w:val="20"/>
                <w:color w:val="auto"/>
              </w:rPr>
            </w:pPr>
            <w:r>
              <w:rPr>
                <w:rFonts w:ascii="Arial" w:cs="Arial" w:eastAsia="Arial" w:hAnsi="Arial"/>
                <w:sz w:val="14"/>
                <w:szCs w:val="14"/>
                <w:b w:val="1"/>
                <w:bCs w:val="1"/>
                <w:color w:val="065BAA"/>
                <w:w w:val="76"/>
              </w:rPr>
              <w:t>2</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11" w:name="page12"/>
    <w:bookmarkEnd w:id="11"/>
    <w:p>
      <w:pPr>
        <w:ind w:left="200"/>
        <w:spacing w:after="0"/>
        <w:tabs>
          <w:tab w:leader="none" w:pos="1260" w:val="left"/>
          <w:tab w:leader="none" w:pos="2680" w:val="left"/>
          <w:tab w:leader="none" w:pos="4440" w:val="left"/>
          <w:tab w:leader="none" w:pos="5660" w:val="left"/>
          <w:tab w:leader="none" w:pos="7900" w:val="left"/>
        </w:tabs>
        <w:rPr>
          <w:sz w:val="20"/>
          <w:szCs w:val="20"/>
          <w:color w:val="auto"/>
        </w:rPr>
      </w:pPr>
      <w:r>
        <w:rPr>
          <w:rFonts w:ascii="Arial" w:cs="Arial" w:eastAsia="Arial" w:hAnsi="Arial"/>
          <w:sz w:val="14"/>
          <w:szCs w:val="14"/>
          <w:b w:val="1"/>
          <w:bCs w:val="1"/>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color w:val="343434"/>
        </w:rPr>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What’s New</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Declassified the Board of Directors</w:t>
      </w:r>
    </w:p>
    <w:p>
      <w:pPr>
        <w:spacing w:after="0" w:line="146" w:lineRule="exact"/>
        <w:rPr>
          <w:sz w:val="20"/>
          <w:szCs w:val="20"/>
          <w:color w:val="auto"/>
        </w:rPr>
      </w:pPr>
    </w:p>
    <w:p>
      <w:pPr>
        <w:ind w:left="360" w:right="179" w:hanging="219"/>
        <w:spacing w:after="0"/>
        <w:rPr>
          <w:sz w:val="20"/>
          <w:szCs w:val="20"/>
          <w:color w:val="auto"/>
        </w:rPr>
      </w:pPr>
      <w:r>
        <w:rPr>
          <w:sz w:val="1"/>
          <w:szCs w:val="1"/>
          <w:color w:val="auto"/>
        </w:rPr>
        <w:drawing>
          <wp:inline distT="0" distB="0" distL="0" distR="0">
            <wp:extent cx="85725" cy="603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60325"/>
                    </a:xfrm>
                    <a:prstGeom prst="rect">
                      <a:avLst/>
                    </a:prstGeom>
                    <a:noFill/>
                    <a:ln>
                      <a:noFill/>
                    </a:ln>
                  </pic:spPr>
                </pic:pic>
              </a:graphicData>
            </a:graphic>
          </wp:inline>
        </w:drawing>
      </w:r>
      <w:r>
        <w:rPr>
          <w:rFonts w:ascii="Arial" w:cs="Arial" w:eastAsia="Arial" w:hAnsi="Arial"/>
          <w:sz w:val="16"/>
          <w:szCs w:val="16"/>
          <w:color w:val="auto"/>
        </w:rPr>
        <w:t xml:space="preserve"> At our 2025 annual meeting, our shareholders approved a board-sponsored proposal to amend the Company’s Certificate of Incorporation to declassify the board. As a result, we have amended our Certificate of Incorporation to phase out the classification of our board over a three-year period. This important step in eliminating a legacy feature of our governance structure was a direct result of our extensive shareholder engagement and illustrates our responsiveness to shareholder concerns and adherence to best practices in corporate governance.</w:t>
      </w:r>
    </w:p>
    <w:p>
      <w:pPr>
        <w:spacing w:after="0" w:line="150" w:lineRule="exact"/>
        <w:rPr>
          <w:sz w:val="20"/>
          <w:szCs w:val="20"/>
          <w:color w:val="auto"/>
        </w:rPr>
      </w:pPr>
    </w:p>
    <w:p>
      <w:pPr>
        <w:ind w:left="140" w:right="819"/>
        <w:spacing w:after="0" w:line="321" w:lineRule="auto"/>
        <w:rPr>
          <w:sz w:val="20"/>
          <w:szCs w:val="20"/>
          <w:color w:val="auto"/>
        </w:rPr>
      </w:pPr>
      <w:r>
        <w:rPr>
          <w:rFonts w:ascii="Arial" w:cs="Arial" w:eastAsia="Arial" w:hAnsi="Arial"/>
          <w:sz w:val="16"/>
          <w:szCs w:val="16"/>
          <w:color w:val="auto"/>
        </w:rPr>
        <w:t>For more information about the declassification of our board, see “Corporate Governance—Board Governance— Declassification of the Board of Directors” on page 31.</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Established New Digital Technology Committee</w:t>
      </w:r>
    </w:p>
    <w:p>
      <w:pPr>
        <w:spacing w:after="0" w:line="146" w:lineRule="exact"/>
        <w:rPr>
          <w:sz w:val="20"/>
          <w:szCs w:val="20"/>
          <w:color w:val="auto"/>
        </w:rPr>
      </w:pPr>
    </w:p>
    <w:p>
      <w:pPr>
        <w:ind w:left="360" w:right="519" w:hanging="219"/>
        <w:spacing w:after="0"/>
        <w:rPr>
          <w:sz w:val="20"/>
          <w:szCs w:val="20"/>
          <w:color w:val="auto"/>
        </w:rPr>
      </w:pPr>
      <w:r>
        <w:rPr>
          <w:sz w:val="1"/>
          <w:szCs w:val="1"/>
          <w:color w:val="auto"/>
        </w:rPr>
        <w:drawing>
          <wp:inline distT="0" distB="0" distL="0" distR="0">
            <wp:extent cx="85725" cy="685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In response to the evolving landscape and strategic challenges and opportunities related to digital technology and artificial intelligence, the board established a new Digital Technology standing committee in April 2026.</w:t>
      </w:r>
    </w:p>
    <w:p>
      <w:pPr>
        <w:spacing w:after="0" w:line="82" w:lineRule="exact"/>
        <w:rPr>
          <w:sz w:val="20"/>
          <w:szCs w:val="20"/>
          <w:color w:val="auto"/>
        </w:rPr>
      </w:pPr>
    </w:p>
    <w:p>
      <w:pPr>
        <w:ind w:left="360" w:right="139" w:hanging="219"/>
        <w:spacing w:after="0"/>
        <w:rPr>
          <w:sz w:val="20"/>
          <w:szCs w:val="20"/>
          <w:color w:val="auto"/>
        </w:rPr>
      </w:pPr>
      <w:r>
        <w:rPr>
          <w:sz w:val="1"/>
          <w:szCs w:val="1"/>
          <w:color w:val="auto"/>
        </w:rPr>
        <w:drawing>
          <wp:inline distT="0" distB="0" distL="0" distR="0">
            <wp:extent cx="85725" cy="603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60325"/>
                    </a:xfrm>
                    <a:prstGeom prst="rect">
                      <a:avLst/>
                    </a:prstGeom>
                    <a:noFill/>
                    <a:ln>
                      <a:noFill/>
                    </a:ln>
                  </pic:spPr>
                </pic:pic>
              </a:graphicData>
            </a:graphic>
          </wp:inline>
        </w:drawing>
      </w:r>
      <w:r>
        <w:rPr>
          <w:rFonts w:ascii="Arial" w:cs="Arial" w:eastAsia="Arial" w:hAnsi="Arial"/>
          <w:sz w:val="16"/>
          <w:szCs w:val="16"/>
          <w:color w:val="auto"/>
        </w:rPr>
        <w:t xml:space="preserve"> Key responsibilities include primary oversight of the Company’s (i) strategy pertaining to digital technology (including artificial intelligence) and use of digital technology to advance its business objectives, competitive position, and long-term value creation in a way that safeguards the Company’s reputation; and (ii) information security (including cybersecurity), data governance, and related digital technology risks, controls, and procedures.</w:t>
      </w:r>
    </w:p>
    <w:p>
      <w:pPr>
        <w:spacing w:after="0" w:line="82" w:lineRule="exact"/>
        <w:rPr>
          <w:sz w:val="20"/>
          <w:szCs w:val="20"/>
          <w:color w:val="auto"/>
        </w:rPr>
      </w:pPr>
    </w:p>
    <w:p>
      <w:pPr>
        <w:ind w:left="360" w:right="1599" w:hanging="219"/>
        <w:spacing w:after="0"/>
        <w:rPr>
          <w:sz w:val="20"/>
          <w:szCs w:val="20"/>
          <w:color w:val="auto"/>
        </w:rPr>
      </w:pPr>
      <w:r>
        <w:rPr>
          <w:sz w:val="1"/>
          <w:szCs w:val="1"/>
          <w:color w:val="auto"/>
        </w:rPr>
        <w:drawing>
          <wp:inline distT="0" distB="0" distL="0" distR="0">
            <wp:extent cx="85725" cy="5969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59690"/>
                    </a:xfrm>
                    <a:prstGeom prst="rect">
                      <a:avLst/>
                    </a:prstGeom>
                    <a:noFill/>
                    <a:ln>
                      <a:noFill/>
                    </a:ln>
                  </pic:spPr>
                </pic:pic>
              </a:graphicData>
            </a:graphic>
          </wp:inline>
        </w:drawing>
      </w:r>
      <w:r>
        <w:rPr>
          <w:rFonts w:ascii="Arial" w:cs="Arial" w:eastAsia="Arial" w:hAnsi="Arial"/>
          <w:sz w:val="16"/>
          <w:szCs w:val="16"/>
          <w:color w:val="auto"/>
        </w:rPr>
        <w:t xml:space="preserve"> Chaired by Dr. Guarini, who has extensive experience in information technology, data security, and artificial intelligence.</w:t>
      </w:r>
    </w:p>
    <w:p>
      <w:pPr>
        <w:spacing w:after="0" w:line="109" w:lineRule="exact"/>
        <w:rPr>
          <w:sz w:val="20"/>
          <w:szCs w:val="20"/>
          <w:color w:val="auto"/>
        </w:rPr>
      </w:pPr>
    </w:p>
    <w:p>
      <w:pPr>
        <w:ind w:left="140" w:right="599"/>
        <w:spacing w:after="0" w:line="321" w:lineRule="auto"/>
        <w:rPr>
          <w:sz w:val="20"/>
          <w:szCs w:val="20"/>
          <w:color w:val="auto"/>
        </w:rPr>
      </w:pPr>
      <w:r>
        <w:rPr>
          <w:rFonts w:ascii="Arial" w:cs="Arial" w:eastAsia="Arial" w:hAnsi="Arial"/>
          <w:sz w:val="16"/>
          <w:szCs w:val="16"/>
          <w:color w:val="auto"/>
        </w:rPr>
        <w:t>For more information about the Digital Technology Committee, see “Board of Directors—Board Committees—Digital Technology Committee” on page 25.</w:t>
      </w:r>
    </w:p>
    <w:p>
      <w:pPr>
        <w:spacing w:after="0" w:line="203"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Enhanced Board Committee Membership</w:t>
      </w:r>
    </w:p>
    <w:p>
      <w:pPr>
        <w:spacing w:after="0" w:line="132" w:lineRule="exact"/>
        <w:rPr>
          <w:sz w:val="20"/>
          <w:szCs w:val="20"/>
          <w:color w:val="auto"/>
        </w:rPr>
      </w:pPr>
    </w:p>
    <w:p>
      <w:pPr>
        <w:ind w:left="360" w:right="239" w:hanging="219"/>
        <w:spacing w:after="0"/>
        <w:rPr>
          <w:sz w:val="20"/>
          <w:szCs w:val="20"/>
          <w:color w:val="auto"/>
        </w:rPr>
      </w:pPr>
      <w:r>
        <w:rPr>
          <w:sz w:val="1"/>
          <w:szCs w:val="1"/>
          <w:color w:val="auto"/>
        </w:rPr>
        <w:drawing>
          <wp:inline distT="0" distB="0" distL="0" distR="0">
            <wp:extent cx="85725" cy="596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59690"/>
                    </a:xfrm>
                    <a:prstGeom prst="rect">
                      <a:avLst/>
                    </a:prstGeom>
                    <a:noFill/>
                    <a:ln>
                      <a:noFill/>
                    </a:ln>
                  </pic:spPr>
                </pic:pic>
              </a:graphicData>
            </a:graphic>
          </wp:inline>
        </w:drawing>
      </w:r>
      <w:r>
        <w:rPr>
          <w:rFonts w:ascii="Arial" w:cs="Arial" w:eastAsia="Arial" w:hAnsi="Arial"/>
          <w:sz w:val="16"/>
          <w:szCs w:val="16"/>
          <w:color w:val="auto"/>
        </w:rPr>
        <w:t xml:space="preserve"> Enhanced our committee membership with the addition of Drs. Coles and Schenkein to our Compensation Committee and Dr. Thompson to our Corporate Governance and Compliance Committee. </w:t>
      </w:r>
      <w:r>
        <w:rPr>
          <w:rFonts w:ascii="Arial" w:cs="Arial" w:eastAsia="Arial" w:hAnsi="Arial"/>
          <w:sz w:val="16"/>
          <w:szCs w:val="16"/>
          <w:color w:val="auto"/>
          <w:highlight w:val="white"/>
        </w:rPr>
        <w:t>Each new committee member brings</w:t>
      </w:r>
      <w:r>
        <w:rPr>
          <w:rFonts w:ascii="Arial" w:cs="Arial" w:eastAsia="Arial" w:hAnsi="Arial"/>
          <w:sz w:val="16"/>
          <w:szCs w:val="16"/>
          <w:color w:val="auto"/>
        </w:rPr>
        <w:t xml:space="preserve"> </w:t>
      </w:r>
      <w:r>
        <w:rPr>
          <w:rFonts w:ascii="Arial" w:cs="Arial" w:eastAsia="Arial" w:hAnsi="Arial"/>
          <w:sz w:val="16"/>
          <w:szCs w:val="16"/>
          <w:color w:val="auto"/>
          <w:highlight w:val="white"/>
        </w:rPr>
        <w:t xml:space="preserve">substantial experience and a fresh perspective to their new role, while gaining the </w:t>
      </w:r>
      <w:r>
        <w:rPr>
          <w:rFonts w:ascii="Arial" w:cs="Arial" w:eastAsia="Arial" w:hAnsi="Arial"/>
          <w:sz w:val="16"/>
          <w:szCs w:val="16"/>
          <w:color w:val="auto"/>
        </w:rPr>
        <w:t>opportunity to deepen their</w:t>
      </w:r>
      <w:r>
        <w:rPr>
          <w:rFonts w:ascii="Arial" w:cs="Arial" w:eastAsia="Arial" w:hAnsi="Arial"/>
          <w:sz w:val="16"/>
          <w:szCs w:val="16"/>
          <w:color w:val="auto"/>
          <w:highlight w:val="white"/>
        </w:rPr>
        <w:t xml:space="preserve"> </w:t>
      </w:r>
      <w:r>
        <w:rPr>
          <w:rFonts w:ascii="Arial" w:cs="Arial" w:eastAsia="Arial" w:hAnsi="Arial"/>
          <w:sz w:val="16"/>
          <w:szCs w:val="16"/>
          <w:color w:val="auto"/>
        </w:rPr>
        <w:t>understanding of different areas of the Company’s operations and governance, enhancing the board’s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collective expertise.</w:t>
      </w:r>
    </w:p>
    <w:p>
      <w:pPr>
        <w:spacing w:after="0" w:line="113" w:lineRule="exact"/>
        <w:rPr>
          <w:sz w:val="20"/>
          <w:szCs w:val="20"/>
          <w:color w:val="auto"/>
        </w:rPr>
      </w:pPr>
    </w:p>
    <w:p>
      <w:pPr>
        <w:ind w:left="360" w:right="379" w:hanging="219"/>
        <w:spacing w:after="0"/>
        <w:rPr>
          <w:sz w:val="20"/>
          <w:szCs w:val="20"/>
          <w:color w:val="auto"/>
        </w:rPr>
      </w:pPr>
      <w:r>
        <w:rPr>
          <w:sz w:val="1"/>
          <w:szCs w:val="1"/>
          <w:color w:val="auto"/>
        </w:rPr>
        <w:drawing>
          <wp:inline distT="0" distB="0" distL="0" distR="0">
            <wp:extent cx="85725" cy="5969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59690"/>
                    </a:xfrm>
                    <a:prstGeom prst="rect">
                      <a:avLst/>
                    </a:prstGeom>
                    <a:noFill/>
                    <a:ln>
                      <a:noFill/>
                    </a:ln>
                  </pic:spPr>
                </pic:pic>
              </a:graphicData>
            </a:graphic>
          </wp:inline>
        </w:drawing>
      </w:r>
      <w:r>
        <w:rPr>
          <w:rFonts w:ascii="Arial" w:cs="Arial" w:eastAsia="Arial" w:hAnsi="Arial"/>
          <w:sz w:val="16"/>
          <w:szCs w:val="16"/>
          <w:color w:val="auto"/>
        </w:rPr>
        <w:t xml:space="preserve"> Reflects the board’s ongoing commitment to strengthening its overall effectiveness by promoting fresh perspectives, leveraging varied leadership styles, and supporting board succession planning.</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 more information about our committees, see “Board of Directors—Board Committees” on page 21.</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Continued to Engage Extensively with Shareholders</w:t>
      </w:r>
    </w:p>
    <w:p>
      <w:pPr>
        <w:spacing w:after="0" w:line="146" w:lineRule="exact"/>
        <w:rPr>
          <w:sz w:val="20"/>
          <w:szCs w:val="20"/>
          <w:color w:val="auto"/>
        </w:rPr>
      </w:pPr>
    </w:p>
    <w:p>
      <w:pPr>
        <w:ind w:left="120"/>
        <w:spacing w:after="0"/>
        <w:rPr>
          <w:sz w:val="20"/>
          <w:szCs w:val="20"/>
          <w:color w:val="auto"/>
        </w:rPr>
      </w:pPr>
      <w:r>
        <w:rPr>
          <w:sz w:val="1"/>
          <w:szCs w:val="1"/>
          <w:color w:val="auto"/>
        </w:rPr>
        <w:drawing>
          <wp:inline distT="0" distB="0" distL="0" distR="0">
            <wp:extent cx="85725" cy="6858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Invited engagement with shareholders collectively representing 51% of our public shares.</w:t>
      </w:r>
    </w:p>
    <w:p>
      <w:pPr>
        <w:spacing w:after="0" w:line="100" w:lineRule="exact"/>
        <w:rPr>
          <w:sz w:val="20"/>
          <w:szCs w:val="20"/>
          <w:color w:val="auto"/>
        </w:rPr>
      </w:pPr>
    </w:p>
    <w:p>
      <w:pPr>
        <w:ind w:left="120"/>
        <w:spacing w:after="0"/>
        <w:rPr>
          <w:sz w:val="20"/>
          <w:szCs w:val="20"/>
          <w:color w:val="auto"/>
        </w:rPr>
      </w:pPr>
      <w:r>
        <w:rPr>
          <w:sz w:val="1"/>
          <w:szCs w:val="1"/>
          <w:color w:val="auto"/>
        </w:rPr>
        <w:drawing>
          <wp:inline distT="0" distB="0" distL="0" distR="0">
            <wp:extent cx="85725" cy="603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60325"/>
                    </a:xfrm>
                    <a:prstGeom prst="rect">
                      <a:avLst/>
                    </a:prstGeom>
                    <a:noFill/>
                    <a:ln>
                      <a:noFill/>
                    </a:ln>
                  </pic:spPr>
                </pic:pic>
              </a:graphicData>
            </a:graphic>
          </wp:inline>
        </w:drawing>
      </w:r>
      <w:r>
        <w:rPr>
          <w:rFonts w:ascii="Arial" w:cs="Arial" w:eastAsia="Arial" w:hAnsi="Arial"/>
          <w:sz w:val="16"/>
          <w:szCs w:val="16"/>
          <w:color w:val="auto"/>
        </w:rPr>
        <w:t xml:space="preserve"> Engaged in direct one-on-one discussions with shareholders representing 42% of our public shares.</w:t>
      </w:r>
    </w:p>
    <w:p>
      <w:pPr>
        <w:spacing w:after="0" w:line="200" w:lineRule="exact"/>
        <w:rPr>
          <w:sz w:val="20"/>
          <w:szCs w:val="20"/>
          <w:color w:val="auto"/>
        </w:rPr>
      </w:pPr>
    </w:p>
    <w:p>
      <w:pPr>
        <w:spacing w:after="0" w:line="217" w:lineRule="exact"/>
        <w:rPr>
          <w:sz w:val="20"/>
          <w:szCs w:val="20"/>
          <w:color w:val="auto"/>
        </w:rPr>
      </w:pPr>
    </w:p>
    <w:p>
      <w:pPr>
        <w:ind w:left="3060"/>
        <w:spacing w:after="0"/>
        <w:tabs>
          <w:tab w:leader="none" w:pos="5540" w:val="left"/>
        </w:tabs>
        <w:rPr>
          <w:sz w:val="20"/>
          <w:szCs w:val="20"/>
          <w:color w:val="auto"/>
        </w:rPr>
      </w:pPr>
      <w:r>
        <w:rPr>
          <w:rFonts w:ascii="Arial" w:cs="Arial" w:eastAsia="Arial" w:hAnsi="Arial"/>
          <w:sz w:val="29"/>
          <w:szCs w:val="29"/>
          <w:b w:val="1"/>
          <w:bCs w:val="1"/>
          <w:color w:val="065BAA"/>
        </w:rPr>
        <w:t>42%</w:t>
      </w:r>
      <w:r>
        <w:rPr>
          <w:sz w:val="20"/>
          <w:szCs w:val="20"/>
          <w:color w:val="auto"/>
        </w:rPr>
        <w:tab/>
      </w:r>
      <w:r>
        <w:rPr>
          <w:rFonts w:ascii="Arial" w:cs="Arial" w:eastAsia="Arial" w:hAnsi="Arial"/>
          <w:sz w:val="29"/>
          <w:szCs w:val="29"/>
          <w:b w:val="1"/>
          <w:bCs w:val="1"/>
          <w:color w:val="065BAA"/>
        </w:rPr>
        <w:t>51%</w:t>
      </w:r>
    </w:p>
    <w:p>
      <w:pPr>
        <w:spacing w:after="0" w:line="54" w:lineRule="exact"/>
        <w:rPr>
          <w:sz w:val="20"/>
          <w:szCs w:val="20"/>
          <w:color w:val="auto"/>
        </w:rPr>
      </w:pPr>
    </w:p>
    <w:p>
      <w:pPr>
        <w:ind w:left="3060"/>
        <w:spacing w:after="0"/>
        <w:tabs>
          <w:tab w:leader="none" w:pos="5420" w:val="left"/>
        </w:tabs>
        <w:rPr>
          <w:sz w:val="20"/>
          <w:szCs w:val="20"/>
          <w:color w:val="auto"/>
        </w:rPr>
      </w:pPr>
      <w:r>
        <w:rPr>
          <w:rFonts w:ascii="Arial" w:cs="Arial" w:eastAsia="Arial" w:hAnsi="Arial"/>
          <w:sz w:val="16"/>
          <w:szCs w:val="16"/>
          <w:color w:val="auto"/>
        </w:rPr>
        <w:t>engaged</w:t>
      </w:r>
      <w:r>
        <w:rPr>
          <w:sz w:val="20"/>
          <w:szCs w:val="20"/>
          <w:color w:val="auto"/>
        </w:rPr>
        <w:tab/>
      </w:r>
      <w:r>
        <w:rPr>
          <w:rFonts w:ascii="Arial" w:cs="Arial" w:eastAsia="Arial" w:hAnsi="Arial"/>
          <w:sz w:val="16"/>
          <w:szCs w:val="16"/>
          <w:color w:val="auto"/>
        </w:rPr>
        <w:t>contacted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0" w:right="259"/>
        <w:spacing w:after="0" w:line="321" w:lineRule="auto"/>
        <w:rPr>
          <w:sz w:val="20"/>
          <w:szCs w:val="20"/>
          <w:color w:val="auto"/>
        </w:rPr>
      </w:pPr>
      <w:r>
        <w:rPr>
          <w:rFonts w:ascii="Arial" w:cs="Arial" w:eastAsia="Arial" w:hAnsi="Arial"/>
          <w:sz w:val="16"/>
          <w:szCs w:val="16"/>
          <w:color w:val="auto"/>
        </w:rPr>
        <w:t>For more information about our engagement efforts in 2025, see “Corporate Governance—Longstanding Commitment to Shareholder Engagement” on page 39.</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3</w:t>
            </w:r>
          </w:p>
        </w:tc>
      </w:tr>
    </w:tbl>
    <w:p>
      <w:pPr>
        <w:sectPr>
          <w:pgSz w:w="11900" w:h="16838" w:orient="portrait"/>
          <w:cols w:equalWidth="0" w:num="1">
            <w:col w:w="9019"/>
          </w:cols>
          <w:pgMar w:left="1440" w:top="657" w:right="1440" w:bottom="1440" w:gutter="0" w:footer="0" w:header="0"/>
        </w:sectPr>
      </w:pPr>
    </w:p>
    <w:bookmarkStart w:id="12" w:name="page13"/>
    <w:bookmarkEnd w:id="12"/>
    <w:p>
      <w:pPr>
        <w:ind w:left="200"/>
        <w:spacing w:after="0"/>
        <w:tabs>
          <w:tab w:leader="none" w:pos="1260" w:val="left"/>
          <w:tab w:leader="none" w:pos="2680" w:val="left"/>
          <w:tab w:leader="none" w:pos="4440" w:val="left"/>
          <w:tab w:leader="none" w:pos="5660" w:val="left"/>
          <w:tab w:leader="none" w:pos="7900" w:val="left"/>
        </w:tabs>
        <w:rPr>
          <w:sz w:val="20"/>
          <w:szCs w:val="20"/>
          <w:color w:val="auto"/>
        </w:rPr>
      </w:pPr>
      <w:r>
        <w:rPr>
          <w:rFonts w:ascii="Arial" w:cs="Arial" w:eastAsia="Arial" w:hAnsi="Arial"/>
          <w:sz w:val="14"/>
          <w:szCs w:val="14"/>
          <w:b w:val="1"/>
          <w:bCs w:val="1"/>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color w:val="343434"/>
        </w:rPr>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Key Compensation Decisions and</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Compensation-Related Outcomes</w:t>
      </w:r>
    </w:p>
    <w:p>
      <w:pPr>
        <w:spacing w:after="0" w:line="89" w:lineRule="exact"/>
        <w:rPr>
          <w:sz w:val="20"/>
          <w:szCs w:val="20"/>
          <w:color w:val="auto"/>
        </w:rPr>
      </w:pPr>
    </w:p>
    <w:p>
      <w:pPr>
        <w:ind w:left="360" w:right="159" w:hanging="219"/>
        <w:spacing w:after="0"/>
        <w:rPr>
          <w:sz w:val="20"/>
          <w:szCs w:val="20"/>
          <w:color w:val="auto"/>
        </w:rPr>
      </w:pPr>
      <w:r>
        <w:rPr>
          <w:sz w:val="1"/>
          <w:szCs w:val="1"/>
          <w:color w:val="auto"/>
        </w:rPr>
        <w:drawing>
          <wp:inline distT="0" distB="0" distL="0" distR="0">
            <wp:extent cx="85725" cy="5969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59690"/>
                    </a:xfrm>
                    <a:prstGeom prst="rect">
                      <a:avLst/>
                    </a:prstGeom>
                    <a:noFill/>
                    <a:ln>
                      <a:noFill/>
                    </a:ln>
                  </pic:spPr>
                </pic:pic>
              </a:graphicData>
            </a:graphic>
          </wp:inline>
        </w:drawing>
      </w:r>
      <w:r>
        <w:rPr>
          <w:rFonts w:ascii="Arial" w:cs="Arial" w:eastAsia="Arial" w:hAnsi="Arial"/>
          <w:sz w:val="16"/>
          <w:szCs w:val="16"/>
          <w:b w:val="1"/>
          <w:bCs w:val="1"/>
          <w:color w:val="auto"/>
        </w:rPr>
        <w:t xml:space="preserve"> Modest increases to cash compensation: </w:t>
      </w:r>
      <w:r>
        <w:rPr>
          <w:rFonts w:ascii="Arial" w:cs="Arial" w:eastAsia="Arial" w:hAnsi="Arial"/>
          <w:sz w:val="16"/>
          <w:szCs w:val="16"/>
          <w:color w:val="auto"/>
        </w:rPr>
        <w:t>Provided modest increases to the annual cash incentive awards and base</w:t>
      </w:r>
      <w:r>
        <w:rPr>
          <w:rFonts w:ascii="Arial" w:cs="Arial" w:eastAsia="Arial" w:hAnsi="Arial"/>
          <w:sz w:val="16"/>
          <w:szCs w:val="16"/>
          <w:b w:val="1"/>
          <w:bCs w:val="1"/>
          <w:color w:val="auto"/>
        </w:rPr>
        <w:t xml:space="preserve"> </w:t>
      </w:r>
      <w:r>
        <w:rPr>
          <w:rFonts w:ascii="Arial" w:cs="Arial" w:eastAsia="Arial" w:hAnsi="Arial"/>
          <w:sz w:val="16"/>
          <w:szCs w:val="16"/>
          <w:color w:val="auto"/>
        </w:rPr>
        <w:t>salaries of our Named Executive Officers (“NEOs”), with an additional base salary adjustment for our Chief Financial Officer (“CFO”) to enhance market competitiveness.</w:t>
      </w:r>
    </w:p>
    <w:p>
      <w:pPr>
        <w:spacing w:after="0" w:line="82" w:lineRule="exact"/>
        <w:rPr>
          <w:sz w:val="20"/>
          <w:szCs w:val="20"/>
          <w:color w:val="auto"/>
        </w:rPr>
      </w:pPr>
    </w:p>
    <w:p>
      <w:pPr>
        <w:ind w:left="360" w:right="159" w:hanging="219"/>
        <w:spacing w:after="0"/>
        <w:rPr>
          <w:sz w:val="20"/>
          <w:szCs w:val="20"/>
          <w:color w:val="auto"/>
        </w:rPr>
      </w:pPr>
      <w:r>
        <w:rPr>
          <w:sz w:val="1"/>
          <w:szCs w:val="1"/>
          <w:color w:val="auto"/>
        </w:rPr>
        <w:drawing>
          <wp:inline distT="0" distB="0" distL="0" distR="0">
            <wp:extent cx="85725" cy="5969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59690"/>
                    </a:xfrm>
                    <a:prstGeom prst="rect">
                      <a:avLst/>
                    </a:prstGeom>
                    <a:noFill/>
                    <a:ln>
                      <a:noFill/>
                    </a:ln>
                  </pic:spPr>
                </pic:pic>
              </a:graphicData>
            </a:graphic>
          </wp:inline>
        </w:drawing>
      </w:r>
      <w:r>
        <w:rPr>
          <w:rFonts w:ascii="Arial" w:cs="Arial" w:eastAsia="Arial" w:hAnsi="Arial"/>
          <w:sz w:val="16"/>
          <w:szCs w:val="16"/>
          <w:b w:val="1"/>
          <w:bCs w:val="1"/>
          <w:color w:val="auto"/>
        </w:rPr>
        <w:t xml:space="preserve"> No CEO/CSO year-end equity awards; generally flat year-end equity awards for other NEOs</w:t>
      </w:r>
      <w:r>
        <w:rPr>
          <w:rFonts w:ascii="Arial" w:cs="Arial" w:eastAsia="Arial" w:hAnsi="Arial"/>
          <w:sz w:val="16"/>
          <w:szCs w:val="16"/>
          <w:color w:val="auto"/>
        </w:rPr>
        <w:t>: Did not grant any</w:t>
      </w:r>
      <w:r>
        <w:rPr>
          <w:rFonts w:ascii="Arial" w:cs="Arial" w:eastAsia="Arial" w:hAnsi="Arial"/>
          <w:sz w:val="16"/>
          <w:szCs w:val="16"/>
          <w:b w:val="1"/>
          <w:bCs w:val="1"/>
          <w:color w:val="auto"/>
        </w:rPr>
        <w:t xml:space="preserve"> </w:t>
      </w:r>
      <w:r>
        <w:rPr>
          <w:rFonts w:ascii="Arial" w:cs="Arial" w:eastAsia="Arial" w:hAnsi="Arial"/>
          <w:sz w:val="16"/>
          <w:szCs w:val="16"/>
          <w:color w:val="auto"/>
        </w:rPr>
        <w:t>equity awards to our CEO or CSO in 2025 as the Compensation Committee continued to actively discuss and consider a potential new CEO/CSO equity program design, and kept the value of 2025 year-end equity awards for other NEOs generally flat year over year with the exception of an increase to our CFO’s equity award value to enhance market competitiveness and to reflect expected future contributions to corporate performance.</w:t>
      </w:r>
    </w:p>
    <w:p>
      <w:pPr>
        <w:spacing w:after="0" w:line="82" w:lineRule="exact"/>
        <w:rPr>
          <w:sz w:val="20"/>
          <w:szCs w:val="20"/>
          <w:color w:val="auto"/>
        </w:rPr>
      </w:pPr>
    </w:p>
    <w:p>
      <w:pPr>
        <w:ind w:left="360" w:right="439" w:hanging="219"/>
        <w:spacing w:after="0"/>
        <w:rPr>
          <w:sz w:val="20"/>
          <w:szCs w:val="20"/>
          <w:color w:val="auto"/>
        </w:rPr>
      </w:pPr>
      <w:r>
        <w:rPr>
          <w:sz w:val="1"/>
          <w:szCs w:val="1"/>
          <w:color w:val="auto"/>
        </w:rPr>
        <w:drawing>
          <wp:inline distT="0" distB="0" distL="0" distR="0">
            <wp:extent cx="85725" cy="5969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59690"/>
                    </a:xfrm>
                    <a:prstGeom prst="rect">
                      <a:avLst/>
                    </a:prstGeom>
                    <a:noFill/>
                    <a:ln>
                      <a:noFill/>
                    </a:ln>
                  </pic:spPr>
                </pic:pic>
              </a:graphicData>
            </a:graphic>
          </wp:inline>
        </w:drawing>
      </w:r>
      <w:r>
        <w:rPr>
          <w:rFonts w:ascii="Arial" w:cs="Arial" w:eastAsia="Arial" w:hAnsi="Arial"/>
          <w:sz w:val="16"/>
          <w:szCs w:val="16"/>
          <w:b w:val="1"/>
          <w:bCs w:val="1"/>
          <w:color w:val="auto"/>
        </w:rPr>
        <w:t xml:space="preserve"> Record-low burn rate: </w:t>
      </w:r>
      <w:r>
        <w:rPr>
          <w:rFonts w:ascii="Arial" w:cs="Arial" w:eastAsia="Arial" w:hAnsi="Arial"/>
          <w:sz w:val="16"/>
          <w:szCs w:val="16"/>
          <w:color w:val="auto"/>
        </w:rPr>
        <w:t>Achieved a record-low burn rate of 2.00% in 2025, despite maintaining one of the broadest</w:t>
      </w:r>
      <w:r>
        <w:rPr>
          <w:rFonts w:ascii="Arial" w:cs="Arial" w:eastAsia="Arial" w:hAnsi="Arial"/>
          <w:sz w:val="16"/>
          <w:szCs w:val="16"/>
          <w:b w:val="1"/>
          <w:bCs w:val="1"/>
          <w:color w:val="auto"/>
        </w:rPr>
        <w:t xml:space="preserve"> </w:t>
      </w:r>
      <w:r>
        <w:rPr>
          <w:rFonts w:ascii="Arial" w:cs="Arial" w:eastAsia="Arial" w:hAnsi="Arial"/>
          <w:sz w:val="16"/>
          <w:szCs w:val="16"/>
          <w:color w:val="auto"/>
        </w:rPr>
        <w:t>equity programs among our peers and increasing the number of our employees year-over-year.</w:t>
      </w:r>
    </w:p>
    <w:p>
      <w:pPr>
        <w:spacing w:after="0" w:line="150" w:lineRule="exact"/>
        <w:rPr>
          <w:sz w:val="20"/>
          <w:szCs w:val="20"/>
          <w:color w:val="auto"/>
        </w:rPr>
      </w:pPr>
    </w:p>
    <w:p>
      <w:pPr>
        <w:ind w:left="140" w:right="339"/>
        <w:spacing w:after="0" w:line="321" w:lineRule="auto"/>
        <w:rPr>
          <w:sz w:val="20"/>
          <w:szCs w:val="20"/>
          <w:color w:val="auto"/>
        </w:rPr>
      </w:pPr>
      <w:r>
        <w:rPr>
          <w:rFonts w:ascii="Arial" w:cs="Arial" w:eastAsia="Arial" w:hAnsi="Arial"/>
          <w:sz w:val="16"/>
          <w:szCs w:val="16"/>
          <w:color w:val="auto"/>
        </w:rPr>
        <w:t>For more information about our compensation highlights for 2025, see “Compensation-Related Matters—Compensation Discussion and Analysis—Executive Summary—What’s New—2025 Compensation Program” on page 59.</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Business Highlights</w:t>
      </w:r>
    </w:p>
    <w:p>
      <w:pPr>
        <w:spacing w:after="0" w:line="132" w:lineRule="exact"/>
        <w:rPr>
          <w:sz w:val="20"/>
          <w:szCs w:val="20"/>
          <w:color w:val="auto"/>
        </w:rPr>
      </w:pPr>
    </w:p>
    <w:p>
      <w:pPr>
        <w:ind w:left="360" w:right="819" w:hanging="219"/>
        <w:spacing w:after="0"/>
        <w:rPr>
          <w:sz w:val="20"/>
          <w:szCs w:val="20"/>
          <w:color w:val="auto"/>
        </w:rPr>
      </w:pPr>
      <w:r>
        <w:rPr>
          <w:sz w:val="1"/>
          <w:szCs w:val="1"/>
          <w:color w:val="auto"/>
        </w:rPr>
        <w:drawing>
          <wp:inline distT="0" distB="0" distL="0" distR="0">
            <wp:extent cx="85725" cy="596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59690"/>
                    </a:xfrm>
                    <a:prstGeom prst="rect">
                      <a:avLst/>
                    </a:prstGeom>
                    <a:noFill/>
                    <a:ln>
                      <a:noFill/>
                    </a:ln>
                  </pic:spPr>
                </pic:pic>
              </a:graphicData>
            </a:graphic>
          </wp:inline>
        </w:drawing>
      </w:r>
      <w:r>
        <w:rPr>
          <w:rFonts w:ascii="Arial" w:cs="Arial" w:eastAsia="Arial" w:hAnsi="Arial"/>
          <w:sz w:val="16"/>
          <w:szCs w:val="16"/>
          <w:b w:val="1"/>
          <w:bCs w:val="1"/>
          <w:color w:val="auto"/>
        </w:rPr>
        <w:t xml:space="preserve"> We delivered top- and bottom-line growth: </w:t>
      </w:r>
      <w:r>
        <w:rPr>
          <w:rFonts w:ascii="Arial" w:cs="Arial" w:eastAsia="Arial" w:hAnsi="Arial"/>
          <w:sz w:val="16"/>
          <w:szCs w:val="16"/>
          <w:color w:val="auto"/>
        </w:rPr>
        <w:t>Grew full-year 2025 revenues 1% to $14.34 billion versus 2024;</w:t>
      </w:r>
      <w:r>
        <w:rPr>
          <w:rFonts w:ascii="Arial" w:cs="Arial" w:eastAsia="Arial" w:hAnsi="Arial"/>
          <w:sz w:val="16"/>
          <w:szCs w:val="16"/>
          <w:b w:val="1"/>
          <w:bCs w:val="1"/>
          <w:color w:val="auto"/>
        </w:rPr>
        <w:t xml:space="preserve"> </w:t>
      </w:r>
      <w:r>
        <w:rPr>
          <w:rFonts w:ascii="Arial" w:cs="Arial" w:eastAsia="Arial" w:hAnsi="Arial"/>
          <w:sz w:val="16"/>
          <w:szCs w:val="16"/>
          <w:color w:val="auto"/>
        </w:rPr>
        <w:t>achieved full-year 2025 GAAP and non-GAAP diluted net income per share, or EPS, of $41.48 and $44.31, respectively.</w:t>
      </w:r>
      <w:r>
        <w:rPr>
          <w:rFonts w:ascii="Arial" w:cs="Arial" w:eastAsia="Arial" w:hAnsi="Arial"/>
          <w:sz w:val="21"/>
          <w:szCs w:val="21"/>
          <w:color w:val="auto"/>
          <w:vertAlign w:val="superscript"/>
        </w:rPr>
        <w:t>2</w:t>
      </w:r>
    </w:p>
    <w:p>
      <w:pPr>
        <w:spacing w:after="0" w:line="38" w:lineRule="exact"/>
        <w:rPr>
          <w:sz w:val="20"/>
          <w:szCs w:val="20"/>
          <w:color w:val="auto"/>
        </w:rPr>
      </w:pPr>
    </w:p>
    <w:p>
      <w:pPr>
        <w:ind w:left="360" w:right="459" w:hanging="219"/>
        <w:spacing w:after="0"/>
        <w:rPr>
          <w:sz w:val="20"/>
          <w:szCs w:val="20"/>
          <w:color w:val="auto"/>
        </w:rPr>
      </w:pPr>
      <w:r>
        <w:rPr>
          <w:sz w:val="1"/>
          <w:szCs w:val="1"/>
          <w:color w:val="auto"/>
        </w:rPr>
        <w:drawing>
          <wp:inline distT="0" distB="0" distL="0" distR="0">
            <wp:extent cx="85725" cy="603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60325"/>
                    </a:xfrm>
                    <a:prstGeom prst="rect">
                      <a:avLst/>
                    </a:prstGeom>
                    <a:noFill/>
                    <a:ln>
                      <a:noFill/>
                    </a:ln>
                  </pic:spPr>
                </pic:pic>
              </a:graphicData>
            </a:graphic>
          </wp:inline>
        </w:drawing>
      </w:r>
      <w:r>
        <w:rPr>
          <w:rFonts w:ascii="Arial" w:cs="Arial" w:eastAsia="Arial" w:hAnsi="Arial"/>
          <w:sz w:val="16"/>
          <w:szCs w:val="16"/>
          <w:b w:val="1"/>
          <w:bCs w:val="1"/>
          <w:color w:val="auto"/>
        </w:rPr>
        <w:t xml:space="preserve"> We returned capital to our shareholders: </w:t>
      </w:r>
      <w:r>
        <w:rPr>
          <w:rFonts w:ascii="Arial" w:cs="Arial" w:eastAsia="Arial" w:hAnsi="Arial"/>
          <w:sz w:val="16"/>
          <w:szCs w:val="16"/>
          <w:color w:val="auto"/>
        </w:rPr>
        <w:t>Repurchased $3.5 billion of common stock and initiated quarterly cash</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program.</w:t>
      </w:r>
    </w:p>
    <w:p>
      <w:pPr>
        <w:spacing w:after="0" w:line="82" w:lineRule="exact"/>
        <w:rPr>
          <w:sz w:val="20"/>
          <w:szCs w:val="20"/>
          <w:color w:val="auto"/>
        </w:rPr>
      </w:pPr>
    </w:p>
    <w:p>
      <w:pPr>
        <w:ind w:left="360" w:right="219" w:hanging="219"/>
        <w:spacing w:after="0"/>
        <w:rPr>
          <w:sz w:val="20"/>
          <w:szCs w:val="20"/>
          <w:color w:val="auto"/>
        </w:rPr>
      </w:pPr>
      <w:r>
        <w:rPr>
          <w:sz w:val="1"/>
          <w:szCs w:val="1"/>
          <w:color w:val="auto"/>
        </w:rPr>
        <w:drawing>
          <wp:inline distT="0" distB="0" distL="0" distR="0">
            <wp:extent cx="85725" cy="603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60325"/>
                    </a:xfrm>
                    <a:prstGeom prst="rect">
                      <a:avLst/>
                    </a:prstGeom>
                    <a:noFill/>
                    <a:ln>
                      <a:noFill/>
                    </a:ln>
                  </pic:spPr>
                </pic:pic>
              </a:graphicData>
            </a:graphic>
          </wp:inline>
        </w:drawing>
      </w:r>
      <w:r>
        <w:rPr>
          <w:rFonts w:ascii="Arial" w:cs="Arial" w:eastAsia="Arial" w:hAnsi="Arial"/>
          <w:sz w:val="16"/>
          <w:szCs w:val="16"/>
          <w:b w:val="1"/>
          <w:bCs w:val="1"/>
          <w:color w:val="auto"/>
        </w:rPr>
        <w:t xml:space="preserve"> We invested in our future: </w:t>
      </w:r>
      <w:r>
        <w:rPr>
          <w:rFonts w:ascii="Arial" w:cs="Arial" w:eastAsia="Arial" w:hAnsi="Arial"/>
          <w:sz w:val="16"/>
          <w:szCs w:val="16"/>
          <w:color w:val="auto"/>
        </w:rPr>
        <w:t>Invested $5.9 billion in research and development; deployed nearly $900 million in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expenditures primarily to expand our U.S.-based research and manufacturing facilities.</w:t>
      </w:r>
    </w:p>
    <w:p>
      <w:pPr>
        <w:spacing w:after="0" w:line="150" w:lineRule="exact"/>
        <w:rPr>
          <w:sz w:val="20"/>
          <w:szCs w:val="20"/>
          <w:color w:val="auto"/>
        </w:rPr>
      </w:pPr>
    </w:p>
    <w:p>
      <w:pPr>
        <w:ind w:left="140" w:right="699"/>
        <w:spacing w:after="0" w:line="321" w:lineRule="auto"/>
        <w:rPr>
          <w:sz w:val="20"/>
          <w:szCs w:val="20"/>
          <w:color w:val="auto"/>
        </w:rPr>
      </w:pPr>
      <w:r>
        <w:rPr>
          <w:rFonts w:ascii="Arial" w:cs="Arial" w:eastAsia="Arial" w:hAnsi="Arial"/>
          <w:sz w:val="16"/>
          <w:szCs w:val="16"/>
          <w:color w:val="auto"/>
        </w:rPr>
        <w:t>For more information about our business highlights for 2025, see “Compensation-Related Matters—Compensation Discussion and Analysis—Executive Summary—What’s New—2025 Business Developments” on page 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 w:right="459" w:hanging="190"/>
        <w:spacing w:after="0" w:line="236" w:lineRule="auto"/>
        <w:tabs>
          <w:tab w:leader="none" w:pos="32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Non-GAAP net income, and non-GAAP net income per share, or EPS, are not measures calculated in accordance with GAAP. See Appendix A for a definition of these measures and a reconciliation of each of these measures to the most directly comparable GAAP financial measure.</w:t>
      </w:r>
    </w:p>
    <w:p>
      <w:pPr>
        <w:spacing w:after="0" w:line="8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168"/>
              <w:spacing w:after="0"/>
              <w:rPr>
                <w:sz w:val="20"/>
                <w:szCs w:val="20"/>
                <w:color w:val="auto"/>
              </w:rPr>
            </w:pPr>
            <w:r>
              <w:rPr>
                <w:rFonts w:ascii="Arial" w:cs="Arial" w:eastAsia="Arial" w:hAnsi="Arial"/>
                <w:sz w:val="14"/>
                <w:szCs w:val="14"/>
                <w:b w:val="1"/>
                <w:bCs w:val="1"/>
                <w:color w:val="065BAA"/>
                <w:w w:val="76"/>
              </w:rPr>
              <w:t>4</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13" w:name="page14"/>
    <w:bookmarkEnd w:id="13"/>
    <w:p>
      <w:pPr>
        <w:ind w:left="200"/>
        <w:spacing w:after="0"/>
        <w:tabs>
          <w:tab w:leader="none" w:pos="1260" w:val="left"/>
          <w:tab w:leader="none" w:pos="2680" w:val="left"/>
          <w:tab w:leader="none" w:pos="4440" w:val="left"/>
          <w:tab w:leader="none" w:pos="5660" w:val="left"/>
          <w:tab w:leader="none" w:pos="7900" w:val="left"/>
        </w:tabs>
        <w:rPr>
          <w:sz w:val="20"/>
          <w:szCs w:val="20"/>
          <w:color w:val="auto"/>
        </w:rPr>
      </w:pPr>
      <w:r>
        <w:rPr>
          <w:rFonts w:ascii="Arial" w:cs="Arial" w:eastAsia="Arial" w:hAnsi="Arial"/>
          <w:sz w:val="14"/>
          <w:szCs w:val="14"/>
          <w:b w:val="1"/>
          <w:bCs w:val="1"/>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color w:val="343434"/>
        </w:rPr>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ectPr>
          <w:pgSz w:w="11900" w:h="16838" w:orient="portrait"/>
          <w:cols w:equalWidth="0" w:num="1">
            <w:col w:w="9080"/>
          </w:cols>
          <w:pgMar w:left="1440" w:top="65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Board Snapshot</w:t>
      </w:r>
    </w:p>
    <w:p>
      <w:pPr>
        <w:spacing w:after="0" w:line="30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065BAA"/>
        </w:rPr>
        <w:t>Leonard S. Schleifer, M.D., Ph.D.</w:t>
      </w:r>
    </w:p>
    <w:p>
      <w:pPr>
        <w:spacing w:after="0" w:line="24" w:lineRule="exact"/>
        <w:rPr>
          <w:sz w:val="20"/>
          <w:szCs w:val="20"/>
          <w:color w:val="auto"/>
        </w:rPr>
      </w:pPr>
    </w:p>
    <w:p>
      <w:pPr>
        <w:ind w:left="900" w:right="200"/>
        <w:spacing w:after="0" w:line="304" w:lineRule="auto"/>
        <w:rPr>
          <w:sz w:val="20"/>
          <w:szCs w:val="20"/>
          <w:color w:val="auto"/>
        </w:rPr>
      </w:pPr>
      <w:r>
        <w:rPr>
          <w:rFonts w:ascii="Arial" w:cs="Arial" w:eastAsia="Arial" w:hAnsi="Arial"/>
          <w:sz w:val="14"/>
          <w:szCs w:val="14"/>
          <w:color w:val="auto"/>
        </w:rPr>
        <w:t>Board co-Chair, President and Chief Executive Officer of Regeneron</w:t>
      </w: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65BAA"/>
        </w:rPr>
        <w:t>George L. Sing</w:t>
      </w:r>
    </w:p>
    <w:p>
      <w:pPr>
        <w:spacing w:after="0" w:line="37" w:lineRule="exact"/>
        <w:rPr>
          <w:sz w:val="20"/>
          <w:szCs w:val="20"/>
          <w:color w:val="auto"/>
        </w:rPr>
      </w:pPr>
    </w:p>
    <w:p>
      <w:pPr>
        <w:ind w:left="200" w:right="1260"/>
        <w:spacing w:after="0" w:line="293" w:lineRule="auto"/>
        <w:rPr>
          <w:sz w:val="20"/>
          <w:szCs w:val="20"/>
          <w:color w:val="auto"/>
        </w:rPr>
      </w:pPr>
      <w:r>
        <w:rPr>
          <w:rFonts w:ascii="Arial" w:cs="Arial" w:eastAsia="Arial" w:hAnsi="Arial"/>
          <w:sz w:val="14"/>
          <w:szCs w:val="14"/>
          <w:color w:val="auto"/>
        </w:rPr>
        <w:t>Chief Executive Officer of GanD, Inc. and Chair of Grace Science, LLC</w:t>
      </w:r>
    </w:p>
    <w:p>
      <w:pPr>
        <w:spacing w:after="0" w:line="200" w:lineRule="exact"/>
        <w:rPr>
          <w:sz w:val="20"/>
          <w:szCs w:val="20"/>
          <w:color w:val="auto"/>
        </w:rPr>
      </w:pPr>
    </w:p>
    <w:p>
      <w:pPr>
        <w:spacing w:after="0" w:line="23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65BAA"/>
        </w:rPr>
        <w:t>Arthur F. Ryan</w:t>
      </w:r>
    </w:p>
    <w:p>
      <w:pPr>
        <w:spacing w:after="0" w:line="37" w:lineRule="exact"/>
        <w:rPr>
          <w:sz w:val="20"/>
          <w:szCs w:val="20"/>
          <w:color w:val="auto"/>
        </w:rPr>
      </w:pPr>
    </w:p>
    <w:p>
      <w:pPr>
        <w:ind w:left="200" w:right="1700"/>
        <w:spacing w:after="0" w:line="289" w:lineRule="auto"/>
        <w:rPr>
          <w:sz w:val="20"/>
          <w:szCs w:val="20"/>
          <w:color w:val="auto"/>
        </w:rPr>
      </w:pPr>
      <w:r>
        <w:rPr>
          <w:rFonts w:ascii="Arial" w:cs="Arial" w:eastAsia="Arial" w:hAnsi="Arial"/>
          <w:sz w:val="14"/>
          <w:szCs w:val="14"/>
          <w:color w:val="auto"/>
        </w:rPr>
        <w:t>Former Chief Executive Officer and Chair of the Board of Prudential Financial, Inc.</w:t>
      </w:r>
    </w:p>
    <w:p>
      <w:pPr>
        <w:spacing w:after="0" w:line="38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65BAA"/>
        </w:rPr>
        <w:t>Joseph L. Goldstein, M.D.</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Regental Professor of</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Molecular Genetics and</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Internal Medicine and Chair</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of the Department of</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Molecular Genetics at The</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University of Texas</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Southwestern Medical</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Center at Dallas</w:t>
      </w:r>
    </w:p>
    <w:p>
      <w:pPr>
        <w:spacing w:after="0" w:line="37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65BAA"/>
        </w:rPr>
        <w:t>Michael S. Brown, M.D.</w:t>
      </w:r>
    </w:p>
    <w:p>
      <w:pPr>
        <w:spacing w:after="0" w:line="37" w:lineRule="exact"/>
        <w:rPr>
          <w:sz w:val="20"/>
          <w:szCs w:val="20"/>
          <w:color w:val="auto"/>
        </w:rPr>
      </w:pPr>
    </w:p>
    <w:p>
      <w:pPr>
        <w:ind w:left="200" w:right="1520"/>
        <w:spacing w:after="0" w:line="276" w:lineRule="auto"/>
        <w:rPr>
          <w:sz w:val="20"/>
          <w:szCs w:val="20"/>
          <w:color w:val="auto"/>
        </w:rPr>
      </w:pPr>
      <w:r>
        <w:rPr>
          <w:rFonts w:ascii="Arial" w:cs="Arial" w:eastAsia="Arial" w:hAnsi="Arial"/>
          <w:sz w:val="14"/>
          <w:szCs w:val="14"/>
          <w:color w:val="auto"/>
        </w:rPr>
        <w:t>Regental Professor of Molecular Genetics and Internal Medicine and Director of the Jonsson Center for Molecular Genetics at The University of Texas Southwestern Medical Center at Dallas</w:t>
      </w:r>
    </w:p>
    <w:p>
      <w:pPr>
        <w:spacing w:after="0" w:line="282"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065BAA"/>
        </w:rPr>
        <w:t>Huda Y. Zoghbi, M.D.</w:t>
      </w:r>
    </w:p>
    <w:p>
      <w:pPr>
        <w:spacing w:after="0" w:line="37" w:lineRule="exact"/>
        <w:rPr>
          <w:sz w:val="20"/>
          <w:szCs w:val="20"/>
          <w:color w:val="auto"/>
        </w:rPr>
      </w:pPr>
    </w:p>
    <w:p>
      <w:pPr>
        <w:ind w:left="980" w:right="300"/>
        <w:spacing w:after="0" w:line="287" w:lineRule="auto"/>
        <w:rPr>
          <w:sz w:val="20"/>
          <w:szCs w:val="20"/>
          <w:color w:val="auto"/>
        </w:rPr>
      </w:pPr>
      <w:r>
        <w:rPr>
          <w:rFonts w:ascii="Arial" w:cs="Arial" w:eastAsia="Arial" w:hAnsi="Arial"/>
          <w:sz w:val="14"/>
          <w:szCs w:val="14"/>
          <w:color w:val="auto"/>
        </w:rPr>
        <w:t>Professor in the Departments of Pediatrics, Molecular and Human Genetics, and Neurology and Neuroscience at Baylor College of Medicine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065BAA"/>
        </w:rPr>
        <w:t>85%</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065BAA"/>
        </w:rPr>
        <w:t>46%</w:t>
      </w:r>
    </w:p>
    <w:p>
      <w:pPr>
        <w:spacing w:after="0" w:line="91" w:lineRule="exact"/>
        <w:rPr>
          <w:sz w:val="20"/>
          <w:szCs w:val="20"/>
          <w:color w:val="auto"/>
        </w:rPr>
      </w:pPr>
    </w:p>
    <w:p>
      <w:pPr>
        <w:ind w:left="20" w:hanging="8"/>
        <w:spacing w:after="0" w:line="265" w:lineRule="auto"/>
        <w:rPr>
          <w:sz w:val="20"/>
          <w:szCs w:val="20"/>
          <w:color w:val="auto"/>
        </w:rPr>
      </w:pPr>
      <w:r>
        <w:rPr>
          <w:rFonts w:ascii="Arial" w:cs="Arial" w:eastAsia="Arial" w:hAnsi="Arial"/>
          <w:sz w:val="16"/>
          <w:szCs w:val="16"/>
          <w:color w:val="auto"/>
        </w:rPr>
        <w:t>Members of National Academy of Science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065BAA"/>
        </w:rPr>
        <w:t>97%</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Average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Director Meeting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Attendance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065BAA"/>
        </w:rPr>
        <w:t>George D. Yancopoulos, M.D., Ph.D.</w:t>
      </w:r>
    </w:p>
    <w:p>
      <w:pPr>
        <w:spacing w:after="0" w:line="24" w:lineRule="exact"/>
        <w:rPr>
          <w:sz w:val="20"/>
          <w:szCs w:val="20"/>
          <w:color w:val="auto"/>
        </w:rPr>
      </w:pPr>
    </w:p>
    <w:p>
      <w:pPr>
        <w:ind w:right="1040"/>
        <w:spacing w:after="0" w:line="304" w:lineRule="auto"/>
        <w:rPr>
          <w:sz w:val="20"/>
          <w:szCs w:val="20"/>
          <w:color w:val="auto"/>
        </w:rPr>
      </w:pPr>
      <w:r>
        <w:rPr>
          <w:rFonts w:ascii="Arial" w:cs="Arial" w:eastAsia="Arial" w:hAnsi="Arial"/>
          <w:sz w:val="14"/>
          <w:szCs w:val="14"/>
          <w:color w:val="auto"/>
        </w:rPr>
        <w:t>Board co-Chair, President and Chief Scientific Officer of Regeneron</w:t>
      </w:r>
    </w:p>
    <w:p>
      <w:pPr>
        <w:spacing w:after="0" w:line="302"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065BAA"/>
        </w:rPr>
        <w:t>Kathryn Guarini, Ph.D.</w:t>
      </w:r>
    </w:p>
    <w:p>
      <w:pPr>
        <w:spacing w:after="0" w:line="37" w:lineRule="exact"/>
        <w:rPr>
          <w:sz w:val="20"/>
          <w:szCs w:val="20"/>
          <w:color w:val="auto"/>
        </w:rPr>
      </w:pPr>
    </w:p>
    <w:p>
      <w:pPr>
        <w:ind w:left="1100" w:right="640"/>
        <w:spacing w:after="0" w:line="289" w:lineRule="auto"/>
        <w:rPr>
          <w:sz w:val="20"/>
          <w:szCs w:val="20"/>
          <w:color w:val="auto"/>
        </w:rPr>
      </w:pPr>
      <w:r>
        <w:rPr>
          <w:rFonts w:ascii="Arial" w:cs="Arial" w:eastAsia="Arial" w:hAnsi="Arial"/>
          <w:sz w:val="14"/>
          <w:szCs w:val="14"/>
          <w:color w:val="auto"/>
        </w:rPr>
        <w:t>Former Chief Information Officer of International Business Machines Corporation (IBM)</w:t>
      </w:r>
    </w:p>
    <w:p>
      <w:pPr>
        <w:spacing w:after="0" w:line="380"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065BAA"/>
        </w:rPr>
        <w:t>David P. Schenkein, M.D.</w:t>
      </w:r>
    </w:p>
    <w:p>
      <w:pPr>
        <w:spacing w:after="0" w:line="37" w:lineRule="exact"/>
        <w:rPr>
          <w:sz w:val="20"/>
          <w:szCs w:val="20"/>
          <w:color w:val="auto"/>
        </w:rPr>
      </w:pPr>
    </w:p>
    <w:p>
      <w:pPr>
        <w:ind w:left="1400" w:right="80"/>
        <w:spacing w:after="0" w:line="293" w:lineRule="auto"/>
        <w:rPr>
          <w:sz w:val="20"/>
          <w:szCs w:val="20"/>
          <w:color w:val="auto"/>
        </w:rPr>
      </w:pPr>
      <w:r>
        <w:rPr>
          <w:rFonts w:ascii="Arial" w:cs="Arial" w:eastAsia="Arial" w:hAnsi="Arial"/>
          <w:sz w:val="14"/>
          <w:szCs w:val="14"/>
          <w:color w:val="auto"/>
        </w:rPr>
        <w:t>General Partner and Co-lead of Life Sciences at GV (formerly Google Ventures)</w:t>
      </w:r>
    </w:p>
    <w:p>
      <w:pPr>
        <w:spacing w:after="0" w:line="200" w:lineRule="exact"/>
        <w:rPr>
          <w:sz w:val="20"/>
          <w:szCs w:val="20"/>
          <w:color w:val="auto"/>
        </w:rPr>
      </w:pPr>
    </w:p>
    <w:p>
      <w:pPr>
        <w:spacing w:after="0" w:line="244"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065BAA"/>
        </w:rPr>
        <w:t>Craig B. Thompson, M.D.</w:t>
      </w:r>
    </w:p>
    <w:p>
      <w:pPr>
        <w:spacing w:after="0" w:line="24" w:lineRule="exact"/>
        <w:rPr>
          <w:sz w:val="20"/>
          <w:szCs w:val="20"/>
          <w:color w:val="auto"/>
        </w:rPr>
      </w:pPr>
    </w:p>
    <w:p>
      <w:pPr>
        <w:ind w:left="1400" w:right="320"/>
        <w:spacing w:after="0" w:line="281" w:lineRule="auto"/>
        <w:rPr>
          <w:sz w:val="20"/>
          <w:szCs w:val="20"/>
          <w:color w:val="auto"/>
        </w:rPr>
      </w:pPr>
      <w:r>
        <w:rPr>
          <w:rFonts w:ascii="Arial" w:cs="Arial" w:eastAsia="Arial" w:hAnsi="Arial"/>
          <w:sz w:val="14"/>
          <w:szCs w:val="14"/>
          <w:color w:val="auto"/>
        </w:rPr>
        <w:t>Former President and Chief Executive Officer of Memorial Sloan Kettering</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Cancer Center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065BAA"/>
        </w:rPr>
        <w:t>Bonnie L. Bassler, Ph.D.</w:t>
      </w:r>
    </w:p>
    <w:p>
      <w:pPr>
        <w:spacing w:after="0" w:line="24"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Andrew K. Golden University</w:t>
      </w:r>
    </w:p>
    <w:p>
      <w:pPr>
        <w:spacing w:after="0" w:line="28" w:lineRule="exact"/>
        <w:rPr>
          <w:sz w:val="20"/>
          <w:szCs w:val="20"/>
          <w:color w:val="auto"/>
        </w:rPr>
      </w:pPr>
    </w:p>
    <w:p>
      <w:pPr>
        <w:ind w:left="1400"/>
        <w:spacing w:after="0" w:line="303" w:lineRule="auto"/>
        <w:rPr>
          <w:sz w:val="20"/>
          <w:szCs w:val="20"/>
          <w:color w:val="auto"/>
        </w:rPr>
      </w:pPr>
      <w:r>
        <w:rPr>
          <w:rFonts w:ascii="Arial" w:cs="Arial" w:eastAsia="Arial" w:hAnsi="Arial"/>
          <w:sz w:val="14"/>
          <w:szCs w:val="14"/>
          <w:color w:val="auto"/>
        </w:rPr>
        <w:t>Professor and Squibb Professor in Molecular Biology at Princeton University</w:t>
      </w:r>
    </w:p>
    <w:p>
      <w:pPr>
        <w:spacing w:after="0" w:line="371"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065BAA"/>
        </w:rPr>
        <w:t>N. Anthony Coles, M.D.</w:t>
      </w:r>
    </w:p>
    <w:p>
      <w:pPr>
        <w:spacing w:after="0" w:line="24" w:lineRule="exact"/>
        <w:rPr>
          <w:sz w:val="20"/>
          <w:szCs w:val="20"/>
          <w:color w:val="auto"/>
        </w:rPr>
      </w:pPr>
    </w:p>
    <w:p>
      <w:pPr>
        <w:ind w:left="1340" w:right="160"/>
        <w:spacing w:after="0" w:line="281" w:lineRule="auto"/>
        <w:rPr>
          <w:sz w:val="20"/>
          <w:szCs w:val="20"/>
          <w:color w:val="auto"/>
        </w:rPr>
      </w:pPr>
      <w:r>
        <w:rPr>
          <w:rFonts w:ascii="Arial" w:cs="Arial" w:eastAsia="Arial" w:hAnsi="Arial"/>
          <w:sz w:val="14"/>
          <w:szCs w:val="14"/>
          <w:color w:val="auto"/>
        </w:rPr>
        <w:t>Former Chair, President, and Chief Executive Officer of</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Cerevel Therapeutics</w:t>
      </w:r>
    </w:p>
    <w:p>
      <w:pPr>
        <w:spacing w:after="0" w:line="200" w:lineRule="exact"/>
        <w:rPr>
          <w:sz w:val="20"/>
          <w:szCs w:val="20"/>
          <w:color w:val="auto"/>
        </w:rPr>
      </w:pPr>
    </w:p>
    <w:p>
      <w:pPr>
        <w:spacing w:after="0" w:line="35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065BAA"/>
        </w:rPr>
        <w:t>Christine A. Poon</w:t>
      </w:r>
    </w:p>
    <w:p>
      <w:pPr>
        <w:spacing w:after="0" w:line="24" w:lineRule="exact"/>
        <w:rPr>
          <w:sz w:val="20"/>
          <w:szCs w:val="20"/>
          <w:color w:val="auto"/>
        </w:rPr>
      </w:pPr>
    </w:p>
    <w:p>
      <w:pPr>
        <w:ind w:left="100" w:right="1100"/>
        <w:spacing w:after="0" w:line="293" w:lineRule="auto"/>
        <w:rPr>
          <w:sz w:val="20"/>
          <w:szCs w:val="20"/>
          <w:color w:val="auto"/>
        </w:rPr>
      </w:pPr>
      <w:r>
        <w:rPr>
          <w:rFonts w:ascii="Arial" w:cs="Arial" w:eastAsia="Arial" w:hAnsi="Arial"/>
          <w:sz w:val="14"/>
          <w:szCs w:val="14"/>
          <w:color w:val="auto"/>
        </w:rPr>
        <w:t>Former Vice Chair and Worldwide Chair of Pharmaceuticals at Johnson &amp; Johnson</w:t>
      </w:r>
    </w:p>
    <w:p>
      <w:pPr>
        <w:spacing w:after="0" w:line="343" w:lineRule="exact"/>
        <w:rPr>
          <w:sz w:val="20"/>
          <w:szCs w:val="20"/>
          <w:color w:val="auto"/>
        </w:rPr>
      </w:pPr>
    </w:p>
    <w:p>
      <w:pPr>
        <w:sectPr>
          <w:pgSz w:w="11900" w:h="16838" w:orient="portrait"/>
          <w:cols w:equalWidth="0" w:num="3">
            <w:col w:w="3400" w:space="420"/>
            <w:col w:w="1500" w:space="420"/>
            <w:col w:w="3340"/>
          </w:cols>
          <w:pgMar w:left="1440" w:top="657" w:right="1379" w:bottom="1440" w:gutter="0" w:footer="0" w:header="0"/>
          <w:type w:val="continuous"/>
        </w:sectPr>
      </w:pPr>
    </w:p>
    <w:p>
      <w:pPr>
        <w:spacing w:after="0" w:line="10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65BAA"/>
        </w:rPr>
        <w:t>Board Leadership</w:t>
      </w:r>
    </w:p>
    <w:p>
      <w:pPr>
        <w:spacing w:after="0" w:line="307" w:lineRule="exact"/>
        <w:rPr>
          <w:sz w:val="20"/>
          <w:szCs w:val="20"/>
          <w:color w:val="auto"/>
        </w:rPr>
      </w:pPr>
    </w:p>
    <w:tbl>
      <w:tblPr>
        <w:tblLayout w:type="fixed"/>
        <w:tblInd w:w="200" w:type="dxa"/>
        <w:tblCellMar>
          <w:top w:w="0" w:type="dxa"/>
          <w:left w:w="0" w:type="dxa"/>
          <w:bottom w:w="0" w:type="dxa"/>
          <w:right w:w="0" w:type="dxa"/>
        </w:tblCellMar>
      </w:tblPr>
      <w:tr>
        <w:trPr>
          <w:trHeight w:val="1292"/>
        </w:trPr>
        <w:tc>
          <w:tcPr>
            <w:tcW w:w="2820" w:type="dxa"/>
            <w:vAlign w:val="bottom"/>
            <w:tcBorders>
              <w:right w:val="single" w:sz="8" w:color="auto"/>
            </w:tcBorders>
          </w:tcPr>
          <w:p>
            <w:pPr>
              <w:ind w:left="260"/>
              <w:spacing w:after="0"/>
              <w:rPr>
                <w:sz w:val="20"/>
                <w:szCs w:val="20"/>
                <w:color w:val="auto"/>
              </w:rPr>
            </w:pPr>
            <w:r>
              <w:rPr>
                <w:rFonts w:ascii="Arial" w:cs="Arial" w:eastAsia="Arial" w:hAnsi="Arial"/>
                <w:sz w:val="14"/>
                <w:szCs w:val="14"/>
                <w:b w:val="1"/>
                <w:bCs w:val="1"/>
                <w:color w:val="3B5AA4"/>
              </w:rPr>
              <w:t>Board co-Chair</w:t>
            </w:r>
          </w:p>
        </w:tc>
        <w:tc>
          <w:tcPr>
            <w:tcW w:w="3020" w:type="dxa"/>
            <w:vAlign w:val="bottom"/>
            <w:tcBorders>
              <w:right w:val="single" w:sz="8" w:color="auto"/>
            </w:tcBorders>
          </w:tcPr>
          <w:p>
            <w:pPr>
              <w:ind w:left="460"/>
              <w:spacing w:after="0"/>
              <w:rPr>
                <w:sz w:val="20"/>
                <w:szCs w:val="20"/>
                <w:color w:val="auto"/>
              </w:rPr>
            </w:pPr>
            <w:r>
              <w:rPr>
                <w:rFonts w:ascii="Arial" w:cs="Arial" w:eastAsia="Arial" w:hAnsi="Arial"/>
                <w:sz w:val="14"/>
                <w:szCs w:val="14"/>
                <w:b w:val="1"/>
                <w:bCs w:val="1"/>
                <w:color w:val="3B5AA4"/>
              </w:rPr>
              <w:t>Board co-Chair</w:t>
            </w:r>
          </w:p>
        </w:tc>
        <w:tc>
          <w:tcPr>
            <w:tcW w:w="2800" w:type="dxa"/>
            <w:vAlign w:val="bottom"/>
            <w:gridSpan w:val="2"/>
          </w:tcPr>
          <w:p>
            <w:pPr>
              <w:ind w:left="460"/>
              <w:spacing w:after="0"/>
              <w:rPr>
                <w:sz w:val="20"/>
                <w:szCs w:val="20"/>
                <w:color w:val="auto"/>
              </w:rPr>
            </w:pPr>
            <w:r>
              <w:rPr>
                <w:rFonts w:ascii="Arial" w:cs="Arial" w:eastAsia="Arial" w:hAnsi="Arial"/>
                <w:sz w:val="14"/>
                <w:szCs w:val="14"/>
                <w:b w:val="1"/>
                <w:bCs w:val="1"/>
                <w:color w:val="3B5AA4"/>
              </w:rPr>
              <w:t>Lead Independent Director</w:t>
            </w:r>
          </w:p>
        </w:tc>
        <w:tc>
          <w:tcPr>
            <w:tcW w:w="0" w:type="dxa"/>
            <w:vAlign w:val="bottom"/>
          </w:tcPr>
          <w:p>
            <w:pPr>
              <w:spacing w:after="0"/>
              <w:rPr>
                <w:sz w:val="1"/>
                <w:szCs w:val="1"/>
                <w:color w:val="auto"/>
              </w:rPr>
            </w:pPr>
          </w:p>
        </w:tc>
      </w:tr>
      <w:tr>
        <w:trPr>
          <w:trHeight w:val="153"/>
        </w:trPr>
        <w:tc>
          <w:tcPr>
            <w:tcW w:w="2820" w:type="dxa"/>
            <w:vAlign w:val="bottom"/>
            <w:tcBorders>
              <w:right w:val="single" w:sz="8" w:color="auto"/>
            </w:tcBorders>
          </w:tcPr>
          <w:p>
            <w:pPr>
              <w:ind w:left="260"/>
              <w:spacing w:after="0"/>
              <w:rPr>
                <w:sz w:val="20"/>
                <w:szCs w:val="20"/>
                <w:color w:val="auto"/>
              </w:rPr>
            </w:pPr>
            <w:r>
              <w:rPr>
                <w:rFonts w:ascii="Arial" w:cs="Arial" w:eastAsia="Arial" w:hAnsi="Arial"/>
                <w:sz w:val="13"/>
                <w:szCs w:val="13"/>
                <w:color w:val="auto"/>
              </w:rPr>
              <w:t>Leonard S. Schleifer, M.D., Ph.D.</w:t>
            </w:r>
          </w:p>
        </w:tc>
        <w:tc>
          <w:tcPr>
            <w:tcW w:w="3020" w:type="dxa"/>
            <w:vAlign w:val="bottom"/>
            <w:tcBorders>
              <w:right w:val="single" w:sz="8" w:color="auto"/>
            </w:tcBorders>
          </w:tcPr>
          <w:p>
            <w:pPr>
              <w:ind w:left="460"/>
              <w:spacing w:after="0"/>
              <w:rPr>
                <w:sz w:val="20"/>
                <w:szCs w:val="20"/>
                <w:color w:val="auto"/>
              </w:rPr>
            </w:pPr>
            <w:r>
              <w:rPr>
                <w:rFonts w:ascii="Arial" w:cs="Arial" w:eastAsia="Arial" w:hAnsi="Arial"/>
                <w:sz w:val="13"/>
                <w:szCs w:val="13"/>
                <w:color w:val="auto"/>
              </w:rPr>
              <w:t>George D. Yancopoulos, M.D., Ph.D.</w:t>
            </w:r>
          </w:p>
        </w:tc>
        <w:tc>
          <w:tcPr>
            <w:tcW w:w="2800" w:type="dxa"/>
            <w:vAlign w:val="bottom"/>
            <w:gridSpan w:val="2"/>
          </w:tcPr>
          <w:p>
            <w:pPr>
              <w:ind w:left="460"/>
              <w:spacing w:after="0"/>
              <w:rPr>
                <w:sz w:val="20"/>
                <w:szCs w:val="20"/>
                <w:color w:val="auto"/>
              </w:rPr>
            </w:pPr>
            <w:r>
              <w:rPr>
                <w:rFonts w:ascii="Arial" w:cs="Arial" w:eastAsia="Arial" w:hAnsi="Arial"/>
                <w:sz w:val="13"/>
                <w:szCs w:val="13"/>
                <w:color w:val="auto"/>
              </w:rPr>
              <w:t>Christine A. Poon</w:t>
            </w:r>
          </w:p>
        </w:tc>
        <w:tc>
          <w:tcPr>
            <w:tcW w:w="0" w:type="dxa"/>
            <w:vAlign w:val="bottom"/>
          </w:tcPr>
          <w:p>
            <w:pPr>
              <w:spacing w:after="0"/>
              <w:rPr>
                <w:sz w:val="1"/>
                <w:szCs w:val="1"/>
                <w:color w:val="auto"/>
              </w:rPr>
            </w:pPr>
          </w:p>
        </w:tc>
      </w:tr>
      <w:tr>
        <w:trPr>
          <w:trHeight w:val="432"/>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2500" w:type="dxa"/>
            <w:vAlign w:val="bottom"/>
          </w:tcPr>
          <w:p>
            <w:pPr>
              <w:spacing w:after="0"/>
              <w:rPr>
                <w:sz w:val="24"/>
                <w:szCs w:val="2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065BAA"/>
              </w:rPr>
              <w:t>5</w:t>
            </w:r>
          </w:p>
        </w:tc>
        <w:tc>
          <w:tcPr>
            <w:tcW w:w="0" w:type="dxa"/>
            <w:vAlign w:val="bottom"/>
          </w:tcPr>
          <w:p>
            <w:pPr>
              <w:spacing w:after="0"/>
              <w:rPr>
                <w:sz w:val="1"/>
                <w:szCs w:val="1"/>
                <w:color w:val="auto"/>
              </w:rPr>
            </w:pPr>
          </w:p>
        </w:tc>
      </w:tr>
      <w:tr>
        <w:trPr>
          <w:trHeight w:val="216"/>
        </w:trPr>
        <w:tc>
          <w:tcPr>
            <w:tcW w:w="5840" w:type="dxa"/>
            <w:vAlign w:val="bottom"/>
            <w:gridSpan w:val="2"/>
            <w:vMerge w:val="continue"/>
          </w:tcPr>
          <w:p>
            <w:pPr>
              <w:spacing w:after="0"/>
              <w:rPr>
                <w:sz w:val="18"/>
                <w:szCs w:val="18"/>
                <w:color w:val="auto"/>
              </w:rPr>
            </w:pPr>
          </w:p>
        </w:tc>
        <w:tc>
          <w:tcPr>
            <w:tcW w:w="2500" w:type="dxa"/>
            <w:vAlign w:val="bottom"/>
            <w:tcBorders>
              <w:right w:val="single" w:sz="8" w:color="CCCCCC"/>
            </w:tcBorders>
          </w:tcPr>
          <w:p>
            <w:pPr>
              <w:spacing w:after="0"/>
              <w:rPr>
                <w:sz w:val="18"/>
                <w:szCs w:val="18"/>
                <w:color w:val="auto"/>
              </w:rPr>
            </w:pP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40" w:top="657" w:right="1379" w:bottom="1440" w:gutter="0" w:footer="0" w:header="0"/>
          <w:type w:val="continuous"/>
        </w:sectPr>
      </w:pPr>
    </w:p>
    <w:bookmarkStart w:id="14" w:name="page15"/>
    <w:bookmarkEnd w:id="14"/>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307" w:lineRule="exact"/>
        <w:rPr>
          <w:sz w:val="20"/>
          <w:szCs w:val="20"/>
          <w:color w:val="auto"/>
        </w:rPr>
      </w:pPr>
    </w:p>
    <w:p>
      <w:pPr>
        <w:ind w:left="60"/>
        <w:spacing w:after="0"/>
        <w:rPr>
          <w:sz w:val="20"/>
          <w:szCs w:val="20"/>
          <w:color w:val="auto"/>
        </w:rPr>
      </w:pPr>
      <w:r>
        <w:rPr>
          <w:rFonts w:ascii="Arial" w:cs="Arial" w:eastAsia="Arial" w:hAnsi="Arial"/>
          <w:sz w:val="52"/>
          <w:szCs w:val="52"/>
          <w:b w:val="1"/>
          <w:bCs w:val="1"/>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Meet the Board</w:t>
      </w:r>
    </w:p>
    <w:p>
      <w:pPr>
        <w:spacing w:after="0" w:line="195" w:lineRule="exact"/>
        <w:rPr>
          <w:sz w:val="20"/>
          <w:szCs w:val="20"/>
          <w:color w:val="auto"/>
        </w:rPr>
      </w:pPr>
    </w:p>
    <w:p>
      <w:pPr>
        <w:ind w:left="140" w:right="259"/>
        <w:spacing w:after="0" w:line="301" w:lineRule="auto"/>
        <w:rPr>
          <w:sz w:val="20"/>
          <w:szCs w:val="20"/>
          <w:color w:val="auto"/>
        </w:rPr>
      </w:pPr>
      <w:r>
        <w:rPr>
          <w:rFonts w:ascii="Arial" w:cs="Arial" w:eastAsia="Arial" w:hAnsi="Arial"/>
          <w:sz w:val="16"/>
          <w:szCs w:val="16"/>
          <w:color w:val="auto"/>
        </w:rPr>
        <w:t>At Regeneron, we lead with science as we pursue our mission of repeatedly bringing life-changing medicines to patients. Our business is built on investment in our deep scientific and technological capabilities, which drive our research, preclinical development, clinical, and manufacturing efforts.</w:t>
      </w:r>
    </w:p>
    <w:p>
      <w:pPr>
        <w:spacing w:after="0" w:line="91" w:lineRule="exact"/>
        <w:rPr>
          <w:sz w:val="20"/>
          <w:szCs w:val="20"/>
          <w:color w:val="auto"/>
        </w:rPr>
      </w:pPr>
    </w:p>
    <w:p>
      <w:pPr>
        <w:ind w:left="140" w:right="339"/>
        <w:spacing w:after="0" w:line="288" w:lineRule="auto"/>
        <w:rPr>
          <w:sz w:val="20"/>
          <w:szCs w:val="20"/>
          <w:color w:val="auto"/>
        </w:rPr>
      </w:pPr>
      <w:r>
        <w:rPr>
          <w:rFonts w:ascii="Arial" w:cs="Arial" w:eastAsia="Arial" w:hAnsi="Arial"/>
          <w:sz w:val="16"/>
          <w:szCs w:val="16"/>
          <w:color w:val="auto"/>
        </w:rPr>
        <w:t>The composition of our board is shaped by this business model and the recognition that our board members must have predominantly science-based backgrounds to effectively provide robust, independent oversight of management. The current makeup of our board reflects this principle: six of our 13 directors are members of the National Academy of Sciences, and our board includes two Nobel laureates and holders of many scientific awards. In addition, the board includes individuals with experience building shareholder value through all stages of corporate development. Various members also bring substantial governance, financial, policy, and management expertise gained from their professional backgrounds and their service on other boards.</w:t>
      </w:r>
    </w:p>
    <w:p>
      <w:pPr>
        <w:spacing w:after="0" w:line="115" w:lineRule="exact"/>
        <w:rPr>
          <w:sz w:val="20"/>
          <w:szCs w:val="20"/>
          <w:color w:val="auto"/>
        </w:rPr>
      </w:pPr>
    </w:p>
    <w:p>
      <w:pPr>
        <w:ind w:left="140" w:right="339"/>
        <w:spacing w:after="0" w:line="321" w:lineRule="auto"/>
        <w:rPr>
          <w:sz w:val="20"/>
          <w:szCs w:val="20"/>
          <w:color w:val="auto"/>
        </w:rPr>
      </w:pPr>
      <w:r>
        <w:rPr>
          <w:rFonts w:ascii="Arial" w:cs="Arial" w:eastAsia="Arial" w:hAnsi="Arial"/>
          <w:sz w:val="16"/>
          <w:szCs w:val="16"/>
          <w:color w:val="auto"/>
        </w:rPr>
        <w:t>The board’s composition also reflects our commitment to ensuring that the board as a whole possesses a wide range of experience, attributes, and backgrounds.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168"/>
              <w:spacing w:after="0"/>
              <w:rPr>
                <w:sz w:val="20"/>
                <w:szCs w:val="20"/>
                <w:color w:val="auto"/>
              </w:rPr>
            </w:pPr>
            <w:r>
              <w:rPr>
                <w:rFonts w:ascii="Arial" w:cs="Arial" w:eastAsia="Arial" w:hAnsi="Arial"/>
                <w:sz w:val="14"/>
                <w:szCs w:val="14"/>
                <w:b w:val="1"/>
                <w:bCs w:val="1"/>
                <w:color w:val="065BAA"/>
                <w:w w:val="76"/>
              </w:rPr>
              <w:t>6</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15" w:name="page16"/>
    <w:bookmarkEnd w:id="15"/>
    <w:p>
      <w:pPr>
        <w:ind w:left="240"/>
        <w:spacing w:after="0"/>
        <w:tabs>
          <w:tab w:leader="none" w:pos="1280" w:val="left"/>
          <w:tab w:leader="none" w:pos="2680" w:val="left"/>
          <w:tab w:leader="none" w:pos="4440" w:val="left"/>
          <w:tab w:leader="none" w:pos="5660" w:val="left"/>
          <w:tab w:leader="none" w:pos="790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Director Matrix</w:t>
      </w:r>
    </w:p>
    <w:p>
      <w:pPr>
        <w:spacing w:after="0" w:line="132" w:lineRule="exact"/>
        <w:rPr>
          <w:sz w:val="20"/>
          <w:szCs w:val="20"/>
          <w:color w:val="auto"/>
        </w:rPr>
      </w:pPr>
    </w:p>
    <w:p>
      <w:pPr>
        <w:ind w:left="140" w:right="400"/>
        <w:spacing w:after="0" w:line="286" w:lineRule="auto"/>
        <w:rPr>
          <w:sz w:val="20"/>
          <w:szCs w:val="20"/>
          <w:color w:val="auto"/>
        </w:rPr>
      </w:pPr>
      <w:r>
        <w:rPr>
          <w:rFonts w:ascii="Arial" w:cs="Arial" w:eastAsia="Arial" w:hAnsi="Arial"/>
          <w:sz w:val="16"/>
          <w:szCs w:val="16"/>
          <w:color w:val="auto"/>
        </w:rPr>
        <w:t>The board and the Corporate Governance and Compliance Committee seek to ensure that our directors as a group possess the mix of skills and experiences to provide effective oversight and guidance to management to execute on the Company’s long-term strategy. The table below summarizes key qualifications, skills, or attributes of the board of directors. The marks indicate specific areas of focus or expertise but are not meant to be an exhaustive list. The director biographies below describe these qualifications and relevant experience in more detail. We believe the table below demonstrates the breadth and depth of the collective experience, expertise, and skills of our board of directors.</w:t>
      </w:r>
    </w:p>
    <w:p>
      <w:pPr>
        <w:sectPr>
          <w:pgSz w:w="11900" w:h="16838" w:orient="portrait"/>
          <w:cols w:equalWidth="0" w:num="1">
            <w:col w:w="9120"/>
          </w:cols>
          <w:pgMar w:left="1440" w:top="65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065BAA"/>
        </w:rPr>
        <w:t>Experience, Expertise, or Attribute</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1F20"/>
        </w:rPr>
        <w:t>Industry Experience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gridSpan w:val="2"/>
          </w:tcPr>
          <w:p>
            <w:pPr>
              <w:ind w:left="20"/>
              <w:spacing w:after="0"/>
              <w:rPr>
                <w:sz w:val="20"/>
                <w:szCs w:val="20"/>
                <w:color w:val="auto"/>
              </w:rPr>
            </w:pPr>
            <w:r>
              <w:rPr>
                <w:rFonts w:ascii="Arial" w:cs="Arial" w:eastAsia="Arial" w:hAnsi="Arial"/>
                <w:sz w:val="20"/>
                <w:szCs w:val="20"/>
                <w:b w:val="1"/>
                <w:bCs w:val="1"/>
                <w:color w:val="065BAA"/>
                <w:w w:val="71"/>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gridSpan w:val="2"/>
          </w:tcPr>
          <w:p>
            <w:pPr>
              <w:ind w:left="20"/>
              <w:spacing w:after="0" w:line="183" w:lineRule="auto"/>
              <w:rPr>
                <w:sz w:val="20"/>
                <w:szCs w:val="20"/>
                <w:color w:val="auto"/>
              </w:rPr>
            </w:pPr>
            <w:r>
              <w:rPr>
                <w:rFonts w:ascii="Arial" w:cs="Arial" w:eastAsia="Arial" w:hAnsi="Arial"/>
                <w:sz w:val="10"/>
                <w:szCs w:val="10"/>
                <w:b w:val="1"/>
                <w:bCs w:val="1"/>
                <w:color w:val="065BAA"/>
                <w:w w:val="97"/>
              </w:rPr>
              <w:t>n</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jc w:val="right"/>
              <w:ind w:right="183"/>
              <w:spacing w:after="0" w:line="183" w:lineRule="auto"/>
              <w:rPr>
                <w:sz w:val="20"/>
                <w:szCs w:val="20"/>
                <w:color w:val="auto"/>
              </w:rPr>
            </w:pPr>
            <w:r>
              <w:rPr>
                <w:rFonts w:ascii="Arial" w:cs="Arial" w:eastAsia="Arial" w:hAnsi="Arial"/>
                <w:sz w:val="10"/>
                <w:szCs w:val="10"/>
                <w:b w:val="1"/>
                <w:bCs w:val="1"/>
                <w:color w:val="065BAA"/>
                <w:w w:val="70"/>
              </w:rPr>
              <w:t>,</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gridSpan w:val="2"/>
            <w:vMerge w:val="restart"/>
          </w:tcPr>
          <w:p>
            <w:pPr>
              <w:spacing w:after="0" w:line="190" w:lineRule="auto"/>
              <w:rPr>
                <w:sz w:val="20"/>
                <w:szCs w:val="20"/>
                <w:color w:val="auto"/>
              </w:rPr>
            </w:pPr>
            <w:r>
              <w:rPr>
                <w:rFonts w:ascii="Arial" w:cs="Arial" w:eastAsia="Arial" w:hAnsi="Arial"/>
                <w:sz w:val="11"/>
                <w:szCs w:val="11"/>
                <w:b w:val="1"/>
                <w:bCs w:val="1"/>
                <w:color w:val="065BAA"/>
                <w:w w:val="92"/>
              </w:rPr>
              <w:t>w</w:t>
            </w: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gridSpan w:val="2"/>
          </w:tcPr>
          <w:p>
            <w:pPr>
              <w:jc w:val="right"/>
              <w:ind w:right="203"/>
              <w:spacing w:after="0" w:line="180" w:lineRule="auto"/>
              <w:rPr>
                <w:sz w:val="20"/>
                <w:szCs w:val="20"/>
                <w:color w:val="auto"/>
              </w:rPr>
            </w:pPr>
            <w:r>
              <w:rPr>
                <w:rFonts w:ascii="Arial" w:cs="Arial" w:eastAsia="Arial" w:hAnsi="Arial"/>
                <w:sz w:val="4"/>
                <w:szCs w:val="4"/>
                <w:b w:val="1"/>
                <w:bCs w:val="1"/>
                <w:color w:val="065BAA"/>
              </w:rPr>
              <w:t>i</w:t>
            </w: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6"/>
        </w:trPr>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ind w:left="20"/>
              <w:spacing w:after="0"/>
              <w:rPr>
                <w:sz w:val="20"/>
                <w:szCs w:val="20"/>
                <w:color w:val="auto"/>
              </w:rPr>
            </w:pPr>
            <w:r>
              <w:rPr>
                <w:rFonts w:ascii="Arial" w:cs="Arial" w:eastAsia="Arial" w:hAnsi="Arial"/>
                <w:sz w:val="10"/>
                <w:szCs w:val="10"/>
                <w:b w:val="1"/>
                <w:bCs w:val="1"/>
                <w:color w:val="065BAA"/>
                <w:w w:val="70"/>
              </w:rPr>
              <w:t>.</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gridSpan w:val="2"/>
          </w:tcPr>
          <w:p>
            <w:pPr>
              <w:ind w:left="20"/>
              <w:spacing w:after="0" w:line="195" w:lineRule="auto"/>
              <w:rPr>
                <w:sz w:val="20"/>
                <w:szCs w:val="20"/>
                <w:color w:val="auto"/>
              </w:rPr>
            </w:pPr>
            <w:r>
              <w:rPr>
                <w:rFonts w:ascii="Arial" w:cs="Arial" w:eastAsia="Arial" w:hAnsi="Arial"/>
                <w:sz w:val="7"/>
                <w:szCs w:val="7"/>
                <w:b w:val="1"/>
                <w:bCs w:val="1"/>
                <w:color w:val="065BAA"/>
              </w:rPr>
              <w:t>n</w:t>
            </w: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restart"/>
          </w:tcPr>
          <w:p>
            <w:pPr>
              <w:ind w:left="20"/>
              <w:spacing w:after="0" w:line="189" w:lineRule="auto"/>
              <w:rPr>
                <w:sz w:val="20"/>
                <w:szCs w:val="20"/>
                <w:color w:val="auto"/>
              </w:rPr>
            </w:pPr>
            <w:r>
              <w:rPr>
                <w:rFonts w:ascii="Arial" w:cs="Arial" w:eastAsia="Arial" w:hAnsi="Arial"/>
                <w:sz w:val="17"/>
                <w:szCs w:val="17"/>
                <w:b w:val="1"/>
                <w:bCs w:val="1"/>
                <w:color w:val="065BAA"/>
                <w:w w:val="83"/>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gridSpan w:val="2"/>
          </w:tcPr>
          <w:p>
            <w:pPr>
              <w:jc w:val="right"/>
              <w:spacing w:after="0" w:line="187" w:lineRule="auto"/>
              <w:rPr>
                <w:sz w:val="20"/>
                <w:szCs w:val="20"/>
                <w:color w:val="auto"/>
              </w:rPr>
            </w:pPr>
            <w:r>
              <w:rPr>
                <w:rFonts w:ascii="Arial" w:cs="Arial" w:eastAsia="Arial" w:hAnsi="Arial"/>
                <w:sz w:val="10"/>
                <w:szCs w:val="10"/>
                <w:b w:val="1"/>
                <w:bCs w:val="1"/>
                <w:color w:val="065BAA"/>
                <w:w w:val="97"/>
              </w:rPr>
              <w:t>o</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gridSpan w:val="2"/>
          </w:tcPr>
          <w:p>
            <w:pPr>
              <w:ind w:left="20"/>
              <w:spacing w:after="0" w:line="187" w:lineRule="auto"/>
              <w:rPr>
                <w:sz w:val="20"/>
                <w:szCs w:val="20"/>
                <w:color w:val="auto"/>
              </w:rPr>
            </w:pPr>
            <w:r>
              <w:rPr>
                <w:rFonts w:ascii="Arial" w:cs="Arial" w:eastAsia="Arial" w:hAnsi="Arial"/>
                <w:sz w:val="10"/>
                <w:szCs w:val="10"/>
                <w:b w:val="1"/>
                <w:bCs w:val="1"/>
                <w:color w:val="065BAA"/>
                <w:w w:val="89"/>
              </w:rPr>
              <w:t>ri</w:t>
            </w: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gridSpan w:val="2"/>
          </w:tcPr>
          <w:p>
            <w:pPr>
              <w:ind w:left="60"/>
              <w:spacing w:after="0" w:line="191" w:lineRule="auto"/>
              <w:rPr>
                <w:sz w:val="20"/>
                <w:szCs w:val="20"/>
                <w:color w:val="auto"/>
              </w:rPr>
            </w:pPr>
            <w:r>
              <w:rPr>
                <w:rFonts w:ascii="Arial" w:cs="Arial" w:eastAsia="Arial" w:hAnsi="Arial"/>
                <w:sz w:val="7"/>
                <w:szCs w:val="7"/>
                <w:b w:val="1"/>
                <w:bCs w:val="1"/>
                <w:color w:val="065BAA"/>
              </w:rPr>
              <w:t>r</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gridSpan w:val="2"/>
          </w:tcPr>
          <w:p>
            <w:pPr>
              <w:spacing w:after="0" w:line="191" w:lineRule="auto"/>
              <w:rPr>
                <w:sz w:val="20"/>
                <w:szCs w:val="20"/>
                <w:color w:val="auto"/>
              </w:rPr>
            </w:pPr>
            <w:r>
              <w:rPr>
                <w:rFonts w:ascii="Arial" w:cs="Arial" w:eastAsia="Arial" w:hAnsi="Arial"/>
                <w:sz w:val="7"/>
                <w:szCs w:val="7"/>
                <w:b w:val="1"/>
                <w:bCs w:val="1"/>
                <w:color w:val="065BAA"/>
              </w:rPr>
              <w:t>D</w:t>
            </w:r>
          </w:p>
        </w:tc>
        <w:tc>
          <w:tcPr>
            <w:tcW w:w="140" w:type="dxa"/>
            <w:vAlign w:val="bottom"/>
          </w:tcPr>
          <w:p>
            <w:pPr>
              <w:spacing w:after="0"/>
              <w:rPr>
                <w:sz w:val="5"/>
                <w:szCs w:val="5"/>
                <w:color w:val="auto"/>
              </w:rPr>
            </w:pPr>
          </w:p>
        </w:tc>
        <w:tc>
          <w:tcPr>
            <w:tcW w:w="80" w:type="dxa"/>
            <w:vAlign w:val="bottom"/>
            <w:gridSpan w:val="2"/>
          </w:tcPr>
          <w:p>
            <w:pPr>
              <w:ind w:left="20"/>
              <w:spacing w:after="0" w:line="191" w:lineRule="auto"/>
              <w:rPr>
                <w:sz w:val="20"/>
                <w:szCs w:val="20"/>
                <w:color w:val="auto"/>
              </w:rPr>
            </w:pPr>
            <w:r>
              <w:rPr>
                <w:rFonts w:ascii="Arial" w:cs="Arial" w:eastAsia="Arial" w:hAnsi="Arial"/>
                <w:sz w:val="7"/>
                <w:szCs w:val="7"/>
                <w:b w:val="1"/>
                <w:bCs w:val="1"/>
                <w:color w:val="065BAA"/>
              </w:rPr>
              <w:t>a</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vMerge w:val="restart"/>
          </w:tcPr>
          <w:p>
            <w:pPr>
              <w:jc w:val="right"/>
              <w:spacing w:after="0" w:line="192" w:lineRule="auto"/>
              <w:rPr>
                <w:sz w:val="20"/>
                <w:szCs w:val="20"/>
                <w:color w:val="auto"/>
              </w:rPr>
            </w:pPr>
            <w:r>
              <w:rPr>
                <w:rFonts w:ascii="Arial" w:cs="Arial" w:eastAsia="Arial" w:hAnsi="Arial"/>
                <w:sz w:val="12"/>
                <w:szCs w:val="12"/>
                <w:b w:val="1"/>
                <w:bCs w:val="1"/>
                <w:color w:val="065BAA"/>
              </w:rPr>
              <w:t>.</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gridSpan w:val="3"/>
            <w:vMerge w:val="restart"/>
          </w:tcPr>
          <w:p>
            <w:pPr>
              <w:jc w:val="right"/>
              <w:spacing w:after="0" w:line="189" w:lineRule="auto"/>
              <w:rPr>
                <w:sz w:val="20"/>
                <w:szCs w:val="20"/>
                <w:color w:val="auto"/>
              </w:rPr>
            </w:pPr>
            <w:r>
              <w:rPr>
                <w:rFonts w:ascii="Arial" w:cs="Arial" w:eastAsia="Arial" w:hAnsi="Arial"/>
                <w:sz w:val="11"/>
                <w:szCs w:val="11"/>
                <w:b w:val="1"/>
                <w:bCs w:val="1"/>
                <w:color w:val="065BAA"/>
              </w:rPr>
              <w:t>L</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3"/>
          </w:tcPr>
          <w:p>
            <w:pPr>
              <w:ind w:left="80"/>
              <w:spacing w:after="0" w:line="195" w:lineRule="auto"/>
              <w:rPr>
                <w:sz w:val="20"/>
                <w:szCs w:val="20"/>
                <w:color w:val="auto"/>
              </w:rPr>
            </w:pPr>
            <w:r>
              <w:rPr>
                <w:rFonts w:ascii="Arial" w:cs="Arial" w:eastAsia="Arial" w:hAnsi="Arial"/>
                <w:sz w:val="5"/>
                <w:szCs w:val="5"/>
                <w:b w:val="1"/>
                <w:bCs w:val="1"/>
                <w:color w:val="065BAA"/>
              </w:rPr>
              <w:t>D</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gridSpan w:val="2"/>
            <w:vMerge w:val="restart"/>
          </w:tcPr>
          <w:p>
            <w:pPr>
              <w:ind w:left="20"/>
              <w:spacing w:after="0" w:line="189" w:lineRule="auto"/>
              <w:rPr>
                <w:sz w:val="20"/>
                <w:szCs w:val="20"/>
                <w:color w:val="auto"/>
              </w:rPr>
            </w:pPr>
            <w:r>
              <w:rPr>
                <w:rFonts w:ascii="Arial" w:cs="Arial" w:eastAsia="Arial" w:hAnsi="Arial"/>
                <w:sz w:val="11"/>
                <w:szCs w:val="11"/>
                <w:b w:val="1"/>
                <w:bCs w:val="1"/>
                <w:color w:val="065BAA"/>
                <w:w w:val="81"/>
              </w:rPr>
              <w:t>S</w:t>
            </w:r>
          </w:p>
        </w:tc>
        <w:tc>
          <w:tcPr>
            <w:tcW w:w="80" w:type="dxa"/>
            <w:vAlign w:val="bottom"/>
          </w:tcPr>
          <w:p>
            <w:pPr>
              <w:spacing w:after="0" w:line="195" w:lineRule="auto"/>
              <w:rPr>
                <w:sz w:val="20"/>
                <w:szCs w:val="20"/>
                <w:color w:val="auto"/>
              </w:rPr>
            </w:pPr>
            <w:r>
              <w:rPr>
                <w:rFonts w:ascii="Arial" w:cs="Arial" w:eastAsia="Arial" w:hAnsi="Arial"/>
                <w:sz w:val="5"/>
                <w:szCs w:val="5"/>
                <w:b w:val="1"/>
                <w:bCs w:val="1"/>
                <w:color w:val="065BAA"/>
              </w:rPr>
              <w:t>B</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gridSpan w:val="3"/>
            <w:vMerge w:val="restart"/>
          </w:tcPr>
          <w:p>
            <w:pPr>
              <w:ind w:left="20"/>
              <w:spacing w:after="0" w:line="189" w:lineRule="auto"/>
              <w:rPr>
                <w:sz w:val="20"/>
                <w:szCs w:val="20"/>
                <w:color w:val="auto"/>
              </w:rPr>
            </w:pPr>
            <w:r>
              <w:rPr>
                <w:rFonts w:ascii="Arial" w:cs="Arial" w:eastAsia="Arial" w:hAnsi="Arial"/>
                <w:sz w:val="11"/>
                <w:szCs w:val="11"/>
                <w:b w:val="1"/>
                <w:bCs w:val="1"/>
                <w:color w:val="065BAA"/>
                <w:w w:val="88"/>
              </w:rPr>
              <w:t>n</w:t>
            </w:r>
          </w:p>
        </w:tc>
        <w:tc>
          <w:tcPr>
            <w:tcW w:w="100" w:type="dxa"/>
            <w:vAlign w:val="bottom"/>
            <w:gridSpan w:val="2"/>
            <w:vMerge w:val="restart"/>
          </w:tcPr>
          <w:p>
            <w:pPr>
              <w:ind w:left="20"/>
              <w:spacing w:after="0" w:line="189" w:lineRule="auto"/>
              <w:rPr>
                <w:sz w:val="20"/>
                <w:szCs w:val="20"/>
                <w:color w:val="auto"/>
              </w:rPr>
            </w:pPr>
            <w:r>
              <w:rPr>
                <w:rFonts w:ascii="Arial" w:cs="Arial" w:eastAsia="Arial" w:hAnsi="Arial"/>
                <w:sz w:val="11"/>
                <w:szCs w:val="11"/>
                <w:b w:val="1"/>
                <w:bCs w:val="1"/>
                <w:color w:val="065BAA"/>
              </w:rPr>
              <w:t>D</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restart"/>
          </w:tcPr>
          <w:p>
            <w:pPr>
              <w:ind w:left="20"/>
              <w:spacing w:after="0" w:line="189" w:lineRule="auto"/>
              <w:rPr>
                <w:sz w:val="20"/>
                <w:szCs w:val="20"/>
                <w:color w:val="auto"/>
              </w:rPr>
            </w:pPr>
            <w:r>
              <w:rPr>
                <w:rFonts w:ascii="Arial" w:cs="Arial" w:eastAsia="Arial" w:hAnsi="Arial"/>
                <w:sz w:val="11"/>
                <w:szCs w:val="11"/>
                <w:b w:val="1"/>
                <w:bCs w:val="1"/>
                <w:color w:val="065BAA"/>
              </w:rPr>
              <w:t>L</w:t>
            </w: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line="195" w:lineRule="auto"/>
              <w:rPr>
                <w:sz w:val="20"/>
                <w:szCs w:val="20"/>
                <w:color w:val="auto"/>
              </w:rPr>
            </w:pPr>
            <w:r>
              <w:rPr>
                <w:rFonts w:ascii="Arial" w:cs="Arial" w:eastAsia="Arial" w:hAnsi="Arial"/>
                <w:sz w:val="5"/>
                <w:szCs w:val="5"/>
                <w:b w:val="1"/>
                <w:bCs w:val="1"/>
                <w:color w:val="065BAA"/>
              </w:rPr>
              <w:t>.</w:t>
            </w:r>
          </w:p>
        </w:tc>
        <w:tc>
          <w:tcPr>
            <w:tcW w:w="60" w:type="dxa"/>
            <w:vAlign w:val="bottom"/>
          </w:tcPr>
          <w:p>
            <w:pPr>
              <w:spacing w:after="0"/>
              <w:rPr>
                <w:sz w:val="4"/>
                <w:szCs w:val="4"/>
                <w:color w:val="auto"/>
              </w:rPr>
            </w:pPr>
          </w:p>
        </w:tc>
        <w:tc>
          <w:tcPr>
            <w:tcW w:w="200" w:type="dxa"/>
            <w:vAlign w:val="bottom"/>
            <w:gridSpan w:val="2"/>
            <w:vMerge w:val="restart"/>
          </w:tcPr>
          <w:p>
            <w:pPr>
              <w:ind w:left="60"/>
              <w:spacing w:after="0" w:line="189" w:lineRule="auto"/>
              <w:rPr>
                <w:sz w:val="20"/>
                <w:szCs w:val="20"/>
                <w:color w:val="auto"/>
              </w:rPr>
            </w:pPr>
            <w:r>
              <w:rPr>
                <w:rFonts w:ascii="Arial" w:cs="Arial" w:eastAsia="Arial" w:hAnsi="Arial"/>
                <w:sz w:val="11"/>
                <w:szCs w:val="11"/>
                <w:b w:val="1"/>
                <w:bCs w:val="1"/>
                <w:color w:val="065BAA"/>
                <w:w w:val="78"/>
              </w:rPr>
              <w:t>Gu</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gridSpan w:val="2"/>
            <w:vMerge w:val="restart"/>
          </w:tcPr>
          <w:p>
            <w:pPr>
              <w:ind w:left="100"/>
              <w:spacing w:after="0" w:line="221" w:lineRule="auto"/>
              <w:rPr>
                <w:sz w:val="20"/>
                <w:szCs w:val="20"/>
                <w:color w:val="auto"/>
              </w:rPr>
            </w:pPr>
            <w:r>
              <w:rPr>
                <w:rFonts w:ascii="Arial" w:cs="Arial" w:eastAsia="Arial" w:hAnsi="Arial"/>
                <w:sz w:val="10"/>
                <w:szCs w:val="10"/>
                <w:b w:val="1"/>
                <w:bCs w:val="1"/>
                <w:color w:val="065BAA"/>
                <w:w w:val="70"/>
              </w:rPr>
              <w:t>.</w:t>
            </w: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gridSpan w:val="3"/>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vMerge w:val="restart"/>
          </w:tcPr>
          <w:p>
            <w:pPr>
              <w:jc w:val="right"/>
              <w:spacing w:after="0" w:line="184" w:lineRule="auto"/>
              <w:rPr>
                <w:sz w:val="20"/>
                <w:szCs w:val="20"/>
                <w:color w:val="auto"/>
              </w:rPr>
            </w:pPr>
            <w:r>
              <w:rPr>
                <w:rFonts w:ascii="Arial" w:cs="Arial" w:eastAsia="Arial" w:hAnsi="Arial"/>
                <w:sz w:val="12"/>
                <w:szCs w:val="12"/>
                <w:b w:val="1"/>
                <w:bCs w:val="1"/>
                <w:color w:val="065BAA"/>
                <w:w w:val="79"/>
              </w:rPr>
              <w:t>M</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gridSpan w:val="2"/>
            <w:vMerge w:val="restart"/>
          </w:tcPr>
          <w:p>
            <w:pPr>
              <w:jc w:val="right"/>
              <w:spacing w:after="0" w:line="184" w:lineRule="auto"/>
              <w:rPr>
                <w:sz w:val="20"/>
                <w:szCs w:val="20"/>
                <w:color w:val="auto"/>
              </w:rPr>
            </w:pPr>
            <w:r>
              <w:rPr>
                <w:rFonts w:ascii="Arial" w:cs="Arial" w:eastAsia="Arial" w:hAnsi="Arial"/>
                <w:sz w:val="12"/>
                <w:szCs w:val="12"/>
                <w:b w:val="1"/>
                <w:bCs w:val="1"/>
                <w:color w:val="065BAA"/>
                <w:w w:val="91"/>
              </w:rPr>
              <w:t>A</w:t>
            </w:r>
          </w:p>
        </w:tc>
        <w:tc>
          <w:tcPr>
            <w:tcW w:w="0" w:type="dxa"/>
            <w:vAlign w:val="bottom"/>
          </w:tcPr>
          <w:p>
            <w:pPr>
              <w:spacing w:after="0"/>
              <w:rPr>
                <w:sz w:val="1"/>
                <w:szCs w:val="1"/>
                <w:color w:val="auto"/>
              </w:rPr>
            </w:pPr>
          </w:p>
        </w:tc>
      </w:tr>
      <w:tr>
        <w:trPr>
          <w:trHeight w:val="53"/>
        </w:trPr>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gridSpan w:val="2"/>
          </w:tcPr>
          <w:p>
            <w:pPr>
              <w:spacing w:after="0" w:line="221" w:lineRule="auto"/>
              <w:rPr>
                <w:sz w:val="20"/>
                <w:szCs w:val="20"/>
                <w:color w:val="auto"/>
              </w:rPr>
            </w:pPr>
            <w:r>
              <w:rPr>
                <w:rFonts w:ascii="Arial" w:cs="Arial" w:eastAsia="Arial" w:hAnsi="Arial"/>
                <w:sz w:val="5"/>
                <w:szCs w:val="5"/>
                <w:b w:val="1"/>
                <w:bCs w:val="1"/>
                <w:color w:val="065BAA"/>
              </w:rPr>
              <w:t>.</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065BAA"/>
                <w:w w:val="70"/>
              </w:rPr>
              <w:t>l</w:t>
            </w:r>
          </w:p>
        </w:tc>
        <w:tc>
          <w:tcPr>
            <w:tcW w:w="120" w:type="dxa"/>
            <w:vAlign w:val="bottom"/>
            <w:gridSpan w:val="2"/>
          </w:tcPr>
          <w:p>
            <w:pPr>
              <w:ind w:left="20"/>
              <w:spacing w:after="0" w:line="221" w:lineRule="auto"/>
              <w:rPr>
                <w:sz w:val="20"/>
                <w:szCs w:val="20"/>
                <w:color w:val="auto"/>
              </w:rPr>
            </w:pPr>
            <w:r>
              <w:rPr>
                <w:rFonts w:ascii="Arial" w:cs="Arial" w:eastAsia="Arial" w:hAnsi="Arial"/>
                <w:sz w:val="5"/>
                <w:szCs w:val="5"/>
                <w:b w:val="1"/>
                <w:bCs w:val="1"/>
                <w:color w:val="065BAA"/>
              </w:rPr>
              <w:t>.</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gridSpan w:val="2"/>
            <w:vMerge w:val="restart"/>
          </w:tcPr>
          <w:p>
            <w:pPr>
              <w:spacing w:after="0" w:line="210" w:lineRule="auto"/>
              <w:rPr>
                <w:sz w:val="20"/>
                <w:szCs w:val="20"/>
                <w:color w:val="auto"/>
              </w:rPr>
            </w:pPr>
            <w:r>
              <w:rPr>
                <w:rFonts w:ascii="Arial" w:cs="Arial" w:eastAsia="Arial" w:hAnsi="Arial"/>
                <w:sz w:val="17"/>
                <w:szCs w:val="17"/>
                <w:b w:val="1"/>
                <w:bCs w:val="1"/>
                <w:color w:val="065BAA"/>
                <w:w w:val="76"/>
              </w:rPr>
              <w:t>o</w:t>
            </w:r>
          </w:p>
        </w:tc>
        <w:tc>
          <w:tcPr>
            <w:tcW w:w="100" w:type="dxa"/>
            <w:vAlign w:val="bottom"/>
            <w:gridSpan w:val="2"/>
          </w:tcPr>
          <w:p>
            <w:pPr>
              <w:ind w:left="20"/>
              <w:spacing w:after="0" w:line="221" w:lineRule="auto"/>
              <w:rPr>
                <w:sz w:val="20"/>
                <w:szCs w:val="20"/>
                <w:color w:val="auto"/>
              </w:rPr>
            </w:pPr>
            <w:r>
              <w:rPr>
                <w:rFonts w:ascii="Arial" w:cs="Arial" w:eastAsia="Arial" w:hAnsi="Arial"/>
                <w:sz w:val="5"/>
                <w:szCs w:val="5"/>
                <w:b w:val="1"/>
                <w:bCs w:val="1"/>
                <w:color w:val="065BAA"/>
              </w:rPr>
              <w:t>y</w:t>
            </w:r>
          </w:p>
        </w:tc>
        <w:tc>
          <w:tcPr>
            <w:tcW w:w="20" w:type="dxa"/>
            <w:vAlign w:val="bottom"/>
          </w:tcPr>
          <w:p>
            <w:pPr>
              <w:spacing w:after="0"/>
              <w:rPr>
                <w:sz w:val="4"/>
                <w:szCs w:val="4"/>
                <w:color w:val="auto"/>
              </w:rPr>
            </w:pPr>
          </w:p>
        </w:tc>
        <w:tc>
          <w:tcPr>
            <w:tcW w:w="80" w:type="dxa"/>
            <w:vAlign w:val="bottom"/>
            <w:vMerge w:val="restart"/>
          </w:tcPr>
          <w:p>
            <w:pPr>
              <w:spacing w:after="0" w:line="188" w:lineRule="auto"/>
              <w:rPr>
                <w:sz w:val="20"/>
                <w:szCs w:val="20"/>
                <w:color w:val="auto"/>
              </w:rPr>
            </w:pPr>
            <w:r>
              <w:rPr>
                <w:rFonts w:ascii="Arial" w:cs="Arial" w:eastAsia="Arial" w:hAnsi="Arial"/>
                <w:sz w:val="19"/>
                <w:szCs w:val="19"/>
                <w:b w:val="1"/>
                <w:bCs w:val="1"/>
                <w:color w:val="065BAA"/>
                <w:w w:val="74"/>
              </w:rPr>
              <w:t>.</w:t>
            </w:r>
          </w:p>
        </w:tc>
        <w:tc>
          <w:tcPr>
            <w:tcW w:w="280" w:type="dxa"/>
            <w:vAlign w:val="bottom"/>
            <w:gridSpan w:val="4"/>
          </w:tcPr>
          <w:p>
            <w:pPr>
              <w:jc w:val="center"/>
              <w:spacing w:after="0" w:line="221" w:lineRule="auto"/>
              <w:rPr>
                <w:sz w:val="20"/>
                <w:szCs w:val="20"/>
                <w:color w:val="auto"/>
              </w:rPr>
            </w:pPr>
            <w:r>
              <w:rPr>
                <w:rFonts w:ascii="Arial" w:cs="Arial" w:eastAsia="Arial" w:hAnsi="Arial"/>
                <w:sz w:val="5"/>
                <w:szCs w:val="5"/>
                <w:b w:val="1"/>
                <w:bCs w:val="1"/>
                <w:color w:val="065BAA"/>
              </w:rPr>
              <w:t>.  .</w:t>
            </w:r>
          </w:p>
        </w:tc>
        <w:tc>
          <w:tcPr>
            <w:tcW w:w="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vMerge w:val="restart"/>
          </w:tcPr>
          <w:p>
            <w:pPr>
              <w:spacing w:after="0"/>
              <w:rPr>
                <w:sz w:val="20"/>
                <w:szCs w:val="20"/>
                <w:color w:val="auto"/>
              </w:rPr>
            </w:pPr>
            <w:r>
              <w:rPr>
                <w:rFonts w:ascii="Arial" w:cs="Arial" w:eastAsia="Arial" w:hAnsi="Arial"/>
                <w:sz w:val="13"/>
                <w:szCs w:val="13"/>
                <w:b w:val="1"/>
                <w:bCs w:val="1"/>
                <w:color w:val="065BAA"/>
                <w:w w:val="74"/>
              </w:rPr>
              <w:t>n</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065BAA"/>
                <w:w w:val="71"/>
              </w:rPr>
              <w:t>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2"/>
          </w:tcPr>
          <w:p>
            <w:pPr>
              <w:spacing w:after="0" w:line="189" w:lineRule="auto"/>
              <w:rPr>
                <w:sz w:val="20"/>
                <w:szCs w:val="20"/>
                <w:color w:val="auto"/>
              </w:rPr>
            </w:pPr>
            <w:r>
              <w:rPr>
                <w:rFonts w:ascii="Arial" w:cs="Arial" w:eastAsia="Arial" w:hAnsi="Arial"/>
                <w:sz w:val="13"/>
                <w:szCs w:val="13"/>
                <w:b w:val="1"/>
                <w:bCs w:val="1"/>
                <w:color w:val="065BAA"/>
                <w:w w:val="71"/>
              </w:rPr>
              <w:t>Ph</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gridSpan w:val="2"/>
            <w:vMerge w:val="restart"/>
          </w:tcPr>
          <w:p>
            <w:pPr>
              <w:jc w:val="center"/>
              <w:ind w:right="25"/>
              <w:spacing w:after="0"/>
              <w:rPr>
                <w:sz w:val="20"/>
                <w:szCs w:val="20"/>
                <w:color w:val="auto"/>
              </w:rPr>
            </w:pPr>
            <w:r>
              <w:rPr>
                <w:rFonts w:ascii="Arial" w:cs="Arial" w:eastAsia="Arial" w:hAnsi="Arial"/>
                <w:sz w:val="13"/>
                <w:szCs w:val="13"/>
                <w:b w:val="1"/>
                <w:bCs w:val="1"/>
                <w:color w:val="065BAA"/>
                <w:w w:val="74"/>
              </w:rPr>
              <w:t>h</w:t>
            </w:r>
          </w:p>
        </w:tc>
        <w:tc>
          <w:tcPr>
            <w:tcW w:w="40" w:type="dxa"/>
            <w:vAlign w:val="bottom"/>
          </w:tcPr>
          <w:p>
            <w:pPr>
              <w:spacing w:after="0"/>
              <w:rPr>
                <w:sz w:val="10"/>
                <w:szCs w:val="10"/>
                <w:color w:val="auto"/>
              </w:rPr>
            </w:pPr>
          </w:p>
        </w:tc>
        <w:tc>
          <w:tcPr>
            <w:tcW w:w="180" w:type="dxa"/>
            <w:vAlign w:val="bottom"/>
          </w:tcPr>
          <w:p>
            <w:pPr>
              <w:ind w:left="20"/>
              <w:spacing w:after="0" w:line="189" w:lineRule="auto"/>
              <w:rPr>
                <w:sz w:val="20"/>
                <w:szCs w:val="20"/>
                <w:color w:val="auto"/>
              </w:rPr>
            </w:pPr>
            <w:r>
              <w:rPr>
                <w:rFonts w:ascii="Arial" w:cs="Arial" w:eastAsia="Arial" w:hAnsi="Arial"/>
                <w:sz w:val="13"/>
                <w:szCs w:val="13"/>
                <w:b w:val="1"/>
                <w:bCs w:val="1"/>
                <w:color w:val="065BAA"/>
                <w:w w:val="86"/>
              </w:rPr>
              <w:t>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9"/>
                <w:szCs w:val="9"/>
                <w:b w:val="1"/>
                <w:bCs w:val="1"/>
                <w:color w:val="065BAA"/>
                <w:w w:val="76"/>
              </w:rPr>
              <w:t>ine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gridSpan w:val="2"/>
            <w:vMerge w:val="restart"/>
          </w:tcPr>
          <w:p>
            <w:pPr>
              <w:ind w:left="20"/>
              <w:spacing w:after="0" w:line="185" w:lineRule="auto"/>
              <w:rPr>
                <w:sz w:val="20"/>
                <w:szCs w:val="20"/>
                <w:color w:val="auto"/>
              </w:rPr>
            </w:pPr>
            <w:r>
              <w:rPr>
                <w:rFonts w:ascii="Arial" w:cs="Arial" w:eastAsia="Arial" w:hAnsi="Arial"/>
                <w:sz w:val="9"/>
                <w:szCs w:val="9"/>
                <w:b w:val="1"/>
                <w:bCs w:val="1"/>
                <w:color w:val="065BAA"/>
                <w:w w:val="77"/>
              </w:rPr>
              <w:t>l</w:t>
            </w:r>
          </w:p>
        </w:tc>
        <w:tc>
          <w:tcPr>
            <w:tcW w:w="20" w:type="dxa"/>
            <w:vAlign w:val="bottom"/>
          </w:tcPr>
          <w:p>
            <w:pPr>
              <w:spacing w:after="0"/>
              <w:rPr>
                <w:sz w:val="4"/>
                <w:szCs w:val="4"/>
                <w:color w:val="auto"/>
              </w:rPr>
            </w:pPr>
          </w:p>
        </w:tc>
        <w:tc>
          <w:tcPr>
            <w:tcW w:w="60" w:type="dxa"/>
            <w:vAlign w:val="bottom"/>
            <w:gridSpan w:val="2"/>
          </w:tcPr>
          <w:p>
            <w:pPr>
              <w:jc w:val="right"/>
              <w:spacing w:after="0" w:line="233" w:lineRule="auto"/>
              <w:rPr>
                <w:sz w:val="20"/>
                <w:szCs w:val="20"/>
                <w:color w:val="auto"/>
              </w:rPr>
            </w:pPr>
            <w:r>
              <w:rPr>
                <w:rFonts w:ascii="Arial" w:cs="Arial" w:eastAsia="Arial" w:hAnsi="Arial"/>
                <w:sz w:val="5"/>
                <w:szCs w:val="5"/>
                <w:b w:val="1"/>
                <w:bCs w:val="1"/>
                <w:color w:val="065BAA"/>
              </w:rPr>
              <w:t>,</w:t>
            </w: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gridSpan w:val="2"/>
          </w:tcPr>
          <w:p>
            <w:pPr>
              <w:ind w:left="20"/>
              <w:spacing w:after="0" w:line="233" w:lineRule="auto"/>
              <w:rPr>
                <w:sz w:val="20"/>
                <w:szCs w:val="20"/>
                <w:color w:val="auto"/>
              </w:rPr>
            </w:pPr>
            <w:r>
              <w:rPr>
                <w:rFonts w:ascii="Arial" w:cs="Arial" w:eastAsia="Arial" w:hAnsi="Arial"/>
                <w:sz w:val="5"/>
                <w:szCs w:val="5"/>
                <w:b w:val="1"/>
                <w:bCs w:val="1"/>
                <w:color w:val="065BAA"/>
              </w:rPr>
              <w:t>e</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gridSpan w:val="2"/>
          </w:tcPr>
          <w:p>
            <w:pPr>
              <w:spacing w:after="0" w:line="233" w:lineRule="auto"/>
              <w:rPr>
                <w:sz w:val="20"/>
                <w:szCs w:val="20"/>
                <w:color w:val="auto"/>
              </w:rPr>
            </w:pPr>
            <w:r>
              <w:rPr>
                <w:rFonts w:ascii="Arial" w:cs="Arial" w:eastAsia="Arial" w:hAnsi="Arial"/>
                <w:sz w:val="5"/>
                <w:szCs w:val="5"/>
                <w:b w:val="1"/>
                <w:bCs w:val="1"/>
                <w:color w:val="065BAA"/>
              </w:rPr>
              <w:t>h</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gridSpan w:val="2"/>
            <w:vMerge w:val="restart"/>
          </w:tcPr>
          <w:p>
            <w:pPr>
              <w:spacing w:after="0" w:line="181" w:lineRule="auto"/>
              <w:rPr>
                <w:sz w:val="20"/>
                <w:szCs w:val="20"/>
                <w:color w:val="auto"/>
              </w:rPr>
            </w:pPr>
            <w:r>
              <w:rPr>
                <w:rFonts w:ascii="Arial" w:cs="Arial" w:eastAsia="Arial" w:hAnsi="Arial"/>
                <w:sz w:val="12"/>
                <w:szCs w:val="12"/>
                <w:b w:val="1"/>
                <w:bCs w:val="1"/>
                <w:color w:val="065BAA"/>
                <w:w w:val="79"/>
              </w:rPr>
              <w:t>M</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ind w:left="20"/>
              <w:spacing w:after="0" w:line="233" w:lineRule="auto"/>
              <w:rPr>
                <w:sz w:val="20"/>
                <w:szCs w:val="20"/>
                <w:color w:val="auto"/>
              </w:rPr>
            </w:pPr>
            <w:r>
              <w:rPr>
                <w:rFonts w:ascii="Arial" w:cs="Arial" w:eastAsia="Arial" w:hAnsi="Arial"/>
                <w:sz w:val="5"/>
                <w:szCs w:val="5"/>
                <w:b w:val="1"/>
                <w:bCs w:val="1"/>
                <w:color w:val="065BAA"/>
              </w:rPr>
              <w:t>i</w:t>
            </w:r>
          </w:p>
        </w:tc>
        <w:tc>
          <w:tcPr>
            <w:tcW w:w="260" w:type="dxa"/>
            <w:vAlign w:val="bottom"/>
            <w:gridSpan w:val="3"/>
            <w:vMerge w:val="restart"/>
          </w:tcPr>
          <w:p>
            <w:pPr>
              <w:spacing w:after="0" w:line="204" w:lineRule="auto"/>
              <w:rPr>
                <w:sz w:val="20"/>
                <w:szCs w:val="20"/>
                <w:color w:val="auto"/>
              </w:rPr>
            </w:pPr>
            <w:r>
              <w:rPr>
                <w:rFonts w:ascii="Arial" w:cs="Arial" w:eastAsia="Arial" w:hAnsi="Arial"/>
                <w:sz w:val="16"/>
                <w:szCs w:val="16"/>
                <w:b w:val="1"/>
                <w:bCs w:val="1"/>
                <w:color w:val="065BAA"/>
                <w:w w:val="70"/>
              </w:rPr>
              <w:t>hry .</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80" w:type="dxa"/>
            <w:vAlign w:val="bottom"/>
          </w:tcPr>
          <w:p>
            <w:pPr>
              <w:spacing w:after="0"/>
              <w:rPr>
                <w:sz w:val="2"/>
                <w:szCs w:val="2"/>
                <w:color w:val="auto"/>
              </w:rPr>
            </w:pPr>
          </w:p>
        </w:tc>
        <w:tc>
          <w:tcPr>
            <w:tcW w:w="100" w:type="dxa"/>
            <w:vAlign w:val="bottom"/>
            <w:gridSpan w:val="2"/>
            <w:vMerge w:val="restart"/>
          </w:tcPr>
          <w:p>
            <w:pPr>
              <w:ind w:left="20"/>
              <w:spacing w:after="0" w:line="192" w:lineRule="auto"/>
              <w:rPr>
                <w:sz w:val="20"/>
                <w:szCs w:val="20"/>
                <w:color w:val="auto"/>
              </w:rPr>
            </w:pPr>
            <w:r>
              <w:rPr>
                <w:rFonts w:ascii="Arial" w:cs="Arial" w:eastAsia="Arial" w:hAnsi="Arial"/>
                <w:sz w:val="9"/>
                <w:szCs w:val="9"/>
                <w:b w:val="1"/>
                <w:bCs w:val="1"/>
                <w:color w:val="065BAA"/>
              </w:rPr>
              <w:t>n</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60" w:type="dxa"/>
            <w:vAlign w:val="bottom"/>
            <w:gridSpan w:val="2"/>
            <w:vMerge w:val="restart"/>
          </w:tcPr>
          <w:p>
            <w:pPr>
              <w:spacing w:after="0" w:line="202" w:lineRule="auto"/>
              <w:rPr>
                <w:sz w:val="20"/>
                <w:szCs w:val="20"/>
                <w:color w:val="auto"/>
              </w:rPr>
            </w:pPr>
            <w:r>
              <w:rPr>
                <w:rFonts w:ascii="Arial" w:cs="Arial" w:eastAsia="Arial" w:hAnsi="Arial"/>
                <w:sz w:val="5"/>
                <w:szCs w:val="5"/>
                <w:b w:val="1"/>
                <w:bCs w:val="1"/>
                <w:color w:val="065BAA"/>
              </w:rPr>
              <w:t>r</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gridSpan w:val="2"/>
          </w:tcPr>
          <w:p>
            <w:pPr>
              <w:ind w:left="20"/>
              <w:spacing w:after="0"/>
              <w:rPr>
                <w:sz w:val="20"/>
                <w:szCs w:val="20"/>
                <w:color w:val="auto"/>
              </w:rPr>
            </w:pPr>
            <w:r>
              <w:rPr>
                <w:rFonts w:ascii="Arial" w:cs="Arial" w:eastAsia="Arial" w:hAnsi="Arial"/>
                <w:sz w:val="2"/>
                <w:szCs w:val="2"/>
                <w:b w:val="1"/>
                <w:bCs w:val="1"/>
                <w:color w:val="065BAA"/>
              </w:rPr>
              <w:t>ha</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vMerge w:val="restart"/>
          </w:tcPr>
          <w:p>
            <w:pPr>
              <w:ind w:left="20"/>
              <w:spacing w:after="0" w:line="192" w:lineRule="auto"/>
              <w:rPr>
                <w:sz w:val="20"/>
                <w:szCs w:val="20"/>
                <w:color w:val="auto"/>
              </w:rPr>
            </w:pPr>
            <w:r>
              <w:rPr>
                <w:rFonts w:ascii="Arial" w:cs="Arial" w:eastAsia="Arial" w:hAnsi="Arial"/>
                <w:sz w:val="9"/>
                <w:szCs w:val="9"/>
                <w:b w:val="1"/>
                <w:bCs w:val="1"/>
                <w:color w:val="065BAA"/>
              </w:rPr>
              <w:t>A</w:t>
            </w:r>
          </w:p>
        </w:tc>
        <w:tc>
          <w:tcPr>
            <w:tcW w:w="80" w:type="dxa"/>
            <w:vAlign w:val="bottom"/>
            <w:gridSpan w:val="2"/>
            <w:vMerge w:val="restart"/>
          </w:tcPr>
          <w:p>
            <w:pPr>
              <w:ind w:left="40"/>
              <w:spacing w:after="0" w:line="202" w:lineRule="auto"/>
              <w:rPr>
                <w:sz w:val="20"/>
                <w:szCs w:val="20"/>
                <w:color w:val="auto"/>
              </w:rPr>
            </w:pPr>
            <w:r>
              <w:rPr>
                <w:rFonts w:ascii="Arial" w:cs="Arial" w:eastAsia="Arial" w:hAnsi="Arial"/>
                <w:sz w:val="5"/>
                <w:szCs w:val="5"/>
                <w:b w:val="1"/>
                <w:bCs w:val="1"/>
                <w:color w:val="065BAA"/>
              </w:rPr>
              <w:t>t</w:t>
            </w:r>
          </w:p>
        </w:tc>
        <w:tc>
          <w:tcPr>
            <w:tcW w:w="40" w:type="dxa"/>
            <w:vAlign w:val="bottom"/>
          </w:tcPr>
          <w:p>
            <w:pPr>
              <w:spacing w:after="0"/>
              <w:rPr>
                <w:sz w:val="2"/>
                <w:szCs w:val="2"/>
                <w:color w:val="auto"/>
              </w:rPr>
            </w:pPr>
          </w:p>
        </w:tc>
        <w:tc>
          <w:tcPr>
            <w:tcW w:w="80" w:type="dxa"/>
            <w:vAlign w:val="bottom"/>
            <w:gridSpan w:val="2"/>
            <w:vMerge w:val="restart"/>
          </w:tcPr>
          <w:p>
            <w:pPr>
              <w:spacing w:after="0" w:line="192" w:lineRule="auto"/>
              <w:rPr>
                <w:sz w:val="20"/>
                <w:szCs w:val="20"/>
                <w:color w:val="auto"/>
              </w:rPr>
            </w:pPr>
            <w:r>
              <w:rPr>
                <w:rFonts w:ascii="Arial" w:cs="Arial" w:eastAsia="Arial" w:hAnsi="Arial"/>
                <w:sz w:val="9"/>
                <w:szCs w:val="9"/>
                <w:b w:val="1"/>
                <w:bCs w:val="1"/>
                <w:color w:val="065BAA"/>
              </w:rPr>
              <w:t>s</w:t>
            </w:r>
          </w:p>
        </w:tc>
        <w:tc>
          <w:tcPr>
            <w:tcW w:w="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0"/>
                <w:szCs w:val="20"/>
                <w:color w:val="auto"/>
              </w:rPr>
            </w:pPr>
            <w:r>
              <w:rPr>
                <w:rFonts w:ascii="Arial" w:cs="Arial" w:eastAsia="Arial" w:hAnsi="Arial"/>
                <w:sz w:val="2"/>
                <w:szCs w:val="2"/>
                <w:b w:val="1"/>
                <w:bCs w:val="1"/>
                <w:color w:val="065BAA"/>
              </w:rPr>
              <w:t>ep</w:t>
            </w:r>
          </w:p>
        </w:tc>
        <w:tc>
          <w:tcPr>
            <w:tcW w:w="120" w:type="dxa"/>
            <w:vAlign w:val="bottom"/>
          </w:tcPr>
          <w:p>
            <w:pPr>
              <w:spacing w:after="0"/>
              <w:rPr>
                <w:sz w:val="2"/>
                <w:szCs w:val="2"/>
                <w:color w:val="auto"/>
              </w:rPr>
            </w:pPr>
          </w:p>
        </w:tc>
        <w:tc>
          <w:tcPr>
            <w:tcW w:w="220" w:type="dxa"/>
            <w:vAlign w:val="bottom"/>
            <w:gridSpan w:val="2"/>
            <w:vMerge w:val="restart"/>
          </w:tcPr>
          <w:p>
            <w:pPr>
              <w:jc w:val="right"/>
              <w:ind w:right="114"/>
              <w:spacing w:after="0" w:line="202" w:lineRule="auto"/>
              <w:rPr>
                <w:sz w:val="20"/>
                <w:szCs w:val="20"/>
                <w:color w:val="auto"/>
              </w:rPr>
            </w:pPr>
            <w:r>
              <w:rPr>
                <w:rFonts w:ascii="Arial" w:cs="Arial" w:eastAsia="Arial" w:hAnsi="Arial"/>
                <w:sz w:val="5"/>
                <w:szCs w:val="5"/>
                <w:b w:val="1"/>
                <w:bCs w:val="1"/>
                <w:color w:val="065BAA"/>
              </w:rPr>
              <w:t>e</w:t>
            </w:r>
          </w:p>
        </w:tc>
        <w:tc>
          <w:tcPr>
            <w:tcW w:w="26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jc w:val="center"/>
              <w:ind w:right="63"/>
              <w:spacing w:after="0" w:line="192" w:lineRule="auto"/>
              <w:rPr>
                <w:sz w:val="20"/>
                <w:szCs w:val="20"/>
                <w:color w:val="auto"/>
              </w:rPr>
            </w:pPr>
            <w:r>
              <w:rPr>
                <w:rFonts w:ascii="Arial" w:cs="Arial" w:eastAsia="Arial" w:hAnsi="Arial"/>
                <w:sz w:val="9"/>
                <w:szCs w:val="9"/>
                <w:b w:val="1"/>
                <w:bCs w:val="1"/>
                <w:color w:val="065BAA"/>
                <w:w w:val="85"/>
              </w:rPr>
              <w:t>rist</w:t>
            </w: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
        </w:trPr>
        <w:tc>
          <w:tcPr>
            <w:tcW w:w="80" w:type="dxa"/>
            <w:vAlign w:val="bottom"/>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gridSpan w:val="2"/>
            <w:vMerge w:val="restart"/>
          </w:tcPr>
          <w:p>
            <w:pPr>
              <w:jc w:val="right"/>
              <w:spacing w:after="0"/>
              <w:rPr>
                <w:sz w:val="20"/>
                <w:szCs w:val="20"/>
                <w:color w:val="auto"/>
              </w:rPr>
            </w:pPr>
            <w:r>
              <w:rPr>
                <w:rFonts w:ascii="Arial" w:cs="Arial" w:eastAsia="Arial" w:hAnsi="Arial"/>
                <w:sz w:val="5"/>
                <w:szCs w:val="5"/>
                <w:b w:val="1"/>
                <w:bCs w:val="1"/>
                <w:color w:val="065BAA"/>
              </w:rPr>
              <w:t>s</w:t>
            </w:r>
          </w:p>
        </w:tc>
        <w:tc>
          <w:tcPr>
            <w:tcW w:w="40" w:type="dxa"/>
            <w:vAlign w:val="bottom"/>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5"/>
            <w:vMerge w:val="restart"/>
          </w:tcPr>
          <w:p>
            <w:pPr>
              <w:ind w:left="20"/>
              <w:spacing w:after="0" w:line="188" w:lineRule="auto"/>
              <w:rPr>
                <w:sz w:val="20"/>
                <w:szCs w:val="20"/>
                <w:color w:val="auto"/>
              </w:rPr>
            </w:pPr>
            <w:r>
              <w:rPr>
                <w:rFonts w:ascii="Arial" w:cs="Arial" w:eastAsia="Arial" w:hAnsi="Arial"/>
                <w:sz w:val="9"/>
                <w:szCs w:val="9"/>
                <w:b w:val="1"/>
                <w:bCs w:val="1"/>
                <w:color w:val="065BAA"/>
              </w:rPr>
              <w:t>c  .</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gridSpan w:val="2"/>
            <w:vMerge w:val="restart"/>
          </w:tcPr>
          <w:p>
            <w:pPr>
              <w:spacing w:after="0"/>
              <w:rPr>
                <w:sz w:val="20"/>
                <w:szCs w:val="20"/>
                <w:color w:val="auto"/>
              </w:rPr>
            </w:pPr>
            <w:r>
              <w:rPr>
                <w:rFonts w:ascii="Arial" w:cs="Arial" w:eastAsia="Arial" w:hAnsi="Arial"/>
                <w:sz w:val="5"/>
                <w:szCs w:val="5"/>
                <w:b w:val="1"/>
                <w:bCs w:val="1"/>
                <w:color w:val="065BAA"/>
              </w:rPr>
              <w:t>s</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vMerge w:val="restart"/>
          </w:tcPr>
          <w:p>
            <w:pPr>
              <w:ind w:left="20"/>
              <w:spacing w:after="0"/>
              <w:rPr>
                <w:sz w:val="20"/>
                <w:szCs w:val="20"/>
                <w:color w:val="auto"/>
              </w:rPr>
            </w:pPr>
            <w:r>
              <w:rPr>
                <w:rFonts w:ascii="Arial" w:cs="Arial" w:eastAsia="Arial" w:hAnsi="Arial"/>
                <w:sz w:val="5"/>
                <w:szCs w:val="5"/>
                <w:b w:val="1"/>
                <w:bCs w:val="1"/>
                <w:color w:val="065BAA"/>
              </w:rPr>
              <w:t>D</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80" w:type="dxa"/>
            <w:vAlign w:val="bottom"/>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60" w:type="dxa"/>
            <w:vAlign w:val="bottom"/>
            <w:gridSpan w:val="2"/>
            <w:vMerge w:val="restart"/>
          </w:tcPr>
          <w:p>
            <w:pPr>
              <w:spacing w:after="0" w:line="193" w:lineRule="auto"/>
              <w:rPr>
                <w:sz w:val="20"/>
                <w:szCs w:val="20"/>
                <w:color w:val="auto"/>
              </w:rPr>
            </w:pPr>
            <w:r>
              <w:rPr>
                <w:rFonts w:ascii="Arial" w:cs="Arial" w:eastAsia="Arial" w:hAnsi="Arial"/>
                <w:sz w:val="11"/>
                <w:szCs w:val="11"/>
                <w:b w:val="1"/>
                <w:bCs w:val="1"/>
                <w:color w:val="065BAA"/>
                <w:w w:val="97"/>
              </w:rPr>
              <w:t>e</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5"/>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gridSpan w:val="2"/>
          </w:tcPr>
          <w:p>
            <w:pPr>
              <w:ind w:left="20"/>
              <w:spacing w:after="0"/>
              <w:rPr>
                <w:sz w:val="20"/>
                <w:szCs w:val="20"/>
                <w:color w:val="auto"/>
              </w:rPr>
            </w:pPr>
            <w:r>
              <w:rPr>
                <w:rFonts w:ascii="Arial" w:cs="Arial" w:eastAsia="Arial" w:hAnsi="Arial"/>
                <w:sz w:val="3"/>
                <w:szCs w:val="3"/>
                <w:b w:val="1"/>
                <w:bCs w:val="1"/>
                <w:color w:val="065BAA"/>
              </w:rPr>
              <w:t>dst</w:t>
            </w:r>
          </w:p>
        </w:tc>
        <w:tc>
          <w:tcPr>
            <w:tcW w:w="240" w:type="dxa"/>
            <w:vAlign w:val="bottom"/>
            <w:gridSpan w:val="2"/>
          </w:tcPr>
          <w:p>
            <w:pPr>
              <w:ind w:left="180"/>
              <w:spacing w:after="0"/>
              <w:rPr>
                <w:sz w:val="20"/>
                <w:szCs w:val="20"/>
                <w:color w:val="auto"/>
              </w:rPr>
            </w:pPr>
            <w:r>
              <w:rPr>
                <w:rFonts w:ascii="Arial" w:cs="Arial" w:eastAsia="Arial" w:hAnsi="Arial"/>
                <w:sz w:val="3"/>
                <w:szCs w:val="3"/>
                <w:b w:val="1"/>
                <w:bCs w:val="1"/>
                <w:color w:val="065BAA"/>
              </w:rPr>
              <w:t>t</w:t>
            </w:r>
          </w:p>
        </w:tc>
        <w:tc>
          <w:tcPr>
            <w:tcW w:w="6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8"/>
        </w:trPr>
        <w:tc>
          <w:tcPr>
            <w:tcW w:w="80" w:type="dxa"/>
            <w:vAlign w:val="bottom"/>
            <w:vMerge w:val="restart"/>
          </w:tcPr>
          <w:p>
            <w:pPr>
              <w:spacing w:after="0" w:line="182" w:lineRule="auto"/>
              <w:rPr>
                <w:sz w:val="20"/>
                <w:szCs w:val="20"/>
                <w:color w:val="auto"/>
              </w:rPr>
            </w:pPr>
            <w:r>
              <w:rPr>
                <w:rFonts w:ascii="Arial" w:cs="Arial" w:eastAsia="Arial" w:hAnsi="Arial"/>
                <w:sz w:val="12"/>
                <w:szCs w:val="12"/>
                <w:b w:val="1"/>
                <w:bCs w:val="1"/>
                <w:color w:val="065BAA"/>
                <w:w w:val="91"/>
              </w:rPr>
              <w:t>B</w:t>
            </w:r>
          </w:p>
        </w:tc>
        <w:tc>
          <w:tcPr>
            <w:tcW w:w="60" w:type="dxa"/>
            <w:vAlign w:val="bottom"/>
          </w:tcPr>
          <w:p>
            <w:pPr>
              <w:spacing w:after="0"/>
              <w:rPr>
                <w:sz w:val="5"/>
                <w:szCs w:val="5"/>
                <w:color w:val="auto"/>
              </w:rPr>
            </w:pPr>
          </w:p>
        </w:tc>
        <w:tc>
          <w:tcPr>
            <w:tcW w:w="100" w:type="dxa"/>
            <w:vAlign w:val="bottom"/>
            <w:gridSpan w:val="2"/>
          </w:tcPr>
          <w:p>
            <w:pPr>
              <w:spacing w:after="0" w:line="201" w:lineRule="auto"/>
              <w:rPr>
                <w:sz w:val="20"/>
                <w:szCs w:val="20"/>
                <w:color w:val="auto"/>
              </w:rPr>
            </w:pPr>
            <w:r>
              <w:rPr>
                <w:rFonts w:ascii="Arial" w:cs="Arial" w:eastAsia="Arial" w:hAnsi="Arial"/>
                <w:sz w:val="7"/>
                <w:szCs w:val="7"/>
                <w:b w:val="1"/>
                <w:bCs w:val="1"/>
                <w:color w:val="065BAA"/>
              </w:rPr>
              <w:t>ni</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gridSpan w:val="4"/>
            <w:vMerge w:val="restart"/>
          </w:tcPr>
          <w:p>
            <w:pPr>
              <w:ind w:left="20"/>
              <w:spacing w:after="0" w:line="181" w:lineRule="auto"/>
              <w:rPr>
                <w:sz w:val="20"/>
                <w:szCs w:val="20"/>
                <w:color w:val="auto"/>
              </w:rPr>
            </w:pPr>
            <w:r>
              <w:rPr>
                <w:rFonts w:ascii="Arial" w:cs="Arial" w:eastAsia="Arial" w:hAnsi="Arial"/>
                <w:sz w:val="15"/>
                <w:szCs w:val="15"/>
                <w:b w:val="1"/>
                <w:bCs w:val="1"/>
                <w:color w:val="065BAA"/>
              </w:rPr>
              <w:t>M  .</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gridSpan w:val="3"/>
            <w:vMerge w:val="restart"/>
          </w:tcPr>
          <w:p>
            <w:pPr>
              <w:jc w:val="right"/>
              <w:spacing w:after="0" w:line="182" w:lineRule="auto"/>
              <w:rPr>
                <w:sz w:val="20"/>
                <w:szCs w:val="20"/>
                <w:color w:val="auto"/>
              </w:rPr>
            </w:pPr>
            <w:r>
              <w:rPr>
                <w:rFonts w:ascii="Arial" w:cs="Arial" w:eastAsia="Arial" w:hAnsi="Arial"/>
                <w:sz w:val="12"/>
                <w:szCs w:val="12"/>
                <w:b w:val="1"/>
                <w:bCs w:val="1"/>
                <w:color w:val="065BAA"/>
                <w:w w:val="91"/>
              </w:rPr>
              <w:t>N</w:t>
            </w:r>
          </w:p>
        </w:tc>
        <w:tc>
          <w:tcPr>
            <w:tcW w:w="100" w:type="dxa"/>
            <w:vAlign w:val="bottom"/>
            <w:gridSpan w:val="2"/>
          </w:tcPr>
          <w:p>
            <w:pPr>
              <w:ind w:left="40"/>
              <w:spacing w:after="0" w:line="201" w:lineRule="auto"/>
              <w:rPr>
                <w:sz w:val="20"/>
                <w:szCs w:val="20"/>
                <w:color w:val="auto"/>
              </w:rPr>
            </w:pPr>
            <w:r>
              <w:rPr>
                <w:rFonts w:ascii="Arial" w:cs="Arial" w:eastAsia="Arial" w:hAnsi="Arial"/>
                <w:sz w:val="7"/>
                <w:szCs w:val="7"/>
                <w:b w:val="1"/>
                <w:bCs w:val="1"/>
                <w:color w:val="065BAA"/>
              </w:rPr>
              <w:t>n</w:t>
            </w:r>
          </w:p>
        </w:tc>
        <w:tc>
          <w:tcPr>
            <w:tcW w:w="40" w:type="dxa"/>
            <w:vAlign w:val="bottom"/>
          </w:tcPr>
          <w:p>
            <w:pPr>
              <w:spacing w:after="0"/>
              <w:rPr>
                <w:sz w:val="5"/>
                <w:szCs w:val="5"/>
                <w:color w:val="auto"/>
              </w:rPr>
            </w:pPr>
          </w:p>
        </w:tc>
        <w:tc>
          <w:tcPr>
            <w:tcW w:w="80" w:type="dxa"/>
            <w:vAlign w:val="bottom"/>
            <w:gridSpan w:val="2"/>
            <w:vMerge w:val="restart"/>
          </w:tcPr>
          <w:p>
            <w:pPr>
              <w:spacing w:after="0"/>
              <w:rPr>
                <w:sz w:val="20"/>
                <w:szCs w:val="20"/>
                <w:color w:val="auto"/>
              </w:rPr>
            </w:pPr>
            <w:r>
              <w:rPr>
                <w:rFonts w:ascii="Arial" w:cs="Arial" w:eastAsia="Arial" w:hAnsi="Arial"/>
                <w:sz w:val="15"/>
                <w:szCs w:val="15"/>
                <w:b w:val="1"/>
                <w:bCs w:val="1"/>
                <w:color w:val="065BAA"/>
                <w:w w:val="71"/>
              </w:rPr>
              <w:t>e</w:t>
            </w:r>
          </w:p>
        </w:tc>
        <w:tc>
          <w:tcPr>
            <w:tcW w:w="100" w:type="dxa"/>
            <w:vAlign w:val="bottom"/>
            <w:gridSpan w:val="2"/>
          </w:tcPr>
          <w:p>
            <w:pPr>
              <w:ind w:left="20"/>
              <w:spacing w:after="0" w:line="201" w:lineRule="auto"/>
              <w:rPr>
                <w:sz w:val="20"/>
                <w:szCs w:val="20"/>
                <w:color w:val="auto"/>
              </w:rPr>
            </w:pPr>
            <w:r>
              <w:rPr>
                <w:rFonts w:ascii="Arial" w:cs="Arial" w:eastAsia="Arial" w:hAnsi="Arial"/>
                <w:sz w:val="7"/>
                <w:szCs w:val="7"/>
                <w:b w:val="1"/>
                <w:bCs w:val="1"/>
                <w:color w:val="065BAA"/>
              </w:rPr>
              <w:t>,</w:t>
            </w:r>
          </w:p>
        </w:tc>
        <w:tc>
          <w:tcPr>
            <w:tcW w:w="100" w:type="dxa"/>
            <w:vAlign w:val="bottom"/>
            <w:gridSpan w:val="2"/>
            <w:vMerge w:val="restart"/>
          </w:tcPr>
          <w:p>
            <w:pPr>
              <w:ind w:left="20"/>
              <w:spacing w:after="0" w:line="182" w:lineRule="auto"/>
              <w:rPr>
                <w:sz w:val="20"/>
                <w:szCs w:val="20"/>
                <w:color w:val="auto"/>
              </w:rPr>
            </w:pPr>
            <w:r>
              <w:rPr>
                <w:rFonts w:ascii="Arial" w:cs="Arial" w:eastAsia="Arial" w:hAnsi="Arial"/>
                <w:sz w:val="12"/>
                <w:szCs w:val="12"/>
                <w:b w:val="1"/>
                <w:bCs w:val="1"/>
                <w:color w:val="065BAA"/>
                <w:w w:val="89"/>
              </w:rPr>
              <w:t>J</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gridSpan w:val="2"/>
            <w:vMerge w:val="restart"/>
          </w:tcPr>
          <w:p>
            <w:pPr>
              <w:jc w:val="center"/>
              <w:ind w:right="5"/>
              <w:spacing w:after="0" w:line="182" w:lineRule="auto"/>
              <w:rPr>
                <w:sz w:val="20"/>
                <w:szCs w:val="20"/>
                <w:color w:val="auto"/>
              </w:rPr>
            </w:pPr>
            <w:r>
              <w:rPr>
                <w:rFonts w:ascii="Arial" w:cs="Arial" w:eastAsia="Arial" w:hAnsi="Arial"/>
                <w:sz w:val="12"/>
                <w:szCs w:val="12"/>
                <w:b w:val="1"/>
                <w:bCs w:val="1"/>
                <w:color w:val="065BAA"/>
                <w:w w:val="74"/>
              </w:rPr>
              <w:t>ol</w:t>
            </w:r>
          </w:p>
        </w:tc>
        <w:tc>
          <w:tcPr>
            <w:tcW w:w="40" w:type="dxa"/>
            <w:vAlign w:val="bottom"/>
          </w:tcPr>
          <w:p>
            <w:pPr>
              <w:spacing w:after="0"/>
              <w:rPr>
                <w:sz w:val="5"/>
                <w:szCs w:val="5"/>
                <w:color w:val="auto"/>
              </w:rPr>
            </w:pPr>
          </w:p>
        </w:tc>
        <w:tc>
          <w:tcPr>
            <w:tcW w:w="180" w:type="dxa"/>
            <w:vAlign w:val="bottom"/>
            <w:vMerge w:val="restart"/>
          </w:tcPr>
          <w:p>
            <w:pPr>
              <w:jc w:val="right"/>
              <w:spacing w:after="0" w:line="182" w:lineRule="auto"/>
              <w:rPr>
                <w:sz w:val="20"/>
                <w:szCs w:val="20"/>
                <w:color w:val="auto"/>
              </w:rPr>
            </w:pPr>
            <w:r>
              <w:rPr>
                <w:rFonts w:ascii="Arial" w:cs="Arial" w:eastAsia="Arial" w:hAnsi="Arial"/>
                <w:sz w:val="12"/>
                <w:szCs w:val="12"/>
                <w:b w:val="1"/>
                <w:bCs w:val="1"/>
                <w:color w:val="065BAA"/>
                <w:w w:val="77"/>
              </w:rPr>
              <w:t>Ka</w:t>
            </w:r>
          </w:p>
        </w:tc>
        <w:tc>
          <w:tcPr>
            <w:tcW w:w="60" w:type="dxa"/>
            <w:vAlign w:val="bottom"/>
          </w:tcPr>
          <w:p>
            <w:pPr>
              <w:spacing w:after="0"/>
              <w:rPr>
                <w:sz w:val="5"/>
                <w:szCs w:val="5"/>
                <w:color w:val="auto"/>
              </w:rPr>
            </w:pPr>
          </w:p>
        </w:tc>
        <w:tc>
          <w:tcPr>
            <w:tcW w:w="200" w:type="dxa"/>
            <w:vAlign w:val="bottom"/>
            <w:gridSpan w:val="2"/>
            <w:vMerge w:val="restart"/>
          </w:tcPr>
          <w:p>
            <w:pPr>
              <w:ind w:left="20"/>
              <w:spacing w:after="0" w:line="182" w:lineRule="auto"/>
              <w:rPr>
                <w:sz w:val="20"/>
                <w:szCs w:val="20"/>
                <w:color w:val="auto"/>
              </w:rPr>
            </w:pPr>
            <w:r>
              <w:rPr>
                <w:rFonts w:ascii="Arial" w:cs="Arial" w:eastAsia="Arial" w:hAnsi="Arial"/>
                <w:sz w:val="12"/>
                <w:szCs w:val="12"/>
                <w:b w:val="1"/>
                <w:bCs w:val="1"/>
                <w:color w:val="065BAA"/>
                <w:w w:val="81"/>
              </w:rPr>
              <w:t>h</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065BAA"/>
                <w:w w:val="70"/>
              </w:rPr>
              <w:t>Ch  oon</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gridSpan w:val="2"/>
          </w:tcPr>
          <w:p>
            <w:pPr>
              <w:ind w:left="20"/>
              <w:spacing w:after="0" w:line="195" w:lineRule="auto"/>
              <w:rPr>
                <w:sz w:val="20"/>
                <w:szCs w:val="20"/>
                <w:color w:val="auto"/>
              </w:rPr>
            </w:pPr>
            <w:r>
              <w:rPr>
                <w:rFonts w:ascii="Arial" w:cs="Arial" w:eastAsia="Arial" w:hAnsi="Arial"/>
                <w:sz w:val="4"/>
                <w:szCs w:val="4"/>
                <w:b w:val="1"/>
                <w:bCs w:val="1"/>
                <w:color w:val="065BAA"/>
              </w:rPr>
              <w:t>a</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gridSpan w:val="2"/>
          </w:tcPr>
          <w:p>
            <w:pPr>
              <w:ind w:left="20"/>
              <w:spacing w:after="0" w:line="195" w:lineRule="auto"/>
              <w:rPr>
                <w:sz w:val="20"/>
                <w:szCs w:val="20"/>
                <w:color w:val="auto"/>
              </w:rPr>
            </w:pPr>
            <w:r>
              <w:rPr>
                <w:rFonts w:ascii="Arial" w:cs="Arial" w:eastAsia="Arial" w:hAnsi="Arial"/>
                <w:sz w:val="4"/>
                <w:szCs w:val="4"/>
                <w:b w:val="1"/>
                <w:bCs w:val="1"/>
                <w:color w:val="065BAA"/>
              </w:rPr>
              <w:t>o</w:t>
            </w:r>
          </w:p>
        </w:tc>
        <w:tc>
          <w:tcPr>
            <w:tcW w:w="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1"/>
        </w:trPr>
        <w:tc>
          <w:tcPr>
            <w:tcW w:w="140" w:type="dxa"/>
            <w:vAlign w:val="bottom"/>
            <w:gridSpan w:val="2"/>
          </w:tcPr>
          <w:p>
            <w:pPr>
              <w:ind w:left="60"/>
              <w:spacing w:after="0" w:line="184" w:lineRule="auto"/>
              <w:rPr>
                <w:sz w:val="20"/>
                <w:szCs w:val="20"/>
                <w:color w:val="auto"/>
              </w:rPr>
            </w:pPr>
            <w:r>
              <w:rPr>
                <w:rFonts w:ascii="Arial" w:cs="Arial" w:eastAsia="Arial" w:hAnsi="Arial"/>
                <w:sz w:val="8"/>
                <w:szCs w:val="8"/>
                <w:b w:val="1"/>
                <w:bCs w:val="1"/>
                <w:color w:val="065BAA"/>
              </w:rPr>
              <w:t>o</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gridSpan w:val="2"/>
            <w:vMerge w:val="restart"/>
          </w:tcPr>
          <w:p>
            <w:pPr>
              <w:spacing w:after="0" w:line="194" w:lineRule="auto"/>
              <w:rPr>
                <w:sz w:val="20"/>
                <w:szCs w:val="20"/>
                <w:color w:val="auto"/>
              </w:rPr>
            </w:pPr>
            <w:r>
              <w:rPr>
                <w:rFonts w:ascii="Arial" w:cs="Arial" w:eastAsia="Arial" w:hAnsi="Arial"/>
                <w:sz w:val="11"/>
                <w:szCs w:val="11"/>
                <w:b w:val="1"/>
                <w:bCs w:val="1"/>
                <w:color w:val="065BAA"/>
                <w:w w:val="97"/>
              </w:rPr>
              <w:t>s</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ind w:left="20"/>
              <w:spacing w:after="0" w:line="184" w:lineRule="auto"/>
              <w:rPr>
                <w:sz w:val="20"/>
                <w:szCs w:val="20"/>
                <w:color w:val="auto"/>
              </w:rPr>
            </w:pPr>
            <w:r>
              <w:rPr>
                <w:rFonts w:ascii="Arial" w:cs="Arial" w:eastAsia="Arial" w:hAnsi="Arial"/>
                <w:sz w:val="8"/>
                <w:szCs w:val="8"/>
                <w:b w:val="1"/>
                <w:bCs w:val="1"/>
                <w:color w:val="065BAA"/>
                <w:w w:val="87"/>
              </w:rPr>
              <w:t>i</w:t>
            </w:r>
          </w:p>
        </w:tc>
        <w:tc>
          <w:tcPr>
            <w:tcW w:w="80" w:type="dxa"/>
            <w:vAlign w:val="bottom"/>
          </w:tcPr>
          <w:p>
            <w:pPr>
              <w:spacing w:after="0"/>
              <w:rPr>
                <w:sz w:val="6"/>
                <w:szCs w:val="6"/>
                <w:color w:val="auto"/>
              </w:rPr>
            </w:pPr>
          </w:p>
        </w:tc>
        <w:tc>
          <w:tcPr>
            <w:tcW w:w="340" w:type="dxa"/>
            <w:vAlign w:val="bottom"/>
            <w:gridSpan w:val="7"/>
            <w:vMerge w:val="restart"/>
          </w:tcPr>
          <w:p>
            <w:pPr>
              <w:jc w:val="right"/>
              <w:spacing w:after="0" w:line="190" w:lineRule="auto"/>
              <w:rPr>
                <w:sz w:val="20"/>
                <w:szCs w:val="20"/>
                <w:color w:val="auto"/>
              </w:rPr>
            </w:pPr>
            <w:r>
              <w:rPr>
                <w:rFonts w:ascii="Arial" w:cs="Arial" w:eastAsia="Arial" w:hAnsi="Arial"/>
                <w:sz w:val="13"/>
                <w:szCs w:val="13"/>
                <w:b w:val="1"/>
                <w:bCs w:val="1"/>
                <w:color w:val="065BAA"/>
              </w:rPr>
              <w:t>D  .</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gridSpan w:val="2"/>
            <w:vMerge w:val="restart"/>
          </w:tcPr>
          <w:p>
            <w:pPr>
              <w:ind w:left="40"/>
              <w:spacing w:after="0" w:line="194" w:lineRule="auto"/>
              <w:rPr>
                <w:sz w:val="20"/>
                <w:szCs w:val="20"/>
                <w:color w:val="auto"/>
              </w:rPr>
            </w:pPr>
            <w:r>
              <w:rPr>
                <w:rFonts w:ascii="Arial" w:cs="Arial" w:eastAsia="Arial" w:hAnsi="Arial"/>
                <w:sz w:val="11"/>
                <w:szCs w:val="11"/>
                <w:b w:val="1"/>
                <w:bCs w:val="1"/>
                <w:color w:val="065BAA"/>
                <w:w w:val="88"/>
              </w:rPr>
              <w:t>o</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vMerge w:val="restart"/>
          </w:tcPr>
          <w:p>
            <w:pPr>
              <w:ind w:left="20"/>
              <w:spacing w:after="0" w:line="213" w:lineRule="auto"/>
              <w:rPr>
                <w:sz w:val="20"/>
                <w:szCs w:val="20"/>
                <w:color w:val="auto"/>
              </w:rPr>
            </w:pPr>
            <w:r>
              <w:rPr>
                <w:rFonts w:ascii="Arial" w:cs="Arial" w:eastAsia="Arial" w:hAnsi="Arial"/>
                <w:sz w:val="10"/>
                <w:szCs w:val="10"/>
                <w:b w:val="1"/>
                <w:bCs w:val="1"/>
                <w:color w:val="065BAA"/>
                <w:w w:val="70"/>
              </w:rPr>
              <w:t>.</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gridSpan w:val="2"/>
            <w:vMerge w:val="restart"/>
          </w:tcPr>
          <w:p>
            <w:pPr>
              <w:spacing w:after="0"/>
              <w:rPr>
                <w:sz w:val="20"/>
                <w:szCs w:val="20"/>
                <w:color w:val="auto"/>
              </w:rPr>
            </w:pPr>
            <w:r>
              <w:rPr>
                <w:rFonts w:ascii="Arial" w:cs="Arial" w:eastAsia="Arial" w:hAnsi="Arial"/>
                <w:sz w:val="15"/>
                <w:szCs w:val="15"/>
                <w:b w:val="1"/>
                <w:bCs w:val="1"/>
                <w:color w:val="065BAA"/>
                <w:w w:val="73"/>
              </w:rPr>
              <w:t>B</w:t>
            </w:r>
          </w:p>
        </w:tc>
        <w:tc>
          <w:tcPr>
            <w:tcW w:w="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gridSpan w:val="7"/>
            <w:vMerge w:val="continue"/>
          </w:tcPr>
          <w:p>
            <w:pPr>
              <w:spacing w:after="0"/>
              <w:rPr>
                <w:sz w:val="2"/>
                <w:szCs w:val="2"/>
                <w:color w:val="auto"/>
              </w:rPr>
            </w:pPr>
          </w:p>
        </w:tc>
        <w:tc>
          <w:tcPr>
            <w:tcW w:w="14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065BAA"/>
                <w:w w:val="73"/>
              </w:rPr>
              <w:t>C</w:t>
            </w:r>
          </w:p>
        </w:tc>
        <w:tc>
          <w:tcPr>
            <w:tcW w:w="40" w:type="dxa"/>
            <w:vAlign w:val="bottom"/>
          </w:tcPr>
          <w:p>
            <w:pPr>
              <w:spacing w:after="0" w:line="221" w:lineRule="auto"/>
              <w:rPr>
                <w:sz w:val="20"/>
                <w:szCs w:val="20"/>
                <w:color w:val="auto"/>
              </w:rPr>
            </w:pPr>
            <w:r>
              <w:rPr>
                <w:rFonts w:ascii="Arial" w:cs="Arial" w:eastAsia="Arial" w:hAnsi="Arial"/>
                <w:sz w:val="3"/>
                <w:szCs w:val="3"/>
                <w:b w:val="1"/>
                <w:bCs w:val="1"/>
                <w:color w:val="065BAA"/>
              </w:rPr>
              <w:t>l</w:t>
            </w: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120" w:type="dxa"/>
            <w:vAlign w:val="bottom"/>
            <w:gridSpan w:val="2"/>
            <w:vMerge w:val="restart"/>
          </w:tcPr>
          <w:p>
            <w:pPr>
              <w:spacing w:after="0"/>
              <w:rPr>
                <w:sz w:val="20"/>
                <w:szCs w:val="20"/>
                <w:color w:val="auto"/>
              </w:rPr>
            </w:pPr>
            <w:r>
              <w:rPr>
                <w:rFonts w:ascii="Arial" w:cs="Arial" w:eastAsia="Arial" w:hAnsi="Arial"/>
                <w:sz w:val="17"/>
                <w:szCs w:val="17"/>
                <w:b w:val="1"/>
                <w:bCs w:val="1"/>
                <w:color w:val="065BAA"/>
                <w:w w:val="75"/>
              </w:rPr>
              <w:t>G</w:t>
            </w: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065BAA"/>
                <w:w w:val="70"/>
              </w:rPr>
              <w:t>P</w:t>
            </w:r>
          </w:p>
        </w:tc>
        <w:tc>
          <w:tcPr>
            <w:tcW w:w="1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jc w:val="center"/>
              <w:ind w:right="63"/>
              <w:spacing w:after="0"/>
              <w:rPr>
                <w:sz w:val="20"/>
                <w:szCs w:val="20"/>
                <w:color w:val="auto"/>
              </w:rPr>
            </w:pPr>
            <w:r>
              <w:rPr>
                <w:rFonts w:ascii="Arial" w:cs="Arial" w:eastAsia="Arial" w:hAnsi="Arial"/>
                <w:sz w:val="17"/>
                <w:szCs w:val="17"/>
                <w:b w:val="1"/>
                <w:bCs w:val="1"/>
                <w:color w:val="065BAA"/>
                <w:w w:val="70"/>
              </w:rPr>
              <w:t>P</w:t>
            </w: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b w:val="1"/>
                <w:bCs w:val="1"/>
                <w:color w:val="065BAA"/>
                <w:w w:val="70"/>
              </w:rPr>
              <w:t>M</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Arial" w:cs="Arial" w:eastAsia="Arial" w:hAnsi="Arial"/>
                <w:sz w:val="12"/>
                <w:szCs w:val="12"/>
                <w:b w:val="1"/>
                <w:bCs w:val="1"/>
                <w:color w:val="065BAA"/>
                <w:w w:val="74"/>
              </w:rPr>
              <w:t>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065BAA"/>
                <w:w w:val="73"/>
              </w:rPr>
              <w:t>D</w:t>
            </w:r>
          </w:p>
        </w:tc>
        <w:tc>
          <w:tcPr>
            <w:tcW w:w="80" w:type="dxa"/>
            <w:vAlign w:val="bottom"/>
          </w:tcPr>
          <w:p>
            <w:pPr>
              <w:jc w:val="center"/>
              <w:ind w:right="25"/>
              <w:spacing w:after="0"/>
              <w:rPr>
                <w:sz w:val="20"/>
                <w:szCs w:val="20"/>
                <w:color w:val="auto"/>
              </w:rPr>
            </w:pPr>
            <w:r>
              <w:rPr>
                <w:rFonts w:ascii="Arial" w:cs="Arial" w:eastAsia="Arial" w:hAnsi="Arial"/>
                <w:sz w:val="10"/>
                <w:szCs w:val="10"/>
                <w:b w:val="1"/>
                <w:bCs w:val="1"/>
                <w:color w:val="065BAA"/>
                <w:w w:val="70"/>
              </w:rPr>
              <w:t>.</w:t>
            </w: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restart"/>
          </w:tcPr>
          <w:p>
            <w:pPr>
              <w:ind w:left="20"/>
              <w:spacing w:after="0" w:line="206" w:lineRule="auto"/>
              <w:rPr>
                <w:sz w:val="20"/>
                <w:szCs w:val="20"/>
                <w:color w:val="auto"/>
              </w:rPr>
            </w:pPr>
            <w:r>
              <w:rPr>
                <w:rFonts w:ascii="Arial" w:cs="Arial" w:eastAsia="Arial" w:hAnsi="Arial"/>
                <w:sz w:val="20"/>
                <w:szCs w:val="20"/>
                <w:b w:val="1"/>
                <w:bCs w:val="1"/>
                <w:color w:val="065BAA"/>
                <w:w w:val="71"/>
              </w:rPr>
              <w:t>,</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gridSpan w:val="2"/>
            <w:vMerge w:val="restart"/>
          </w:tcPr>
          <w:p>
            <w:pPr>
              <w:spacing w:after="0"/>
              <w:rPr>
                <w:sz w:val="20"/>
                <w:szCs w:val="20"/>
                <w:color w:val="auto"/>
              </w:rPr>
            </w:pPr>
            <w:r>
              <w:rPr>
                <w:rFonts w:ascii="Arial" w:cs="Arial" w:eastAsia="Arial" w:hAnsi="Arial"/>
                <w:sz w:val="15"/>
                <w:szCs w:val="15"/>
                <w:b w:val="1"/>
                <w:bCs w:val="1"/>
                <w:color w:val="065BAA"/>
                <w:w w:val="74"/>
              </w:rPr>
              <w:t>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ind w:left="40"/>
              <w:spacing w:after="0" w:line="190" w:lineRule="auto"/>
              <w:rPr>
                <w:sz w:val="20"/>
                <w:szCs w:val="20"/>
                <w:color w:val="auto"/>
              </w:rPr>
            </w:pPr>
            <w:r>
              <w:rPr>
                <w:rFonts w:ascii="Arial" w:cs="Arial" w:eastAsia="Arial" w:hAnsi="Arial"/>
                <w:sz w:val="14"/>
                <w:szCs w:val="14"/>
                <w:b w:val="1"/>
                <w:bCs w:val="1"/>
                <w:color w:val="065BAA"/>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gridSpan w:val="3"/>
          </w:tcPr>
          <w:p>
            <w:pPr>
              <w:ind w:left="20"/>
              <w:spacing w:after="0" w:line="181" w:lineRule="auto"/>
              <w:rPr>
                <w:sz w:val="20"/>
                <w:szCs w:val="20"/>
                <w:color w:val="auto"/>
              </w:rPr>
            </w:pPr>
            <w:r>
              <w:rPr>
                <w:rFonts w:ascii="Arial" w:cs="Arial" w:eastAsia="Arial" w:hAnsi="Arial"/>
                <w:sz w:val="9"/>
                <w:szCs w:val="9"/>
                <w:b w:val="1"/>
                <w:bCs w:val="1"/>
                <w:color w:val="065BAA"/>
              </w:rPr>
              <w:t>e</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gridSpan w:val="2"/>
          </w:tcPr>
          <w:p>
            <w:pPr>
              <w:jc w:val="right"/>
              <w:spacing w:after="0" w:line="181" w:lineRule="auto"/>
              <w:rPr>
                <w:sz w:val="20"/>
                <w:szCs w:val="20"/>
                <w:color w:val="auto"/>
              </w:rPr>
            </w:pPr>
            <w:r>
              <w:rPr>
                <w:rFonts w:ascii="Arial" w:cs="Arial" w:eastAsia="Arial" w:hAnsi="Arial"/>
                <w:sz w:val="9"/>
                <w:szCs w:val="9"/>
                <w:b w:val="1"/>
                <w:bCs w:val="1"/>
                <w:color w:val="065BAA"/>
              </w:rPr>
              <w:t>n</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gridSpan w:val="2"/>
          </w:tcPr>
          <w:p>
            <w:pPr>
              <w:jc w:val="center"/>
              <w:spacing w:after="0" w:line="181" w:lineRule="auto"/>
              <w:rPr>
                <w:sz w:val="20"/>
                <w:szCs w:val="20"/>
                <w:color w:val="auto"/>
              </w:rPr>
            </w:pPr>
            <w:r>
              <w:rPr>
                <w:rFonts w:ascii="Arial" w:cs="Arial" w:eastAsia="Arial" w:hAnsi="Arial"/>
                <w:sz w:val="9"/>
                <w:szCs w:val="9"/>
                <w:b w:val="1"/>
                <w:bCs w:val="1"/>
                <w:color w:val="065BAA"/>
              </w:rPr>
              <w:t>Ph</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gridSpan w:val="3"/>
          </w:tcPr>
          <w:p>
            <w:pPr>
              <w:jc w:val="center"/>
              <w:spacing w:after="0" w:line="218" w:lineRule="auto"/>
              <w:rPr>
                <w:sz w:val="20"/>
                <w:szCs w:val="20"/>
                <w:color w:val="auto"/>
              </w:rPr>
            </w:pPr>
            <w:r>
              <w:rPr>
                <w:rFonts w:ascii="Arial" w:cs="Arial" w:eastAsia="Arial" w:hAnsi="Arial"/>
                <w:sz w:val="5"/>
                <w:szCs w:val="5"/>
                <w:b w:val="1"/>
                <w:bCs w:val="1"/>
                <w:color w:val="065BAA"/>
              </w:rPr>
              <w:t>kei</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gridSpan w:val="2"/>
          </w:tcPr>
          <w:p>
            <w:pPr>
              <w:ind w:left="60"/>
              <w:spacing w:after="0" w:line="218" w:lineRule="auto"/>
              <w:rPr>
                <w:sz w:val="20"/>
                <w:szCs w:val="20"/>
                <w:color w:val="auto"/>
              </w:rPr>
            </w:pPr>
            <w:r>
              <w:rPr>
                <w:rFonts w:ascii="Arial" w:cs="Arial" w:eastAsia="Arial" w:hAnsi="Arial"/>
                <w:sz w:val="5"/>
                <w:szCs w:val="5"/>
                <w:b w:val="1"/>
                <w:bCs w:val="1"/>
                <w:color w:val="065BAA"/>
              </w:rPr>
              <w:t>le</w:t>
            </w:r>
          </w:p>
        </w:tc>
        <w:tc>
          <w:tcPr>
            <w:tcW w:w="40" w:type="dxa"/>
            <w:vAlign w:val="bottom"/>
          </w:tcPr>
          <w:p>
            <w:pPr>
              <w:spacing w:after="0" w:line="218" w:lineRule="auto"/>
              <w:rPr>
                <w:sz w:val="20"/>
                <w:szCs w:val="20"/>
                <w:color w:val="auto"/>
              </w:rPr>
            </w:pPr>
            <w:r>
              <w:rPr>
                <w:rFonts w:ascii="Arial" w:cs="Arial" w:eastAsia="Arial" w:hAnsi="Arial"/>
                <w:sz w:val="5"/>
                <w:szCs w:val="5"/>
                <w:b w:val="1"/>
                <w:bCs w:val="1"/>
                <w:color w:val="065BAA"/>
              </w:rPr>
              <w:t>f</w:t>
            </w: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gridSpan w:val="2"/>
          </w:tcPr>
          <w:p>
            <w:pPr>
              <w:ind w:left="140"/>
              <w:spacing w:after="0" w:line="218" w:lineRule="auto"/>
              <w:rPr>
                <w:sz w:val="20"/>
                <w:szCs w:val="20"/>
                <w:color w:val="auto"/>
              </w:rPr>
            </w:pPr>
            <w:r>
              <w:rPr>
                <w:rFonts w:ascii="Arial" w:cs="Arial" w:eastAsia="Arial" w:hAnsi="Arial"/>
                <w:sz w:val="5"/>
                <w:szCs w:val="5"/>
                <w:b w:val="1"/>
                <w:bCs w:val="1"/>
                <w:color w:val="065BAA"/>
              </w:rPr>
              <w:t>so</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gridSpan w:val="2"/>
          </w:tcPr>
          <w:p>
            <w:pPr>
              <w:ind w:left="20"/>
              <w:spacing w:after="0" w:line="218" w:lineRule="auto"/>
              <w:rPr>
                <w:sz w:val="20"/>
                <w:szCs w:val="20"/>
                <w:color w:val="auto"/>
              </w:rPr>
            </w:pPr>
            <w:r>
              <w:rPr>
                <w:rFonts w:ascii="Arial" w:cs="Arial" w:eastAsia="Arial" w:hAnsi="Arial"/>
                <w:sz w:val="5"/>
                <w:szCs w:val="5"/>
                <w:b w:val="1"/>
                <w:bCs w:val="1"/>
                <w:color w:val="065BAA"/>
              </w:rPr>
              <w:t>D</w:t>
            </w:r>
          </w:p>
        </w:tc>
        <w:tc>
          <w:tcPr>
            <w:tcW w:w="100" w:type="dxa"/>
            <w:vAlign w:val="bottom"/>
            <w:gridSpan w:val="2"/>
            <w:vMerge w:val="restart"/>
          </w:tcPr>
          <w:p>
            <w:pPr>
              <w:ind w:left="20"/>
              <w:spacing w:after="0" w:line="183" w:lineRule="auto"/>
              <w:rPr>
                <w:sz w:val="20"/>
                <w:szCs w:val="20"/>
                <w:color w:val="auto"/>
              </w:rPr>
            </w:pPr>
            <w:r>
              <w:rPr>
                <w:rFonts w:ascii="Arial" w:cs="Arial" w:eastAsia="Arial" w:hAnsi="Arial"/>
                <w:sz w:val="8"/>
                <w:szCs w:val="8"/>
                <w:b w:val="1"/>
                <w:bCs w:val="1"/>
                <w:color w:val="065BAA"/>
                <w:w w:val="87"/>
              </w:rPr>
              <w:t>,</w:t>
            </w: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ind w:left="60"/>
              <w:spacing w:after="0" w:line="189" w:lineRule="auto"/>
              <w:rPr>
                <w:sz w:val="20"/>
                <w:szCs w:val="20"/>
                <w:color w:val="auto"/>
              </w:rPr>
            </w:pPr>
            <w:r>
              <w:rPr>
                <w:rFonts w:ascii="Arial" w:cs="Arial" w:eastAsia="Arial" w:hAnsi="Arial"/>
                <w:sz w:val="2"/>
                <w:szCs w:val="2"/>
                <w:b w:val="1"/>
                <w:bCs w:val="1"/>
                <w:color w:val="065BAA"/>
              </w:rPr>
              <w:t>i</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065BAA"/>
                <w:w w:val="74"/>
              </w:rPr>
              <w:t>n</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065BAA"/>
                <w:w w:val="71"/>
              </w:rPr>
              <w:t>ch</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vMerge w:val="restart"/>
          </w:tcPr>
          <w:p>
            <w:pPr>
              <w:ind w:left="100"/>
              <w:spacing w:after="0"/>
              <w:rPr>
                <w:sz w:val="20"/>
                <w:szCs w:val="20"/>
                <w:color w:val="auto"/>
              </w:rPr>
            </w:pPr>
            <w:r>
              <w:rPr>
                <w:rFonts w:ascii="Arial" w:cs="Arial" w:eastAsia="Arial" w:hAnsi="Arial"/>
                <w:sz w:val="13"/>
                <w:szCs w:val="13"/>
                <w:b w:val="1"/>
                <w:bCs w:val="1"/>
                <w:color w:val="065BAA"/>
                <w:w w:val="74"/>
              </w:rPr>
              <w:t>p</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gridSpan w:val="2"/>
            <w:vMerge w:val="restart"/>
          </w:tcPr>
          <w:p>
            <w:pPr>
              <w:spacing w:after="0"/>
              <w:rPr>
                <w:sz w:val="20"/>
                <w:szCs w:val="20"/>
                <w:color w:val="auto"/>
              </w:rPr>
            </w:pPr>
            <w:r>
              <w:rPr>
                <w:rFonts w:ascii="Arial" w:cs="Arial" w:eastAsia="Arial" w:hAnsi="Arial"/>
                <w:sz w:val="13"/>
                <w:szCs w:val="13"/>
                <w:b w:val="1"/>
                <w:bCs w:val="1"/>
                <w:color w:val="065BAA"/>
                <w:w w:val="73"/>
              </w:rPr>
              <w:t>M</w:t>
            </w:r>
          </w:p>
        </w:tc>
        <w:tc>
          <w:tcPr>
            <w:tcW w:w="80" w:type="dxa"/>
            <w:vAlign w:val="bottom"/>
            <w:vMerge w:val="restart"/>
          </w:tcPr>
          <w:p>
            <w:pPr>
              <w:spacing w:after="0" w:line="186" w:lineRule="auto"/>
              <w:rPr>
                <w:sz w:val="20"/>
                <w:szCs w:val="20"/>
                <w:color w:val="auto"/>
              </w:rPr>
            </w:pPr>
            <w:r>
              <w:rPr>
                <w:rFonts w:ascii="Arial" w:cs="Arial" w:eastAsia="Arial" w:hAnsi="Arial"/>
                <w:sz w:val="20"/>
                <w:szCs w:val="20"/>
                <w:b w:val="1"/>
                <w:bCs w:val="1"/>
                <w:color w:val="065BAA"/>
                <w:w w:val="71"/>
              </w:rPr>
              <w:t>.</w:t>
            </w:r>
          </w:p>
        </w:tc>
        <w:tc>
          <w:tcPr>
            <w:tcW w:w="40" w:type="dxa"/>
            <w:vAlign w:val="bottom"/>
          </w:tcPr>
          <w:p>
            <w:pPr>
              <w:spacing w:after="0" w:line="196" w:lineRule="auto"/>
              <w:rPr>
                <w:sz w:val="20"/>
                <w:szCs w:val="20"/>
                <w:color w:val="auto"/>
              </w:rPr>
            </w:pPr>
            <w:r>
              <w:rPr>
                <w:rFonts w:ascii="Arial" w:cs="Arial" w:eastAsia="Arial" w:hAnsi="Arial"/>
                <w:sz w:val="9"/>
                <w:szCs w:val="9"/>
                <w:b w:val="1"/>
                <w:bCs w:val="1"/>
                <w:color w:val="065BAA"/>
                <w:w w:val="77"/>
              </w:rPr>
              <w:t>.</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065BAA"/>
                <w:w w:val="74"/>
              </w:rPr>
              <w:t>g</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gridSpan w:val="2"/>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gridSpan w:val="2"/>
            <w:vMerge w:val="restart"/>
          </w:tcPr>
          <w:p>
            <w:pPr>
              <w:ind w:left="20"/>
              <w:spacing w:after="0" w:line="226" w:lineRule="auto"/>
              <w:rPr>
                <w:sz w:val="20"/>
                <w:szCs w:val="20"/>
                <w:color w:val="auto"/>
              </w:rPr>
            </w:pPr>
            <w:r>
              <w:rPr>
                <w:rFonts w:ascii="Arial" w:cs="Arial" w:eastAsia="Arial" w:hAnsi="Arial"/>
                <w:sz w:val="13"/>
                <w:szCs w:val="13"/>
                <w:b w:val="1"/>
                <w:bCs w:val="1"/>
                <w:color w:val="065BAA"/>
                <w:w w:val="71"/>
              </w:rPr>
              <w:t>yan</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gridSpan w:val="2"/>
          </w:tcPr>
          <w:p>
            <w:pPr>
              <w:ind w:left="40"/>
              <w:spacing w:after="0" w:line="189" w:lineRule="auto"/>
              <w:rPr>
                <w:sz w:val="20"/>
                <w:szCs w:val="20"/>
                <w:color w:val="auto"/>
              </w:rPr>
            </w:pPr>
            <w:r>
              <w:rPr>
                <w:rFonts w:ascii="Arial" w:cs="Arial" w:eastAsia="Arial" w:hAnsi="Arial"/>
                <w:sz w:val="11"/>
                <w:szCs w:val="11"/>
                <w:b w:val="1"/>
                <w:bCs w:val="1"/>
                <w:color w:val="065BAA"/>
                <w:w w:val="97"/>
              </w:rPr>
              <w:t>e</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065BAA"/>
                <w:w w:val="70"/>
              </w:rPr>
              <w:t>.</w:t>
            </w:r>
          </w:p>
        </w:tc>
        <w:tc>
          <w:tcPr>
            <w:tcW w:w="1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vMerge w:val="restart"/>
          </w:tcPr>
          <w:p>
            <w:pPr>
              <w:ind w:left="60"/>
              <w:spacing w:after="0" w:line="184" w:lineRule="auto"/>
              <w:rPr>
                <w:sz w:val="20"/>
                <w:szCs w:val="20"/>
                <w:color w:val="auto"/>
              </w:rPr>
            </w:pPr>
            <w:r>
              <w:rPr>
                <w:rFonts w:ascii="Arial" w:cs="Arial" w:eastAsia="Arial" w:hAnsi="Arial"/>
                <w:sz w:val="16"/>
                <w:szCs w:val="16"/>
                <w:b w:val="1"/>
                <w:bCs w:val="1"/>
                <w:color w:val="065BAA"/>
                <w:w w:val="88"/>
              </w:rPr>
              <w:t>i</w:t>
            </w:r>
          </w:p>
        </w:tc>
        <w:tc>
          <w:tcPr>
            <w:tcW w:w="1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gridSpan w:val="2"/>
            <w:vMerge w:val="restart"/>
          </w:tcPr>
          <w:p>
            <w:pPr>
              <w:ind w:left="20"/>
              <w:spacing w:after="0" w:line="226" w:lineRule="auto"/>
              <w:rPr>
                <w:sz w:val="20"/>
                <w:szCs w:val="20"/>
                <w:color w:val="auto"/>
              </w:rPr>
            </w:pPr>
            <w:r>
              <w:rPr>
                <w:rFonts w:ascii="Arial" w:cs="Arial" w:eastAsia="Arial" w:hAnsi="Arial"/>
                <w:sz w:val="13"/>
                <w:szCs w:val="13"/>
                <w:b w:val="1"/>
                <w:bCs w:val="1"/>
                <w:color w:val="065BAA"/>
                <w:w w:val="74"/>
              </w:rPr>
              <w:t>h</w:t>
            </w:r>
          </w:p>
        </w:tc>
        <w:tc>
          <w:tcPr>
            <w:tcW w:w="180" w:type="dxa"/>
            <w:vAlign w:val="bottom"/>
          </w:tcPr>
          <w:p>
            <w:pPr>
              <w:ind w:left="20"/>
              <w:spacing w:after="0" w:line="189" w:lineRule="auto"/>
              <w:rPr>
                <w:sz w:val="20"/>
                <w:szCs w:val="20"/>
                <w:color w:val="auto"/>
              </w:rPr>
            </w:pPr>
            <w:r>
              <w:rPr>
                <w:rFonts w:ascii="Arial" w:cs="Arial" w:eastAsia="Arial" w:hAnsi="Arial"/>
                <w:sz w:val="11"/>
                <w:szCs w:val="11"/>
                <w:b w:val="1"/>
                <w:bCs w:val="1"/>
                <w:color w:val="065BAA"/>
                <w:w w:val="81"/>
              </w:rPr>
              <w:t>m</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gridSpan w:val="2"/>
            <w:vMerge w:val="restart"/>
          </w:tcPr>
          <w:p>
            <w:pPr>
              <w:jc w:val="center"/>
              <w:spacing w:after="0" w:line="196" w:lineRule="auto"/>
              <w:rPr>
                <w:sz w:val="20"/>
                <w:szCs w:val="20"/>
                <w:color w:val="auto"/>
              </w:rPr>
            </w:pPr>
            <w:r>
              <w:rPr>
                <w:rFonts w:ascii="Arial" w:cs="Arial" w:eastAsia="Arial" w:hAnsi="Arial"/>
                <w:sz w:val="15"/>
                <w:szCs w:val="15"/>
                <w:b w:val="1"/>
                <w:bCs w:val="1"/>
                <w:color w:val="065BAA"/>
                <w:w w:val="71"/>
              </w:rPr>
              <w:t>s</w:t>
            </w:r>
          </w:p>
        </w:tc>
        <w:tc>
          <w:tcPr>
            <w:tcW w:w="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gridSpan w:val="3"/>
            <w:vMerge w:val="restart"/>
          </w:tcPr>
          <w:p>
            <w:pPr>
              <w:jc w:val="center"/>
              <w:spacing w:after="0" w:line="196" w:lineRule="auto"/>
              <w:rPr>
                <w:sz w:val="20"/>
                <w:szCs w:val="20"/>
                <w:color w:val="auto"/>
              </w:rPr>
            </w:pPr>
            <w:r>
              <w:rPr>
                <w:rFonts w:ascii="Arial" w:cs="Arial" w:eastAsia="Arial" w:hAnsi="Arial"/>
                <w:sz w:val="15"/>
                <w:szCs w:val="15"/>
                <w:b w:val="1"/>
                <w:bCs w:val="1"/>
                <w:color w:val="065BAA"/>
                <w:w w:val="73"/>
              </w:rPr>
              <w:t>D</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gridSpan w:val="2"/>
          </w:tcPr>
          <w:p>
            <w:pPr>
              <w:ind w:left="20"/>
              <w:spacing w:after="0" w:line="214" w:lineRule="auto"/>
              <w:rPr>
                <w:sz w:val="20"/>
                <w:szCs w:val="20"/>
                <w:color w:val="auto"/>
              </w:rPr>
            </w:pPr>
            <w:r>
              <w:rPr>
                <w:rFonts w:ascii="Arial" w:cs="Arial" w:eastAsia="Arial" w:hAnsi="Arial"/>
                <w:sz w:val="4"/>
                <w:szCs w:val="4"/>
                <w:b w:val="1"/>
                <w:bCs w:val="1"/>
                <w:color w:val="065BAA"/>
              </w:rPr>
              <w:t>ch</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gridSpan w:val="2"/>
            <w:vMerge w:val="restart"/>
          </w:tcPr>
          <w:p>
            <w:pPr>
              <w:ind w:left="120"/>
              <w:spacing w:after="0" w:line="215" w:lineRule="auto"/>
              <w:rPr>
                <w:sz w:val="20"/>
                <w:szCs w:val="20"/>
                <w:color w:val="auto"/>
              </w:rPr>
            </w:pPr>
            <w:r>
              <w:rPr>
                <w:rFonts w:ascii="Arial" w:cs="Arial" w:eastAsia="Arial" w:hAnsi="Arial"/>
                <w:sz w:val="10"/>
                <w:szCs w:val="10"/>
                <w:b w:val="1"/>
                <w:bCs w:val="1"/>
                <w:color w:val="065BAA"/>
                <w:w w:val="70"/>
              </w:rPr>
              <w:t>.</w:t>
            </w: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gridSpan w:val="2"/>
            <w:vMerge w:val="restart"/>
          </w:tcPr>
          <w:p>
            <w:pPr>
              <w:ind w:left="20"/>
              <w:spacing w:after="0" w:line="196" w:lineRule="auto"/>
              <w:rPr>
                <w:sz w:val="20"/>
                <w:szCs w:val="20"/>
                <w:color w:val="auto"/>
              </w:rPr>
            </w:pPr>
            <w:r>
              <w:rPr>
                <w:rFonts w:ascii="Arial" w:cs="Arial" w:eastAsia="Arial" w:hAnsi="Arial"/>
                <w:sz w:val="11"/>
                <w:szCs w:val="11"/>
                <w:b w:val="1"/>
                <w:bCs w:val="1"/>
                <w:color w:val="065BAA"/>
              </w:rPr>
              <w:t>P</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gridSpan w:val="2"/>
          </w:tcPr>
          <w:p>
            <w:pPr>
              <w:spacing w:after="0" w:line="214" w:lineRule="auto"/>
              <w:rPr>
                <w:sz w:val="20"/>
                <w:szCs w:val="20"/>
                <w:color w:val="auto"/>
              </w:rPr>
            </w:pPr>
            <w:r>
              <w:rPr>
                <w:rFonts w:ascii="Arial" w:cs="Arial" w:eastAsia="Arial" w:hAnsi="Arial"/>
                <w:sz w:val="4"/>
                <w:szCs w:val="4"/>
                <w:b w:val="1"/>
                <w:bCs w:val="1"/>
                <w:color w:val="065BAA"/>
              </w:rPr>
              <w:t>S</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vMerge w:val="restart"/>
          </w:tcPr>
          <w:p>
            <w:pPr>
              <w:ind w:left="80"/>
              <w:spacing w:after="0" w:line="196" w:lineRule="auto"/>
              <w:rPr>
                <w:sz w:val="20"/>
                <w:szCs w:val="20"/>
                <w:color w:val="auto"/>
              </w:rPr>
            </w:pPr>
            <w:r>
              <w:rPr>
                <w:rFonts w:ascii="Arial" w:cs="Arial" w:eastAsia="Arial" w:hAnsi="Arial"/>
                <w:sz w:val="11"/>
                <w:szCs w:val="11"/>
                <w:b w:val="1"/>
                <w:bCs w:val="1"/>
                <w:color w:val="065BAA"/>
                <w:w w:val="88"/>
              </w:rPr>
              <w:t>L</w:t>
            </w:r>
          </w:p>
        </w:tc>
        <w:tc>
          <w:tcPr>
            <w:tcW w:w="140" w:type="dxa"/>
            <w:vAlign w:val="bottom"/>
            <w:gridSpan w:val="2"/>
          </w:tcPr>
          <w:p>
            <w:pPr>
              <w:ind w:left="60"/>
              <w:spacing w:after="0" w:line="214" w:lineRule="auto"/>
              <w:rPr>
                <w:sz w:val="20"/>
                <w:szCs w:val="20"/>
                <w:color w:val="auto"/>
              </w:rPr>
            </w:pPr>
            <w:r>
              <w:rPr>
                <w:rFonts w:ascii="Arial" w:cs="Arial" w:eastAsia="Arial" w:hAnsi="Arial"/>
                <w:sz w:val="4"/>
                <w:szCs w:val="4"/>
                <w:b w:val="1"/>
                <w:bCs w:val="1"/>
                <w:color w:val="065BAA"/>
              </w:rPr>
              <w:t>n</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gridSpan w:val="2"/>
          </w:tcPr>
          <w:p>
            <w:pPr>
              <w:spacing w:after="0" w:line="214" w:lineRule="auto"/>
              <w:rPr>
                <w:sz w:val="20"/>
                <w:szCs w:val="20"/>
                <w:color w:val="auto"/>
              </w:rPr>
            </w:pPr>
            <w:r>
              <w:rPr>
                <w:rFonts w:ascii="Arial" w:cs="Arial" w:eastAsia="Arial" w:hAnsi="Arial"/>
                <w:sz w:val="4"/>
                <w:szCs w:val="4"/>
                <w:b w:val="1"/>
                <w:bCs w:val="1"/>
                <w:color w:val="065BAA"/>
              </w:rPr>
              <w:t>o</w:t>
            </w: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gridSpan w:val="2"/>
            <w:vMerge w:val="restart"/>
          </w:tcPr>
          <w:p>
            <w:pPr>
              <w:ind w:left="60"/>
              <w:spacing w:after="0" w:line="196" w:lineRule="auto"/>
              <w:rPr>
                <w:sz w:val="20"/>
                <w:szCs w:val="20"/>
                <w:color w:val="auto"/>
              </w:rPr>
            </w:pPr>
            <w:r>
              <w:rPr>
                <w:rFonts w:ascii="Arial" w:cs="Arial" w:eastAsia="Arial" w:hAnsi="Arial"/>
                <w:sz w:val="11"/>
                <w:szCs w:val="11"/>
                <w:b w:val="1"/>
                <w:bCs w:val="1"/>
                <w:color w:val="065BAA"/>
                <w:w w:val="72"/>
              </w:rPr>
              <w:t>ulo</w:t>
            </w:r>
          </w:p>
        </w:tc>
        <w:tc>
          <w:tcPr>
            <w:tcW w:w="100" w:type="dxa"/>
            <w:vAlign w:val="bottom"/>
            <w:gridSpan w:val="2"/>
          </w:tcPr>
          <w:p>
            <w:pPr>
              <w:ind w:left="20"/>
              <w:spacing w:after="0" w:line="214" w:lineRule="auto"/>
              <w:rPr>
                <w:sz w:val="20"/>
                <w:szCs w:val="20"/>
                <w:color w:val="auto"/>
              </w:rPr>
            </w:pPr>
            <w:r>
              <w:rPr>
                <w:rFonts w:ascii="Arial" w:cs="Arial" w:eastAsia="Arial" w:hAnsi="Arial"/>
                <w:sz w:val="4"/>
                <w:szCs w:val="4"/>
                <w:b w:val="1"/>
                <w:bCs w:val="1"/>
                <w:color w:val="065BAA"/>
              </w:rPr>
              <w:t>,</w:t>
            </w:r>
          </w:p>
        </w:tc>
        <w:tc>
          <w:tcPr>
            <w:tcW w:w="20" w:type="dxa"/>
            <w:vAlign w:val="bottom"/>
          </w:tcPr>
          <w:p>
            <w:pPr>
              <w:spacing w:after="0"/>
              <w:rPr>
                <w:sz w:val="3"/>
                <w:szCs w:val="3"/>
                <w:color w:val="auto"/>
              </w:rPr>
            </w:pPr>
          </w:p>
        </w:tc>
        <w:tc>
          <w:tcPr>
            <w:tcW w:w="80" w:type="dxa"/>
            <w:vAlign w:val="bottom"/>
            <w:vMerge w:val="restart"/>
          </w:tcPr>
          <w:p>
            <w:pPr>
              <w:ind w:left="40"/>
              <w:spacing w:after="0" w:line="215" w:lineRule="auto"/>
              <w:rPr>
                <w:sz w:val="20"/>
                <w:szCs w:val="20"/>
                <w:color w:val="auto"/>
              </w:rPr>
            </w:pPr>
            <w:r>
              <w:rPr>
                <w:rFonts w:ascii="Arial" w:cs="Arial" w:eastAsia="Arial" w:hAnsi="Arial"/>
                <w:sz w:val="10"/>
                <w:szCs w:val="10"/>
                <w:b w:val="1"/>
                <w:bCs w:val="1"/>
                <w:color w:val="065BAA"/>
                <w:w w:val="70"/>
              </w:rPr>
              <w:t>.</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jc w:val="right"/>
              <w:spacing w:after="0" w:line="214" w:lineRule="auto"/>
              <w:rPr>
                <w:sz w:val="20"/>
                <w:szCs w:val="20"/>
                <w:color w:val="auto"/>
              </w:rPr>
            </w:pPr>
            <w:r>
              <w:rPr>
                <w:rFonts w:ascii="Arial" w:cs="Arial" w:eastAsia="Arial" w:hAnsi="Arial"/>
                <w:sz w:val="4"/>
                <w:szCs w:val="4"/>
                <w:b w:val="1"/>
                <w:bCs w:val="1"/>
                <w:color w:val="065BAA"/>
              </w:rPr>
              <w:t>.</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100" w:type="dxa"/>
            <w:vAlign w:val="bottom"/>
            <w:gridSpan w:val="2"/>
            <w:vMerge w:val="restart"/>
          </w:tcPr>
          <w:p>
            <w:pPr>
              <w:spacing w:after="0" w:line="185" w:lineRule="auto"/>
              <w:rPr>
                <w:sz w:val="20"/>
                <w:szCs w:val="20"/>
                <w:color w:val="auto"/>
              </w:rPr>
            </w:pPr>
            <w:r>
              <w:rPr>
                <w:rFonts w:ascii="Arial" w:cs="Arial" w:eastAsia="Arial" w:hAnsi="Arial"/>
                <w:sz w:val="14"/>
                <w:szCs w:val="14"/>
                <w:b w:val="1"/>
                <w:bCs w:val="1"/>
                <w:color w:val="065BAA"/>
                <w:w w:val="85"/>
              </w:rPr>
              <w:t>S</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gridSpan w:val="2"/>
            <w:vMerge w:val="restart"/>
          </w:tcPr>
          <w:p>
            <w:pPr>
              <w:spacing w:after="0" w:line="185" w:lineRule="auto"/>
              <w:rPr>
                <w:sz w:val="20"/>
                <w:szCs w:val="20"/>
                <w:color w:val="auto"/>
              </w:rPr>
            </w:pPr>
            <w:r>
              <w:rPr>
                <w:rFonts w:ascii="Arial" w:cs="Arial" w:eastAsia="Arial" w:hAnsi="Arial"/>
                <w:sz w:val="14"/>
                <w:szCs w:val="14"/>
                <w:b w:val="1"/>
                <w:bCs w:val="1"/>
                <w:color w:val="065BAA"/>
                <w:w w:val="85"/>
              </w:rPr>
              <w:t>S</w:t>
            </w:r>
          </w:p>
        </w:tc>
        <w:tc>
          <w:tcPr>
            <w:tcW w:w="40" w:type="dxa"/>
            <w:vAlign w:val="bottom"/>
          </w:tcPr>
          <w:p>
            <w:pPr>
              <w:spacing w:after="0"/>
              <w:rPr>
                <w:sz w:val="5"/>
                <w:szCs w:val="5"/>
                <w:color w:val="auto"/>
              </w:rPr>
            </w:pPr>
          </w:p>
        </w:tc>
        <w:tc>
          <w:tcPr>
            <w:tcW w:w="60" w:type="dxa"/>
            <w:vAlign w:val="bottom"/>
          </w:tcPr>
          <w:p>
            <w:pPr>
              <w:ind w:left="20"/>
              <w:spacing w:after="0" w:line="185" w:lineRule="auto"/>
              <w:rPr>
                <w:sz w:val="20"/>
                <w:szCs w:val="20"/>
                <w:color w:val="auto"/>
              </w:rPr>
            </w:pPr>
            <w:r>
              <w:rPr>
                <w:rFonts w:ascii="Arial" w:cs="Arial" w:eastAsia="Arial" w:hAnsi="Arial"/>
                <w:sz w:val="7"/>
                <w:szCs w:val="7"/>
                <w:b w:val="1"/>
                <w:bCs w:val="1"/>
                <w:color w:val="065BAA"/>
              </w:rPr>
              <w:t>.</w:t>
            </w: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065BAA"/>
                <w:w w:val="70"/>
              </w:rPr>
              <w:t>.</w:t>
            </w: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vMerge w:val="restart"/>
          </w:tcPr>
          <w:p>
            <w:pPr>
              <w:spacing w:after="0" w:line="185" w:lineRule="auto"/>
              <w:rPr>
                <w:sz w:val="20"/>
                <w:szCs w:val="20"/>
                <w:color w:val="auto"/>
              </w:rPr>
            </w:pPr>
            <w:r>
              <w:rPr>
                <w:rFonts w:ascii="Arial" w:cs="Arial" w:eastAsia="Arial" w:hAnsi="Arial"/>
                <w:sz w:val="14"/>
                <w:szCs w:val="14"/>
                <w:b w:val="1"/>
                <w:bCs w:val="1"/>
                <w:color w:val="065BAA"/>
                <w:w w:val="85"/>
              </w:rPr>
              <w:t>S</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gridSpan w:val="2"/>
            <w:vMerge w:val="restart"/>
          </w:tcPr>
          <w:p>
            <w:pPr>
              <w:ind w:left="20"/>
              <w:spacing w:after="0" w:line="200" w:lineRule="auto"/>
              <w:rPr>
                <w:sz w:val="20"/>
                <w:szCs w:val="20"/>
                <w:color w:val="auto"/>
              </w:rPr>
            </w:pPr>
            <w:r>
              <w:rPr>
                <w:rFonts w:ascii="Arial" w:cs="Arial" w:eastAsia="Arial" w:hAnsi="Arial"/>
                <w:sz w:val="13"/>
                <w:szCs w:val="13"/>
                <w:b w:val="1"/>
                <w:bCs w:val="1"/>
                <w:color w:val="065BAA"/>
                <w:w w:val="74"/>
              </w:rPr>
              <w:t>T</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vMerge w:val="restart"/>
          </w:tcPr>
          <w:p>
            <w:pPr>
              <w:jc w:val="right"/>
              <w:spacing w:after="0"/>
              <w:rPr>
                <w:sz w:val="20"/>
                <w:szCs w:val="20"/>
                <w:color w:val="auto"/>
              </w:rPr>
            </w:pPr>
            <w:r>
              <w:rPr>
                <w:rFonts w:ascii="Arial" w:cs="Arial" w:eastAsia="Arial" w:hAnsi="Arial"/>
                <w:sz w:val="10"/>
                <w:szCs w:val="10"/>
                <w:b w:val="1"/>
                <w:bCs w:val="1"/>
                <w:color w:val="065BAA"/>
                <w:w w:val="70"/>
              </w:rPr>
              <w:t>.</w:t>
            </w:r>
          </w:p>
        </w:tc>
        <w:tc>
          <w:tcPr>
            <w:tcW w:w="2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vMerge w:val="restart"/>
          </w:tcPr>
          <w:p>
            <w:pPr>
              <w:jc w:val="center"/>
              <w:spacing w:after="0"/>
              <w:rPr>
                <w:sz w:val="20"/>
                <w:szCs w:val="20"/>
                <w:color w:val="auto"/>
              </w:rPr>
            </w:pPr>
            <w:r>
              <w:rPr>
                <w:rFonts w:ascii="Arial" w:cs="Arial" w:eastAsia="Arial" w:hAnsi="Arial"/>
                <w:sz w:val="10"/>
                <w:szCs w:val="10"/>
                <w:b w:val="1"/>
                <w:bCs w:val="1"/>
                <w:color w:val="065BAA"/>
                <w:w w:val="70"/>
              </w:rPr>
              <w:t>.</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gridSpan w:val="2"/>
            <w:vMerge w:val="restart"/>
          </w:tcPr>
          <w:p>
            <w:pPr>
              <w:spacing w:after="0" w:line="185" w:lineRule="auto"/>
              <w:rPr>
                <w:sz w:val="20"/>
                <w:szCs w:val="20"/>
                <w:color w:val="auto"/>
              </w:rPr>
            </w:pPr>
            <w:r>
              <w:rPr>
                <w:rFonts w:ascii="Arial" w:cs="Arial" w:eastAsia="Arial" w:hAnsi="Arial"/>
                <w:sz w:val="15"/>
                <w:szCs w:val="15"/>
                <w:b w:val="1"/>
                <w:bCs w:val="1"/>
                <w:color w:val="065BAA"/>
                <w:w w:val="73"/>
              </w:rPr>
              <w:t>R</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gridSpan w:val="2"/>
            <w:vMerge w:val="restart"/>
          </w:tcPr>
          <w:p>
            <w:pPr>
              <w:spacing w:after="0" w:line="185" w:lineRule="auto"/>
              <w:rPr>
                <w:sz w:val="20"/>
                <w:szCs w:val="20"/>
                <w:color w:val="auto"/>
              </w:rPr>
            </w:pPr>
            <w:r>
              <w:rPr>
                <w:rFonts w:ascii="Arial" w:cs="Arial" w:eastAsia="Arial" w:hAnsi="Arial"/>
                <w:sz w:val="15"/>
                <w:szCs w:val="15"/>
                <w:b w:val="1"/>
                <w:bCs w:val="1"/>
                <w:color w:val="065BAA"/>
                <w:w w:val="73"/>
              </w:rPr>
              <w:t>D</w:t>
            </w:r>
          </w:p>
        </w:tc>
        <w:tc>
          <w:tcPr>
            <w:tcW w:w="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line="185" w:lineRule="auto"/>
              <w:rPr>
                <w:sz w:val="20"/>
                <w:szCs w:val="20"/>
                <w:color w:val="auto"/>
              </w:rPr>
            </w:pPr>
            <w:r>
              <w:rPr>
                <w:rFonts w:ascii="Arial" w:cs="Arial" w:eastAsia="Arial" w:hAnsi="Arial"/>
                <w:sz w:val="15"/>
                <w:szCs w:val="15"/>
                <w:b w:val="1"/>
                <w:bCs w:val="1"/>
                <w:color w:val="065BAA"/>
                <w:w w:val="79"/>
              </w:rPr>
              <w:t>M</w:t>
            </w:r>
          </w:p>
        </w:tc>
        <w:tc>
          <w:tcPr>
            <w:tcW w:w="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restart"/>
          </w:tcPr>
          <w:p>
            <w:pPr>
              <w:ind w:left="60"/>
              <w:spacing w:after="0"/>
              <w:rPr>
                <w:sz w:val="20"/>
                <w:szCs w:val="20"/>
                <w:color w:val="auto"/>
              </w:rPr>
            </w:pPr>
            <w:r>
              <w:rPr>
                <w:rFonts w:ascii="Arial" w:cs="Arial" w:eastAsia="Arial" w:hAnsi="Arial"/>
                <w:sz w:val="13"/>
                <w:szCs w:val="13"/>
                <w:b w:val="1"/>
                <w:bCs w:val="1"/>
                <w:color w:val="065BAA"/>
                <w:w w:val="74"/>
              </w:rPr>
              <w:t>F</w:t>
            </w:r>
          </w:p>
        </w:tc>
        <w:tc>
          <w:tcPr>
            <w:tcW w:w="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gridSpan w:val="2"/>
          </w:tcPr>
          <w:p>
            <w:pPr>
              <w:spacing w:after="0" w:line="185" w:lineRule="auto"/>
              <w:rPr>
                <w:sz w:val="20"/>
                <w:szCs w:val="20"/>
                <w:color w:val="auto"/>
              </w:rPr>
            </w:pPr>
            <w:r>
              <w:rPr>
                <w:rFonts w:ascii="Arial" w:cs="Arial" w:eastAsia="Arial" w:hAnsi="Arial"/>
                <w:sz w:val="8"/>
                <w:szCs w:val="8"/>
                <w:b w:val="1"/>
                <w:bCs w:val="1"/>
                <w:color w:val="065BAA"/>
              </w:rPr>
              <w:t>.</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gridSpan w:val="2"/>
            <w:vMerge w:val="restart"/>
          </w:tcPr>
          <w:p>
            <w:pPr>
              <w:spacing w:after="0"/>
              <w:rPr>
                <w:sz w:val="20"/>
                <w:szCs w:val="20"/>
                <w:color w:val="auto"/>
              </w:rPr>
            </w:pPr>
            <w:r>
              <w:rPr>
                <w:rFonts w:ascii="Arial" w:cs="Arial" w:eastAsia="Arial" w:hAnsi="Arial"/>
                <w:sz w:val="11"/>
                <w:szCs w:val="11"/>
                <w:b w:val="1"/>
                <w:bCs w:val="1"/>
                <w:color w:val="065BAA"/>
                <w:w w:val="72"/>
              </w:rPr>
              <w:t>rd</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gridSpan w:val="2"/>
          </w:tcPr>
          <w:p>
            <w:pPr>
              <w:ind w:left="20"/>
              <w:spacing w:after="0" w:line="185" w:lineRule="auto"/>
              <w:rPr>
                <w:sz w:val="20"/>
                <w:szCs w:val="20"/>
                <w:color w:val="auto"/>
              </w:rPr>
            </w:pPr>
            <w:r>
              <w:rPr>
                <w:rFonts w:ascii="Arial" w:cs="Arial" w:eastAsia="Arial" w:hAnsi="Arial"/>
                <w:sz w:val="8"/>
                <w:szCs w:val="8"/>
                <w:b w:val="1"/>
                <w:bCs w:val="1"/>
                <w:color w:val="065BAA"/>
              </w:rPr>
              <w:t>D</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gridSpan w:val="2"/>
          </w:tcPr>
          <w:p>
            <w:pPr>
              <w:jc w:val="right"/>
              <w:ind w:right="41"/>
              <w:spacing w:after="0" w:line="185" w:lineRule="auto"/>
              <w:rPr>
                <w:sz w:val="20"/>
                <w:szCs w:val="20"/>
                <w:color w:val="auto"/>
              </w:rPr>
            </w:pPr>
            <w:r>
              <w:rPr>
                <w:rFonts w:ascii="Arial" w:cs="Arial" w:eastAsia="Arial" w:hAnsi="Arial"/>
                <w:sz w:val="8"/>
                <w:szCs w:val="8"/>
                <w:b w:val="1"/>
                <w:bCs w:val="1"/>
                <w:color w:val="065BAA"/>
                <w:w w:val="87"/>
              </w:rPr>
              <w:t>.</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065BAA"/>
                <w:w w:val="73"/>
              </w:rPr>
              <w:t>B</w:t>
            </w:r>
          </w:p>
        </w:tc>
        <w:tc>
          <w:tcPr>
            <w:tcW w:w="40" w:type="dxa"/>
            <w:vAlign w:val="bottom"/>
          </w:tcPr>
          <w:p>
            <w:pPr>
              <w:spacing w:after="0" w:line="185" w:lineRule="auto"/>
              <w:rPr>
                <w:sz w:val="20"/>
                <w:szCs w:val="20"/>
                <w:color w:val="auto"/>
              </w:rPr>
            </w:pPr>
            <w:r>
              <w:rPr>
                <w:rFonts w:ascii="Arial" w:cs="Arial" w:eastAsia="Arial" w:hAnsi="Arial"/>
                <w:sz w:val="8"/>
                <w:szCs w:val="8"/>
                <w:b w:val="1"/>
                <w:bCs w:val="1"/>
                <w:color w:val="065BAA"/>
                <w:w w:val="87"/>
              </w:rPr>
              <w:t>.</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ind w:left="20"/>
              <w:spacing w:after="0"/>
              <w:rPr>
                <w:sz w:val="20"/>
                <w:szCs w:val="20"/>
                <w:color w:val="auto"/>
              </w:rPr>
            </w:pPr>
            <w:r>
              <w:rPr>
                <w:rFonts w:ascii="Arial" w:cs="Arial" w:eastAsia="Arial" w:hAnsi="Arial"/>
                <w:sz w:val="13"/>
                <w:szCs w:val="13"/>
                <w:b w:val="1"/>
                <w:bCs w:val="1"/>
                <w:color w:val="065BAA"/>
                <w:w w:val="74"/>
              </w:rPr>
              <w:t>o</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065BAA"/>
                <w:w w:val="74"/>
              </w:rPr>
              <w:t>Y</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gridSpan w:val="2"/>
            <w:vMerge w:val="restart"/>
          </w:tcPr>
          <w:p>
            <w:pPr>
              <w:jc w:val="right"/>
              <w:ind w:right="16"/>
              <w:spacing w:after="0"/>
              <w:rPr>
                <w:sz w:val="20"/>
                <w:szCs w:val="20"/>
                <w:color w:val="auto"/>
              </w:rPr>
            </w:pPr>
            <w:r>
              <w:rPr>
                <w:rFonts w:ascii="Arial" w:cs="Arial" w:eastAsia="Arial" w:hAnsi="Arial"/>
                <w:sz w:val="9"/>
                <w:szCs w:val="9"/>
                <w:b w:val="1"/>
                <w:bCs w:val="1"/>
                <w:color w:val="065BAA"/>
                <w:w w:val="74"/>
              </w:rPr>
              <w:t>id</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gridSpan w:val="2"/>
          </w:tcPr>
          <w:p>
            <w:pPr>
              <w:spacing w:after="0" w:line="190" w:lineRule="auto"/>
              <w:rPr>
                <w:sz w:val="20"/>
                <w:szCs w:val="20"/>
                <w:color w:val="auto"/>
              </w:rPr>
            </w:pPr>
            <w:r>
              <w:rPr>
                <w:rFonts w:ascii="Arial" w:cs="Arial" w:eastAsia="Arial" w:hAnsi="Arial"/>
                <w:sz w:val="12"/>
                <w:szCs w:val="12"/>
                <w:b w:val="1"/>
                <w:bCs w:val="1"/>
                <w:color w:val="065BAA"/>
                <w:w w:val="81"/>
              </w:rPr>
              <w:t>h</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vMerge w:val="restart"/>
          </w:tcPr>
          <w:p>
            <w:pPr>
              <w:ind w:left="20"/>
              <w:spacing w:after="0" w:line="183" w:lineRule="auto"/>
              <w:rPr>
                <w:sz w:val="20"/>
                <w:szCs w:val="20"/>
                <w:color w:val="auto"/>
              </w:rPr>
            </w:pPr>
            <w:r>
              <w:rPr>
                <w:rFonts w:ascii="Arial" w:cs="Arial" w:eastAsia="Arial" w:hAnsi="Arial"/>
                <w:sz w:val="14"/>
                <w:szCs w:val="14"/>
                <w:b w:val="1"/>
                <w:bCs w:val="1"/>
                <w:color w:val="065BAA"/>
                <w:w w:val="76"/>
              </w:rPr>
              <w:t>e</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gridSpan w:val="2"/>
          </w:tcPr>
          <w:p>
            <w:pPr>
              <w:ind w:left="20"/>
              <w:spacing w:after="0" w:line="190" w:lineRule="auto"/>
              <w:rPr>
                <w:sz w:val="20"/>
                <w:szCs w:val="20"/>
                <w:color w:val="auto"/>
              </w:rPr>
            </w:pPr>
            <w:r>
              <w:rPr>
                <w:rFonts w:ascii="Arial" w:cs="Arial" w:eastAsia="Arial" w:hAnsi="Arial"/>
                <w:sz w:val="12"/>
                <w:szCs w:val="12"/>
                <w:b w:val="1"/>
                <w:bCs w:val="1"/>
                <w:color w:val="065BAA"/>
                <w:w w:val="89"/>
              </w:rPr>
              <w:t>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gridSpan w:val="2"/>
          </w:tcPr>
          <w:p>
            <w:pPr>
              <w:jc w:val="center"/>
              <w:spacing w:after="0" w:line="228" w:lineRule="auto"/>
              <w:rPr>
                <w:sz w:val="20"/>
                <w:szCs w:val="20"/>
                <w:color w:val="auto"/>
              </w:rPr>
            </w:pPr>
            <w:r>
              <w:rPr>
                <w:rFonts w:ascii="Arial" w:cs="Arial" w:eastAsia="Arial" w:hAnsi="Arial"/>
                <w:sz w:val="10"/>
                <w:szCs w:val="10"/>
                <w:b w:val="1"/>
                <w:bCs w:val="1"/>
                <w:color w:val="065BAA"/>
                <w:w w:val="70"/>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ind w:left="20"/>
              <w:spacing w:after="0"/>
              <w:rPr>
                <w:sz w:val="20"/>
                <w:szCs w:val="20"/>
                <w:color w:val="auto"/>
              </w:rPr>
            </w:pPr>
            <w:r>
              <w:rPr>
                <w:rFonts w:ascii="Arial" w:cs="Arial" w:eastAsia="Arial" w:hAnsi="Arial"/>
                <w:sz w:val="1"/>
                <w:szCs w:val="1"/>
                <w:b w:val="1"/>
                <w:bCs w:val="1"/>
                <w:color w:val="065BAA"/>
              </w:rPr>
              <w:t>r</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ind w:left="20"/>
              <w:spacing w:after="0"/>
              <w:rPr>
                <w:sz w:val="20"/>
                <w:szCs w:val="20"/>
                <w:color w:val="auto"/>
              </w:rPr>
            </w:pPr>
            <w:r>
              <w:rPr>
                <w:rFonts w:ascii="Arial" w:cs="Arial" w:eastAsia="Arial" w:hAnsi="Arial"/>
                <w:sz w:val="1"/>
                <w:szCs w:val="1"/>
                <w:b w:val="1"/>
                <w:bCs w:val="1"/>
                <w:color w:val="065BAA"/>
              </w:rPr>
              <w:t>na</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rPr>
                <w:sz w:val="20"/>
                <w:szCs w:val="20"/>
                <w:color w:val="auto"/>
              </w:rPr>
            </w:pPr>
            <w:r>
              <w:rPr>
                <w:rFonts w:ascii="Arial" w:cs="Arial" w:eastAsia="Arial" w:hAnsi="Arial"/>
                <w:sz w:val="1"/>
                <w:szCs w:val="1"/>
                <w:b w:val="1"/>
                <w:bCs w:val="1"/>
                <w:color w:val="065BAA"/>
              </w:rPr>
              <w:t>P</w:t>
            </w: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ind w:left="20"/>
              <w:spacing w:after="0"/>
              <w:rPr>
                <w:sz w:val="20"/>
                <w:szCs w:val="20"/>
                <w:color w:val="auto"/>
              </w:rPr>
            </w:pPr>
            <w:r>
              <w:rPr>
                <w:rFonts w:ascii="Arial" w:cs="Arial" w:eastAsia="Arial" w:hAnsi="Arial"/>
                <w:sz w:val="1"/>
                <w:szCs w:val="1"/>
                <w:b w:val="1"/>
                <w:bCs w:val="1"/>
                <w:color w:val="065BAA"/>
              </w:rPr>
              <w:t>g</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rPr>
                <w:sz w:val="20"/>
                <w:szCs w:val="20"/>
                <w:color w:val="auto"/>
              </w:rPr>
            </w:pPr>
            <w:r>
              <w:rPr>
                <w:rFonts w:ascii="Arial" w:cs="Arial" w:eastAsia="Arial" w:hAnsi="Arial"/>
                <w:sz w:val="1"/>
                <w:szCs w:val="1"/>
                <w:b w:val="1"/>
                <w:bCs w:val="1"/>
                <w:color w:val="065BAA"/>
              </w:rPr>
              <w:t>a</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rPr>
                <w:sz w:val="20"/>
                <w:szCs w:val="20"/>
                <w:color w:val="auto"/>
              </w:rPr>
            </w:pPr>
            <w:r>
              <w:rPr>
                <w:rFonts w:ascii="Arial" w:cs="Arial" w:eastAsia="Arial" w:hAnsi="Arial"/>
                <w:sz w:val="1"/>
                <w:szCs w:val="1"/>
                <w:b w:val="1"/>
                <w:bCs w:val="1"/>
                <w:color w:val="065BAA"/>
              </w:rPr>
              <w:t>b</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80" w:type="dxa"/>
            <w:vAlign w:val="bottom"/>
          </w:tcPr>
          <w:p>
            <w:pPr>
              <w:spacing w:after="0"/>
              <w:rPr>
                <w:sz w:val="7"/>
                <w:szCs w:val="7"/>
                <w:color w:val="auto"/>
              </w:rPr>
            </w:pPr>
          </w:p>
        </w:tc>
        <w:tc>
          <w:tcPr>
            <w:tcW w:w="220" w:type="dxa"/>
            <w:vAlign w:val="bottom"/>
            <w:gridSpan w:val="2"/>
            <w:vMerge w:val="restart"/>
          </w:tcPr>
          <w:p>
            <w:pPr>
              <w:ind w:left="60"/>
              <w:spacing w:after="0" w:line="183" w:lineRule="auto"/>
              <w:rPr>
                <w:sz w:val="20"/>
                <w:szCs w:val="20"/>
                <w:color w:val="auto"/>
              </w:rPr>
            </w:pPr>
            <w:r>
              <w:rPr>
                <w:rFonts w:ascii="Arial" w:cs="Arial" w:eastAsia="Arial" w:hAnsi="Arial"/>
                <w:sz w:val="17"/>
                <w:szCs w:val="17"/>
                <w:b w:val="1"/>
                <w:bCs w:val="1"/>
                <w:color w:val="065BAA"/>
                <w:w w:val="76"/>
              </w:rPr>
              <w:t>u</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ind w:left="20"/>
              <w:spacing w:after="0" w:line="188" w:lineRule="auto"/>
              <w:rPr>
                <w:sz w:val="20"/>
                <w:szCs w:val="20"/>
                <w:color w:val="auto"/>
              </w:rPr>
            </w:pPr>
            <w:r>
              <w:rPr>
                <w:rFonts w:ascii="Arial" w:cs="Arial" w:eastAsia="Arial" w:hAnsi="Arial"/>
                <w:sz w:val="9"/>
                <w:szCs w:val="9"/>
                <w:b w:val="1"/>
                <w:bCs w:val="1"/>
                <w:color w:val="065BAA"/>
                <w:w w:val="99"/>
              </w:rPr>
              <w:t>av</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line="188" w:lineRule="auto"/>
              <w:rPr>
                <w:sz w:val="20"/>
                <w:szCs w:val="20"/>
                <w:color w:val="auto"/>
              </w:rPr>
            </w:pPr>
            <w:r>
              <w:rPr>
                <w:rFonts w:ascii="Arial" w:cs="Arial" w:eastAsia="Arial" w:hAnsi="Arial"/>
                <w:sz w:val="9"/>
                <w:szCs w:val="9"/>
                <w:b w:val="1"/>
                <w:bCs w:val="1"/>
                <w:color w:val="065BAA"/>
              </w:rPr>
              <w:t>.</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gridSpan w:val="2"/>
          </w:tcPr>
          <w:p>
            <w:pPr>
              <w:jc w:val="center"/>
              <w:spacing w:after="0" w:line="188" w:lineRule="auto"/>
              <w:rPr>
                <w:sz w:val="20"/>
                <w:szCs w:val="20"/>
                <w:color w:val="auto"/>
              </w:rPr>
            </w:pPr>
            <w:r>
              <w:rPr>
                <w:rFonts w:ascii="Arial" w:cs="Arial" w:eastAsia="Arial" w:hAnsi="Arial"/>
                <w:sz w:val="9"/>
                <w:szCs w:val="9"/>
                <w:b w:val="1"/>
                <w:bCs w:val="1"/>
                <w:color w:val="065BAA"/>
              </w:rPr>
              <w:t>o</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gridSpan w:val="2"/>
          </w:tcPr>
          <w:p>
            <w:pPr>
              <w:ind w:left="20"/>
              <w:spacing w:after="0" w:line="188" w:lineRule="auto"/>
              <w:rPr>
                <w:sz w:val="20"/>
                <w:szCs w:val="20"/>
                <w:color w:val="auto"/>
              </w:rPr>
            </w:pPr>
            <w:r>
              <w:rPr>
                <w:rFonts w:ascii="Arial" w:cs="Arial" w:eastAsia="Arial" w:hAnsi="Arial"/>
                <w:sz w:val="9"/>
                <w:szCs w:val="9"/>
                <w:b w:val="1"/>
                <w:bCs w:val="1"/>
                <w:color w:val="065BAA"/>
                <w:w w:val="77"/>
              </w:rPr>
              <w:t>.</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gridSpan w:val="2"/>
          </w:tcPr>
          <w:p>
            <w:pPr>
              <w:ind w:left="20"/>
              <w:spacing w:after="0" w:line="188" w:lineRule="auto"/>
              <w:rPr>
                <w:sz w:val="20"/>
                <w:szCs w:val="20"/>
                <w:color w:val="auto"/>
              </w:rPr>
            </w:pPr>
            <w:r>
              <w:rPr>
                <w:rFonts w:ascii="Arial" w:cs="Arial" w:eastAsia="Arial" w:hAnsi="Arial"/>
                <w:sz w:val="9"/>
                <w:szCs w:val="9"/>
                <w:b w:val="1"/>
                <w:bCs w:val="1"/>
                <w:color w:val="065BAA"/>
              </w:rPr>
              <w:t>r</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gridSpan w:val="5"/>
          </w:tcPr>
          <w:p>
            <w:pPr>
              <w:spacing w:after="0" w:line="193" w:lineRule="auto"/>
              <w:rPr>
                <w:sz w:val="20"/>
                <w:szCs w:val="20"/>
                <w:color w:val="auto"/>
              </w:rPr>
            </w:pPr>
            <w:r>
              <w:rPr>
                <w:rFonts w:ascii="Arial" w:cs="Arial" w:eastAsia="Arial" w:hAnsi="Arial"/>
                <w:sz w:val="10"/>
                <w:szCs w:val="10"/>
                <w:b w:val="1"/>
                <w:bCs w:val="1"/>
                <w:color w:val="065BAA"/>
              </w:rPr>
              <w:t>a  .</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gridSpan w:val="3"/>
          </w:tcPr>
          <w:p>
            <w:pPr>
              <w:jc w:val="right"/>
              <w:spacing w:after="0" w:line="188" w:lineRule="auto"/>
              <w:rPr>
                <w:sz w:val="20"/>
                <w:szCs w:val="20"/>
                <w:color w:val="auto"/>
              </w:rPr>
            </w:pPr>
            <w:r>
              <w:rPr>
                <w:rFonts w:ascii="Arial" w:cs="Arial" w:eastAsia="Arial" w:hAnsi="Arial"/>
                <w:sz w:val="9"/>
                <w:szCs w:val="9"/>
                <w:b w:val="1"/>
                <w:bCs w:val="1"/>
                <w:color w:val="065BAA"/>
                <w:w w:val="92"/>
              </w:rPr>
              <w:t>eorg</w:t>
            </w:r>
          </w:p>
        </w:tc>
        <w:tc>
          <w:tcPr>
            <w:tcW w:w="20" w:type="dxa"/>
            <w:vAlign w:val="bottom"/>
          </w:tcPr>
          <w:p>
            <w:pPr>
              <w:spacing w:after="0"/>
              <w:rPr>
                <w:sz w:val="7"/>
                <w:szCs w:val="7"/>
                <w:color w:val="auto"/>
              </w:rPr>
            </w:pPr>
          </w:p>
        </w:tc>
        <w:tc>
          <w:tcPr>
            <w:tcW w:w="1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065BAA"/>
                <w:w w:val="75"/>
              </w:rPr>
              <w:t>op</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gridSpan w:val="2"/>
          </w:tcPr>
          <w:p>
            <w:pPr>
              <w:ind w:left="20"/>
              <w:spacing w:after="0" w:line="188" w:lineRule="auto"/>
              <w:rPr>
                <w:sz w:val="20"/>
                <w:szCs w:val="20"/>
                <w:color w:val="auto"/>
              </w:rPr>
            </w:pPr>
            <w:r>
              <w:rPr>
                <w:rFonts w:ascii="Arial" w:cs="Arial" w:eastAsia="Arial" w:hAnsi="Arial"/>
                <w:sz w:val="9"/>
                <w:szCs w:val="9"/>
                <w:b w:val="1"/>
                <w:bCs w:val="1"/>
                <w:color w:val="065BAA"/>
              </w:rPr>
              <w:t>g</w:t>
            </w:r>
          </w:p>
        </w:tc>
        <w:tc>
          <w:tcPr>
            <w:tcW w:w="40" w:type="dxa"/>
            <w:vAlign w:val="bottom"/>
          </w:tcPr>
          <w:p>
            <w:pPr>
              <w:spacing w:after="0"/>
              <w:rPr>
                <w:sz w:val="7"/>
                <w:szCs w:val="7"/>
                <w:color w:val="auto"/>
              </w:rPr>
            </w:pPr>
          </w:p>
        </w:tc>
        <w:tc>
          <w:tcPr>
            <w:tcW w:w="60" w:type="dxa"/>
            <w:vAlign w:val="bottom"/>
          </w:tcPr>
          <w:p>
            <w:pPr>
              <w:jc w:val="center"/>
              <w:spacing w:after="0" w:line="188" w:lineRule="auto"/>
              <w:rPr>
                <w:sz w:val="20"/>
                <w:szCs w:val="20"/>
                <w:color w:val="auto"/>
              </w:rPr>
            </w:pPr>
            <w:r>
              <w:rPr>
                <w:rFonts w:ascii="Arial" w:cs="Arial" w:eastAsia="Arial" w:hAnsi="Arial"/>
                <w:sz w:val="9"/>
                <w:szCs w:val="9"/>
                <w:b w:val="1"/>
                <w:bCs w:val="1"/>
                <w:color w:val="065BAA"/>
                <w:w w:val="77"/>
              </w:rPr>
              <w:t>i</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gridSpan w:val="3"/>
            <w:vMerge w:val="restart"/>
          </w:tcPr>
          <w:p>
            <w:pPr>
              <w:ind w:left="20"/>
              <w:spacing w:after="0" w:line="183" w:lineRule="auto"/>
              <w:rPr>
                <w:sz w:val="20"/>
                <w:szCs w:val="20"/>
                <w:color w:val="auto"/>
              </w:rPr>
            </w:pPr>
            <w:r>
              <w:rPr>
                <w:rFonts w:ascii="Arial" w:cs="Arial" w:eastAsia="Arial" w:hAnsi="Arial"/>
                <w:sz w:val="15"/>
                <w:szCs w:val="15"/>
                <w:b w:val="1"/>
                <w:bCs w:val="1"/>
                <w:color w:val="065BAA"/>
              </w:rPr>
              <w:t>D  .</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gridSpan w:val="5"/>
            <w:vMerge w:val="restart"/>
          </w:tcPr>
          <w:p>
            <w:pPr>
              <w:jc w:val="center"/>
              <w:spacing w:after="0" w:line="192" w:lineRule="auto"/>
              <w:rPr>
                <w:sz w:val="20"/>
                <w:szCs w:val="20"/>
                <w:color w:val="auto"/>
              </w:rPr>
            </w:pPr>
            <w:r>
              <w:rPr>
                <w:rFonts w:ascii="Arial" w:cs="Arial" w:eastAsia="Arial" w:hAnsi="Arial"/>
                <w:sz w:val="17"/>
                <w:szCs w:val="17"/>
                <w:b w:val="1"/>
                <w:bCs w:val="1"/>
                <w:color w:val="065BAA"/>
                <w:w w:val="81"/>
              </w:rPr>
              <w:t>Le .</w:t>
            </w:r>
          </w:p>
        </w:tc>
        <w:tc>
          <w:tcPr>
            <w:tcW w:w="20" w:type="dxa"/>
            <w:vAlign w:val="bottom"/>
          </w:tcPr>
          <w:p>
            <w:pPr>
              <w:spacing w:after="0"/>
              <w:rPr>
                <w:sz w:val="5"/>
                <w:szCs w:val="5"/>
                <w:color w:val="auto"/>
              </w:rPr>
            </w:pPr>
          </w:p>
        </w:tc>
        <w:tc>
          <w:tcPr>
            <w:tcW w:w="80" w:type="dxa"/>
            <w:vAlign w:val="bottom"/>
            <w:gridSpan w:val="2"/>
          </w:tcPr>
          <w:p>
            <w:pPr>
              <w:ind w:left="20"/>
              <w:spacing w:after="0" w:line="202" w:lineRule="auto"/>
              <w:rPr>
                <w:sz w:val="20"/>
                <w:szCs w:val="20"/>
                <w:color w:val="auto"/>
              </w:rPr>
            </w:pPr>
            <w:r>
              <w:rPr>
                <w:rFonts w:ascii="Arial" w:cs="Arial" w:eastAsia="Arial" w:hAnsi="Arial"/>
                <w:sz w:val="7"/>
                <w:szCs w:val="7"/>
                <w:b w:val="1"/>
                <w:bCs w:val="1"/>
                <w:color w:val="065BAA"/>
              </w:rPr>
              <w:t>,</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gridSpan w:val="2"/>
            <w:vMerge w:val="restart"/>
          </w:tcPr>
          <w:p>
            <w:pPr>
              <w:spacing w:after="0" w:line="224" w:lineRule="auto"/>
              <w:rPr>
                <w:sz w:val="20"/>
                <w:szCs w:val="20"/>
                <w:color w:val="auto"/>
              </w:rPr>
            </w:pPr>
            <w:r>
              <w:rPr>
                <w:rFonts w:ascii="Arial" w:cs="Arial" w:eastAsia="Arial" w:hAnsi="Arial"/>
                <w:sz w:val="12"/>
                <w:szCs w:val="12"/>
                <w:b w:val="1"/>
                <w:bCs w:val="1"/>
                <w:color w:val="065BAA"/>
                <w:w w:val="71"/>
              </w:rPr>
              <w:t>eo</w:t>
            </w:r>
          </w:p>
        </w:tc>
        <w:tc>
          <w:tcPr>
            <w:tcW w:w="180" w:type="dxa"/>
            <w:vAlign w:val="bottom"/>
            <w:gridSpan w:val="2"/>
          </w:tcPr>
          <w:p>
            <w:pPr>
              <w:spacing w:after="0" w:line="202" w:lineRule="auto"/>
              <w:rPr>
                <w:sz w:val="20"/>
                <w:szCs w:val="20"/>
                <w:color w:val="auto"/>
              </w:rPr>
            </w:pPr>
            <w:r>
              <w:rPr>
                <w:rFonts w:ascii="Arial" w:cs="Arial" w:eastAsia="Arial" w:hAnsi="Arial"/>
                <w:sz w:val="7"/>
                <w:szCs w:val="7"/>
                <w:b w:val="1"/>
                <w:bCs w:val="1"/>
                <w:color w:val="065BAA"/>
              </w:rPr>
              <w:t>g</w:t>
            </w:r>
          </w:p>
        </w:tc>
        <w:tc>
          <w:tcPr>
            <w:tcW w:w="140" w:type="dxa"/>
            <w:vAlign w:val="bottom"/>
            <w:gridSpan w:val="2"/>
            <w:vMerge w:val="restart"/>
          </w:tcPr>
          <w:p>
            <w:pPr>
              <w:ind w:left="20"/>
              <w:spacing w:after="0" w:line="224" w:lineRule="auto"/>
              <w:rPr>
                <w:sz w:val="20"/>
                <w:szCs w:val="20"/>
                <w:color w:val="auto"/>
              </w:rPr>
            </w:pPr>
            <w:r>
              <w:rPr>
                <w:rFonts w:ascii="Arial" w:cs="Arial" w:eastAsia="Arial" w:hAnsi="Arial"/>
                <w:sz w:val="12"/>
                <w:szCs w:val="12"/>
                <w:b w:val="1"/>
                <w:bCs w:val="1"/>
                <w:color w:val="065BAA"/>
                <w:w w:val="74"/>
              </w:rPr>
              <w:t>Cr</w:t>
            </w:r>
          </w:p>
        </w:tc>
        <w:tc>
          <w:tcPr>
            <w:tcW w:w="60" w:type="dxa"/>
            <w:vAlign w:val="bottom"/>
          </w:tcPr>
          <w:p>
            <w:pPr>
              <w:ind w:left="20"/>
              <w:spacing w:after="0" w:line="202" w:lineRule="auto"/>
              <w:rPr>
                <w:sz w:val="20"/>
                <w:szCs w:val="20"/>
                <w:color w:val="auto"/>
              </w:rPr>
            </w:pPr>
            <w:r>
              <w:rPr>
                <w:rFonts w:ascii="Arial" w:cs="Arial" w:eastAsia="Arial" w:hAnsi="Arial"/>
                <w:sz w:val="7"/>
                <w:szCs w:val="7"/>
                <w:b w:val="1"/>
                <w:bCs w:val="1"/>
                <w:color w:val="065BAA"/>
              </w:rPr>
              <w:t>i</w:t>
            </w:r>
          </w:p>
        </w:tc>
        <w:tc>
          <w:tcPr>
            <w:tcW w:w="40" w:type="dxa"/>
            <w:vAlign w:val="bottom"/>
          </w:tcPr>
          <w:p>
            <w:pPr>
              <w:spacing w:after="0"/>
              <w:rPr>
                <w:sz w:val="5"/>
                <w:szCs w:val="5"/>
                <w:color w:val="auto"/>
              </w:rPr>
            </w:pPr>
          </w:p>
        </w:tc>
        <w:tc>
          <w:tcPr>
            <w:tcW w:w="60" w:type="dxa"/>
            <w:vAlign w:val="bottom"/>
            <w:vMerge w:val="restart"/>
          </w:tcPr>
          <w:p>
            <w:pPr>
              <w:jc w:val="center"/>
              <w:spacing w:after="0"/>
              <w:rPr>
                <w:sz w:val="20"/>
                <w:szCs w:val="20"/>
                <w:color w:val="auto"/>
              </w:rPr>
            </w:pPr>
            <w:r>
              <w:rPr>
                <w:rFonts w:ascii="Arial" w:cs="Arial" w:eastAsia="Arial" w:hAnsi="Arial"/>
                <w:sz w:val="10"/>
                <w:szCs w:val="10"/>
                <w:b w:val="1"/>
                <w:bCs w:val="1"/>
                <w:color w:val="065BAA"/>
                <w:w w:val="70"/>
              </w:rPr>
              <w:t>.</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vMerge w:val="restart"/>
          </w:tcPr>
          <w:p>
            <w:pPr>
              <w:ind w:left="40"/>
              <w:spacing w:after="0" w:line="192" w:lineRule="auto"/>
              <w:rPr>
                <w:sz w:val="20"/>
                <w:szCs w:val="20"/>
                <w:color w:val="auto"/>
              </w:rPr>
            </w:pPr>
            <w:r>
              <w:rPr>
                <w:rFonts w:ascii="Arial" w:cs="Arial" w:eastAsia="Arial" w:hAnsi="Arial"/>
                <w:sz w:val="14"/>
                <w:szCs w:val="14"/>
                <w:b w:val="1"/>
                <w:bCs w:val="1"/>
                <w:color w:val="065BAA"/>
                <w:w w:val="91"/>
              </w:rPr>
              <w:t>G</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gridSpan w:val="2"/>
          </w:tcPr>
          <w:p>
            <w:pPr>
              <w:ind w:left="40"/>
              <w:spacing w:after="0" w:line="202" w:lineRule="auto"/>
              <w:rPr>
                <w:sz w:val="20"/>
                <w:szCs w:val="20"/>
                <w:color w:val="auto"/>
              </w:rPr>
            </w:pPr>
            <w:r>
              <w:rPr>
                <w:rFonts w:ascii="Arial" w:cs="Arial" w:eastAsia="Arial" w:hAnsi="Arial"/>
                <w:sz w:val="7"/>
                <w:szCs w:val="7"/>
                <w:b w:val="1"/>
                <w:bCs w:val="1"/>
                <w:color w:val="065BAA"/>
              </w:rPr>
              <w:t>h</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80" w:type="dxa"/>
            <w:vAlign w:val="bottom"/>
            <w:gridSpan w:val="2"/>
          </w:tcPr>
          <w:p>
            <w:pPr>
              <w:ind w:left="60"/>
              <w:spacing w:after="0" w:line="182" w:lineRule="auto"/>
              <w:rPr>
                <w:sz w:val="20"/>
                <w:szCs w:val="20"/>
                <w:color w:val="auto"/>
              </w:rPr>
            </w:pPr>
            <w:r>
              <w:rPr>
                <w:rFonts w:ascii="Arial" w:cs="Arial" w:eastAsia="Arial" w:hAnsi="Arial"/>
                <w:sz w:val="7"/>
                <w:szCs w:val="7"/>
                <w:b w:val="1"/>
                <w:bCs w:val="1"/>
                <w:color w:val="065BAA"/>
              </w:rPr>
              <w:t>r</w:t>
            </w: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3"/>
            <w:vMerge w:val="restart"/>
          </w:tcPr>
          <w:p>
            <w:pPr>
              <w:ind w:left="20"/>
              <w:spacing w:after="0" w:line="213" w:lineRule="auto"/>
              <w:rPr>
                <w:sz w:val="20"/>
                <w:szCs w:val="20"/>
                <w:color w:val="auto"/>
              </w:rPr>
            </w:pPr>
            <w:r>
              <w:rPr>
                <w:rFonts w:ascii="Arial" w:cs="Arial" w:eastAsia="Arial" w:hAnsi="Arial"/>
                <w:sz w:val="12"/>
                <w:szCs w:val="12"/>
                <w:b w:val="1"/>
                <w:bCs w:val="1"/>
                <w:color w:val="065BAA"/>
                <w:w w:val="71"/>
              </w:rPr>
              <w:t>nc</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gridSpan w:val="5"/>
          </w:tcPr>
          <w:p>
            <w:pPr>
              <w:jc w:val="center"/>
              <w:spacing w:after="0"/>
              <w:rPr>
                <w:sz w:val="20"/>
                <w:szCs w:val="20"/>
                <w:color w:val="auto"/>
              </w:rPr>
            </w:pPr>
            <w:r>
              <w:rPr>
                <w:rFonts w:ascii="Arial" w:cs="Arial" w:eastAsia="Arial" w:hAnsi="Arial"/>
                <w:sz w:val="13"/>
                <w:szCs w:val="13"/>
                <w:b w:val="1"/>
                <w:bCs w:val="1"/>
                <w:color w:val="065BAA"/>
                <w:w w:val="70"/>
              </w:rPr>
              <w:t>Hud o</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80" w:type="dxa"/>
            <w:vAlign w:val="bottom"/>
            <w:vMerge w:val="restart"/>
          </w:tcPr>
          <w:p>
            <w:pPr>
              <w:spacing w:after="0"/>
              <w:rPr>
                <w:sz w:val="20"/>
                <w:szCs w:val="20"/>
                <w:color w:val="auto"/>
              </w:rPr>
            </w:pPr>
            <w:r>
              <w:rPr>
                <w:rFonts w:ascii="Arial" w:cs="Arial" w:eastAsia="Arial" w:hAnsi="Arial"/>
                <w:sz w:val="11"/>
                <w:szCs w:val="11"/>
                <w:b w:val="1"/>
                <w:bCs w:val="1"/>
                <w:color w:val="065BAA"/>
                <w:w w:val="74"/>
              </w:rPr>
              <w:t>A</w:t>
            </w:r>
          </w:p>
        </w:tc>
        <w:tc>
          <w:tcPr>
            <w:tcW w:w="100" w:type="dxa"/>
            <w:vAlign w:val="bottom"/>
          </w:tcPr>
          <w:p>
            <w:pPr>
              <w:ind w:left="20"/>
              <w:spacing w:after="0" w:line="182" w:lineRule="auto"/>
              <w:rPr>
                <w:sz w:val="20"/>
                <w:szCs w:val="20"/>
                <w:color w:val="auto"/>
              </w:rPr>
            </w:pPr>
            <w:r>
              <w:rPr>
                <w:rFonts w:ascii="Arial" w:cs="Arial" w:eastAsia="Arial" w:hAnsi="Arial"/>
                <w:sz w:val="7"/>
                <w:szCs w:val="7"/>
                <w:b w:val="1"/>
                <w:bCs w:val="1"/>
                <w:color w:val="065BAA"/>
                <w:w w:val="90"/>
              </w:rPr>
              <w:t>th</w:t>
            </w: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gridSpan w:val="3"/>
          </w:tcPr>
          <w:p>
            <w:pPr>
              <w:ind w:left="20"/>
              <w:spacing w:after="0" w:line="182" w:lineRule="auto"/>
              <w:rPr>
                <w:sz w:val="20"/>
                <w:szCs w:val="20"/>
                <w:color w:val="auto"/>
              </w:rPr>
            </w:pPr>
            <w:r>
              <w:rPr>
                <w:rFonts w:ascii="Arial" w:cs="Arial" w:eastAsia="Arial" w:hAnsi="Arial"/>
                <w:sz w:val="7"/>
                <w:szCs w:val="7"/>
                <w:b w:val="1"/>
                <w:bCs w:val="1"/>
                <w:color w:val="065BAA"/>
              </w:rPr>
              <w:t>D</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gridSpan w:val="3"/>
          </w:tcPr>
          <w:p>
            <w:pPr>
              <w:ind w:left="60"/>
              <w:spacing w:after="0" w:line="182" w:lineRule="auto"/>
              <w:rPr>
                <w:sz w:val="20"/>
                <w:szCs w:val="20"/>
                <w:color w:val="auto"/>
              </w:rPr>
            </w:pPr>
            <w:r>
              <w:rPr>
                <w:rFonts w:ascii="Arial" w:cs="Arial" w:eastAsia="Arial" w:hAnsi="Arial"/>
                <w:sz w:val="7"/>
                <w:szCs w:val="7"/>
                <w:b w:val="1"/>
                <w:bCs w:val="1"/>
                <w:color w:val="065BAA"/>
              </w:rPr>
              <w:t>D</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gridSpan w:val="2"/>
            <w:vMerge w:val="restart"/>
          </w:tcPr>
          <w:p>
            <w:pPr>
              <w:jc w:val="center"/>
              <w:ind w:right="25"/>
              <w:spacing w:after="0"/>
              <w:rPr>
                <w:sz w:val="20"/>
                <w:szCs w:val="20"/>
                <w:color w:val="auto"/>
              </w:rPr>
            </w:pPr>
            <w:r>
              <w:rPr>
                <w:rFonts w:ascii="Arial" w:cs="Arial" w:eastAsia="Arial" w:hAnsi="Arial"/>
                <w:sz w:val="14"/>
                <w:szCs w:val="14"/>
                <w:b w:val="1"/>
                <w:bCs w:val="1"/>
                <w:color w:val="065BAA"/>
                <w:w w:val="72"/>
              </w:rPr>
              <w:t>G</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gridSpan w:val="3"/>
          </w:tcPr>
          <w:p>
            <w:pPr>
              <w:jc w:val="center"/>
              <w:spacing w:after="0" w:line="182" w:lineRule="auto"/>
              <w:rPr>
                <w:sz w:val="20"/>
                <w:szCs w:val="20"/>
                <w:color w:val="auto"/>
              </w:rPr>
            </w:pPr>
            <w:r>
              <w:rPr>
                <w:rFonts w:ascii="Arial" w:cs="Arial" w:eastAsia="Arial" w:hAnsi="Arial"/>
                <w:sz w:val="7"/>
                <w:szCs w:val="7"/>
                <w:b w:val="1"/>
                <w:bCs w:val="1"/>
                <w:color w:val="065BAA"/>
              </w:rPr>
              <w:t>D</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3"/>
                <w:szCs w:val="13"/>
                <w:b w:val="1"/>
                <w:bCs w:val="1"/>
                <w:color w:val="065BAA"/>
                <w:w w:val="74"/>
              </w:rPr>
              <w:t>Z</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gridSpan w:val="2"/>
          </w:tcPr>
          <w:p>
            <w:pPr>
              <w:jc w:val="right"/>
              <w:ind w:right="16"/>
              <w:spacing w:after="0"/>
              <w:rPr>
                <w:sz w:val="20"/>
                <w:szCs w:val="20"/>
                <w:color w:val="auto"/>
              </w:rPr>
            </w:pPr>
            <w:r>
              <w:rPr>
                <w:rFonts w:ascii="Arial" w:cs="Arial" w:eastAsia="Arial" w:hAnsi="Arial"/>
                <w:sz w:val="13"/>
                <w:szCs w:val="13"/>
                <w:b w:val="1"/>
                <w:bCs w:val="1"/>
                <w:color w:val="065BAA"/>
                <w:w w:val="73"/>
              </w:rPr>
              <w:t>M</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gridSpan w:val="2"/>
          </w:tcPr>
          <w:p>
            <w:pPr>
              <w:ind w:left="20"/>
              <w:spacing w:after="0"/>
              <w:rPr>
                <w:sz w:val="20"/>
                <w:szCs w:val="20"/>
                <w:color w:val="auto"/>
              </w:rPr>
            </w:pPr>
            <w:r>
              <w:rPr>
                <w:rFonts w:ascii="Arial" w:cs="Arial" w:eastAsia="Arial" w:hAnsi="Arial"/>
                <w:sz w:val="17"/>
                <w:szCs w:val="17"/>
                <w:b w:val="1"/>
                <w:bCs w:val="1"/>
                <w:color w:val="065BAA"/>
                <w:w w:val="70"/>
              </w:rPr>
              <w:t>M</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gridSpan w:val="2"/>
            <w:vMerge w:val="continue"/>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gridSpan w:val="2"/>
          </w:tcPr>
          <w:p>
            <w:pPr>
              <w:spacing w:after="0"/>
              <w:rPr>
                <w:sz w:val="20"/>
                <w:szCs w:val="20"/>
                <w:color w:val="auto"/>
              </w:rPr>
            </w:pPr>
            <w:r>
              <w:rPr>
                <w:rFonts w:ascii="Arial" w:cs="Arial" w:eastAsia="Arial" w:hAnsi="Arial"/>
                <w:sz w:val="17"/>
                <w:szCs w:val="17"/>
                <w:b w:val="1"/>
                <w:bCs w:val="1"/>
                <w:color w:val="065BAA"/>
                <w:w w:val="70"/>
              </w:rPr>
              <w:t>M</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b w:val="1"/>
                <w:bCs w:val="1"/>
                <w:color w:val="065BAA"/>
                <w:w w:val="73"/>
              </w:rPr>
              <w:t>Ya</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ectPr>
          <w:pgSz w:w="11900" w:h="16838" w:orient="portrait"/>
          <w:cols w:equalWidth="0" w:num="3">
            <w:col w:w="2400" w:space="720"/>
            <w:col w:w="2720" w:space="60"/>
            <w:col w:w="3220"/>
          </w:cols>
          <w:pgMar w:left="1440" w:top="657" w:right="1339" w:bottom="1440" w:gutter="0" w:footer="0" w:header="0"/>
          <w:type w:val="continuous"/>
        </w:sectPr>
      </w:pPr>
    </w:p>
    <w:p>
      <w:pPr>
        <w:spacing w:after="0" w:line="32" w:lineRule="exact"/>
        <w:rPr>
          <w:sz w:val="20"/>
          <w:szCs w:val="20"/>
          <w:color w:val="auto"/>
        </w:rPr>
      </w:pPr>
    </w:p>
    <w:p>
      <w:pPr>
        <w:ind w:left="520" w:right="200"/>
        <w:spacing w:after="0" w:line="285" w:lineRule="auto"/>
        <w:rPr>
          <w:sz w:val="20"/>
          <w:szCs w:val="20"/>
          <w:color w:val="auto"/>
        </w:rPr>
      </w:pPr>
      <w:r>
        <w:rPr>
          <w:rFonts w:ascii="Arial" w:cs="Arial" w:eastAsia="Arial" w:hAnsi="Arial"/>
          <w:sz w:val="14"/>
          <w:szCs w:val="14"/>
          <w:color w:val="231F20"/>
        </w:rPr>
        <w:t>Significant experience with complex issues within the healthcare industry</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1F20"/>
        </w:rPr>
        <w:t>Executive/Leadership Experience</w:t>
      </w:r>
    </w:p>
    <w:p>
      <w:pPr>
        <w:spacing w:after="0" w:line="55" w:lineRule="exact"/>
        <w:rPr>
          <w:sz w:val="20"/>
          <w:szCs w:val="20"/>
          <w:color w:val="auto"/>
        </w:rPr>
      </w:pPr>
    </w:p>
    <w:p>
      <w:pPr>
        <w:ind w:left="520" w:right="200"/>
        <w:spacing w:after="0" w:line="252" w:lineRule="auto"/>
        <w:rPr>
          <w:sz w:val="20"/>
          <w:szCs w:val="20"/>
          <w:color w:val="auto"/>
        </w:rPr>
      </w:pPr>
      <w:r>
        <w:rPr>
          <w:rFonts w:ascii="Arial" w:cs="Arial" w:eastAsia="Arial" w:hAnsi="Arial"/>
          <w:sz w:val="14"/>
          <w:szCs w:val="14"/>
          <w:color w:val="231F20"/>
        </w:rPr>
        <w:t>Experience in a senior management position at a large publicly traded or private company or other large complex organization (including academic institutions)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1F20"/>
        </w:rPr>
        <w:t>Science/Biotech Background</w:t>
      </w:r>
    </w:p>
    <w:p>
      <w:pPr>
        <w:spacing w:after="0" w:line="55" w:lineRule="exact"/>
        <w:rPr>
          <w:sz w:val="20"/>
          <w:szCs w:val="20"/>
          <w:color w:val="auto"/>
        </w:rPr>
      </w:pPr>
    </w:p>
    <w:p>
      <w:pPr>
        <w:ind w:left="520"/>
        <w:spacing w:after="0" w:line="263" w:lineRule="auto"/>
        <w:rPr>
          <w:sz w:val="20"/>
          <w:szCs w:val="20"/>
          <w:color w:val="auto"/>
        </w:rPr>
      </w:pPr>
      <w:r>
        <w:rPr>
          <w:rFonts w:ascii="Arial" w:cs="Arial" w:eastAsia="Arial" w:hAnsi="Arial"/>
          <w:sz w:val="14"/>
          <w:szCs w:val="14"/>
          <w:color w:val="231F20"/>
        </w:rPr>
        <w:t>Advanced scientific degree and/or related work experience in the scientific and/or biotechnology fields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1F20"/>
        </w:rPr>
        <w:t>Research/Academic Experience</w:t>
      </w:r>
    </w:p>
    <w:p>
      <w:pPr>
        <w:spacing w:after="0" w:line="55" w:lineRule="exact"/>
        <w:rPr>
          <w:sz w:val="20"/>
          <w:szCs w:val="20"/>
          <w:color w:val="auto"/>
        </w:rPr>
      </w:pPr>
    </w:p>
    <w:p>
      <w:pPr>
        <w:ind w:left="520" w:right="100"/>
        <w:spacing w:after="0" w:line="256" w:lineRule="auto"/>
        <w:rPr>
          <w:sz w:val="20"/>
          <w:szCs w:val="20"/>
          <w:color w:val="auto"/>
        </w:rPr>
      </w:pPr>
      <w:r>
        <w:rPr>
          <w:rFonts w:ascii="Arial" w:cs="Arial" w:eastAsia="Arial" w:hAnsi="Arial"/>
          <w:sz w:val="14"/>
          <w:szCs w:val="14"/>
          <w:color w:val="231F20"/>
        </w:rPr>
        <w:t>Experience in a leadership or senior advisory position at a research and/or academic institution (including in an administrative or faculty role)</w:t>
      </w:r>
    </w:p>
    <w:p>
      <w:pPr>
        <w:spacing w:after="0" w:line="150" w:lineRule="exact"/>
        <w:rPr>
          <w:sz w:val="20"/>
          <w:szCs w:val="20"/>
          <w:color w:val="auto"/>
        </w:rPr>
      </w:pPr>
    </w:p>
    <w:p>
      <w:pPr>
        <w:ind w:left="520" w:right="940"/>
        <w:spacing w:after="0" w:line="281" w:lineRule="auto"/>
        <w:rPr>
          <w:sz w:val="20"/>
          <w:szCs w:val="20"/>
          <w:color w:val="auto"/>
        </w:rPr>
      </w:pPr>
      <w:r>
        <w:rPr>
          <w:rFonts w:ascii="Arial" w:cs="Arial" w:eastAsia="Arial" w:hAnsi="Arial"/>
          <w:sz w:val="14"/>
          <w:szCs w:val="14"/>
          <w:b w:val="1"/>
          <w:bCs w:val="1"/>
          <w:color w:val="231F20"/>
        </w:rPr>
        <w:t>Business Strategy/ Operations Experience</w:t>
      </w:r>
    </w:p>
    <w:p>
      <w:pPr>
        <w:spacing w:after="0" w:line="1" w:lineRule="exact"/>
        <w:rPr>
          <w:sz w:val="20"/>
          <w:szCs w:val="20"/>
          <w:color w:val="auto"/>
        </w:rPr>
      </w:pPr>
    </w:p>
    <w:p>
      <w:pPr>
        <w:ind w:left="520" w:right="180"/>
        <w:spacing w:after="0" w:line="263" w:lineRule="auto"/>
        <w:rPr>
          <w:sz w:val="20"/>
          <w:szCs w:val="20"/>
          <w:color w:val="auto"/>
        </w:rPr>
      </w:pPr>
      <w:r>
        <w:rPr>
          <w:rFonts w:ascii="Arial" w:cs="Arial" w:eastAsia="Arial" w:hAnsi="Arial"/>
          <w:sz w:val="14"/>
          <w:szCs w:val="14"/>
          <w:color w:val="231F20"/>
        </w:rPr>
        <w:t>Experience in positions advising or overseeing strategic development or operations of an organization</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1F20"/>
        </w:rPr>
        <w:t>Financial Expertise</w:t>
      </w:r>
    </w:p>
    <w:p>
      <w:pPr>
        <w:spacing w:after="0" w:line="55" w:lineRule="exact"/>
        <w:rPr>
          <w:sz w:val="20"/>
          <w:szCs w:val="20"/>
          <w:color w:val="auto"/>
        </w:rPr>
      </w:pPr>
    </w:p>
    <w:p>
      <w:pPr>
        <w:ind w:left="520" w:right="160"/>
        <w:spacing w:after="0" w:line="256" w:lineRule="auto"/>
        <w:rPr>
          <w:sz w:val="20"/>
          <w:szCs w:val="20"/>
          <w:color w:val="auto"/>
        </w:rPr>
      </w:pPr>
      <w:r>
        <w:rPr>
          <w:rFonts w:ascii="Arial" w:cs="Arial" w:eastAsia="Arial" w:hAnsi="Arial"/>
          <w:sz w:val="14"/>
          <w:szCs w:val="14"/>
          <w:color w:val="231F20"/>
        </w:rPr>
        <w:t>Expertise in financial accounting and reporting processes or the direct or indirect supervision of the financial management of a major organization</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Public Company</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CEO Experience</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231F20"/>
        </w:rPr>
        <w:t>Technology/Digital Experience</w:t>
      </w:r>
    </w:p>
    <w:p>
      <w:pPr>
        <w:spacing w:after="0" w:line="55" w:lineRule="exact"/>
        <w:rPr>
          <w:sz w:val="20"/>
          <w:szCs w:val="20"/>
          <w:color w:val="auto"/>
        </w:rPr>
      </w:pPr>
    </w:p>
    <w:p>
      <w:pPr>
        <w:ind w:left="520" w:right="20"/>
        <w:spacing w:after="0" w:line="252" w:lineRule="auto"/>
        <w:rPr>
          <w:sz w:val="20"/>
          <w:szCs w:val="20"/>
          <w:color w:val="auto"/>
        </w:rPr>
      </w:pPr>
      <w:r>
        <w:rPr>
          <w:rFonts w:ascii="Arial" w:cs="Arial" w:eastAsia="Arial" w:hAnsi="Arial"/>
          <w:sz w:val="14"/>
          <w:szCs w:val="14"/>
          <w:color w:val="231F20"/>
        </w:rPr>
        <w:t>Experience in the technology field, including related to digital technologies that facilitate business objectives (such as information technology and artificial intelligence)</w:t>
      </w:r>
    </w:p>
    <w:p>
      <w:pPr>
        <w:spacing w:after="0" w:line="181" w:lineRule="exact"/>
        <w:rPr>
          <w:sz w:val="20"/>
          <w:szCs w:val="20"/>
          <w:color w:val="auto"/>
        </w:rPr>
      </w:pPr>
    </w:p>
    <w:p>
      <w:pPr>
        <w:ind w:left="520" w:right="1000"/>
        <w:spacing w:after="0" w:line="294" w:lineRule="auto"/>
        <w:rPr>
          <w:sz w:val="20"/>
          <w:szCs w:val="20"/>
          <w:color w:val="auto"/>
        </w:rPr>
      </w:pPr>
      <w:r>
        <w:rPr>
          <w:rFonts w:ascii="Arial" w:cs="Arial" w:eastAsia="Arial" w:hAnsi="Arial"/>
          <w:sz w:val="14"/>
          <w:szCs w:val="14"/>
          <w:b w:val="1"/>
          <w:bCs w:val="1"/>
          <w:color w:val="auto"/>
        </w:rPr>
        <w:t>National Academy of Sciences Membership</w:t>
      </w:r>
    </w:p>
    <w:p>
      <w:pPr>
        <w:spacing w:after="0" w:line="20" w:lineRule="exact"/>
        <w:rPr>
          <w:sz w:val="20"/>
          <w:szCs w:val="20"/>
          <w:color w:val="auto"/>
        </w:rPr>
      </w:pPr>
      <w:r>
        <w:rPr>
          <w:sz w:val="20"/>
          <w:szCs w:val="20"/>
          <w:color w:val="auto"/>
        </w:rPr>
        <w:br w:type="column"/>
      </w:r>
    </w:p>
    <w:p>
      <w:pPr>
        <w:spacing w:after="0"/>
        <w:tabs>
          <w:tab w:leader="none" w:pos="420" w:val="left"/>
          <w:tab w:leader="none" w:pos="860" w:val="left"/>
          <w:tab w:leader="none" w:pos="1320" w:val="left"/>
          <w:tab w:leader="none" w:pos="2200" w:val="left"/>
          <w:tab w:leader="none" w:pos="2640" w:val="left"/>
          <w:tab w:leader="none" w:pos="3100" w:val="left"/>
          <w:tab w:leader="none" w:pos="3540" w:val="left"/>
          <w:tab w:leader="none" w:pos="3980" w:val="left"/>
          <w:tab w:leader="none" w:pos="4420" w:val="left"/>
          <w:tab w:leader="none" w:pos="4880" w:val="left"/>
        </w:tabs>
        <w:rPr>
          <w:sz w:val="20"/>
          <w:szCs w:val="20"/>
          <w:color w:val="auto"/>
        </w:rPr>
      </w:pPr>
      <w:r>
        <w:rPr>
          <w:rFonts w:ascii="Arial" w:cs="Arial" w:eastAsia="Arial" w:hAnsi="Arial"/>
          <w:sz w:val="18"/>
          <w:szCs w:val="18"/>
          <w:color w:val="295EA3"/>
        </w:rPr>
        <w:t>●</w:t>
        <w:tab/>
        <w:t>●</w:t>
        <w:tab/>
        <w:t>●</w:t>
        <w:tab/>
        <w:t>●</w:t>
      </w:r>
      <w:r>
        <w:rPr>
          <w:sz w:val="20"/>
          <w:szCs w:val="20"/>
          <w:color w:val="auto"/>
        </w:rPr>
        <w:tab/>
      </w:r>
      <w:r>
        <w:rPr>
          <w:rFonts w:ascii="Arial" w:cs="Arial" w:eastAsia="Arial" w:hAnsi="Arial"/>
          <w:sz w:val="18"/>
          <w:szCs w:val="18"/>
          <w:color w:val="295EA3"/>
        </w:rPr>
        <w:t>●</w:t>
        <w:tab/>
        <w:t>●</w:t>
        <w:tab/>
        <w:t>●</w:t>
        <w:tab/>
        <w:t>●</w:t>
        <w:tab/>
        <w:t>●</w:t>
        <w:tab/>
        <w:t>●</w:t>
      </w:r>
      <w:r>
        <w:rPr>
          <w:sz w:val="20"/>
          <w:szCs w:val="20"/>
          <w:color w:val="auto"/>
        </w:rPr>
        <w:tab/>
      </w:r>
      <w:r>
        <w:rPr>
          <w:rFonts w:ascii="Arial" w:cs="Arial" w:eastAsia="Arial" w:hAnsi="Arial"/>
          <w:sz w:val="16"/>
          <w:szCs w:val="16"/>
          <w:color w:val="295EA3"/>
        </w:rPr>
        <w: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420" w:val="left"/>
          <w:tab w:leader="none" w:pos="860" w:val="left"/>
          <w:tab w:leader="none" w:pos="1320" w:val="left"/>
          <w:tab w:leader="none" w:pos="1760" w:val="left"/>
          <w:tab w:leader="none" w:pos="2200" w:val="left"/>
          <w:tab w:leader="none" w:pos="2640" w:val="left"/>
          <w:tab w:leader="none" w:pos="3100" w:val="left"/>
          <w:tab w:leader="none" w:pos="3540" w:val="left"/>
          <w:tab w:leader="none" w:pos="3980" w:val="left"/>
          <w:tab w:leader="none" w:pos="4420" w:val="left"/>
          <w:tab w:leader="none" w:pos="4880" w:val="left"/>
          <w:tab w:leader="none" w:pos="5320" w:val="left"/>
        </w:tabs>
        <w:rPr>
          <w:sz w:val="20"/>
          <w:szCs w:val="20"/>
          <w:color w:val="auto"/>
        </w:rPr>
      </w:pPr>
      <w:r>
        <w:rPr>
          <w:rFonts w:ascii="Arial" w:cs="Arial" w:eastAsia="Arial" w:hAnsi="Arial"/>
          <w:sz w:val="18"/>
          <w:szCs w:val="18"/>
          <w:color w:val="295EA3"/>
        </w:rPr>
        <w:t>●</w:t>
        <w:tab/>
        <w:t>●</w:t>
        <w:tab/>
        <w:t>●</w:t>
        <w:tab/>
        <w:t>●</w:t>
        <w:tab/>
        <w:t>●</w:t>
        <w:tab/>
        <w:t>●</w:t>
        <w:tab/>
        <w:t>●</w:t>
        <w:tab/>
        <w:t>●</w:t>
        <w:tab/>
        <w:t>●</w:t>
        <w:tab/>
        <w:t>●</w:t>
        <w:tab/>
        <w:t>●</w:t>
        <w:tab/>
        <w:t>●</w:t>
      </w:r>
      <w:r>
        <w:rPr>
          <w:sz w:val="20"/>
          <w:szCs w:val="20"/>
          <w:color w:val="auto"/>
        </w:rPr>
        <w:tab/>
      </w:r>
      <w:r>
        <w:rPr>
          <w:rFonts w:ascii="Arial" w:cs="Arial" w:eastAsia="Arial" w:hAnsi="Arial"/>
          <w:sz w:val="16"/>
          <w:szCs w:val="16"/>
          <w:color w:val="295EA3"/>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420" w:val="left"/>
          <w:tab w:leader="none" w:pos="860" w:val="left"/>
          <w:tab w:leader="none" w:pos="1320" w:val="left"/>
          <w:tab w:leader="none" w:pos="1760" w:val="left"/>
          <w:tab w:leader="none" w:pos="2200" w:val="left"/>
          <w:tab w:leader="none" w:pos="3100" w:val="left"/>
          <w:tab w:leader="none" w:pos="3540" w:val="left"/>
          <w:tab w:leader="none" w:pos="3980" w:val="left"/>
          <w:tab w:leader="none" w:pos="4420" w:val="left"/>
          <w:tab w:leader="none" w:pos="4880" w:val="left"/>
          <w:tab w:leader="none" w:pos="5320" w:val="left"/>
        </w:tabs>
        <w:rPr>
          <w:sz w:val="20"/>
          <w:szCs w:val="20"/>
          <w:color w:val="auto"/>
        </w:rPr>
      </w:pPr>
      <w:r>
        <w:rPr>
          <w:rFonts w:ascii="Arial" w:cs="Arial" w:eastAsia="Arial" w:hAnsi="Arial"/>
          <w:sz w:val="18"/>
          <w:szCs w:val="18"/>
          <w:color w:val="295EA3"/>
        </w:rPr>
        <w:t>●</w:t>
        <w:tab/>
        <w:t>●</w:t>
        <w:tab/>
        <w:t>●</w:t>
        <w:tab/>
        <w:t>●</w:t>
        <w:tab/>
        <w:t>●</w:t>
        <w:tab/>
        <w:t>●</w:t>
      </w:r>
      <w:r>
        <w:rPr>
          <w:sz w:val="20"/>
          <w:szCs w:val="20"/>
          <w:color w:val="auto"/>
        </w:rPr>
        <w:tab/>
      </w:r>
      <w:r>
        <w:rPr>
          <w:rFonts w:ascii="Arial" w:cs="Arial" w:eastAsia="Arial" w:hAnsi="Arial"/>
          <w:sz w:val="18"/>
          <w:szCs w:val="18"/>
          <w:color w:val="295EA3"/>
        </w:rPr>
        <w:t>●</w:t>
        <w:tab/>
        <w:t>●</w:t>
        <w:tab/>
        <w:t>●</w:t>
        <w:tab/>
        <w:t>●</w:t>
        <w:tab/>
        <w:t>●</w:t>
      </w:r>
      <w:r>
        <w:rPr>
          <w:sz w:val="20"/>
          <w:szCs w:val="20"/>
          <w:color w:val="auto"/>
        </w:rPr>
        <w:tab/>
      </w:r>
      <w:r>
        <w:rPr>
          <w:rFonts w:ascii="Arial" w:cs="Arial" w:eastAsia="Arial" w:hAnsi="Arial"/>
          <w:sz w:val="16"/>
          <w:szCs w:val="16"/>
          <w:color w:val="295EA3"/>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420" w:val="left"/>
          <w:tab w:leader="none" w:pos="860" w:val="left"/>
          <w:tab w:leader="none" w:pos="1320" w:val="left"/>
          <w:tab w:leader="none" w:pos="1760" w:val="left"/>
          <w:tab w:leader="none" w:pos="2200" w:val="left"/>
          <w:tab w:leader="none" w:pos="3100" w:val="left"/>
          <w:tab w:leader="none" w:pos="3540" w:val="left"/>
          <w:tab w:leader="none" w:pos="4420" w:val="left"/>
          <w:tab w:leader="none" w:pos="4880" w:val="left"/>
          <w:tab w:leader="none" w:pos="5320" w:val="left"/>
        </w:tabs>
        <w:rPr>
          <w:sz w:val="20"/>
          <w:szCs w:val="20"/>
          <w:color w:val="auto"/>
        </w:rPr>
      </w:pPr>
      <w:r>
        <w:rPr>
          <w:rFonts w:ascii="Arial" w:cs="Arial" w:eastAsia="Arial" w:hAnsi="Arial"/>
          <w:sz w:val="18"/>
          <w:szCs w:val="18"/>
          <w:color w:val="295EA3"/>
        </w:rPr>
        <w:t>●</w:t>
        <w:tab/>
        <w:t>●</w:t>
        <w:tab/>
        <w:t>●</w:t>
        <w:tab/>
        <w:t>●</w:t>
        <w:tab/>
        <w:t>●</w:t>
        <w:tab/>
        <w:t>●</w:t>
      </w:r>
      <w:r>
        <w:rPr>
          <w:sz w:val="20"/>
          <w:szCs w:val="20"/>
          <w:color w:val="auto"/>
        </w:rPr>
        <w:tab/>
      </w:r>
      <w:r>
        <w:rPr>
          <w:rFonts w:ascii="Arial" w:cs="Arial" w:eastAsia="Arial" w:hAnsi="Arial"/>
          <w:sz w:val="18"/>
          <w:szCs w:val="18"/>
          <w:color w:val="295EA3"/>
        </w:rPr>
        <w:t>●</w:t>
        <w:tab/>
        <w:t>●</w:t>
      </w:r>
      <w:r>
        <w:rPr>
          <w:sz w:val="20"/>
          <w:szCs w:val="20"/>
          <w:color w:val="auto"/>
        </w:rPr>
        <w:tab/>
      </w:r>
      <w:r>
        <w:rPr>
          <w:rFonts w:ascii="Arial" w:cs="Arial" w:eastAsia="Arial" w:hAnsi="Arial"/>
          <w:sz w:val="18"/>
          <w:szCs w:val="18"/>
          <w:color w:val="295EA3"/>
        </w:rPr>
        <w:t>●</w:t>
        <w:tab/>
        <w:t>●</w:t>
      </w:r>
      <w:r>
        <w:rPr>
          <w:sz w:val="20"/>
          <w:szCs w:val="20"/>
          <w:color w:val="auto"/>
        </w:rPr>
        <w:tab/>
      </w:r>
      <w:r>
        <w:rPr>
          <w:rFonts w:ascii="Arial" w:cs="Arial" w:eastAsia="Arial" w:hAnsi="Arial"/>
          <w:sz w:val="16"/>
          <w:szCs w:val="16"/>
          <w:color w:val="295EA3"/>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80"/>
        <w:spacing w:after="0"/>
        <w:tabs>
          <w:tab w:leader="none" w:pos="1760" w:val="left"/>
          <w:tab w:leader="none" w:pos="2200" w:val="left"/>
          <w:tab w:leader="none" w:pos="2640" w:val="left"/>
          <w:tab w:leader="none" w:pos="3100" w:val="left"/>
          <w:tab w:leader="none" w:pos="3540" w:val="left"/>
          <w:tab w:leader="none" w:pos="3980" w:val="left"/>
          <w:tab w:leader="none" w:pos="4420" w:val="left"/>
          <w:tab w:leader="none" w:pos="4880" w:val="left"/>
        </w:tabs>
        <w:rPr>
          <w:sz w:val="20"/>
          <w:szCs w:val="20"/>
          <w:color w:val="auto"/>
        </w:rPr>
      </w:pPr>
      <w:r>
        <w:rPr>
          <w:rFonts w:ascii="Arial" w:cs="Arial" w:eastAsia="Arial" w:hAnsi="Arial"/>
          <w:sz w:val="18"/>
          <w:szCs w:val="18"/>
          <w:color w:val="295EA3"/>
        </w:rPr>
        <w:t>●</w:t>
      </w:r>
      <w:r>
        <w:rPr>
          <w:sz w:val="20"/>
          <w:szCs w:val="20"/>
          <w:color w:val="auto"/>
        </w:rPr>
        <w:tab/>
      </w:r>
      <w:r>
        <w:rPr>
          <w:rFonts w:ascii="Arial" w:cs="Arial" w:eastAsia="Arial" w:hAnsi="Arial"/>
          <w:sz w:val="18"/>
          <w:szCs w:val="18"/>
          <w:color w:val="295EA3"/>
        </w:rPr>
        <w:t>●</w:t>
        <w:tab/>
        <w:t>●</w:t>
        <w:tab/>
        <w:t>●</w:t>
        <w:tab/>
        <w:t>●</w:t>
        <w:tab/>
        <w:t>●</w:t>
        <w:tab/>
        <w:t>●</w:t>
        <w:tab/>
        <w:t>●</w:t>
      </w:r>
      <w:r>
        <w:rPr>
          <w:sz w:val="20"/>
          <w:szCs w:val="20"/>
          <w:color w:val="auto"/>
        </w:rPr>
        <w:tab/>
      </w:r>
      <w:r>
        <w:rPr>
          <w:rFonts w:ascii="Arial" w:cs="Arial" w:eastAsia="Arial" w:hAnsi="Arial"/>
          <w:sz w:val="16"/>
          <w:szCs w:val="16"/>
          <w:color w:val="295EA3"/>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80"/>
        <w:spacing w:after="0"/>
        <w:tabs>
          <w:tab w:leader="none" w:pos="2200" w:val="left"/>
          <w:tab w:leader="none" w:pos="2640" w:val="left"/>
          <w:tab w:leader="none" w:pos="3100" w:val="left"/>
          <w:tab w:leader="none" w:pos="3540" w:val="left"/>
          <w:tab w:leader="none" w:pos="3980" w:val="left"/>
          <w:tab w:leader="none" w:pos="4420" w:val="left"/>
        </w:tabs>
        <w:rPr>
          <w:sz w:val="20"/>
          <w:szCs w:val="20"/>
          <w:color w:val="auto"/>
        </w:rPr>
      </w:pPr>
      <w:r>
        <w:rPr>
          <w:rFonts w:ascii="Arial" w:cs="Arial" w:eastAsia="Arial" w:hAnsi="Arial"/>
          <w:sz w:val="18"/>
          <w:szCs w:val="18"/>
          <w:color w:val="295EA3"/>
        </w:rPr>
        <w:t>●</w:t>
      </w:r>
      <w:r>
        <w:rPr>
          <w:sz w:val="20"/>
          <w:szCs w:val="20"/>
          <w:color w:val="auto"/>
        </w:rPr>
        <w:tab/>
      </w:r>
      <w:r>
        <w:rPr>
          <w:rFonts w:ascii="Arial" w:cs="Arial" w:eastAsia="Arial" w:hAnsi="Arial"/>
          <w:sz w:val="18"/>
          <w:szCs w:val="18"/>
          <w:color w:val="295EA3"/>
        </w:rPr>
        <w:t>●</w:t>
        <w:tab/>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80"/>
        <w:spacing w:after="0"/>
        <w:tabs>
          <w:tab w:leader="none" w:pos="2640" w:val="left"/>
          <w:tab w:leader="none" w:pos="3100" w:val="left"/>
          <w:tab w:leader="none" w:pos="3540" w:val="left"/>
        </w:tabs>
        <w:rPr>
          <w:sz w:val="20"/>
          <w:szCs w:val="20"/>
          <w:color w:val="auto"/>
        </w:rPr>
      </w:pPr>
      <w:r>
        <w:rPr>
          <w:rFonts w:ascii="Arial" w:cs="Arial" w:eastAsia="Arial" w:hAnsi="Arial"/>
          <w:sz w:val="18"/>
          <w:szCs w:val="18"/>
          <w:color w:val="295EA3"/>
        </w:rPr>
        <w:t>●</w:t>
      </w:r>
      <w:r>
        <w:rPr>
          <w:sz w:val="20"/>
          <w:szCs w:val="20"/>
          <w:color w:val="auto"/>
        </w:rPr>
        <w:tab/>
      </w:r>
      <w:r>
        <w:rPr>
          <w:rFonts w:ascii="Arial" w:cs="Arial" w:eastAsia="Arial" w:hAnsi="Arial"/>
          <w:sz w:val="18"/>
          <w:szCs w:val="18"/>
          <w:color w:val="295EA3"/>
        </w:rPr>
        <w:t>●</w:t>
        <w:tab/>
        <w:t>●</w:t>
      </w:r>
      <w:r>
        <w:rPr>
          <w:sz w:val="20"/>
          <w:szCs w:val="20"/>
          <w:color w:val="auto"/>
        </w:rPr>
        <w:tab/>
      </w:r>
      <w:r>
        <w:rPr>
          <w:rFonts w:ascii="Arial" w:cs="Arial" w:eastAsia="Arial" w:hAnsi="Arial"/>
          <w:sz w:val="16"/>
          <w:szCs w:val="16"/>
          <w:color w:val="295EA3"/>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780"/>
        <w:spacing w:after="0"/>
        <w:tabs>
          <w:tab w:leader="none" w:pos="3980" w:val="left"/>
        </w:tabs>
        <w:rPr>
          <w:sz w:val="20"/>
          <w:szCs w:val="20"/>
          <w:color w:val="auto"/>
        </w:rPr>
      </w:pPr>
      <w:r>
        <w:rPr>
          <w:rFonts w:ascii="Arial" w:cs="Arial" w:eastAsia="Arial" w:hAnsi="Arial"/>
          <w:sz w:val="18"/>
          <w:szCs w:val="18"/>
          <w:color w:val="295EA3"/>
        </w:rPr>
        <w:t>●</w:t>
      </w:r>
      <w:r>
        <w:rPr>
          <w:sz w:val="20"/>
          <w:szCs w:val="20"/>
          <w:color w:val="auto"/>
        </w:rPr>
        <w:tab/>
      </w:r>
      <w:r>
        <w:rPr>
          <w:rFonts w:ascii="Arial" w:cs="Arial" w:eastAsia="Arial" w:hAnsi="Arial"/>
          <w:sz w:val="18"/>
          <w:szCs w:val="18"/>
          <w:color w:val="295EA3"/>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20" w:val="left"/>
          <w:tab w:leader="none" w:pos="1320" w:val="left"/>
          <w:tab w:leader="none" w:pos="4420" w:val="left"/>
          <w:tab w:leader="none" w:pos="4880" w:val="left"/>
          <w:tab w:leader="none" w:pos="5320" w:val="left"/>
        </w:tabs>
        <w:rPr>
          <w:sz w:val="20"/>
          <w:szCs w:val="20"/>
          <w:color w:val="auto"/>
        </w:rPr>
      </w:pPr>
      <w:r>
        <w:rPr>
          <w:rFonts w:ascii="Arial" w:cs="Arial" w:eastAsia="Arial" w:hAnsi="Arial"/>
          <w:sz w:val="18"/>
          <w:szCs w:val="18"/>
          <w:color w:val="295EA3"/>
        </w:rPr>
        <w:t>●</w:t>
        <w:tab/>
        <w:t>●</w:t>
      </w:r>
      <w:r>
        <w:rPr>
          <w:sz w:val="20"/>
          <w:szCs w:val="20"/>
          <w:color w:val="auto"/>
        </w:rPr>
        <w:tab/>
      </w:r>
      <w:r>
        <w:rPr>
          <w:rFonts w:ascii="Arial" w:cs="Arial" w:eastAsia="Arial" w:hAnsi="Arial"/>
          <w:sz w:val="18"/>
          <w:szCs w:val="18"/>
          <w:color w:val="295EA3"/>
        </w:rPr>
        <w:t>●</w:t>
      </w:r>
      <w:r>
        <w:rPr>
          <w:sz w:val="20"/>
          <w:szCs w:val="20"/>
          <w:color w:val="auto"/>
        </w:rPr>
        <w:tab/>
      </w:r>
      <w:r>
        <w:rPr>
          <w:rFonts w:ascii="Arial" w:cs="Arial" w:eastAsia="Arial" w:hAnsi="Arial"/>
          <w:sz w:val="18"/>
          <w:szCs w:val="18"/>
          <w:color w:val="295EA3"/>
        </w:rPr>
        <w:t>●</w:t>
        <w:tab/>
        <w:t>●</w:t>
      </w:r>
      <w:r>
        <w:rPr>
          <w:sz w:val="20"/>
          <w:szCs w:val="20"/>
          <w:color w:val="auto"/>
        </w:rPr>
        <w:tab/>
      </w:r>
      <w:r>
        <w:rPr>
          <w:rFonts w:ascii="Arial" w:cs="Arial" w:eastAsia="Arial" w:hAnsi="Arial"/>
          <w:sz w:val="16"/>
          <w:szCs w:val="16"/>
          <w:color w:val="295EA3"/>
        </w:rPr>
        <w:t>●</w:t>
      </w:r>
    </w:p>
    <w:p>
      <w:pPr>
        <w:spacing w:after="0" w:line="329" w:lineRule="exact"/>
        <w:rPr>
          <w:sz w:val="20"/>
          <w:szCs w:val="20"/>
          <w:color w:val="auto"/>
        </w:rPr>
      </w:pPr>
    </w:p>
    <w:p>
      <w:pPr>
        <w:sectPr>
          <w:pgSz w:w="11900" w:h="16838" w:orient="portrait"/>
          <w:cols w:equalWidth="0" w:num="2">
            <w:col w:w="3020" w:space="240"/>
            <w:col w:w="5860"/>
          </w:cols>
          <w:pgMar w:left="1440" w:top="657" w:right="1339" w:bottom="1440" w:gutter="0" w:footer="0" w:header="0"/>
          <w:type w:val="continuous"/>
        </w:sectPr>
      </w:pPr>
    </w:p>
    <w:p>
      <w:pPr>
        <w:spacing w:after="0" w:line="16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65BAA"/>
        </w:rPr>
        <w:t xml:space="preserve">2026 Proxy Statement and Notice of Annual Shareholder Meeting                                   </w:t>
      </w:r>
      <w:r>
        <w:rPr>
          <w:sz w:val="1"/>
          <w:szCs w:val="1"/>
          <w:color w:val="auto"/>
        </w:rPr>
        <w:drawing>
          <wp:inline distT="0" distB="0" distL="0" distR="0">
            <wp:extent cx="531495" cy="603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1495" cy="60325"/>
                    </a:xfrm>
                    <a:prstGeom prst="rect">
                      <a:avLst/>
                    </a:prstGeom>
                    <a:noFill/>
                    <a:ln>
                      <a:noFill/>
                    </a:ln>
                  </pic:spPr>
                </pic:pic>
              </a:graphicData>
            </a:graphic>
          </wp:inline>
        </w:drawing>
        <w:drawing>
          <wp:inline distT="0" distB="0" distL="0" distR="0">
            <wp:extent cx="8255" cy="1371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137160"/>
                    </a:xfrm>
                    <a:prstGeom prst="rect">
                      <a:avLst/>
                    </a:prstGeom>
                    <a:noFill/>
                    <a:ln>
                      <a:noFill/>
                    </a:ln>
                  </pic:spPr>
                </pic:pic>
              </a:graphicData>
            </a:graphic>
          </wp:inline>
        </w:drawing>
      </w:r>
      <w:r>
        <w:rPr>
          <w:rFonts w:ascii="Arial" w:cs="Arial" w:eastAsia="Arial" w:hAnsi="Arial"/>
          <w:sz w:val="14"/>
          <w:szCs w:val="14"/>
          <w:b w:val="1"/>
          <w:bCs w:val="1"/>
          <w:color w:val="065BAA"/>
        </w:rPr>
        <w:t xml:space="preserve">   7</w:t>
      </w:r>
    </w:p>
    <w:p>
      <w:pPr>
        <w:sectPr>
          <w:pgSz w:w="11900" w:h="16838" w:orient="portrait"/>
          <w:cols w:equalWidth="0" w:num="1">
            <w:col w:w="9120"/>
          </w:cols>
          <w:pgMar w:left="1440" w:top="657" w:right="1339" w:bottom="1440" w:gutter="0" w:footer="0" w:header="0"/>
          <w:type w:val="continuous"/>
        </w:sectPr>
      </w:pPr>
    </w:p>
    <w:bookmarkStart w:id="16" w:name="page17"/>
    <w:bookmarkEnd w:id="16"/>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Director Nominees</w:t>
      </w:r>
    </w:p>
    <w:p>
      <w:pPr>
        <w:spacing w:after="0" w:line="195" w:lineRule="exact"/>
        <w:rPr>
          <w:sz w:val="20"/>
          <w:szCs w:val="20"/>
          <w:color w:val="auto"/>
        </w:rPr>
      </w:pPr>
    </w:p>
    <w:p>
      <w:pPr>
        <w:ind w:left="140" w:right="159"/>
        <w:spacing w:after="0" w:line="289" w:lineRule="auto"/>
        <w:rPr>
          <w:sz w:val="20"/>
          <w:szCs w:val="20"/>
          <w:color w:val="auto"/>
        </w:rPr>
      </w:pPr>
      <w:r>
        <w:rPr>
          <w:rFonts w:ascii="Arial" w:cs="Arial" w:eastAsia="Arial" w:hAnsi="Arial"/>
          <w:sz w:val="16"/>
          <w:szCs w:val="16"/>
          <w:color w:val="auto"/>
        </w:rPr>
        <w:t>Last year, our board and shareholders approved an amendment to the Company’s Certificate of Incorporation to declassify the board. The declassification is being phased in over a three-year period, commencing with the 2026 Annual Meeting. Accordingly, at the 2026 Annual Meeting, the following Class II directors are standing for election for a term of one year expiring at the 2027 annual meeting and until their successors are duly elected and qualified or until their earlier death, resignation or removal. For more information about the declassification of our board, see “Corporate Governance— Board Governance—Declassification of the Board of Directors” on page 31.</w:t>
      </w:r>
    </w:p>
    <w:p>
      <w:pPr>
        <w:spacing w:after="0" w:line="102" w:lineRule="exact"/>
        <w:rPr>
          <w:sz w:val="20"/>
          <w:szCs w:val="20"/>
          <w:color w:val="auto"/>
        </w:rPr>
      </w:pPr>
    </w:p>
    <w:p>
      <w:pPr>
        <w:ind w:left="140" w:right="259"/>
        <w:spacing w:after="0" w:line="289" w:lineRule="auto"/>
        <w:rPr>
          <w:sz w:val="20"/>
          <w:szCs w:val="20"/>
          <w:color w:val="auto"/>
        </w:rPr>
      </w:pPr>
      <w:r>
        <w:rPr>
          <w:rFonts w:ascii="Arial" w:cs="Arial" w:eastAsia="Arial" w:hAnsi="Arial"/>
          <w:sz w:val="16"/>
          <w:szCs w:val="16"/>
          <w:color w:val="auto"/>
        </w:rPr>
        <w:t>Unless otherwise noted, biographical information is given as of April 14, 2026 for each nominee and for each of the other directors whose term of office will continue after the 2026 Annual Meeting. All nominees are presently directors and were previously elected by the shareholders. None of the corporations or other organizations referred to below with which a director has been or is currently employed is a parent, subsidiary, or affiliate of the Company.</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85</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1991</w:t>
      </w:r>
    </w:p>
    <w:p>
      <w:pPr>
        <w:spacing w:after="0" w:line="235" w:lineRule="exact"/>
        <w:rPr>
          <w:sz w:val="20"/>
          <w:szCs w:val="20"/>
          <w:color w:val="auto"/>
        </w:rPr>
      </w:pPr>
    </w:p>
    <w:p>
      <w:pPr>
        <w:ind w:left="320" w:right="320"/>
        <w:spacing w:after="0" w:line="271" w:lineRule="auto"/>
        <w:rPr>
          <w:sz w:val="20"/>
          <w:szCs w:val="20"/>
          <w:color w:val="auto"/>
        </w:rPr>
      </w:pPr>
      <w:r>
        <w:rPr>
          <w:rFonts w:ascii="Arial" w:cs="Arial" w:eastAsia="Arial" w:hAnsi="Arial"/>
          <w:sz w:val="16"/>
          <w:szCs w:val="16"/>
          <w:b w:val="1"/>
          <w:bCs w:val="1"/>
          <w:color w:val="auto"/>
        </w:rPr>
        <w:t>Board and Committee Membership— 2025 Attendance</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Board of Directors: </w:t>
      </w:r>
      <w:r>
        <w:rPr>
          <w:rFonts w:ascii="Arial" w:cs="Arial" w:eastAsia="Arial" w:hAnsi="Arial"/>
          <w:sz w:val="16"/>
          <w:szCs w:val="16"/>
          <w:b w:val="1"/>
          <w:bCs w:val="1"/>
          <w:color w:val="auto"/>
        </w:rPr>
        <w:t>14/15</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Corporate Governance and</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Compliance Committee: </w:t>
      </w:r>
      <w:r>
        <w:rPr>
          <w:rFonts w:ascii="Arial" w:cs="Arial" w:eastAsia="Arial" w:hAnsi="Arial"/>
          <w:sz w:val="16"/>
          <w:szCs w:val="16"/>
          <w:b w:val="1"/>
          <w:bCs w:val="1"/>
          <w:color w:val="auto"/>
        </w:rPr>
        <w:t>5/5</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Technology Committee: </w:t>
      </w:r>
      <w:r>
        <w:rPr>
          <w:rFonts w:ascii="Arial" w:cs="Arial" w:eastAsia="Arial" w:hAnsi="Arial"/>
          <w:sz w:val="16"/>
          <w:szCs w:val="16"/>
          <w:b w:val="1"/>
          <w:bCs w:val="1"/>
          <w:color w:val="auto"/>
        </w:rPr>
        <w:t>2/2</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29"/>
          <w:szCs w:val="29"/>
          <w:b w:val="1"/>
          <w:bCs w:val="1"/>
          <w:color w:val="065BAA"/>
        </w:rPr>
        <w:t>Joseph L. Goldstein, M.D.</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73" w:lineRule="exact"/>
        <w:rPr>
          <w:sz w:val="20"/>
          <w:szCs w:val="20"/>
          <w:color w:val="auto"/>
        </w:rPr>
      </w:pPr>
    </w:p>
    <w:p>
      <w:pPr>
        <w:ind w:left="200" w:right="319" w:hanging="195"/>
        <w:spacing w:after="0" w:line="301" w:lineRule="auto"/>
        <w:tabs>
          <w:tab w:leader="none" w:pos="200" w:val="left"/>
        </w:tabs>
        <w:numPr>
          <w:ilvl w:val="0"/>
          <w:numId w:val="12"/>
        </w:numPr>
        <w:rPr>
          <w:rFonts w:ascii="Arial" w:cs="Arial" w:eastAsia="Arial" w:hAnsi="Arial"/>
          <w:sz w:val="16"/>
          <w:szCs w:val="16"/>
          <w:color w:val="065BAA"/>
        </w:rPr>
      </w:pPr>
      <w:r>
        <w:rPr>
          <w:rFonts w:ascii="Arial" w:cs="Arial" w:eastAsia="Arial" w:hAnsi="Arial"/>
          <w:sz w:val="16"/>
          <w:szCs w:val="16"/>
          <w:color w:val="auto"/>
        </w:rPr>
        <w:t>Regental Professor of Molecular Genetics and Internal Medicine and Chair of the Department of Molecular Genetics at The University of Texas Southwestern Medical Center at Dallas since 1977</w:t>
      </w:r>
    </w:p>
    <w:p>
      <w:pPr>
        <w:spacing w:after="0" w:line="36" w:lineRule="exact"/>
        <w:rPr>
          <w:rFonts w:ascii="Arial" w:cs="Arial" w:eastAsia="Arial" w:hAnsi="Arial"/>
          <w:sz w:val="16"/>
          <w:szCs w:val="16"/>
          <w:color w:val="065BAA"/>
        </w:rPr>
      </w:pPr>
    </w:p>
    <w:p>
      <w:pPr>
        <w:ind w:left="200" w:right="759" w:hanging="195"/>
        <w:spacing w:after="0" w:line="321" w:lineRule="auto"/>
        <w:tabs>
          <w:tab w:leader="none" w:pos="200" w:val="left"/>
        </w:tabs>
        <w:numPr>
          <w:ilvl w:val="0"/>
          <w:numId w:val="12"/>
        </w:numPr>
        <w:rPr>
          <w:rFonts w:ascii="Arial" w:cs="Arial" w:eastAsia="Arial" w:hAnsi="Arial"/>
          <w:sz w:val="16"/>
          <w:szCs w:val="16"/>
          <w:color w:val="065BAA"/>
        </w:rPr>
      </w:pPr>
      <w:r>
        <w:rPr>
          <w:rFonts w:ascii="Arial" w:cs="Arial" w:eastAsia="Arial" w:hAnsi="Arial"/>
          <w:sz w:val="16"/>
          <w:szCs w:val="16"/>
          <w:color w:val="auto"/>
        </w:rPr>
        <w:t>Member of the boards of trustees of The Rockefeller University and the Howard Hughes Medical Institute</w:t>
      </w:r>
    </w:p>
    <w:p>
      <w:pPr>
        <w:spacing w:after="0" w:line="7" w:lineRule="exact"/>
        <w:rPr>
          <w:rFonts w:ascii="Arial" w:cs="Arial" w:eastAsia="Arial" w:hAnsi="Arial"/>
          <w:sz w:val="16"/>
          <w:szCs w:val="16"/>
          <w:color w:val="065BAA"/>
        </w:rPr>
      </w:pPr>
    </w:p>
    <w:p>
      <w:pPr>
        <w:ind w:left="200" w:hanging="195"/>
        <w:spacing w:after="0"/>
        <w:tabs>
          <w:tab w:leader="none" w:pos="200" w:val="left"/>
        </w:tabs>
        <w:numPr>
          <w:ilvl w:val="0"/>
          <w:numId w:val="12"/>
        </w:numPr>
        <w:rPr>
          <w:rFonts w:ascii="Arial" w:cs="Arial" w:eastAsia="Arial" w:hAnsi="Arial"/>
          <w:sz w:val="16"/>
          <w:szCs w:val="16"/>
          <w:color w:val="065BAA"/>
        </w:rPr>
      </w:pPr>
      <w:r>
        <w:rPr>
          <w:rFonts w:ascii="Arial" w:cs="Arial" w:eastAsia="Arial" w:hAnsi="Arial"/>
          <w:sz w:val="16"/>
          <w:szCs w:val="16"/>
          <w:color w:val="auto"/>
        </w:rPr>
        <w:t>Nobel Prize for Physiology or Medicine in 1985 (jointly with Dr. Brown)</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12"/>
        </w:numPr>
        <w:rPr>
          <w:rFonts w:ascii="Arial" w:cs="Arial" w:eastAsia="Arial" w:hAnsi="Arial"/>
          <w:sz w:val="16"/>
          <w:szCs w:val="16"/>
          <w:color w:val="065BAA"/>
        </w:rPr>
      </w:pPr>
      <w:r>
        <w:rPr>
          <w:rFonts w:ascii="Arial" w:cs="Arial" w:eastAsia="Arial" w:hAnsi="Arial"/>
          <w:sz w:val="16"/>
          <w:szCs w:val="16"/>
          <w:color w:val="auto"/>
        </w:rPr>
        <w:t>U.S. National Medal of Science in 1988 (jointly with Dr. Brown)</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065BAA"/>
        </w:rPr>
        <w:t xml:space="preserve">Industry Experience             </w:t>
      </w:r>
      <w:r>
        <w:rPr>
          <w:sz w:val="1"/>
          <w:szCs w:val="1"/>
          <w:color w:val="auto"/>
        </w:rPr>
        <w:drawing>
          <wp:inline distT="0" distB="0" distL="0" distR="0">
            <wp:extent cx="248920" cy="21463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8920" cy="214630"/>
                    </a:xfrm>
                    <a:prstGeom prst="rect">
                      <a:avLst/>
                    </a:prstGeom>
                    <a:noFill/>
                    <a:ln>
                      <a:noFill/>
                    </a:ln>
                  </pic:spPr>
                </pic:pic>
              </a:graphicData>
            </a:graphic>
          </wp:inline>
        </w:drawing>
      </w:r>
      <w:r>
        <w:rPr>
          <w:rFonts w:ascii="Arial" w:cs="Arial" w:eastAsia="Arial" w:hAnsi="Arial"/>
          <w:sz w:val="14"/>
          <w:szCs w:val="14"/>
          <w:b w:val="1"/>
          <w:bCs w:val="1"/>
          <w:color w:val="065BAA"/>
        </w:rPr>
        <w:t xml:space="preserve"> Executive/Leadership Experience</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065BAA"/>
        </w:rPr>
        <w:t xml:space="preserve">Science/Biotech Background      </w:t>
      </w:r>
      <w:r>
        <w:rPr>
          <w:sz w:val="1"/>
          <w:szCs w:val="1"/>
          <w:color w:val="auto"/>
        </w:rPr>
        <w:drawing>
          <wp:inline distT="0" distB="0" distL="0" distR="0">
            <wp:extent cx="179705" cy="24828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9705" cy="248285"/>
                    </a:xfrm>
                    <a:prstGeom prst="rect">
                      <a:avLst/>
                    </a:prstGeom>
                    <a:noFill/>
                    <a:ln>
                      <a:noFill/>
                    </a:ln>
                  </pic:spPr>
                </pic:pic>
              </a:graphicData>
            </a:graphic>
          </wp:inline>
        </w:drawing>
      </w:r>
      <w:r>
        <w:rPr>
          <w:rFonts w:ascii="Arial" w:cs="Arial" w:eastAsia="Arial" w:hAnsi="Arial"/>
          <w:sz w:val="14"/>
          <w:szCs w:val="14"/>
          <w:b w:val="1"/>
          <w:bCs w:val="1"/>
          <w:color w:val="065BAA"/>
        </w:rPr>
        <w:t xml:space="preserve">  Research/Academic Experience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Scientific Society Memberships</w:t>
      </w:r>
    </w:p>
    <w:p>
      <w:pPr>
        <w:spacing w:after="0" w:line="140" w:lineRule="exact"/>
        <w:rPr>
          <w:sz w:val="20"/>
          <w:szCs w:val="20"/>
          <w:color w:val="auto"/>
        </w:rPr>
      </w:pPr>
    </w:p>
    <w:p>
      <w:pPr>
        <w:ind w:left="200" w:hanging="195"/>
        <w:spacing w:after="0"/>
        <w:tabs>
          <w:tab w:leader="none" w:pos="200" w:val="left"/>
        </w:tabs>
        <w:numPr>
          <w:ilvl w:val="0"/>
          <w:numId w:val="13"/>
        </w:numPr>
        <w:rPr>
          <w:rFonts w:ascii="Arial" w:cs="Arial" w:eastAsia="Arial" w:hAnsi="Arial"/>
          <w:sz w:val="16"/>
          <w:szCs w:val="16"/>
          <w:color w:val="065BAA"/>
        </w:rPr>
      </w:pPr>
      <w:r>
        <w:rPr>
          <w:rFonts w:ascii="Arial" w:cs="Arial" w:eastAsia="Arial" w:hAnsi="Arial"/>
          <w:sz w:val="16"/>
          <w:szCs w:val="16"/>
          <w:color w:val="auto"/>
        </w:rPr>
        <w:t>The National Academy of Sciences</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13"/>
        </w:numPr>
        <w:rPr>
          <w:rFonts w:ascii="Arial" w:cs="Arial" w:eastAsia="Arial" w:hAnsi="Arial"/>
          <w:sz w:val="16"/>
          <w:szCs w:val="16"/>
          <w:color w:val="065BAA"/>
        </w:rPr>
      </w:pPr>
      <w:r>
        <w:rPr>
          <w:rFonts w:ascii="Arial" w:cs="Arial" w:eastAsia="Arial" w:hAnsi="Arial"/>
          <w:sz w:val="16"/>
          <w:szCs w:val="16"/>
          <w:color w:val="auto"/>
        </w:rPr>
        <w:t>The National Academy of Medicine</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13"/>
        </w:numPr>
        <w:rPr>
          <w:rFonts w:ascii="Arial" w:cs="Arial" w:eastAsia="Arial" w:hAnsi="Arial"/>
          <w:sz w:val="16"/>
          <w:szCs w:val="16"/>
          <w:color w:val="065BAA"/>
        </w:rPr>
      </w:pPr>
      <w:r>
        <w:rPr>
          <w:rFonts w:ascii="Arial" w:cs="Arial" w:eastAsia="Arial" w:hAnsi="Arial"/>
          <w:sz w:val="16"/>
          <w:szCs w:val="16"/>
          <w:color w:val="auto"/>
        </w:rPr>
        <w:t>The Royal Society of London</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 for Nomination</w:t>
      </w:r>
    </w:p>
    <w:p>
      <w:pPr>
        <w:spacing w:after="0" w:line="73" w:lineRule="exact"/>
        <w:rPr>
          <w:sz w:val="20"/>
          <w:szCs w:val="20"/>
          <w:color w:val="auto"/>
        </w:rPr>
      </w:pPr>
    </w:p>
    <w:p>
      <w:pPr>
        <w:ind w:right="419"/>
        <w:spacing w:after="0" w:line="287" w:lineRule="auto"/>
        <w:rPr>
          <w:sz w:val="20"/>
          <w:szCs w:val="20"/>
          <w:color w:val="auto"/>
        </w:rPr>
      </w:pPr>
      <w:r>
        <w:rPr>
          <w:rFonts w:ascii="Arial" w:cs="Arial" w:eastAsia="Arial" w:hAnsi="Arial"/>
          <w:sz w:val="16"/>
          <w:szCs w:val="16"/>
          <w:color w:val="auto"/>
        </w:rPr>
        <w:t>Dr. Goldstein’s extensive research experience, his distinguished scientific and academic credentials, including his receipt of the Nobel Prize for Physiology or Medicine in 1985, and his substantial understanding of the Company gained through his service as a director, led to the board’s decision to nominate Dr. Goldstein for reelection to the board.</w:t>
      </w:r>
    </w:p>
    <w:p>
      <w:pPr>
        <w:spacing w:after="0" w:line="200" w:lineRule="exact"/>
        <w:rPr>
          <w:sz w:val="20"/>
          <w:szCs w:val="20"/>
          <w:color w:val="auto"/>
        </w:rPr>
      </w:pPr>
    </w:p>
    <w:p>
      <w:pPr>
        <w:sectPr>
          <w:pgSz w:w="11900" w:h="16838" w:orient="portrait"/>
          <w:cols w:equalWidth="0" w:num="2">
            <w:col w:w="2320" w:space="660"/>
            <w:col w:w="603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168"/>
              <w:spacing w:after="0"/>
              <w:rPr>
                <w:sz w:val="20"/>
                <w:szCs w:val="20"/>
                <w:color w:val="auto"/>
              </w:rPr>
            </w:pPr>
            <w:r>
              <w:rPr>
                <w:rFonts w:ascii="Arial" w:cs="Arial" w:eastAsia="Arial" w:hAnsi="Arial"/>
                <w:sz w:val="14"/>
                <w:szCs w:val="14"/>
                <w:b w:val="1"/>
                <w:bCs w:val="1"/>
                <w:color w:val="065BAA"/>
                <w:w w:val="76"/>
              </w:rPr>
              <w:t>8</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17" w:name="page18"/>
    <w:bookmarkEnd w:id="17"/>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73</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2010</w:t>
      </w:r>
    </w:p>
    <w:p>
      <w:pPr>
        <w:spacing w:after="0" w:line="113" w:lineRule="exact"/>
        <w:rPr>
          <w:sz w:val="20"/>
          <w:szCs w:val="20"/>
          <w:color w:val="auto"/>
        </w:rPr>
      </w:pPr>
    </w:p>
    <w:p>
      <w:pPr>
        <w:ind w:left="320" w:right="80"/>
        <w:spacing w:after="0" w:line="296" w:lineRule="auto"/>
        <w:rPr>
          <w:sz w:val="20"/>
          <w:szCs w:val="20"/>
          <w:color w:val="auto"/>
        </w:rPr>
      </w:pPr>
      <w:r>
        <w:rPr>
          <w:rFonts w:ascii="Arial" w:cs="Arial" w:eastAsia="Arial" w:hAnsi="Arial"/>
          <w:sz w:val="16"/>
          <w:szCs w:val="16"/>
          <w:color w:val="auto"/>
        </w:rPr>
        <w:t xml:space="preserve">Lead Independent Director since: </w:t>
      </w:r>
      <w:r>
        <w:rPr>
          <w:rFonts w:ascii="Arial" w:cs="Arial" w:eastAsia="Arial" w:hAnsi="Arial"/>
          <w:sz w:val="16"/>
          <w:szCs w:val="16"/>
          <w:b w:val="1"/>
          <w:bCs w:val="1"/>
          <w:color w:val="auto"/>
        </w:rPr>
        <w:t>2023</w:t>
      </w:r>
    </w:p>
    <w:p>
      <w:pPr>
        <w:spacing w:after="0" w:line="154" w:lineRule="exact"/>
        <w:rPr>
          <w:sz w:val="20"/>
          <w:szCs w:val="20"/>
          <w:color w:val="auto"/>
        </w:rPr>
      </w:pPr>
    </w:p>
    <w:p>
      <w:pPr>
        <w:ind w:left="320" w:right="320"/>
        <w:spacing w:after="0" w:line="265" w:lineRule="auto"/>
        <w:rPr>
          <w:sz w:val="20"/>
          <w:szCs w:val="20"/>
          <w:color w:val="auto"/>
        </w:rPr>
      </w:pPr>
      <w:r>
        <w:rPr>
          <w:rFonts w:ascii="Arial" w:cs="Arial" w:eastAsia="Arial" w:hAnsi="Arial"/>
          <w:sz w:val="16"/>
          <w:szCs w:val="16"/>
          <w:b w:val="1"/>
          <w:bCs w:val="1"/>
          <w:color w:val="auto"/>
        </w:rPr>
        <w:t>Board and Committee Membership—</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2025 Attendance</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Board of Directors: </w:t>
      </w:r>
      <w:r>
        <w:rPr>
          <w:rFonts w:ascii="Arial" w:cs="Arial" w:eastAsia="Arial" w:hAnsi="Arial"/>
          <w:sz w:val="16"/>
          <w:szCs w:val="16"/>
          <w:b w:val="1"/>
          <w:bCs w:val="1"/>
          <w:color w:val="auto"/>
        </w:rPr>
        <w:t>14/15</w:t>
      </w:r>
    </w:p>
    <w:p>
      <w:pPr>
        <w:spacing w:after="0" w:line="59" w:lineRule="exact"/>
        <w:rPr>
          <w:sz w:val="20"/>
          <w:szCs w:val="20"/>
          <w:color w:val="auto"/>
        </w:rPr>
      </w:pPr>
    </w:p>
    <w:p>
      <w:pPr>
        <w:ind w:left="320" w:right="120"/>
        <w:spacing w:after="0" w:line="290" w:lineRule="auto"/>
        <w:rPr>
          <w:sz w:val="20"/>
          <w:szCs w:val="20"/>
          <w:color w:val="auto"/>
        </w:rPr>
      </w:pPr>
      <w:r>
        <w:rPr>
          <w:rFonts w:ascii="Arial" w:cs="Arial" w:eastAsia="Arial" w:hAnsi="Arial"/>
          <w:sz w:val="16"/>
          <w:szCs w:val="16"/>
          <w:color w:val="auto"/>
        </w:rPr>
        <w:t xml:space="preserve">Compensation Committee (Chair): </w:t>
      </w:r>
      <w:r>
        <w:rPr>
          <w:rFonts w:ascii="Arial" w:cs="Arial" w:eastAsia="Arial" w:hAnsi="Arial"/>
          <w:sz w:val="16"/>
          <w:szCs w:val="16"/>
          <w:b w:val="1"/>
          <w:bCs w:val="1"/>
          <w:color w:val="auto"/>
        </w:rPr>
        <w:t>11/11</w:t>
      </w:r>
    </w:p>
    <w:p>
      <w:pPr>
        <w:spacing w:after="0" w:line="1" w:lineRule="exact"/>
        <w:rPr>
          <w:sz w:val="20"/>
          <w:szCs w:val="20"/>
          <w:color w:val="auto"/>
        </w:rPr>
      </w:pPr>
    </w:p>
    <w:p>
      <w:pPr>
        <w:ind w:left="320"/>
        <w:spacing w:after="0" w:line="314" w:lineRule="auto"/>
        <w:rPr>
          <w:sz w:val="20"/>
          <w:szCs w:val="20"/>
          <w:color w:val="auto"/>
        </w:rPr>
      </w:pPr>
      <w:r>
        <w:rPr>
          <w:rFonts w:ascii="Arial" w:cs="Arial" w:eastAsia="Arial" w:hAnsi="Arial"/>
          <w:sz w:val="16"/>
          <w:szCs w:val="16"/>
          <w:color w:val="auto"/>
        </w:rPr>
        <w:t xml:space="preserve">Corporate Governance and Compliance Committee: </w:t>
      </w:r>
      <w:r>
        <w:rPr>
          <w:rFonts w:ascii="Arial" w:cs="Arial" w:eastAsia="Arial" w:hAnsi="Arial"/>
          <w:sz w:val="16"/>
          <w:szCs w:val="16"/>
          <w:b w:val="1"/>
          <w:bCs w:val="1"/>
          <w:color w:val="auto"/>
        </w:rPr>
        <w:t>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9"/>
          <w:szCs w:val="29"/>
          <w:b w:val="1"/>
          <w:bCs w:val="1"/>
          <w:color w:val="065BAA"/>
        </w:rPr>
        <w:t>Christine A. Poon</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50" w:lineRule="exact"/>
        <w:rPr>
          <w:sz w:val="20"/>
          <w:szCs w:val="20"/>
          <w:color w:val="auto"/>
        </w:rPr>
      </w:pPr>
    </w:p>
    <w:p>
      <w:pPr>
        <w:ind w:left="200" w:right="359" w:hanging="195"/>
        <w:spacing w:after="0" w:line="224" w:lineRule="exact"/>
        <w:tabs>
          <w:tab w:leader="none" w:pos="200" w:val="left"/>
        </w:tabs>
        <w:numPr>
          <w:ilvl w:val="0"/>
          <w:numId w:val="14"/>
        </w:numPr>
        <w:rPr>
          <w:rFonts w:ascii="Arial" w:cs="Arial" w:eastAsia="Arial" w:hAnsi="Arial"/>
          <w:sz w:val="16"/>
          <w:szCs w:val="16"/>
          <w:color w:val="065BAA"/>
        </w:rPr>
      </w:pPr>
      <w:r>
        <w:rPr>
          <w:rFonts w:ascii="Arial" w:cs="Arial" w:eastAsia="Arial" w:hAnsi="Arial"/>
          <w:sz w:val="16"/>
          <w:szCs w:val="16"/>
          <w:color w:val="auto"/>
        </w:rPr>
        <w:t>Former Executive</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Residence in the Department of Management and Human Resources (from 2015 to 2020) and former Dean and John W. Berry, Sr. Chair in Business (from 2009 to 2014) at The Max M. Fisher College of Business at The Ohio State University</w:t>
      </w:r>
    </w:p>
    <w:p>
      <w:pPr>
        <w:spacing w:after="0" w:line="71" w:lineRule="exact"/>
        <w:rPr>
          <w:rFonts w:ascii="Arial" w:cs="Arial" w:eastAsia="Arial" w:hAnsi="Arial"/>
          <w:sz w:val="16"/>
          <w:szCs w:val="16"/>
          <w:color w:val="065BAA"/>
        </w:rPr>
      </w:pPr>
    </w:p>
    <w:p>
      <w:pPr>
        <w:ind w:left="200" w:right="979" w:hanging="195"/>
        <w:spacing w:after="0" w:line="295" w:lineRule="auto"/>
        <w:tabs>
          <w:tab w:leader="none" w:pos="200" w:val="left"/>
        </w:tabs>
        <w:numPr>
          <w:ilvl w:val="0"/>
          <w:numId w:val="14"/>
        </w:numPr>
        <w:rPr>
          <w:rFonts w:ascii="Arial" w:cs="Arial" w:eastAsia="Arial" w:hAnsi="Arial"/>
          <w:sz w:val="16"/>
          <w:szCs w:val="16"/>
          <w:color w:val="065BAA"/>
        </w:rPr>
      </w:pPr>
      <w:r>
        <w:rPr>
          <w:rFonts w:ascii="Arial" w:cs="Arial" w:eastAsia="Arial" w:hAnsi="Arial"/>
          <w:sz w:val="16"/>
          <w:szCs w:val="16"/>
          <w:color w:val="auto"/>
        </w:rPr>
        <w:t>Former Vice Chair, Worldwide Chair of Pharmaceuticals, member of the Executive Committee, and member of the board of directors at Johnson &amp; Johnson</w:t>
      </w:r>
    </w:p>
    <w:p>
      <w:pPr>
        <w:spacing w:after="0" w:line="1" w:lineRule="exact"/>
        <w:rPr>
          <w:rFonts w:ascii="Arial" w:cs="Arial" w:eastAsia="Arial" w:hAnsi="Arial"/>
          <w:sz w:val="16"/>
          <w:szCs w:val="16"/>
          <w:color w:val="065BAA"/>
        </w:rPr>
      </w:pPr>
    </w:p>
    <w:p>
      <w:pPr>
        <w:ind w:left="200" w:right="759" w:hanging="195"/>
        <w:spacing w:after="0" w:line="227" w:lineRule="exact"/>
        <w:tabs>
          <w:tab w:leader="none" w:pos="200" w:val="left"/>
        </w:tabs>
        <w:numPr>
          <w:ilvl w:val="0"/>
          <w:numId w:val="14"/>
        </w:numPr>
        <w:rPr>
          <w:rFonts w:ascii="Arial" w:cs="Arial" w:eastAsia="Arial" w:hAnsi="Arial"/>
          <w:sz w:val="16"/>
          <w:szCs w:val="16"/>
          <w:color w:val="065BAA"/>
        </w:rPr>
      </w:pPr>
      <w:r>
        <w:rPr>
          <w:rFonts w:ascii="Arial" w:cs="Arial" w:eastAsia="Arial" w:hAnsi="Arial"/>
          <w:sz w:val="16"/>
          <w:szCs w:val="16"/>
          <w:color w:val="auto"/>
        </w:rPr>
        <w:t>Previously held senior leadership positions at Bristol</w:t>
      </w:r>
      <w:r>
        <w:rPr>
          <w:rFonts w:ascii="MS PGothic" w:cs="MS PGothic" w:eastAsia="MS PGothic" w:hAnsi="MS PGothic"/>
          <w:sz w:val="16"/>
          <w:szCs w:val="16"/>
          <w:color w:val="auto"/>
        </w:rPr>
        <w:t>‑</w:t>
      </w:r>
      <w:r>
        <w:rPr>
          <w:rFonts w:ascii="Arial" w:cs="Arial" w:eastAsia="Arial" w:hAnsi="Arial"/>
          <w:sz w:val="16"/>
          <w:szCs w:val="16"/>
          <w:color w:val="auto"/>
        </w:rPr>
        <w:t>Myers Squibb Company, including President of International Medicines and President of Medical Devices</w:t>
      </w:r>
    </w:p>
    <w:p>
      <w:pPr>
        <w:spacing w:after="0" w:line="70" w:lineRule="exact"/>
        <w:rPr>
          <w:rFonts w:ascii="Arial" w:cs="Arial" w:eastAsia="Arial" w:hAnsi="Arial"/>
          <w:sz w:val="16"/>
          <w:szCs w:val="16"/>
          <w:color w:val="065BAA"/>
        </w:rPr>
      </w:pPr>
    </w:p>
    <w:p>
      <w:pPr>
        <w:ind w:left="200" w:right="859" w:hanging="195"/>
        <w:spacing w:after="0" w:line="280" w:lineRule="auto"/>
        <w:tabs>
          <w:tab w:leader="none" w:pos="200" w:val="left"/>
        </w:tabs>
        <w:numPr>
          <w:ilvl w:val="0"/>
          <w:numId w:val="14"/>
        </w:numPr>
        <w:rPr>
          <w:rFonts w:ascii="Arial" w:cs="Arial" w:eastAsia="Arial" w:hAnsi="Arial"/>
          <w:sz w:val="16"/>
          <w:szCs w:val="16"/>
          <w:color w:val="065BAA"/>
        </w:rPr>
      </w:pPr>
      <w:r>
        <w:rPr>
          <w:rFonts w:ascii="Arial" w:cs="Arial" w:eastAsia="Arial" w:hAnsi="Arial"/>
          <w:sz w:val="16"/>
          <w:szCs w:val="16"/>
          <w:color w:val="auto"/>
        </w:rPr>
        <w:t>Former member of the Supervisory Board of Royal Philips Electronics and the boards of directors of Decibel Therapeutics, Inc. and</w:t>
      </w:r>
    </w:p>
    <w:p>
      <w:pPr>
        <w:spacing w:after="0" w:line="1" w:lineRule="exact"/>
        <w:rPr>
          <w:rFonts w:ascii="Arial" w:cs="Arial" w:eastAsia="Arial" w:hAnsi="Arial"/>
          <w:sz w:val="16"/>
          <w:szCs w:val="16"/>
          <w:color w:val="065BAA"/>
        </w:rPr>
      </w:pPr>
    </w:p>
    <w:p>
      <w:pPr>
        <w:ind w:left="200"/>
        <w:spacing w:after="0" w:line="184" w:lineRule="exact"/>
        <w:rPr>
          <w:rFonts w:ascii="Arial" w:cs="Arial" w:eastAsia="Arial" w:hAnsi="Arial"/>
          <w:sz w:val="16"/>
          <w:szCs w:val="16"/>
          <w:color w:val="065BAA"/>
        </w:rPr>
      </w:pPr>
      <w:r>
        <w:rPr>
          <w:rFonts w:ascii="Arial" w:cs="Arial" w:eastAsia="Arial" w:hAnsi="Arial"/>
          <w:sz w:val="16"/>
          <w:szCs w:val="16"/>
          <w:color w:val="auto"/>
        </w:rPr>
        <w:t>The Sherwin</w:t>
      </w:r>
      <w:r>
        <w:rPr>
          <w:rFonts w:ascii="MS PGothic" w:cs="MS PGothic" w:eastAsia="MS PGothic" w:hAnsi="MS PGothic"/>
          <w:sz w:val="16"/>
          <w:szCs w:val="16"/>
          <w:color w:val="auto"/>
        </w:rPr>
        <w:t>‑</w:t>
      </w:r>
      <w:r>
        <w:rPr>
          <w:rFonts w:ascii="Arial" w:cs="Arial" w:eastAsia="Arial" w:hAnsi="Arial"/>
          <w:sz w:val="16"/>
          <w:szCs w:val="16"/>
          <w:color w:val="auto"/>
        </w:rPr>
        <w:t>Williams Company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320"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2460" w:type="dxa"/>
            <w:vAlign w:val="bottom"/>
          </w:tcPr>
          <w:p>
            <w:pPr>
              <w:spacing w:after="0"/>
              <w:rPr>
                <w:sz w:val="20"/>
                <w:szCs w:val="20"/>
                <w:color w:val="auto"/>
              </w:rPr>
            </w:pPr>
            <w:r>
              <w:rPr>
                <w:rFonts w:ascii="Arial" w:cs="Arial" w:eastAsia="Arial" w:hAnsi="Arial"/>
                <w:sz w:val="14"/>
                <w:szCs w:val="14"/>
                <w:b w:val="1"/>
                <w:bCs w:val="1"/>
                <w:color w:val="065BAA"/>
              </w:rPr>
              <w:t>Industry Experience</w:t>
            </w:r>
          </w:p>
        </w:tc>
        <w:tc>
          <w:tcPr>
            <w:tcW w:w="2740" w:type="dxa"/>
            <w:vAlign w:val="bottom"/>
          </w:tcPr>
          <w:p>
            <w:pPr>
              <w:ind w:left="460"/>
              <w:spacing w:after="0"/>
              <w:rPr>
                <w:sz w:val="20"/>
                <w:szCs w:val="20"/>
                <w:color w:val="auto"/>
              </w:rPr>
            </w:pPr>
            <w:r>
              <w:rPr>
                <w:rFonts w:ascii="Arial" w:cs="Arial" w:eastAsia="Arial" w:hAnsi="Arial"/>
                <w:sz w:val="14"/>
                <w:szCs w:val="14"/>
                <w:b w:val="1"/>
                <w:bCs w:val="1"/>
                <w:color w:val="065BAA"/>
              </w:rPr>
              <w:t>Executive/Leadership Experience</w:t>
            </w:r>
          </w:p>
        </w:tc>
        <w:tc>
          <w:tcPr>
            <w:tcW w:w="0" w:type="dxa"/>
            <w:vAlign w:val="bottom"/>
          </w:tcPr>
          <w:p>
            <w:pPr>
              <w:spacing w:after="0"/>
              <w:rPr>
                <w:sz w:val="1"/>
                <w:szCs w:val="1"/>
                <w:color w:val="auto"/>
              </w:rPr>
            </w:pPr>
          </w:p>
        </w:tc>
      </w:tr>
      <w:tr>
        <w:trPr>
          <w:trHeight w:val="554"/>
        </w:trPr>
        <w:tc>
          <w:tcPr>
            <w:tcW w:w="2460" w:type="dxa"/>
            <w:vAlign w:val="bottom"/>
          </w:tcPr>
          <w:p>
            <w:pPr>
              <w:spacing w:after="0"/>
              <w:rPr>
                <w:sz w:val="20"/>
                <w:szCs w:val="20"/>
                <w:color w:val="auto"/>
              </w:rPr>
            </w:pPr>
            <w:r>
              <w:rPr>
                <w:rFonts w:ascii="Arial" w:cs="Arial" w:eastAsia="Arial" w:hAnsi="Arial"/>
                <w:sz w:val="14"/>
                <w:szCs w:val="14"/>
                <w:b w:val="1"/>
                <w:bCs w:val="1"/>
                <w:color w:val="065BAA"/>
              </w:rPr>
              <w:t>Science/Biotech Background</w:t>
            </w:r>
          </w:p>
        </w:tc>
        <w:tc>
          <w:tcPr>
            <w:tcW w:w="2740" w:type="dxa"/>
            <w:vAlign w:val="bottom"/>
          </w:tcPr>
          <w:p>
            <w:pPr>
              <w:ind w:left="460"/>
              <w:spacing w:after="0"/>
              <w:rPr>
                <w:sz w:val="20"/>
                <w:szCs w:val="20"/>
                <w:color w:val="auto"/>
              </w:rPr>
            </w:pPr>
            <w:r>
              <w:rPr>
                <w:rFonts w:ascii="Arial" w:cs="Arial" w:eastAsia="Arial" w:hAnsi="Arial"/>
                <w:sz w:val="14"/>
                <w:szCs w:val="14"/>
                <w:b w:val="1"/>
                <w:bCs w:val="1"/>
                <w:color w:val="065BAA"/>
              </w:rPr>
              <w:t>Research/Academic Experience</w:t>
            </w:r>
          </w:p>
        </w:tc>
        <w:tc>
          <w:tcPr>
            <w:tcW w:w="0" w:type="dxa"/>
            <w:vAlign w:val="bottom"/>
          </w:tcPr>
          <w:p>
            <w:pPr>
              <w:spacing w:after="0"/>
              <w:rPr>
                <w:sz w:val="1"/>
                <w:szCs w:val="1"/>
                <w:color w:val="auto"/>
              </w:rPr>
            </w:pPr>
          </w:p>
        </w:tc>
      </w:tr>
      <w:tr>
        <w:trPr>
          <w:trHeight w:val="465"/>
        </w:trPr>
        <w:tc>
          <w:tcPr>
            <w:tcW w:w="2460" w:type="dxa"/>
            <w:vAlign w:val="bottom"/>
          </w:tcPr>
          <w:p>
            <w:pPr>
              <w:spacing w:after="0"/>
              <w:rPr>
                <w:sz w:val="20"/>
                <w:szCs w:val="20"/>
                <w:color w:val="auto"/>
              </w:rPr>
            </w:pPr>
            <w:r>
              <w:rPr>
                <w:rFonts w:ascii="Arial" w:cs="Arial" w:eastAsia="Arial" w:hAnsi="Arial"/>
                <w:sz w:val="14"/>
                <w:szCs w:val="14"/>
                <w:b w:val="1"/>
                <w:bCs w:val="1"/>
                <w:color w:val="065BAA"/>
              </w:rPr>
              <w:t>Business Strategy/</w:t>
            </w:r>
          </w:p>
        </w:tc>
        <w:tc>
          <w:tcPr>
            <w:tcW w:w="2740" w:type="dxa"/>
            <w:vAlign w:val="bottom"/>
            <w:vMerge w:val="restart"/>
          </w:tcPr>
          <w:p>
            <w:pPr>
              <w:ind w:left="460"/>
              <w:spacing w:after="0"/>
              <w:rPr>
                <w:sz w:val="20"/>
                <w:szCs w:val="20"/>
                <w:color w:val="auto"/>
              </w:rPr>
            </w:pPr>
            <w:r>
              <w:rPr>
                <w:rFonts w:ascii="Arial" w:cs="Arial" w:eastAsia="Arial" w:hAnsi="Arial"/>
                <w:sz w:val="14"/>
                <w:szCs w:val="14"/>
                <w:b w:val="1"/>
                <w:bCs w:val="1"/>
                <w:color w:val="065BAA"/>
              </w:rPr>
              <w:t>Financial Expertise</w:t>
            </w:r>
          </w:p>
        </w:tc>
        <w:tc>
          <w:tcPr>
            <w:tcW w:w="0" w:type="dxa"/>
            <w:vAlign w:val="bottom"/>
          </w:tcPr>
          <w:p>
            <w:pPr>
              <w:spacing w:after="0"/>
              <w:rPr>
                <w:sz w:val="1"/>
                <w:szCs w:val="1"/>
                <w:color w:val="auto"/>
              </w:rPr>
            </w:pPr>
          </w:p>
        </w:tc>
      </w:tr>
      <w:tr>
        <w:trPr>
          <w:trHeight w:val="115"/>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065BAA"/>
              </w:rPr>
              <w:t>Operations Experience</w:t>
            </w:r>
          </w:p>
        </w:tc>
        <w:tc>
          <w:tcPr>
            <w:tcW w:w="2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46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Boards</w:t>
      </w:r>
    </w:p>
    <w:p>
      <w:pPr>
        <w:spacing w:after="0" w:line="127" w:lineRule="exact"/>
        <w:rPr>
          <w:sz w:val="20"/>
          <w:szCs w:val="20"/>
          <w:color w:val="auto"/>
        </w:rPr>
      </w:pPr>
    </w:p>
    <w:p>
      <w:pPr>
        <w:ind w:left="200" w:hanging="195"/>
        <w:spacing w:after="0"/>
        <w:tabs>
          <w:tab w:leader="none" w:pos="200" w:val="left"/>
        </w:tabs>
        <w:numPr>
          <w:ilvl w:val="0"/>
          <w:numId w:val="15"/>
        </w:numPr>
        <w:rPr>
          <w:rFonts w:ascii="Arial" w:cs="Arial" w:eastAsia="Arial" w:hAnsi="Arial"/>
          <w:sz w:val="16"/>
          <w:szCs w:val="16"/>
          <w:color w:val="065BAA"/>
        </w:rPr>
      </w:pPr>
      <w:r>
        <w:rPr>
          <w:rFonts w:ascii="Arial" w:cs="Arial" w:eastAsia="Arial" w:hAnsi="Arial"/>
          <w:sz w:val="16"/>
          <w:szCs w:val="16"/>
          <w:color w:val="auto"/>
        </w:rPr>
        <w:t>Neurocrine Biosciences, Inc.</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15"/>
        </w:numPr>
        <w:rPr>
          <w:rFonts w:ascii="Arial" w:cs="Arial" w:eastAsia="Arial" w:hAnsi="Arial"/>
          <w:sz w:val="16"/>
          <w:szCs w:val="16"/>
          <w:color w:val="065BAA"/>
        </w:rPr>
      </w:pPr>
      <w:r>
        <w:rPr>
          <w:rFonts w:ascii="Arial" w:cs="Arial" w:eastAsia="Arial" w:hAnsi="Arial"/>
          <w:sz w:val="16"/>
          <w:szCs w:val="16"/>
          <w:color w:val="auto"/>
        </w:rPr>
        <w:t>Prudential Financial, Inc.</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 for Nomination</w:t>
      </w:r>
    </w:p>
    <w:p>
      <w:pPr>
        <w:spacing w:after="0" w:line="73" w:lineRule="exact"/>
        <w:rPr>
          <w:sz w:val="20"/>
          <w:szCs w:val="20"/>
          <w:color w:val="auto"/>
        </w:rPr>
      </w:pPr>
    </w:p>
    <w:p>
      <w:pPr>
        <w:ind w:right="359"/>
        <w:spacing w:after="0" w:line="295" w:lineRule="auto"/>
        <w:rPr>
          <w:sz w:val="20"/>
          <w:szCs w:val="20"/>
          <w:color w:val="auto"/>
        </w:rPr>
      </w:pPr>
      <w:r>
        <w:rPr>
          <w:rFonts w:ascii="Arial" w:cs="Arial" w:eastAsia="Arial" w:hAnsi="Arial"/>
          <w:sz w:val="16"/>
          <w:szCs w:val="16"/>
          <w:color w:val="auto"/>
        </w:rPr>
        <w:t>Ms. Poon’s extensive expertise in domestic and international business operations, including sales and marketing and commercial operations, and her deep strategic and operational knowledge of the pharmaceutical industry, led to the board’s decision to nominate Ms. Poon for reelection to the board.</w:t>
      </w:r>
    </w:p>
    <w:p>
      <w:pPr>
        <w:spacing w:after="0" w:line="200" w:lineRule="exact"/>
        <w:rPr>
          <w:sz w:val="20"/>
          <w:szCs w:val="20"/>
          <w:color w:val="auto"/>
        </w:rPr>
      </w:pPr>
    </w:p>
    <w:p>
      <w:pPr>
        <w:sectPr>
          <w:pgSz w:w="11900" w:h="16838" w:orient="portrait"/>
          <w:cols w:equalWidth="0" w:num="2">
            <w:col w:w="2320" w:space="660"/>
            <w:col w:w="603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9</w:t>
            </w:r>
          </w:p>
        </w:tc>
      </w:tr>
    </w:tbl>
    <w:p>
      <w:pPr>
        <w:sectPr>
          <w:pgSz w:w="11900" w:h="16838" w:orient="portrait"/>
          <w:cols w:equalWidth="0" w:num="1">
            <w:col w:w="9019"/>
          </w:cols>
          <w:pgMar w:left="1440" w:top="657" w:right="1440" w:bottom="1440" w:gutter="0" w:footer="0" w:header="0"/>
          <w:type w:val="continuous"/>
        </w:sectPr>
      </w:pPr>
    </w:p>
    <w:bookmarkStart w:id="18" w:name="page19"/>
    <w:bookmarkEnd w:id="18"/>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68</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2023</w:t>
      </w:r>
    </w:p>
    <w:p>
      <w:pPr>
        <w:spacing w:after="0" w:line="221" w:lineRule="exact"/>
        <w:rPr>
          <w:sz w:val="20"/>
          <w:szCs w:val="20"/>
          <w:color w:val="auto"/>
        </w:rPr>
      </w:pPr>
    </w:p>
    <w:p>
      <w:pPr>
        <w:ind w:left="320" w:right="560"/>
        <w:spacing w:after="0" w:line="265" w:lineRule="auto"/>
        <w:rPr>
          <w:sz w:val="20"/>
          <w:szCs w:val="20"/>
          <w:color w:val="auto"/>
        </w:rPr>
      </w:pPr>
      <w:r>
        <w:rPr>
          <w:rFonts w:ascii="Arial" w:cs="Arial" w:eastAsia="Arial" w:hAnsi="Arial"/>
          <w:sz w:val="16"/>
          <w:szCs w:val="16"/>
          <w:b w:val="1"/>
          <w:bCs w:val="1"/>
          <w:color w:val="auto"/>
        </w:rPr>
        <w:t>Board and Committee Membership—</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2025 Attendance</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Board of Directors: </w:t>
      </w:r>
      <w:r>
        <w:rPr>
          <w:rFonts w:ascii="Arial" w:cs="Arial" w:eastAsia="Arial" w:hAnsi="Arial"/>
          <w:sz w:val="16"/>
          <w:szCs w:val="16"/>
          <w:b w:val="1"/>
          <w:bCs w:val="1"/>
          <w:color w:val="auto"/>
        </w:rPr>
        <w:t>13/15</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Compensation Committee: </w:t>
      </w:r>
      <w:r>
        <w:rPr>
          <w:rFonts w:ascii="Arial" w:cs="Arial" w:eastAsia="Arial" w:hAnsi="Arial"/>
          <w:sz w:val="16"/>
          <w:szCs w:val="16"/>
          <w:b w:val="1"/>
          <w:bCs w:val="1"/>
          <w:color w:val="auto"/>
        </w:rPr>
        <w:t>5/5*</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Technology Committee: </w:t>
      </w:r>
      <w:r>
        <w:rPr>
          <w:rFonts w:ascii="Arial" w:cs="Arial" w:eastAsia="Arial" w:hAnsi="Arial"/>
          <w:sz w:val="16"/>
          <w:szCs w:val="16"/>
          <w:b w:val="1"/>
          <w:bCs w:val="1"/>
          <w:color w:val="auto"/>
        </w:rPr>
        <w:t>2/2</w:t>
      </w:r>
    </w:p>
    <w:p>
      <w:pPr>
        <w:spacing w:after="0" w:line="339" w:lineRule="exact"/>
        <w:rPr>
          <w:sz w:val="20"/>
          <w:szCs w:val="20"/>
          <w:color w:val="auto"/>
        </w:rPr>
      </w:pPr>
    </w:p>
    <w:p>
      <w:pPr>
        <w:ind w:left="520" w:right="140" w:hanging="200"/>
        <w:spacing w:after="0" w:line="272" w:lineRule="auto"/>
        <w:tabs>
          <w:tab w:leader="none" w:pos="514" w:val="left"/>
        </w:tabs>
        <w:numPr>
          <w:ilvl w:val="0"/>
          <w:numId w:val="16"/>
        </w:numPr>
        <w:rPr>
          <w:rFonts w:ascii="Arial" w:cs="Arial" w:eastAsia="Arial" w:hAnsi="Arial"/>
          <w:sz w:val="12"/>
          <w:szCs w:val="12"/>
          <w:color w:val="auto"/>
        </w:rPr>
      </w:pPr>
      <w:r>
        <w:rPr>
          <w:rFonts w:ascii="Arial" w:cs="Arial" w:eastAsia="Arial" w:hAnsi="Arial"/>
          <w:sz w:val="12"/>
          <w:szCs w:val="12"/>
          <w:color w:val="auto"/>
        </w:rPr>
        <w:t>Dr. Schenkein was appointed as a member of the Compensation Committee of the board effective September 12, 2025. He attended all meetings of the Compensation Committee held after that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9"/>
          <w:szCs w:val="29"/>
          <w:b w:val="1"/>
          <w:bCs w:val="1"/>
          <w:color w:val="065BAA"/>
        </w:rPr>
        <w:t>David P. Schenkein, M.D.</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50" w:lineRule="exact"/>
        <w:rPr>
          <w:sz w:val="20"/>
          <w:szCs w:val="20"/>
          <w:color w:val="auto"/>
        </w:rPr>
      </w:pPr>
    </w:p>
    <w:p>
      <w:pPr>
        <w:ind w:left="200" w:right="179" w:hanging="195"/>
        <w:spacing w:after="0" w:line="234" w:lineRule="exact"/>
        <w:tabs>
          <w:tab w:leader="none" w:pos="200" w:val="left"/>
        </w:tabs>
        <w:numPr>
          <w:ilvl w:val="0"/>
          <w:numId w:val="17"/>
        </w:numPr>
        <w:rPr>
          <w:rFonts w:ascii="Arial" w:cs="Arial" w:eastAsia="Arial" w:hAnsi="Arial"/>
          <w:sz w:val="16"/>
          <w:szCs w:val="16"/>
          <w:color w:val="065BAA"/>
        </w:rPr>
      </w:pPr>
      <w:r>
        <w:rPr>
          <w:rFonts w:ascii="Arial" w:cs="Arial" w:eastAsia="Arial" w:hAnsi="Arial"/>
          <w:sz w:val="16"/>
          <w:szCs w:val="16"/>
          <w:color w:val="auto"/>
        </w:rPr>
        <w:t>General Partner and Co</w:t>
      </w:r>
      <w:r>
        <w:rPr>
          <w:rFonts w:ascii="MS PGothic" w:cs="MS PGothic" w:eastAsia="MS PGothic" w:hAnsi="MS PGothic"/>
          <w:sz w:val="16"/>
          <w:szCs w:val="16"/>
          <w:color w:val="auto"/>
        </w:rPr>
        <w:t>‑</w:t>
      </w:r>
      <w:r>
        <w:rPr>
          <w:rFonts w:ascii="Arial" w:cs="Arial" w:eastAsia="Arial" w:hAnsi="Arial"/>
          <w:sz w:val="16"/>
          <w:szCs w:val="16"/>
          <w:color w:val="auto"/>
        </w:rPr>
        <w:t>lead of the Life Sciences team of GV (formerly Google Ventures) since 2019</w:t>
      </w:r>
    </w:p>
    <w:p>
      <w:pPr>
        <w:spacing w:after="0" w:line="69" w:lineRule="exact"/>
        <w:rPr>
          <w:rFonts w:ascii="Arial" w:cs="Arial" w:eastAsia="Arial" w:hAnsi="Arial"/>
          <w:sz w:val="16"/>
          <w:szCs w:val="16"/>
          <w:color w:val="065BAA"/>
        </w:rPr>
      </w:pPr>
    </w:p>
    <w:p>
      <w:pPr>
        <w:ind w:left="200" w:hanging="195"/>
        <w:spacing w:after="0"/>
        <w:tabs>
          <w:tab w:leader="none" w:pos="200" w:val="left"/>
        </w:tabs>
        <w:numPr>
          <w:ilvl w:val="0"/>
          <w:numId w:val="17"/>
        </w:numPr>
        <w:rPr>
          <w:rFonts w:ascii="Arial" w:cs="Arial" w:eastAsia="Arial" w:hAnsi="Arial"/>
          <w:sz w:val="16"/>
          <w:szCs w:val="16"/>
          <w:color w:val="065BAA"/>
        </w:rPr>
      </w:pPr>
      <w:r>
        <w:rPr>
          <w:rFonts w:ascii="Arial" w:cs="Arial" w:eastAsia="Arial" w:hAnsi="Arial"/>
          <w:sz w:val="16"/>
          <w:szCs w:val="16"/>
          <w:color w:val="auto"/>
        </w:rPr>
        <w:t>Adjunct attending physician in hematology at Tufts Medical Center since 2009</w:t>
      </w:r>
    </w:p>
    <w:p>
      <w:pPr>
        <w:spacing w:after="0" w:line="99" w:lineRule="exact"/>
        <w:rPr>
          <w:rFonts w:ascii="Arial" w:cs="Arial" w:eastAsia="Arial" w:hAnsi="Arial"/>
          <w:sz w:val="16"/>
          <w:szCs w:val="16"/>
          <w:color w:val="065BAA"/>
        </w:rPr>
      </w:pPr>
    </w:p>
    <w:p>
      <w:pPr>
        <w:ind w:left="200" w:right="599" w:hanging="195"/>
        <w:spacing w:after="0" w:line="321" w:lineRule="auto"/>
        <w:tabs>
          <w:tab w:leader="none" w:pos="200" w:val="left"/>
        </w:tabs>
        <w:numPr>
          <w:ilvl w:val="0"/>
          <w:numId w:val="17"/>
        </w:numPr>
        <w:rPr>
          <w:rFonts w:ascii="Arial" w:cs="Arial" w:eastAsia="Arial" w:hAnsi="Arial"/>
          <w:sz w:val="16"/>
          <w:szCs w:val="16"/>
          <w:color w:val="065BAA"/>
        </w:rPr>
      </w:pPr>
      <w:r>
        <w:rPr>
          <w:rFonts w:ascii="Arial" w:cs="Arial" w:eastAsia="Arial" w:hAnsi="Arial"/>
          <w:sz w:val="16"/>
          <w:szCs w:val="16"/>
          <w:color w:val="auto"/>
        </w:rPr>
        <w:t>Former President, Chief Executive Officer, Chair, and director of Agios Pharmaceuticals, Inc., where he continues to serve as a strategic advisor</w:t>
      </w:r>
    </w:p>
    <w:p>
      <w:pPr>
        <w:spacing w:after="0" w:line="20" w:lineRule="exact"/>
        <w:rPr>
          <w:rFonts w:ascii="Arial" w:cs="Arial" w:eastAsia="Arial" w:hAnsi="Arial"/>
          <w:sz w:val="16"/>
          <w:szCs w:val="16"/>
          <w:color w:val="065BAA"/>
        </w:rPr>
      </w:pPr>
    </w:p>
    <w:p>
      <w:pPr>
        <w:ind w:left="200" w:right="1279" w:hanging="195"/>
        <w:spacing w:after="0" w:line="321" w:lineRule="auto"/>
        <w:tabs>
          <w:tab w:leader="none" w:pos="200" w:val="left"/>
        </w:tabs>
        <w:numPr>
          <w:ilvl w:val="0"/>
          <w:numId w:val="17"/>
        </w:numPr>
        <w:rPr>
          <w:rFonts w:ascii="Arial" w:cs="Arial" w:eastAsia="Arial" w:hAnsi="Arial"/>
          <w:sz w:val="16"/>
          <w:szCs w:val="16"/>
          <w:color w:val="065BAA"/>
        </w:rPr>
      </w:pPr>
      <w:r>
        <w:rPr>
          <w:rFonts w:ascii="Arial" w:cs="Arial" w:eastAsia="Arial" w:hAnsi="Arial"/>
          <w:sz w:val="16"/>
          <w:szCs w:val="16"/>
          <w:color w:val="auto"/>
        </w:rPr>
        <w:t>Former Senior Vice President, Clinical Hematology/Oncology at Genentech Inc.</w:t>
      </w:r>
    </w:p>
    <w:p>
      <w:pPr>
        <w:spacing w:after="0" w:line="7" w:lineRule="exact"/>
        <w:rPr>
          <w:rFonts w:ascii="Arial" w:cs="Arial" w:eastAsia="Arial" w:hAnsi="Arial"/>
          <w:sz w:val="16"/>
          <w:szCs w:val="16"/>
          <w:color w:val="065BAA"/>
        </w:rPr>
      </w:pPr>
    </w:p>
    <w:p>
      <w:pPr>
        <w:ind w:left="200" w:right="319" w:hanging="195"/>
        <w:spacing w:after="0" w:line="321" w:lineRule="auto"/>
        <w:tabs>
          <w:tab w:leader="none" w:pos="200" w:val="left"/>
        </w:tabs>
        <w:numPr>
          <w:ilvl w:val="0"/>
          <w:numId w:val="17"/>
        </w:numPr>
        <w:rPr>
          <w:rFonts w:ascii="Arial" w:cs="Arial" w:eastAsia="Arial" w:hAnsi="Arial"/>
          <w:sz w:val="16"/>
          <w:szCs w:val="16"/>
          <w:color w:val="065BAA"/>
        </w:rPr>
      </w:pPr>
      <w:r>
        <w:rPr>
          <w:rFonts w:ascii="Arial" w:cs="Arial" w:eastAsia="Arial" w:hAnsi="Arial"/>
          <w:sz w:val="16"/>
          <w:szCs w:val="16"/>
          <w:color w:val="auto"/>
        </w:rPr>
        <w:t>Former Adjunct Clinical Professor of Medical Oncology at Stanford University School of Medicine</w:t>
      </w:r>
    </w:p>
    <w:p>
      <w:pPr>
        <w:spacing w:after="0" w:line="7" w:lineRule="exact"/>
        <w:rPr>
          <w:rFonts w:ascii="Arial" w:cs="Arial" w:eastAsia="Arial" w:hAnsi="Arial"/>
          <w:sz w:val="16"/>
          <w:szCs w:val="16"/>
          <w:color w:val="065BAA"/>
        </w:rPr>
      </w:pPr>
    </w:p>
    <w:p>
      <w:pPr>
        <w:ind w:left="200" w:right="1239" w:hanging="195"/>
        <w:spacing w:after="0" w:line="321" w:lineRule="auto"/>
        <w:tabs>
          <w:tab w:leader="none" w:pos="200" w:val="left"/>
        </w:tabs>
        <w:numPr>
          <w:ilvl w:val="0"/>
          <w:numId w:val="17"/>
        </w:numPr>
        <w:rPr>
          <w:rFonts w:ascii="Arial" w:cs="Arial" w:eastAsia="Arial" w:hAnsi="Arial"/>
          <w:sz w:val="16"/>
          <w:szCs w:val="16"/>
          <w:color w:val="065BAA"/>
        </w:rPr>
      </w:pPr>
      <w:r>
        <w:rPr>
          <w:rFonts w:ascii="Arial" w:cs="Arial" w:eastAsia="Arial" w:hAnsi="Arial"/>
          <w:sz w:val="16"/>
          <w:szCs w:val="16"/>
          <w:color w:val="auto"/>
        </w:rPr>
        <w:t>Former Senior Vice President of Clinical Research at Millennium Pharmaceuticals, Inc.</w:t>
      </w:r>
    </w:p>
    <w:p>
      <w:pPr>
        <w:spacing w:after="0" w:line="7" w:lineRule="exact"/>
        <w:rPr>
          <w:rFonts w:ascii="Arial" w:cs="Arial" w:eastAsia="Arial" w:hAnsi="Arial"/>
          <w:sz w:val="16"/>
          <w:szCs w:val="16"/>
          <w:color w:val="065BAA"/>
        </w:rPr>
      </w:pPr>
    </w:p>
    <w:p>
      <w:pPr>
        <w:ind w:left="200" w:hanging="195"/>
        <w:spacing w:after="0"/>
        <w:tabs>
          <w:tab w:leader="none" w:pos="200" w:val="left"/>
        </w:tabs>
        <w:numPr>
          <w:ilvl w:val="0"/>
          <w:numId w:val="17"/>
        </w:numPr>
        <w:rPr>
          <w:rFonts w:ascii="Arial" w:cs="Arial" w:eastAsia="Arial" w:hAnsi="Arial"/>
          <w:sz w:val="16"/>
          <w:szCs w:val="16"/>
          <w:color w:val="065BAA"/>
        </w:rPr>
      </w:pPr>
      <w:r>
        <w:rPr>
          <w:rFonts w:ascii="Arial" w:cs="Arial" w:eastAsia="Arial" w:hAnsi="Arial"/>
          <w:sz w:val="16"/>
          <w:szCs w:val="16"/>
          <w:color w:val="auto"/>
        </w:rPr>
        <w:t>Former director of Foundation Medicine, Inc. and bluebird bio, Inc.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320"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2600" w:type="dxa"/>
            <w:vAlign w:val="bottom"/>
          </w:tcPr>
          <w:p>
            <w:pPr>
              <w:spacing w:after="0"/>
              <w:rPr>
                <w:sz w:val="20"/>
                <w:szCs w:val="20"/>
                <w:color w:val="auto"/>
              </w:rPr>
            </w:pPr>
            <w:r>
              <w:rPr>
                <w:rFonts w:ascii="Arial" w:cs="Arial" w:eastAsia="Arial" w:hAnsi="Arial"/>
                <w:sz w:val="14"/>
                <w:szCs w:val="14"/>
                <w:b w:val="1"/>
                <w:bCs w:val="1"/>
                <w:color w:val="065BAA"/>
              </w:rPr>
              <w:t>Industry Experience</w:t>
            </w:r>
          </w:p>
        </w:tc>
        <w:tc>
          <w:tcPr>
            <w:tcW w:w="2600" w:type="dxa"/>
            <w:vAlign w:val="bottom"/>
          </w:tcPr>
          <w:p>
            <w:pPr>
              <w:ind w:left="320"/>
              <w:spacing w:after="0"/>
              <w:rPr>
                <w:sz w:val="20"/>
                <w:szCs w:val="20"/>
                <w:color w:val="auto"/>
              </w:rPr>
            </w:pPr>
            <w:r>
              <w:rPr>
                <w:rFonts w:ascii="Arial" w:cs="Arial" w:eastAsia="Arial" w:hAnsi="Arial"/>
                <w:sz w:val="14"/>
                <w:szCs w:val="14"/>
                <w:b w:val="1"/>
                <w:bCs w:val="1"/>
                <w:color w:val="065BAA"/>
              </w:rPr>
              <w:t>Executive/Leadership Experience</w:t>
            </w:r>
          </w:p>
        </w:tc>
        <w:tc>
          <w:tcPr>
            <w:tcW w:w="0" w:type="dxa"/>
            <w:vAlign w:val="bottom"/>
          </w:tcPr>
          <w:p>
            <w:pPr>
              <w:spacing w:after="0"/>
              <w:rPr>
                <w:sz w:val="1"/>
                <w:szCs w:val="1"/>
                <w:color w:val="auto"/>
              </w:rPr>
            </w:pPr>
          </w:p>
        </w:tc>
      </w:tr>
      <w:tr>
        <w:trPr>
          <w:trHeight w:val="554"/>
        </w:trPr>
        <w:tc>
          <w:tcPr>
            <w:tcW w:w="2600" w:type="dxa"/>
            <w:vAlign w:val="bottom"/>
          </w:tcPr>
          <w:p>
            <w:pPr>
              <w:spacing w:after="0"/>
              <w:rPr>
                <w:sz w:val="20"/>
                <w:szCs w:val="20"/>
                <w:color w:val="auto"/>
              </w:rPr>
            </w:pPr>
            <w:r>
              <w:rPr>
                <w:rFonts w:ascii="Arial" w:cs="Arial" w:eastAsia="Arial" w:hAnsi="Arial"/>
                <w:sz w:val="14"/>
                <w:szCs w:val="14"/>
                <w:b w:val="1"/>
                <w:bCs w:val="1"/>
                <w:color w:val="065BAA"/>
              </w:rPr>
              <w:t>Science/Biotech Background</w:t>
            </w:r>
          </w:p>
        </w:tc>
        <w:tc>
          <w:tcPr>
            <w:tcW w:w="2600" w:type="dxa"/>
            <w:vAlign w:val="bottom"/>
          </w:tcPr>
          <w:p>
            <w:pPr>
              <w:ind w:left="320"/>
              <w:spacing w:after="0"/>
              <w:rPr>
                <w:sz w:val="20"/>
                <w:szCs w:val="20"/>
                <w:color w:val="auto"/>
              </w:rPr>
            </w:pPr>
            <w:r>
              <w:rPr>
                <w:rFonts w:ascii="Arial" w:cs="Arial" w:eastAsia="Arial" w:hAnsi="Arial"/>
                <w:sz w:val="14"/>
                <w:szCs w:val="14"/>
                <w:b w:val="1"/>
                <w:bCs w:val="1"/>
                <w:color w:val="065BAA"/>
              </w:rPr>
              <w:t>Research/Academic Experience</w:t>
            </w:r>
          </w:p>
        </w:tc>
        <w:tc>
          <w:tcPr>
            <w:tcW w:w="0" w:type="dxa"/>
            <w:vAlign w:val="bottom"/>
          </w:tcPr>
          <w:p>
            <w:pPr>
              <w:spacing w:after="0"/>
              <w:rPr>
                <w:sz w:val="1"/>
                <w:szCs w:val="1"/>
                <w:color w:val="auto"/>
              </w:rPr>
            </w:pPr>
          </w:p>
        </w:tc>
      </w:tr>
      <w:tr>
        <w:trPr>
          <w:trHeight w:val="452"/>
        </w:trPr>
        <w:tc>
          <w:tcPr>
            <w:tcW w:w="2600" w:type="dxa"/>
            <w:vAlign w:val="bottom"/>
          </w:tcPr>
          <w:p>
            <w:pPr>
              <w:spacing w:after="0"/>
              <w:rPr>
                <w:sz w:val="20"/>
                <w:szCs w:val="20"/>
                <w:color w:val="auto"/>
              </w:rPr>
            </w:pPr>
            <w:r>
              <w:rPr>
                <w:rFonts w:ascii="Arial" w:cs="Arial" w:eastAsia="Arial" w:hAnsi="Arial"/>
                <w:sz w:val="14"/>
                <w:szCs w:val="14"/>
                <w:b w:val="1"/>
                <w:bCs w:val="1"/>
                <w:color w:val="065BAA"/>
              </w:rPr>
              <w:t>Business Strategy/</w:t>
            </w:r>
          </w:p>
        </w:tc>
        <w:tc>
          <w:tcPr>
            <w:tcW w:w="2600" w:type="dxa"/>
            <w:vAlign w:val="bottom"/>
            <w:vMerge w:val="restart"/>
          </w:tcPr>
          <w:p>
            <w:pPr>
              <w:ind w:left="320"/>
              <w:spacing w:after="0"/>
              <w:rPr>
                <w:sz w:val="20"/>
                <w:szCs w:val="20"/>
                <w:color w:val="auto"/>
              </w:rPr>
            </w:pPr>
            <w:r>
              <w:rPr>
                <w:rFonts w:ascii="Arial" w:cs="Arial" w:eastAsia="Arial" w:hAnsi="Arial"/>
                <w:sz w:val="14"/>
                <w:szCs w:val="14"/>
                <w:b w:val="1"/>
                <w:bCs w:val="1"/>
                <w:color w:val="065BAA"/>
              </w:rPr>
              <w:t>Financial Expertise</w:t>
            </w:r>
          </w:p>
        </w:tc>
        <w:tc>
          <w:tcPr>
            <w:tcW w:w="0" w:type="dxa"/>
            <w:vAlign w:val="bottom"/>
          </w:tcPr>
          <w:p>
            <w:pPr>
              <w:spacing w:after="0"/>
              <w:rPr>
                <w:sz w:val="1"/>
                <w:szCs w:val="1"/>
                <w:color w:val="auto"/>
              </w:rPr>
            </w:pPr>
          </w:p>
        </w:tc>
      </w:tr>
      <w:tr>
        <w:trPr>
          <w:trHeight w:val="115"/>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065BAA"/>
              </w:rPr>
              <w:t>Operations Experience</w:t>
            </w: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600" w:type="dxa"/>
            <w:vAlign w:val="bottom"/>
            <w:vMerge w:val="continue"/>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2600" w:type="dxa"/>
            <w:vAlign w:val="bottom"/>
          </w:tcPr>
          <w:p>
            <w:pPr>
              <w:spacing w:after="0"/>
              <w:rPr>
                <w:sz w:val="20"/>
                <w:szCs w:val="20"/>
                <w:color w:val="auto"/>
              </w:rPr>
            </w:pPr>
            <w:r>
              <w:rPr>
                <w:rFonts w:ascii="Arial" w:cs="Arial" w:eastAsia="Arial" w:hAnsi="Arial"/>
                <w:sz w:val="14"/>
                <w:szCs w:val="14"/>
                <w:b w:val="1"/>
                <w:bCs w:val="1"/>
                <w:color w:val="065BAA"/>
              </w:rPr>
              <w:t>Public Company CEO Experience</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Boards</w:t>
      </w:r>
    </w:p>
    <w:p>
      <w:pPr>
        <w:spacing w:after="0" w:line="127" w:lineRule="exact"/>
        <w:rPr>
          <w:sz w:val="20"/>
          <w:szCs w:val="20"/>
          <w:color w:val="auto"/>
        </w:rPr>
      </w:pPr>
    </w:p>
    <w:p>
      <w:pPr>
        <w:ind w:left="200" w:hanging="195"/>
        <w:spacing w:after="0"/>
        <w:tabs>
          <w:tab w:leader="none" w:pos="200" w:val="left"/>
        </w:tabs>
        <w:numPr>
          <w:ilvl w:val="0"/>
          <w:numId w:val="18"/>
        </w:numPr>
        <w:rPr>
          <w:rFonts w:ascii="Arial" w:cs="Arial" w:eastAsia="Arial" w:hAnsi="Arial"/>
          <w:sz w:val="16"/>
          <w:szCs w:val="16"/>
          <w:color w:val="065BAA"/>
        </w:rPr>
      </w:pPr>
      <w:r>
        <w:rPr>
          <w:rFonts w:ascii="Arial" w:cs="Arial" w:eastAsia="Arial" w:hAnsi="Arial"/>
          <w:sz w:val="16"/>
          <w:szCs w:val="16"/>
          <w:color w:val="auto"/>
        </w:rPr>
        <w:t>Denali Therapeutics Inc.</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18"/>
        </w:numPr>
        <w:rPr>
          <w:rFonts w:ascii="Arial" w:cs="Arial" w:eastAsia="Arial" w:hAnsi="Arial"/>
          <w:sz w:val="16"/>
          <w:szCs w:val="16"/>
          <w:color w:val="065BAA"/>
        </w:rPr>
      </w:pPr>
      <w:r>
        <w:rPr>
          <w:rFonts w:ascii="Arial" w:cs="Arial" w:eastAsia="Arial" w:hAnsi="Arial"/>
          <w:sz w:val="16"/>
          <w:szCs w:val="16"/>
          <w:color w:val="auto"/>
        </w:rPr>
        <w:t>Prime Medicine, Inc.</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 for Nomination</w:t>
      </w:r>
    </w:p>
    <w:p>
      <w:pPr>
        <w:spacing w:after="0" w:line="73" w:lineRule="exact"/>
        <w:rPr>
          <w:sz w:val="20"/>
          <w:szCs w:val="20"/>
          <w:color w:val="auto"/>
        </w:rPr>
      </w:pPr>
    </w:p>
    <w:p>
      <w:pPr>
        <w:ind w:right="339"/>
        <w:spacing w:after="0" w:line="295" w:lineRule="auto"/>
        <w:rPr>
          <w:sz w:val="20"/>
          <w:szCs w:val="20"/>
          <w:color w:val="auto"/>
        </w:rPr>
      </w:pPr>
      <w:r>
        <w:rPr>
          <w:rFonts w:ascii="Arial" w:cs="Arial" w:eastAsia="Arial" w:hAnsi="Arial"/>
          <w:sz w:val="16"/>
          <w:szCs w:val="16"/>
          <w:color w:val="auto"/>
        </w:rPr>
        <w:t>Dr. Schenkein’s extensive leadership experience as an executive and corporate director in the pharmaceutical and healthcare industries, as well as his considerable research and academic experience, led to the board’s decision to nominate Dr. Schenkein for reelection to the board.</w:t>
      </w:r>
    </w:p>
    <w:p>
      <w:pPr>
        <w:spacing w:after="0" w:line="200" w:lineRule="exact"/>
        <w:rPr>
          <w:sz w:val="20"/>
          <w:szCs w:val="20"/>
          <w:color w:val="auto"/>
        </w:rPr>
      </w:pPr>
    </w:p>
    <w:p>
      <w:pPr>
        <w:sectPr>
          <w:pgSz w:w="11900" w:h="16838" w:orient="portrait"/>
          <w:cols w:equalWidth="0" w:num="2">
            <w:col w:w="2560" w:space="420"/>
            <w:col w:w="603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10</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19" w:name="page20"/>
    <w:bookmarkEnd w:id="19"/>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73</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2022</w:t>
      </w:r>
    </w:p>
    <w:p>
      <w:pPr>
        <w:spacing w:after="0" w:line="221" w:lineRule="exact"/>
        <w:rPr>
          <w:sz w:val="20"/>
          <w:szCs w:val="20"/>
          <w:color w:val="auto"/>
        </w:rPr>
      </w:pPr>
    </w:p>
    <w:p>
      <w:pPr>
        <w:ind w:left="320" w:right="420"/>
        <w:spacing w:after="0" w:line="265" w:lineRule="auto"/>
        <w:rPr>
          <w:sz w:val="20"/>
          <w:szCs w:val="20"/>
          <w:color w:val="auto"/>
        </w:rPr>
      </w:pPr>
      <w:r>
        <w:rPr>
          <w:rFonts w:ascii="Arial" w:cs="Arial" w:eastAsia="Arial" w:hAnsi="Arial"/>
          <w:sz w:val="16"/>
          <w:szCs w:val="16"/>
          <w:b w:val="1"/>
          <w:bCs w:val="1"/>
          <w:color w:val="auto"/>
        </w:rPr>
        <w:t>Board and Committee Membership—</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2025 Attendance</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Board of Directors: </w:t>
      </w:r>
      <w:r>
        <w:rPr>
          <w:rFonts w:ascii="Arial" w:cs="Arial" w:eastAsia="Arial" w:hAnsi="Arial"/>
          <w:sz w:val="16"/>
          <w:szCs w:val="16"/>
          <w:b w:val="1"/>
          <w:bCs w:val="1"/>
          <w:color w:val="auto"/>
        </w:rPr>
        <w:t>15/15</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Corporate Governance and</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Compliance Committee: </w:t>
      </w:r>
      <w:r>
        <w:rPr>
          <w:rFonts w:ascii="Arial" w:cs="Arial" w:eastAsia="Arial" w:hAnsi="Arial"/>
          <w:sz w:val="16"/>
          <w:szCs w:val="16"/>
          <w:b w:val="1"/>
          <w:bCs w:val="1"/>
          <w:color w:val="auto"/>
        </w:rPr>
        <w:t>1/1*</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Technology Committee: </w:t>
      </w:r>
      <w:r>
        <w:rPr>
          <w:rFonts w:ascii="Arial" w:cs="Arial" w:eastAsia="Arial" w:hAnsi="Arial"/>
          <w:sz w:val="16"/>
          <w:szCs w:val="16"/>
          <w:b w:val="1"/>
          <w:bCs w:val="1"/>
          <w:color w:val="auto"/>
        </w:rPr>
        <w:t>2/2</w:t>
      </w:r>
    </w:p>
    <w:p>
      <w:pPr>
        <w:spacing w:after="0" w:line="379" w:lineRule="exact"/>
        <w:rPr>
          <w:sz w:val="20"/>
          <w:szCs w:val="20"/>
          <w:color w:val="auto"/>
        </w:rPr>
      </w:pPr>
    </w:p>
    <w:p>
      <w:pPr>
        <w:ind w:left="520" w:hanging="167"/>
        <w:spacing w:after="0" w:line="268" w:lineRule="auto"/>
        <w:tabs>
          <w:tab w:leader="none" w:pos="512" w:val="left"/>
        </w:tabs>
        <w:numPr>
          <w:ilvl w:val="0"/>
          <w:numId w:val="19"/>
        </w:numPr>
        <w:rPr>
          <w:rFonts w:ascii="Arial" w:cs="Arial" w:eastAsia="Arial" w:hAnsi="Arial"/>
          <w:sz w:val="12"/>
          <w:szCs w:val="12"/>
          <w:color w:val="auto"/>
        </w:rPr>
      </w:pPr>
      <w:r>
        <w:rPr>
          <w:rFonts w:ascii="Arial" w:cs="Arial" w:eastAsia="Arial" w:hAnsi="Arial"/>
          <w:sz w:val="12"/>
          <w:szCs w:val="12"/>
          <w:color w:val="auto"/>
        </w:rPr>
        <w:t>Dr. Thompson was appointed as a member of the Corporate Governance and Compliance Committee of the board effective September 12, 2025. He attended all meetings of the Corporate Governance and Compliance Committee held after that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9"/>
          <w:szCs w:val="29"/>
          <w:b w:val="1"/>
          <w:bCs w:val="1"/>
          <w:color w:val="065BAA"/>
        </w:rPr>
        <w:t>Craig B. Thompson, M.D.</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86" w:lineRule="exact"/>
        <w:rPr>
          <w:sz w:val="20"/>
          <w:szCs w:val="20"/>
          <w:color w:val="auto"/>
        </w:rPr>
      </w:pPr>
    </w:p>
    <w:p>
      <w:pPr>
        <w:ind w:left="200" w:right="419" w:hanging="195"/>
        <w:spacing w:after="0" w:line="295" w:lineRule="auto"/>
        <w:tabs>
          <w:tab w:leader="none" w:pos="200" w:val="left"/>
        </w:tabs>
        <w:numPr>
          <w:ilvl w:val="0"/>
          <w:numId w:val="20"/>
        </w:numPr>
        <w:rPr>
          <w:rFonts w:ascii="Arial" w:cs="Arial" w:eastAsia="Arial" w:hAnsi="Arial"/>
          <w:sz w:val="16"/>
          <w:szCs w:val="16"/>
          <w:color w:val="065BAA"/>
        </w:rPr>
      </w:pPr>
      <w:r>
        <w:rPr>
          <w:rFonts w:ascii="Arial" w:cs="Arial" w:eastAsia="Arial" w:hAnsi="Arial"/>
          <w:sz w:val="16"/>
          <w:szCs w:val="16"/>
          <w:color w:val="auto"/>
        </w:rPr>
        <w:t>Former President and Chief Executive Officer of Memorial Sloan Kettering Cancer Center from 2010 to 2022, where he continues to oversee the Craig Thompson Lab</w:t>
      </w:r>
    </w:p>
    <w:p>
      <w:pPr>
        <w:spacing w:after="0" w:line="1" w:lineRule="exact"/>
        <w:rPr>
          <w:rFonts w:ascii="Arial" w:cs="Arial" w:eastAsia="Arial" w:hAnsi="Arial"/>
          <w:sz w:val="16"/>
          <w:szCs w:val="16"/>
          <w:color w:val="065BAA"/>
        </w:rPr>
      </w:pPr>
    </w:p>
    <w:p>
      <w:pPr>
        <w:ind w:left="200" w:hanging="195"/>
        <w:spacing w:after="0" w:line="184" w:lineRule="exact"/>
        <w:tabs>
          <w:tab w:leader="none" w:pos="200" w:val="left"/>
        </w:tabs>
        <w:numPr>
          <w:ilvl w:val="0"/>
          <w:numId w:val="20"/>
        </w:numPr>
        <w:rPr>
          <w:rFonts w:ascii="Arial" w:cs="Arial" w:eastAsia="Arial" w:hAnsi="Arial"/>
          <w:sz w:val="16"/>
          <w:szCs w:val="16"/>
          <w:color w:val="065BAA"/>
        </w:rPr>
      </w:pPr>
      <w:r>
        <w:rPr>
          <w:rFonts w:ascii="Arial" w:cs="Arial" w:eastAsia="Arial" w:hAnsi="Arial"/>
          <w:sz w:val="16"/>
          <w:szCs w:val="16"/>
          <w:color w:val="auto"/>
        </w:rPr>
        <w:t>Co</w:t>
      </w:r>
      <w:r>
        <w:rPr>
          <w:rFonts w:ascii="MS PGothic" w:cs="MS PGothic" w:eastAsia="MS PGothic" w:hAnsi="MS PGothic"/>
          <w:sz w:val="16"/>
          <w:szCs w:val="16"/>
          <w:color w:val="auto"/>
        </w:rPr>
        <w:t>‑</w:t>
      </w:r>
      <w:r>
        <w:rPr>
          <w:rFonts w:ascii="Arial" w:cs="Arial" w:eastAsia="Arial" w:hAnsi="Arial"/>
          <w:sz w:val="16"/>
          <w:szCs w:val="16"/>
          <w:color w:val="auto"/>
        </w:rPr>
        <w:t>founder of Agios Pharmaceuticals, Inc.</w:t>
      </w:r>
    </w:p>
    <w:p>
      <w:pPr>
        <w:spacing w:after="0" w:line="135" w:lineRule="exact"/>
        <w:rPr>
          <w:rFonts w:ascii="Arial" w:cs="Arial" w:eastAsia="Arial" w:hAnsi="Arial"/>
          <w:sz w:val="16"/>
          <w:szCs w:val="16"/>
          <w:color w:val="065BAA"/>
        </w:rPr>
      </w:pPr>
    </w:p>
    <w:p>
      <w:pPr>
        <w:ind w:left="200" w:hanging="195"/>
        <w:spacing w:after="0"/>
        <w:tabs>
          <w:tab w:leader="none" w:pos="200" w:val="left"/>
        </w:tabs>
        <w:numPr>
          <w:ilvl w:val="0"/>
          <w:numId w:val="20"/>
        </w:numPr>
        <w:rPr>
          <w:rFonts w:ascii="Arial" w:cs="Arial" w:eastAsia="Arial" w:hAnsi="Arial"/>
          <w:sz w:val="16"/>
          <w:szCs w:val="16"/>
          <w:color w:val="065BAA"/>
        </w:rPr>
      </w:pPr>
      <w:r>
        <w:rPr>
          <w:rFonts w:ascii="Arial" w:cs="Arial" w:eastAsia="Arial" w:hAnsi="Arial"/>
          <w:sz w:val="16"/>
          <w:szCs w:val="16"/>
          <w:color w:val="auto"/>
        </w:rPr>
        <w:t>Former director of Merck &amp; Co., Inc.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320"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2460" w:type="dxa"/>
            <w:vAlign w:val="bottom"/>
          </w:tcPr>
          <w:p>
            <w:pPr>
              <w:spacing w:after="0"/>
              <w:rPr>
                <w:sz w:val="20"/>
                <w:szCs w:val="20"/>
                <w:color w:val="auto"/>
              </w:rPr>
            </w:pPr>
            <w:r>
              <w:rPr>
                <w:rFonts w:ascii="Arial" w:cs="Arial" w:eastAsia="Arial" w:hAnsi="Arial"/>
                <w:sz w:val="14"/>
                <w:szCs w:val="14"/>
                <w:b w:val="1"/>
                <w:bCs w:val="1"/>
                <w:color w:val="065BAA"/>
              </w:rPr>
              <w:t>Industry Experience</w:t>
            </w:r>
          </w:p>
        </w:tc>
        <w:tc>
          <w:tcPr>
            <w:tcW w:w="2740" w:type="dxa"/>
            <w:vAlign w:val="bottom"/>
          </w:tcPr>
          <w:p>
            <w:pPr>
              <w:ind w:left="460"/>
              <w:spacing w:after="0"/>
              <w:rPr>
                <w:sz w:val="20"/>
                <w:szCs w:val="20"/>
                <w:color w:val="auto"/>
              </w:rPr>
            </w:pPr>
            <w:r>
              <w:rPr>
                <w:rFonts w:ascii="Arial" w:cs="Arial" w:eastAsia="Arial" w:hAnsi="Arial"/>
                <w:sz w:val="14"/>
                <w:szCs w:val="14"/>
                <w:b w:val="1"/>
                <w:bCs w:val="1"/>
                <w:color w:val="065BAA"/>
              </w:rPr>
              <w:t>Executive/Leadership Experience</w:t>
            </w:r>
          </w:p>
        </w:tc>
        <w:tc>
          <w:tcPr>
            <w:tcW w:w="0" w:type="dxa"/>
            <w:vAlign w:val="bottom"/>
          </w:tcPr>
          <w:p>
            <w:pPr>
              <w:spacing w:after="0"/>
              <w:rPr>
                <w:sz w:val="1"/>
                <w:szCs w:val="1"/>
                <w:color w:val="auto"/>
              </w:rPr>
            </w:pPr>
          </w:p>
        </w:tc>
      </w:tr>
      <w:tr>
        <w:trPr>
          <w:trHeight w:val="553"/>
        </w:trPr>
        <w:tc>
          <w:tcPr>
            <w:tcW w:w="2460" w:type="dxa"/>
            <w:vAlign w:val="bottom"/>
          </w:tcPr>
          <w:p>
            <w:pPr>
              <w:spacing w:after="0"/>
              <w:rPr>
                <w:sz w:val="20"/>
                <w:szCs w:val="20"/>
                <w:color w:val="auto"/>
              </w:rPr>
            </w:pPr>
            <w:r>
              <w:rPr>
                <w:rFonts w:ascii="Arial" w:cs="Arial" w:eastAsia="Arial" w:hAnsi="Arial"/>
                <w:sz w:val="14"/>
                <w:szCs w:val="14"/>
                <w:b w:val="1"/>
                <w:bCs w:val="1"/>
                <w:color w:val="065BAA"/>
              </w:rPr>
              <w:t>Science/Biotech Background</w:t>
            </w:r>
          </w:p>
        </w:tc>
        <w:tc>
          <w:tcPr>
            <w:tcW w:w="2740" w:type="dxa"/>
            <w:vAlign w:val="bottom"/>
          </w:tcPr>
          <w:p>
            <w:pPr>
              <w:ind w:left="460"/>
              <w:spacing w:after="0"/>
              <w:rPr>
                <w:sz w:val="20"/>
                <w:szCs w:val="20"/>
                <w:color w:val="auto"/>
              </w:rPr>
            </w:pPr>
            <w:r>
              <w:rPr>
                <w:rFonts w:ascii="Arial" w:cs="Arial" w:eastAsia="Arial" w:hAnsi="Arial"/>
                <w:sz w:val="14"/>
                <w:szCs w:val="14"/>
                <w:b w:val="1"/>
                <w:bCs w:val="1"/>
                <w:color w:val="065BAA"/>
              </w:rPr>
              <w:t>Research/Academic Experience</w:t>
            </w:r>
          </w:p>
        </w:tc>
        <w:tc>
          <w:tcPr>
            <w:tcW w:w="0" w:type="dxa"/>
            <w:vAlign w:val="bottom"/>
          </w:tcPr>
          <w:p>
            <w:pPr>
              <w:spacing w:after="0"/>
              <w:rPr>
                <w:sz w:val="1"/>
                <w:szCs w:val="1"/>
                <w:color w:val="auto"/>
              </w:rPr>
            </w:pPr>
          </w:p>
        </w:tc>
      </w:tr>
      <w:tr>
        <w:trPr>
          <w:trHeight w:val="465"/>
        </w:trPr>
        <w:tc>
          <w:tcPr>
            <w:tcW w:w="2460" w:type="dxa"/>
            <w:vAlign w:val="bottom"/>
          </w:tcPr>
          <w:p>
            <w:pPr>
              <w:spacing w:after="0"/>
              <w:rPr>
                <w:sz w:val="20"/>
                <w:szCs w:val="20"/>
                <w:color w:val="auto"/>
              </w:rPr>
            </w:pPr>
            <w:r>
              <w:rPr>
                <w:rFonts w:ascii="Arial" w:cs="Arial" w:eastAsia="Arial" w:hAnsi="Arial"/>
                <w:sz w:val="14"/>
                <w:szCs w:val="14"/>
                <w:b w:val="1"/>
                <w:bCs w:val="1"/>
                <w:color w:val="065BAA"/>
              </w:rPr>
              <w:t>Business Strategy/</w:t>
            </w:r>
          </w:p>
        </w:tc>
        <w:tc>
          <w:tcPr>
            <w:tcW w:w="2740" w:type="dxa"/>
            <w:vAlign w:val="bottom"/>
            <w:vMerge w:val="restart"/>
          </w:tcPr>
          <w:p>
            <w:pPr>
              <w:ind w:left="460"/>
              <w:spacing w:after="0"/>
              <w:rPr>
                <w:sz w:val="20"/>
                <w:szCs w:val="20"/>
                <w:color w:val="auto"/>
              </w:rPr>
            </w:pPr>
            <w:r>
              <w:rPr>
                <w:rFonts w:ascii="Arial" w:cs="Arial" w:eastAsia="Arial" w:hAnsi="Arial"/>
                <w:sz w:val="14"/>
                <w:szCs w:val="14"/>
                <w:b w:val="1"/>
                <w:bCs w:val="1"/>
                <w:color w:val="065BAA"/>
              </w:rPr>
              <w:t>Financial Expertise</w:t>
            </w:r>
          </w:p>
        </w:tc>
        <w:tc>
          <w:tcPr>
            <w:tcW w:w="0" w:type="dxa"/>
            <w:vAlign w:val="bottom"/>
          </w:tcPr>
          <w:p>
            <w:pPr>
              <w:spacing w:after="0"/>
              <w:rPr>
                <w:sz w:val="1"/>
                <w:szCs w:val="1"/>
                <w:color w:val="auto"/>
              </w:rPr>
            </w:pPr>
          </w:p>
        </w:tc>
      </w:tr>
      <w:tr>
        <w:trPr>
          <w:trHeight w:val="115"/>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065BAA"/>
              </w:rPr>
              <w:t>Operations Experience</w:t>
            </w:r>
          </w:p>
        </w:tc>
        <w:tc>
          <w:tcPr>
            <w:tcW w:w="2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46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Scientific Society Memberships</w:t>
      </w:r>
    </w:p>
    <w:p>
      <w:pPr>
        <w:spacing w:after="0" w:line="127" w:lineRule="exact"/>
        <w:rPr>
          <w:sz w:val="20"/>
          <w:szCs w:val="20"/>
          <w:color w:val="auto"/>
        </w:rPr>
      </w:pPr>
    </w:p>
    <w:p>
      <w:pPr>
        <w:ind w:left="200" w:hanging="195"/>
        <w:spacing w:after="0"/>
        <w:tabs>
          <w:tab w:leader="none" w:pos="200" w:val="left"/>
        </w:tabs>
        <w:numPr>
          <w:ilvl w:val="0"/>
          <w:numId w:val="21"/>
        </w:numPr>
        <w:rPr>
          <w:rFonts w:ascii="Arial" w:cs="Arial" w:eastAsia="Arial" w:hAnsi="Arial"/>
          <w:sz w:val="16"/>
          <w:szCs w:val="16"/>
          <w:color w:val="065BAA"/>
        </w:rPr>
      </w:pPr>
      <w:r>
        <w:rPr>
          <w:rFonts w:ascii="Arial" w:cs="Arial" w:eastAsia="Arial" w:hAnsi="Arial"/>
          <w:sz w:val="16"/>
          <w:szCs w:val="16"/>
          <w:color w:val="auto"/>
        </w:rPr>
        <w:t>The National Academy of Sciences</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21"/>
        </w:numPr>
        <w:rPr>
          <w:rFonts w:ascii="Arial" w:cs="Arial" w:eastAsia="Arial" w:hAnsi="Arial"/>
          <w:sz w:val="16"/>
          <w:szCs w:val="16"/>
          <w:color w:val="065BAA"/>
        </w:rPr>
      </w:pPr>
      <w:r>
        <w:rPr>
          <w:rFonts w:ascii="Arial" w:cs="Arial" w:eastAsia="Arial" w:hAnsi="Arial"/>
          <w:sz w:val="16"/>
          <w:szCs w:val="16"/>
          <w:color w:val="auto"/>
        </w:rPr>
        <w:t>The National Academy of Medicine</w:t>
      </w:r>
    </w:p>
    <w:p>
      <w:pPr>
        <w:spacing w:after="0" w:line="113" w:lineRule="exact"/>
        <w:rPr>
          <w:rFonts w:ascii="Arial" w:cs="Arial" w:eastAsia="Arial" w:hAnsi="Arial"/>
          <w:sz w:val="16"/>
          <w:szCs w:val="16"/>
          <w:color w:val="065BAA"/>
        </w:rPr>
      </w:pPr>
    </w:p>
    <w:p>
      <w:pPr>
        <w:ind w:left="200" w:hanging="195"/>
        <w:spacing w:after="0"/>
        <w:tabs>
          <w:tab w:leader="none" w:pos="200" w:val="left"/>
        </w:tabs>
        <w:numPr>
          <w:ilvl w:val="0"/>
          <w:numId w:val="21"/>
        </w:numPr>
        <w:rPr>
          <w:rFonts w:ascii="Arial" w:cs="Arial" w:eastAsia="Arial" w:hAnsi="Arial"/>
          <w:sz w:val="16"/>
          <w:szCs w:val="16"/>
          <w:color w:val="065BAA"/>
        </w:rPr>
      </w:pPr>
      <w:r>
        <w:rPr>
          <w:rFonts w:ascii="Arial" w:cs="Arial" w:eastAsia="Arial" w:hAnsi="Arial"/>
          <w:sz w:val="16"/>
          <w:szCs w:val="16"/>
          <w:color w:val="auto"/>
        </w:rPr>
        <w:t>The American Academy of Arts and Sciences</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21"/>
        </w:numPr>
        <w:rPr>
          <w:rFonts w:ascii="Arial" w:cs="Arial" w:eastAsia="Arial" w:hAnsi="Arial"/>
          <w:sz w:val="16"/>
          <w:szCs w:val="16"/>
          <w:color w:val="065BAA"/>
        </w:rPr>
      </w:pPr>
      <w:r>
        <w:rPr>
          <w:rFonts w:ascii="Arial" w:cs="Arial" w:eastAsia="Arial" w:hAnsi="Arial"/>
          <w:sz w:val="16"/>
          <w:szCs w:val="16"/>
          <w:color w:val="auto"/>
        </w:rPr>
        <w:t>The American Society for Clinical Investigation</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21"/>
        </w:numPr>
        <w:rPr>
          <w:rFonts w:ascii="Arial" w:cs="Arial" w:eastAsia="Arial" w:hAnsi="Arial"/>
          <w:sz w:val="16"/>
          <w:szCs w:val="16"/>
          <w:color w:val="065BAA"/>
        </w:rPr>
      </w:pPr>
      <w:r>
        <w:rPr>
          <w:rFonts w:ascii="Arial" w:cs="Arial" w:eastAsia="Arial" w:hAnsi="Arial"/>
          <w:sz w:val="16"/>
          <w:szCs w:val="16"/>
          <w:color w:val="auto"/>
        </w:rPr>
        <w:t>The Association of American Physicians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Boards</w:t>
      </w:r>
    </w:p>
    <w:p>
      <w:pPr>
        <w:spacing w:after="0" w:line="127" w:lineRule="exact"/>
        <w:rPr>
          <w:sz w:val="20"/>
          <w:szCs w:val="20"/>
          <w:color w:val="auto"/>
        </w:rPr>
      </w:pPr>
    </w:p>
    <w:p>
      <w:pPr>
        <w:ind w:left="200" w:hanging="195"/>
        <w:spacing w:after="0"/>
        <w:tabs>
          <w:tab w:leader="none" w:pos="200" w:val="left"/>
        </w:tabs>
        <w:numPr>
          <w:ilvl w:val="0"/>
          <w:numId w:val="22"/>
        </w:numPr>
        <w:rPr>
          <w:rFonts w:ascii="Arial" w:cs="Arial" w:eastAsia="Arial" w:hAnsi="Arial"/>
          <w:sz w:val="16"/>
          <w:szCs w:val="16"/>
          <w:color w:val="065BAA"/>
        </w:rPr>
      </w:pPr>
      <w:r>
        <w:rPr>
          <w:rFonts w:ascii="Arial" w:cs="Arial" w:eastAsia="Arial" w:hAnsi="Arial"/>
          <w:sz w:val="16"/>
          <w:szCs w:val="16"/>
          <w:color w:val="auto"/>
        </w:rPr>
        <w:t>Charles River Laboratories International, Inc.</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 for Nomination</w:t>
      </w:r>
    </w:p>
    <w:p>
      <w:pPr>
        <w:spacing w:after="0" w:line="73" w:lineRule="exact"/>
        <w:rPr>
          <w:sz w:val="20"/>
          <w:szCs w:val="20"/>
          <w:color w:val="auto"/>
        </w:rPr>
      </w:pPr>
    </w:p>
    <w:p>
      <w:pPr>
        <w:ind w:right="619"/>
        <w:spacing w:after="0" w:line="295" w:lineRule="auto"/>
        <w:rPr>
          <w:sz w:val="20"/>
          <w:szCs w:val="20"/>
          <w:color w:val="auto"/>
        </w:rPr>
      </w:pPr>
      <w:r>
        <w:rPr>
          <w:rFonts w:ascii="Arial" w:cs="Arial" w:eastAsia="Arial" w:hAnsi="Arial"/>
          <w:sz w:val="16"/>
          <w:szCs w:val="16"/>
          <w:color w:val="auto"/>
        </w:rPr>
        <w:t>Dr. Thompson’s extensive research and leadership experience in the pharmaceutical and healthcare industries, as well as his experience as a corporate director, led to the board’s decision to nominate Dr. Thompson for reelection to the board.</w:t>
      </w:r>
    </w:p>
    <w:p>
      <w:pPr>
        <w:spacing w:after="0" w:line="200" w:lineRule="exact"/>
        <w:rPr>
          <w:sz w:val="20"/>
          <w:szCs w:val="20"/>
          <w:color w:val="auto"/>
        </w:rPr>
      </w:pPr>
    </w:p>
    <w:p>
      <w:pPr>
        <w:sectPr>
          <w:pgSz w:w="11900" w:h="16838" w:orient="portrait"/>
          <w:cols w:equalWidth="0" w:num="2">
            <w:col w:w="2420" w:space="560"/>
            <w:col w:w="603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065BAA"/>
              </w:rPr>
              <w:t>11</w:t>
            </w:r>
          </w:p>
        </w:tc>
      </w:tr>
    </w:tbl>
    <w:p>
      <w:pPr>
        <w:sectPr>
          <w:pgSz w:w="11900" w:h="16838" w:orient="portrait"/>
          <w:cols w:equalWidth="0" w:num="1">
            <w:col w:w="9019"/>
          </w:cols>
          <w:pgMar w:left="1440" w:top="657" w:right="1440" w:bottom="1440" w:gutter="0" w:footer="0" w:header="0"/>
          <w:type w:val="continuous"/>
        </w:sectPr>
      </w:pPr>
    </w:p>
    <w:bookmarkStart w:id="20" w:name="page21"/>
    <w:bookmarkEnd w:id="20"/>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71</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2016</w:t>
      </w:r>
    </w:p>
    <w:p>
      <w:pPr>
        <w:spacing w:after="0" w:line="221" w:lineRule="exact"/>
        <w:rPr>
          <w:sz w:val="20"/>
          <w:szCs w:val="20"/>
          <w:color w:val="auto"/>
        </w:rPr>
      </w:pPr>
    </w:p>
    <w:p>
      <w:pPr>
        <w:ind w:left="320" w:right="680"/>
        <w:spacing w:after="0" w:line="265" w:lineRule="auto"/>
        <w:rPr>
          <w:sz w:val="20"/>
          <w:szCs w:val="20"/>
          <w:color w:val="auto"/>
        </w:rPr>
      </w:pPr>
      <w:r>
        <w:rPr>
          <w:rFonts w:ascii="Arial" w:cs="Arial" w:eastAsia="Arial" w:hAnsi="Arial"/>
          <w:sz w:val="16"/>
          <w:szCs w:val="16"/>
          <w:b w:val="1"/>
          <w:bCs w:val="1"/>
          <w:color w:val="auto"/>
        </w:rPr>
        <w:t>Board and Committee Membership—</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2025 Attendance</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Board of Directors: </w:t>
      </w:r>
      <w:r>
        <w:rPr>
          <w:rFonts w:ascii="Arial" w:cs="Arial" w:eastAsia="Arial" w:hAnsi="Arial"/>
          <w:sz w:val="16"/>
          <w:szCs w:val="16"/>
          <w:b w:val="1"/>
          <w:bCs w:val="1"/>
          <w:color w:val="auto"/>
        </w:rPr>
        <w:t>14/15</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Compensation Committee: </w:t>
      </w:r>
      <w:r>
        <w:rPr>
          <w:rFonts w:ascii="Arial" w:cs="Arial" w:eastAsia="Arial" w:hAnsi="Arial"/>
          <w:sz w:val="16"/>
          <w:szCs w:val="16"/>
          <w:b w:val="1"/>
          <w:bCs w:val="1"/>
          <w:color w:val="auto"/>
        </w:rPr>
        <w:t>10/11</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Technology Committee: </w:t>
      </w:r>
      <w:r>
        <w:rPr>
          <w:rFonts w:ascii="Arial" w:cs="Arial" w:eastAsia="Arial" w:hAnsi="Arial"/>
          <w:sz w:val="16"/>
          <w:szCs w:val="16"/>
          <w:b w:val="1"/>
          <w:bCs w:val="1"/>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9"/>
          <w:szCs w:val="29"/>
          <w:b w:val="1"/>
          <w:bCs w:val="1"/>
          <w:color w:val="065BAA"/>
        </w:rPr>
        <w:t>Huda Y. Zoghbi, M.D.</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86" w:lineRule="exact"/>
        <w:rPr>
          <w:sz w:val="20"/>
          <w:szCs w:val="20"/>
          <w:color w:val="auto"/>
        </w:rPr>
      </w:pPr>
    </w:p>
    <w:p>
      <w:pPr>
        <w:jc w:val="both"/>
        <w:ind w:left="200" w:right="399" w:hanging="195"/>
        <w:spacing w:after="0" w:line="321" w:lineRule="auto"/>
        <w:tabs>
          <w:tab w:leader="none" w:pos="200" w:val="left"/>
        </w:tabs>
        <w:numPr>
          <w:ilvl w:val="0"/>
          <w:numId w:val="23"/>
        </w:numPr>
        <w:rPr>
          <w:rFonts w:ascii="Arial" w:cs="Arial" w:eastAsia="Arial" w:hAnsi="Arial"/>
          <w:sz w:val="16"/>
          <w:szCs w:val="16"/>
          <w:color w:val="065BAA"/>
        </w:rPr>
      </w:pPr>
      <w:r>
        <w:rPr>
          <w:rFonts w:ascii="Arial" w:cs="Arial" w:eastAsia="Arial" w:hAnsi="Arial"/>
          <w:sz w:val="16"/>
          <w:szCs w:val="16"/>
          <w:color w:val="auto"/>
        </w:rPr>
        <w:t>Professor in the Departments of Pediatrics, Molecular and Human Genetics, and Neurology and Neuroscience at Baylor College of Medicine since 1994</w:t>
      </w:r>
    </w:p>
    <w:p>
      <w:pPr>
        <w:spacing w:after="0" w:line="7" w:lineRule="exact"/>
        <w:rPr>
          <w:rFonts w:ascii="Arial" w:cs="Arial" w:eastAsia="Arial" w:hAnsi="Arial"/>
          <w:sz w:val="16"/>
          <w:szCs w:val="16"/>
          <w:color w:val="065BAA"/>
        </w:rPr>
      </w:pPr>
    </w:p>
    <w:p>
      <w:pPr>
        <w:ind w:left="200" w:right="319" w:hanging="195"/>
        <w:spacing w:after="0" w:line="321" w:lineRule="auto"/>
        <w:tabs>
          <w:tab w:leader="none" w:pos="200" w:val="left"/>
        </w:tabs>
        <w:numPr>
          <w:ilvl w:val="0"/>
          <w:numId w:val="23"/>
        </w:numPr>
        <w:rPr>
          <w:rFonts w:ascii="Arial" w:cs="Arial" w:eastAsia="Arial" w:hAnsi="Arial"/>
          <w:sz w:val="16"/>
          <w:szCs w:val="16"/>
          <w:color w:val="065BAA"/>
        </w:rPr>
      </w:pPr>
      <w:r>
        <w:rPr>
          <w:rFonts w:ascii="Arial" w:cs="Arial" w:eastAsia="Arial" w:hAnsi="Arial"/>
          <w:sz w:val="16"/>
          <w:szCs w:val="16"/>
          <w:color w:val="auto"/>
        </w:rPr>
        <w:t>Director of the Jan and Dan Duncan Neurological Research Institute at Texas Children’s Hospital</w:t>
      </w:r>
    </w:p>
    <w:p>
      <w:pPr>
        <w:spacing w:after="0" w:line="7" w:lineRule="exact"/>
        <w:rPr>
          <w:rFonts w:ascii="Arial" w:cs="Arial" w:eastAsia="Arial" w:hAnsi="Arial"/>
          <w:sz w:val="16"/>
          <w:szCs w:val="16"/>
          <w:color w:val="065BAA"/>
        </w:rPr>
      </w:pPr>
    </w:p>
    <w:p>
      <w:pPr>
        <w:ind w:left="200" w:hanging="195"/>
        <w:spacing w:after="0"/>
        <w:tabs>
          <w:tab w:leader="none" w:pos="200" w:val="left"/>
        </w:tabs>
        <w:numPr>
          <w:ilvl w:val="0"/>
          <w:numId w:val="23"/>
        </w:numPr>
        <w:rPr>
          <w:rFonts w:ascii="Arial" w:cs="Arial" w:eastAsia="Arial" w:hAnsi="Arial"/>
          <w:sz w:val="16"/>
          <w:szCs w:val="16"/>
          <w:color w:val="065BAA"/>
        </w:rPr>
      </w:pPr>
      <w:r>
        <w:rPr>
          <w:rFonts w:ascii="Arial" w:cs="Arial" w:eastAsia="Arial" w:hAnsi="Arial"/>
          <w:sz w:val="16"/>
          <w:szCs w:val="16"/>
          <w:color w:val="auto"/>
        </w:rPr>
        <w:t>Howard Hughes Medical Institute Investigator</w:t>
      </w:r>
    </w:p>
    <w:p>
      <w:pPr>
        <w:spacing w:after="0" w:line="113" w:lineRule="exact"/>
        <w:rPr>
          <w:rFonts w:ascii="Arial" w:cs="Arial" w:eastAsia="Arial" w:hAnsi="Arial"/>
          <w:sz w:val="16"/>
          <w:szCs w:val="16"/>
          <w:color w:val="065BAA"/>
        </w:rPr>
      </w:pPr>
    </w:p>
    <w:p>
      <w:pPr>
        <w:ind w:left="200" w:hanging="195"/>
        <w:spacing w:after="0"/>
        <w:tabs>
          <w:tab w:leader="none" w:pos="200" w:val="left"/>
        </w:tabs>
        <w:numPr>
          <w:ilvl w:val="0"/>
          <w:numId w:val="23"/>
        </w:numPr>
        <w:rPr>
          <w:rFonts w:ascii="Arial" w:cs="Arial" w:eastAsia="Arial" w:hAnsi="Arial"/>
          <w:sz w:val="16"/>
          <w:szCs w:val="16"/>
          <w:color w:val="065BAA"/>
        </w:rPr>
      </w:pPr>
      <w:r>
        <w:rPr>
          <w:rFonts w:ascii="Arial" w:cs="Arial" w:eastAsia="Arial" w:hAnsi="Arial"/>
          <w:sz w:val="16"/>
          <w:szCs w:val="16"/>
          <w:color w:val="auto"/>
        </w:rPr>
        <w:t>Breakthrough Prize in Life Sciences</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23"/>
        </w:numPr>
        <w:rPr>
          <w:rFonts w:ascii="Arial" w:cs="Arial" w:eastAsia="Arial" w:hAnsi="Arial"/>
          <w:sz w:val="16"/>
          <w:szCs w:val="16"/>
          <w:color w:val="065BAA"/>
        </w:rPr>
      </w:pPr>
      <w:r>
        <w:rPr>
          <w:rFonts w:ascii="Arial" w:cs="Arial" w:eastAsia="Arial" w:hAnsi="Arial"/>
          <w:sz w:val="16"/>
          <w:szCs w:val="16"/>
          <w:color w:val="auto"/>
        </w:rPr>
        <w:t>Pearl Meister Greengard Prize</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23"/>
        </w:numPr>
        <w:rPr>
          <w:rFonts w:ascii="Arial" w:cs="Arial" w:eastAsia="Arial" w:hAnsi="Arial"/>
          <w:sz w:val="16"/>
          <w:szCs w:val="16"/>
          <w:color w:val="065BAA"/>
        </w:rPr>
      </w:pPr>
      <w:r>
        <w:rPr>
          <w:rFonts w:ascii="Arial" w:cs="Arial" w:eastAsia="Arial" w:hAnsi="Arial"/>
          <w:sz w:val="16"/>
          <w:szCs w:val="16"/>
          <w:color w:val="auto"/>
        </w:rPr>
        <w:t>March of Dimes Prize in Developmental Biology</w:t>
      </w:r>
    </w:p>
    <w:p>
      <w:pPr>
        <w:spacing w:after="0" w:line="113" w:lineRule="exact"/>
        <w:rPr>
          <w:rFonts w:ascii="Arial" w:cs="Arial" w:eastAsia="Arial" w:hAnsi="Arial"/>
          <w:sz w:val="16"/>
          <w:szCs w:val="16"/>
          <w:color w:val="065BAA"/>
        </w:rPr>
      </w:pPr>
    </w:p>
    <w:p>
      <w:pPr>
        <w:ind w:left="200" w:hanging="195"/>
        <w:spacing w:after="0"/>
        <w:tabs>
          <w:tab w:leader="none" w:pos="200" w:val="left"/>
        </w:tabs>
        <w:numPr>
          <w:ilvl w:val="0"/>
          <w:numId w:val="23"/>
        </w:numPr>
        <w:rPr>
          <w:rFonts w:ascii="Arial" w:cs="Arial" w:eastAsia="Arial" w:hAnsi="Arial"/>
          <w:sz w:val="16"/>
          <w:szCs w:val="16"/>
          <w:color w:val="065BAA"/>
        </w:rPr>
      </w:pPr>
      <w:r>
        <w:rPr>
          <w:rFonts w:ascii="Arial" w:cs="Arial" w:eastAsia="Arial" w:hAnsi="Arial"/>
          <w:sz w:val="16"/>
          <w:szCs w:val="16"/>
          <w:color w:val="auto"/>
        </w:rPr>
        <w:t>Vanderbilt Prize in Biomedical Science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065BAA"/>
        </w:rPr>
        <w:t xml:space="preserve">Executive/Leadership Experience  </w:t>
      </w:r>
      <w:r>
        <w:rPr>
          <w:sz w:val="1"/>
          <w:szCs w:val="1"/>
          <w:color w:val="auto"/>
        </w:rPr>
        <w:drawing>
          <wp:inline distT="0" distB="0" distL="0" distR="0">
            <wp:extent cx="248920" cy="24892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8920" cy="248920"/>
                    </a:xfrm>
                    <a:prstGeom prst="rect">
                      <a:avLst/>
                    </a:prstGeom>
                    <a:noFill/>
                    <a:ln>
                      <a:noFill/>
                    </a:ln>
                  </pic:spPr>
                </pic:pic>
              </a:graphicData>
            </a:graphic>
          </wp:inline>
        </w:drawing>
      </w:r>
      <w:r>
        <w:rPr>
          <w:rFonts w:ascii="Arial" w:cs="Arial" w:eastAsia="Arial" w:hAnsi="Arial"/>
          <w:sz w:val="14"/>
          <w:szCs w:val="14"/>
          <w:b w:val="1"/>
          <w:bCs w:val="1"/>
          <w:color w:val="065BAA"/>
        </w:rPr>
        <w:t xml:space="preserve"> Science/Biotech Background</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065BAA"/>
        </w:rPr>
        <w:t>Research/Academic Experience</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Scientific Society Memberships</w:t>
      </w:r>
    </w:p>
    <w:p>
      <w:pPr>
        <w:spacing w:after="0" w:line="127" w:lineRule="exact"/>
        <w:rPr>
          <w:sz w:val="20"/>
          <w:szCs w:val="20"/>
          <w:color w:val="auto"/>
        </w:rPr>
      </w:pPr>
    </w:p>
    <w:p>
      <w:pPr>
        <w:ind w:left="200" w:hanging="195"/>
        <w:spacing w:after="0"/>
        <w:tabs>
          <w:tab w:leader="none" w:pos="200" w:val="left"/>
        </w:tabs>
        <w:numPr>
          <w:ilvl w:val="0"/>
          <w:numId w:val="24"/>
        </w:numPr>
        <w:rPr>
          <w:rFonts w:ascii="Arial" w:cs="Arial" w:eastAsia="Arial" w:hAnsi="Arial"/>
          <w:sz w:val="16"/>
          <w:szCs w:val="16"/>
          <w:color w:val="065BAA"/>
        </w:rPr>
      </w:pPr>
      <w:r>
        <w:rPr>
          <w:rFonts w:ascii="Arial" w:cs="Arial" w:eastAsia="Arial" w:hAnsi="Arial"/>
          <w:sz w:val="16"/>
          <w:szCs w:val="16"/>
          <w:color w:val="auto"/>
        </w:rPr>
        <w:t>The National Academy of Sciences</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24"/>
        </w:numPr>
        <w:rPr>
          <w:rFonts w:ascii="Arial" w:cs="Arial" w:eastAsia="Arial" w:hAnsi="Arial"/>
          <w:sz w:val="16"/>
          <w:szCs w:val="16"/>
          <w:color w:val="065BAA"/>
        </w:rPr>
      </w:pPr>
      <w:r>
        <w:rPr>
          <w:rFonts w:ascii="Arial" w:cs="Arial" w:eastAsia="Arial" w:hAnsi="Arial"/>
          <w:sz w:val="16"/>
          <w:szCs w:val="16"/>
          <w:color w:val="auto"/>
        </w:rPr>
        <w:t>The Institute of Medicine</w:t>
      </w:r>
    </w:p>
    <w:p>
      <w:pPr>
        <w:spacing w:after="0" w:line="113" w:lineRule="exact"/>
        <w:rPr>
          <w:rFonts w:ascii="Arial" w:cs="Arial" w:eastAsia="Arial" w:hAnsi="Arial"/>
          <w:sz w:val="16"/>
          <w:szCs w:val="16"/>
          <w:color w:val="065BAA"/>
        </w:rPr>
      </w:pPr>
    </w:p>
    <w:p>
      <w:pPr>
        <w:ind w:left="200" w:hanging="195"/>
        <w:spacing w:after="0"/>
        <w:tabs>
          <w:tab w:leader="none" w:pos="200" w:val="left"/>
        </w:tabs>
        <w:numPr>
          <w:ilvl w:val="0"/>
          <w:numId w:val="24"/>
        </w:numPr>
        <w:rPr>
          <w:rFonts w:ascii="Arial" w:cs="Arial" w:eastAsia="Arial" w:hAnsi="Arial"/>
          <w:sz w:val="16"/>
          <w:szCs w:val="16"/>
          <w:color w:val="065BAA"/>
        </w:rPr>
      </w:pPr>
      <w:r>
        <w:rPr>
          <w:rFonts w:ascii="Arial" w:cs="Arial" w:eastAsia="Arial" w:hAnsi="Arial"/>
          <w:sz w:val="16"/>
          <w:szCs w:val="16"/>
          <w:color w:val="auto"/>
        </w:rPr>
        <w:t>The American Association for the Advancement of Science</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 for Nomination</w:t>
      </w:r>
    </w:p>
    <w:p>
      <w:pPr>
        <w:spacing w:after="0" w:line="73" w:lineRule="exact"/>
        <w:rPr>
          <w:sz w:val="20"/>
          <w:szCs w:val="20"/>
          <w:color w:val="auto"/>
        </w:rPr>
      </w:pPr>
    </w:p>
    <w:p>
      <w:pPr>
        <w:ind w:right="359"/>
        <w:spacing w:after="0" w:line="301" w:lineRule="auto"/>
        <w:rPr>
          <w:sz w:val="20"/>
          <w:szCs w:val="20"/>
          <w:color w:val="auto"/>
        </w:rPr>
      </w:pPr>
      <w:r>
        <w:rPr>
          <w:rFonts w:ascii="Arial" w:cs="Arial" w:eastAsia="Arial" w:hAnsi="Arial"/>
          <w:sz w:val="16"/>
          <w:szCs w:val="16"/>
          <w:color w:val="auto"/>
        </w:rPr>
        <w:t>Dr. Zoghbi’s extensive research experience and her scientific and academic career and accomplishments led to the board’s decision to nominate Dr. Zoghbi for reelection to the board.</w:t>
      </w:r>
    </w:p>
    <w:p>
      <w:pPr>
        <w:spacing w:after="0" w:line="200" w:lineRule="exact"/>
        <w:rPr>
          <w:sz w:val="20"/>
          <w:szCs w:val="20"/>
          <w:color w:val="auto"/>
        </w:rPr>
      </w:pPr>
    </w:p>
    <w:p>
      <w:pPr>
        <w:sectPr>
          <w:pgSz w:w="11900" w:h="16838" w:orient="portrait"/>
          <w:cols w:equalWidth="0" w:num="2">
            <w:col w:w="2680" w:space="300"/>
            <w:col w:w="603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12</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21" w:name="page22"/>
    <w:bookmarkEnd w:id="21"/>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Class III Directors Continuing in Office</w:t>
      </w:r>
    </w:p>
    <w:p>
      <w:pPr>
        <w:spacing w:after="0" w:line="19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terms of office for the Class III directors listed below expire at the 2027 Annual Meeting.</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65</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2017</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Board and Committee</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Membership—</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2025 Attendance</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Board of Directors: </w:t>
      </w:r>
      <w:r>
        <w:rPr>
          <w:rFonts w:ascii="Arial" w:cs="Arial" w:eastAsia="Arial" w:hAnsi="Arial"/>
          <w:sz w:val="16"/>
          <w:szCs w:val="16"/>
          <w:b w:val="1"/>
          <w:bCs w:val="1"/>
          <w:color w:val="auto"/>
        </w:rPr>
        <w:t>14/15</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Audit Committee: </w:t>
      </w:r>
      <w:r>
        <w:rPr>
          <w:rFonts w:ascii="Arial" w:cs="Arial" w:eastAsia="Arial" w:hAnsi="Arial"/>
          <w:sz w:val="16"/>
          <w:szCs w:val="16"/>
          <w:b w:val="1"/>
          <w:bCs w:val="1"/>
          <w:color w:val="auto"/>
        </w:rPr>
        <w:t>9/9</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Compensation Committee: </w:t>
      </w:r>
      <w:r>
        <w:rPr>
          <w:rFonts w:ascii="Arial" w:cs="Arial" w:eastAsia="Arial" w:hAnsi="Arial"/>
          <w:sz w:val="16"/>
          <w:szCs w:val="16"/>
          <w:b w:val="1"/>
          <w:bCs w:val="1"/>
          <w:color w:val="auto"/>
        </w:rPr>
        <w:t>8/8*</w:t>
      </w:r>
    </w:p>
    <w:p>
      <w:pPr>
        <w:spacing w:after="0" w:line="339" w:lineRule="exact"/>
        <w:rPr>
          <w:sz w:val="20"/>
          <w:szCs w:val="20"/>
          <w:color w:val="auto"/>
        </w:rPr>
      </w:pPr>
    </w:p>
    <w:p>
      <w:pPr>
        <w:ind w:left="520" w:right="220" w:hanging="200"/>
        <w:spacing w:after="0" w:line="296" w:lineRule="auto"/>
        <w:tabs>
          <w:tab w:leader="none" w:pos="514" w:val="left"/>
        </w:tabs>
        <w:numPr>
          <w:ilvl w:val="0"/>
          <w:numId w:val="25"/>
        </w:numPr>
        <w:rPr>
          <w:rFonts w:ascii="Arial" w:cs="Arial" w:eastAsia="Arial" w:hAnsi="Arial"/>
          <w:sz w:val="12"/>
          <w:szCs w:val="12"/>
          <w:color w:val="auto"/>
        </w:rPr>
      </w:pPr>
      <w:r>
        <w:rPr>
          <w:rFonts w:ascii="Arial" w:cs="Arial" w:eastAsia="Arial" w:hAnsi="Arial"/>
          <w:sz w:val="12"/>
          <w:szCs w:val="12"/>
          <w:color w:val="auto"/>
        </w:rPr>
        <w:t>Dr. Coles was appointed as a member of the Compensation Committee of the board effective April 4, 2025. He attended all meetings of the Compensation Committee held after that date.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29"/>
          <w:szCs w:val="29"/>
          <w:b w:val="1"/>
          <w:bCs w:val="1"/>
          <w:color w:val="065BAA"/>
        </w:rPr>
        <w:t>N. Anthony Coles, M.D.</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39" w:lineRule="exact"/>
        <w:rPr>
          <w:sz w:val="20"/>
          <w:szCs w:val="20"/>
          <w:color w:val="auto"/>
        </w:rPr>
      </w:pPr>
    </w:p>
    <w:p>
      <w:pPr>
        <w:ind w:left="200" w:right="859" w:hanging="195"/>
        <w:spacing w:after="0" w:line="232" w:lineRule="exact"/>
        <w:tabs>
          <w:tab w:leader="none" w:pos="200" w:val="left"/>
        </w:tabs>
        <w:numPr>
          <w:ilvl w:val="0"/>
          <w:numId w:val="26"/>
        </w:numPr>
        <w:rPr>
          <w:rFonts w:ascii="Arial" w:cs="Arial" w:eastAsia="Arial" w:hAnsi="Arial"/>
          <w:sz w:val="16"/>
          <w:szCs w:val="16"/>
          <w:color w:val="065BAA"/>
        </w:rPr>
      </w:pPr>
      <w:r>
        <w:rPr>
          <w:rFonts w:ascii="Arial" w:cs="Arial" w:eastAsia="Arial" w:hAnsi="Arial"/>
          <w:sz w:val="16"/>
          <w:szCs w:val="16"/>
          <w:color w:val="auto"/>
        </w:rPr>
        <w:t>Chair and CEO of TRATE Enterprises LLC, a privately</w:t>
      </w:r>
      <w:r>
        <w:rPr>
          <w:rFonts w:ascii="MS PGothic" w:cs="MS PGothic" w:eastAsia="MS PGothic" w:hAnsi="MS PGothic"/>
          <w:sz w:val="16"/>
          <w:szCs w:val="16"/>
          <w:color w:val="auto"/>
        </w:rPr>
        <w:t>‑</w:t>
      </w:r>
      <w:r>
        <w:rPr>
          <w:rFonts w:ascii="Arial" w:cs="Arial" w:eastAsia="Arial" w:hAnsi="Arial"/>
          <w:sz w:val="16"/>
          <w:szCs w:val="16"/>
          <w:color w:val="auto"/>
        </w:rPr>
        <w:t>held company, since 2013</w:t>
      </w:r>
    </w:p>
    <w:p>
      <w:pPr>
        <w:spacing w:after="0" w:line="70" w:lineRule="exact"/>
        <w:rPr>
          <w:rFonts w:ascii="Arial" w:cs="Arial" w:eastAsia="Arial" w:hAnsi="Arial"/>
          <w:sz w:val="16"/>
          <w:szCs w:val="16"/>
          <w:color w:val="065BAA"/>
        </w:rPr>
      </w:pPr>
    </w:p>
    <w:p>
      <w:pPr>
        <w:ind w:left="200" w:right="199" w:hanging="195"/>
        <w:spacing w:after="0" w:line="301" w:lineRule="auto"/>
        <w:tabs>
          <w:tab w:leader="none" w:pos="200" w:val="left"/>
        </w:tabs>
        <w:numPr>
          <w:ilvl w:val="0"/>
          <w:numId w:val="26"/>
        </w:numPr>
        <w:rPr>
          <w:rFonts w:ascii="Arial" w:cs="Arial" w:eastAsia="Arial" w:hAnsi="Arial"/>
          <w:sz w:val="16"/>
          <w:szCs w:val="16"/>
          <w:color w:val="065BAA"/>
        </w:rPr>
      </w:pPr>
      <w:r>
        <w:rPr>
          <w:rFonts w:ascii="Arial" w:cs="Arial" w:eastAsia="Arial" w:hAnsi="Arial"/>
          <w:sz w:val="16"/>
          <w:szCs w:val="16"/>
          <w:color w:val="auto"/>
        </w:rPr>
        <w:t>Former Chair (from 2018 to 2024) and President and Chief Executive Officer (from 2019 to 2023) of Cerevel Therapeutics Holdings, Inc., the parent entity of Cerevel Therapeutics, Inc.</w:t>
      </w:r>
    </w:p>
    <w:p>
      <w:pPr>
        <w:spacing w:after="0" w:line="36" w:lineRule="exact"/>
        <w:rPr>
          <w:rFonts w:ascii="Arial" w:cs="Arial" w:eastAsia="Arial" w:hAnsi="Arial"/>
          <w:sz w:val="16"/>
          <w:szCs w:val="16"/>
          <w:color w:val="065BAA"/>
        </w:rPr>
      </w:pPr>
    </w:p>
    <w:p>
      <w:pPr>
        <w:ind w:left="200" w:right="1059" w:hanging="195"/>
        <w:spacing w:after="0" w:line="321" w:lineRule="auto"/>
        <w:tabs>
          <w:tab w:leader="none" w:pos="200" w:val="left"/>
        </w:tabs>
        <w:numPr>
          <w:ilvl w:val="0"/>
          <w:numId w:val="26"/>
        </w:numPr>
        <w:rPr>
          <w:rFonts w:ascii="Arial" w:cs="Arial" w:eastAsia="Arial" w:hAnsi="Arial"/>
          <w:sz w:val="16"/>
          <w:szCs w:val="16"/>
          <w:color w:val="065BAA"/>
        </w:rPr>
      </w:pPr>
      <w:r>
        <w:rPr>
          <w:rFonts w:ascii="Arial" w:cs="Arial" w:eastAsia="Arial" w:hAnsi="Arial"/>
          <w:sz w:val="16"/>
          <w:szCs w:val="16"/>
          <w:color w:val="auto"/>
        </w:rPr>
        <w:t>Former Chief Executive Officer and Chair of the Board of Yumanity Therapeutics, Inc.</w:t>
      </w:r>
    </w:p>
    <w:p>
      <w:pPr>
        <w:spacing w:after="0" w:line="7" w:lineRule="exact"/>
        <w:rPr>
          <w:rFonts w:ascii="Arial" w:cs="Arial" w:eastAsia="Arial" w:hAnsi="Arial"/>
          <w:sz w:val="16"/>
          <w:szCs w:val="16"/>
          <w:color w:val="065BAA"/>
        </w:rPr>
      </w:pPr>
    </w:p>
    <w:p>
      <w:pPr>
        <w:ind w:left="200" w:right="579" w:hanging="195"/>
        <w:spacing w:after="0" w:line="321" w:lineRule="auto"/>
        <w:tabs>
          <w:tab w:leader="none" w:pos="200" w:val="left"/>
        </w:tabs>
        <w:numPr>
          <w:ilvl w:val="0"/>
          <w:numId w:val="26"/>
        </w:numPr>
        <w:rPr>
          <w:rFonts w:ascii="Arial" w:cs="Arial" w:eastAsia="Arial" w:hAnsi="Arial"/>
          <w:sz w:val="16"/>
          <w:szCs w:val="16"/>
          <w:color w:val="065BAA"/>
        </w:rPr>
      </w:pPr>
      <w:r>
        <w:rPr>
          <w:rFonts w:ascii="Arial" w:cs="Arial" w:eastAsia="Arial" w:hAnsi="Arial"/>
          <w:sz w:val="16"/>
          <w:szCs w:val="16"/>
          <w:color w:val="auto"/>
        </w:rPr>
        <w:t>Former President, Chief Executive Officer and Chair of the Board of Onyx Pharmaceuticals, Inc.</w:t>
      </w:r>
    </w:p>
    <w:p>
      <w:pPr>
        <w:spacing w:after="0" w:line="7" w:lineRule="exact"/>
        <w:rPr>
          <w:rFonts w:ascii="Arial" w:cs="Arial" w:eastAsia="Arial" w:hAnsi="Arial"/>
          <w:sz w:val="16"/>
          <w:szCs w:val="16"/>
          <w:color w:val="065BAA"/>
        </w:rPr>
      </w:pPr>
    </w:p>
    <w:p>
      <w:pPr>
        <w:ind w:left="200" w:right="779" w:hanging="195"/>
        <w:spacing w:after="0" w:line="321" w:lineRule="auto"/>
        <w:tabs>
          <w:tab w:leader="none" w:pos="200" w:val="left"/>
        </w:tabs>
        <w:numPr>
          <w:ilvl w:val="0"/>
          <w:numId w:val="26"/>
        </w:numPr>
        <w:rPr>
          <w:rFonts w:ascii="Arial" w:cs="Arial" w:eastAsia="Arial" w:hAnsi="Arial"/>
          <w:sz w:val="16"/>
          <w:szCs w:val="16"/>
          <w:color w:val="065BAA"/>
        </w:rPr>
      </w:pPr>
      <w:r>
        <w:rPr>
          <w:rFonts w:ascii="Arial" w:cs="Arial" w:eastAsia="Arial" w:hAnsi="Arial"/>
          <w:sz w:val="16"/>
          <w:szCs w:val="16"/>
          <w:color w:val="auto"/>
        </w:rPr>
        <w:t>Former President, Chief Executive Officer, and member of the board of directors of NPS Pharmaceuticals, Inc.</w:t>
      </w:r>
    </w:p>
    <w:p>
      <w:pPr>
        <w:spacing w:after="0" w:line="7" w:lineRule="exact"/>
        <w:rPr>
          <w:rFonts w:ascii="Arial" w:cs="Arial" w:eastAsia="Arial" w:hAnsi="Arial"/>
          <w:sz w:val="16"/>
          <w:szCs w:val="16"/>
          <w:color w:val="065BAA"/>
        </w:rPr>
      </w:pPr>
    </w:p>
    <w:p>
      <w:pPr>
        <w:ind w:left="200" w:right="219" w:hanging="195"/>
        <w:spacing w:after="0" w:line="216" w:lineRule="exact"/>
        <w:tabs>
          <w:tab w:leader="none" w:pos="200" w:val="left"/>
        </w:tabs>
        <w:numPr>
          <w:ilvl w:val="0"/>
          <w:numId w:val="26"/>
        </w:numPr>
        <w:rPr>
          <w:rFonts w:ascii="Arial" w:cs="Arial" w:eastAsia="Arial" w:hAnsi="Arial"/>
          <w:sz w:val="16"/>
          <w:szCs w:val="16"/>
          <w:color w:val="065BAA"/>
        </w:rPr>
      </w:pPr>
      <w:r>
        <w:rPr>
          <w:rFonts w:ascii="Arial" w:cs="Arial" w:eastAsia="Arial" w:hAnsi="Arial"/>
          <w:sz w:val="16"/>
          <w:szCs w:val="16"/>
          <w:color w:val="auto"/>
        </w:rPr>
        <w:t>Previously held various leadership positions in the biopharmaceutical and pharmaceutical industries, including at Merck &amp; Co., Inc., Bristol</w:t>
      </w:r>
      <w:r>
        <w:rPr>
          <w:rFonts w:ascii="MS PGothic" w:cs="MS PGothic" w:eastAsia="MS PGothic" w:hAnsi="MS PGothic"/>
          <w:sz w:val="16"/>
          <w:szCs w:val="16"/>
          <w:color w:val="auto"/>
        </w:rPr>
        <w:t>‑</w:t>
      </w:r>
      <w:r>
        <w:rPr>
          <w:rFonts w:ascii="Arial" w:cs="Arial" w:eastAsia="Arial" w:hAnsi="Arial"/>
          <w:sz w:val="16"/>
          <w:szCs w:val="16"/>
          <w:color w:val="auto"/>
        </w:rPr>
        <w:t>Myers Squibb Company, and Vertex Pharmaceuticals Incorporated</w:t>
      </w:r>
    </w:p>
    <w:p>
      <w:pPr>
        <w:spacing w:after="0" w:line="82" w:lineRule="exact"/>
        <w:rPr>
          <w:rFonts w:ascii="Arial" w:cs="Arial" w:eastAsia="Arial" w:hAnsi="Arial"/>
          <w:sz w:val="16"/>
          <w:szCs w:val="16"/>
          <w:color w:val="065BAA"/>
        </w:rPr>
      </w:pPr>
    </w:p>
    <w:p>
      <w:pPr>
        <w:ind w:left="200" w:right="219" w:hanging="195"/>
        <w:spacing w:after="0" w:line="321" w:lineRule="auto"/>
        <w:tabs>
          <w:tab w:leader="none" w:pos="200" w:val="left"/>
        </w:tabs>
        <w:numPr>
          <w:ilvl w:val="0"/>
          <w:numId w:val="26"/>
        </w:numPr>
        <w:rPr>
          <w:rFonts w:ascii="Arial" w:cs="Arial" w:eastAsia="Arial" w:hAnsi="Arial"/>
          <w:sz w:val="16"/>
          <w:szCs w:val="16"/>
          <w:color w:val="065BAA"/>
        </w:rPr>
      </w:pPr>
      <w:r>
        <w:rPr>
          <w:rFonts w:ascii="Arial" w:cs="Arial" w:eastAsia="Arial" w:hAnsi="Arial"/>
          <w:sz w:val="16"/>
          <w:szCs w:val="16"/>
          <w:color w:val="auto"/>
        </w:rPr>
        <w:t>Former director of Laboratory Corporation of America Holdings, Campus Crest Communities, Inc., CRISPR Therapeutics AG, and McKesson Corporation</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334"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2600" w:type="dxa"/>
            <w:vAlign w:val="bottom"/>
          </w:tcPr>
          <w:p>
            <w:pPr>
              <w:spacing w:after="0"/>
              <w:rPr>
                <w:sz w:val="20"/>
                <w:szCs w:val="20"/>
                <w:color w:val="auto"/>
              </w:rPr>
            </w:pPr>
            <w:r>
              <w:rPr>
                <w:rFonts w:ascii="Arial" w:cs="Arial" w:eastAsia="Arial" w:hAnsi="Arial"/>
                <w:sz w:val="14"/>
                <w:szCs w:val="14"/>
                <w:b w:val="1"/>
                <w:bCs w:val="1"/>
                <w:color w:val="065BAA"/>
              </w:rPr>
              <w:t>Industry Experience</w:t>
            </w:r>
          </w:p>
        </w:tc>
        <w:tc>
          <w:tcPr>
            <w:tcW w:w="2600" w:type="dxa"/>
            <w:vAlign w:val="bottom"/>
          </w:tcPr>
          <w:p>
            <w:pPr>
              <w:ind w:left="320"/>
              <w:spacing w:after="0"/>
              <w:rPr>
                <w:sz w:val="20"/>
                <w:szCs w:val="20"/>
                <w:color w:val="auto"/>
              </w:rPr>
            </w:pPr>
            <w:r>
              <w:rPr>
                <w:rFonts w:ascii="Arial" w:cs="Arial" w:eastAsia="Arial" w:hAnsi="Arial"/>
                <w:sz w:val="14"/>
                <w:szCs w:val="14"/>
                <w:b w:val="1"/>
                <w:bCs w:val="1"/>
                <w:color w:val="065BAA"/>
              </w:rPr>
              <w:t>Executive/Leadership Experience</w:t>
            </w:r>
          </w:p>
        </w:tc>
        <w:tc>
          <w:tcPr>
            <w:tcW w:w="0" w:type="dxa"/>
            <w:vAlign w:val="bottom"/>
          </w:tcPr>
          <w:p>
            <w:pPr>
              <w:spacing w:after="0"/>
              <w:rPr>
                <w:sz w:val="1"/>
                <w:szCs w:val="1"/>
                <w:color w:val="auto"/>
              </w:rPr>
            </w:pPr>
          </w:p>
        </w:tc>
      </w:tr>
      <w:tr>
        <w:trPr>
          <w:trHeight w:val="540"/>
        </w:trPr>
        <w:tc>
          <w:tcPr>
            <w:tcW w:w="2600" w:type="dxa"/>
            <w:vAlign w:val="bottom"/>
          </w:tcPr>
          <w:p>
            <w:pPr>
              <w:spacing w:after="0"/>
              <w:rPr>
                <w:sz w:val="20"/>
                <w:szCs w:val="20"/>
                <w:color w:val="auto"/>
              </w:rPr>
            </w:pPr>
            <w:r>
              <w:rPr>
                <w:rFonts w:ascii="Arial" w:cs="Arial" w:eastAsia="Arial" w:hAnsi="Arial"/>
                <w:sz w:val="14"/>
                <w:szCs w:val="14"/>
                <w:b w:val="1"/>
                <w:bCs w:val="1"/>
                <w:color w:val="065BAA"/>
              </w:rPr>
              <w:t>Science/Biotech Background</w:t>
            </w:r>
          </w:p>
        </w:tc>
        <w:tc>
          <w:tcPr>
            <w:tcW w:w="2600" w:type="dxa"/>
            <w:vAlign w:val="bottom"/>
          </w:tcPr>
          <w:p>
            <w:pPr>
              <w:ind w:left="320"/>
              <w:spacing w:after="0"/>
              <w:rPr>
                <w:sz w:val="20"/>
                <w:szCs w:val="20"/>
                <w:color w:val="auto"/>
              </w:rPr>
            </w:pPr>
            <w:r>
              <w:rPr>
                <w:rFonts w:ascii="Arial" w:cs="Arial" w:eastAsia="Arial" w:hAnsi="Arial"/>
                <w:sz w:val="14"/>
                <w:szCs w:val="14"/>
                <w:b w:val="1"/>
                <w:bCs w:val="1"/>
                <w:color w:val="065BAA"/>
              </w:rPr>
              <w:t>Research/Academic Experience</w:t>
            </w:r>
          </w:p>
        </w:tc>
        <w:tc>
          <w:tcPr>
            <w:tcW w:w="0" w:type="dxa"/>
            <w:vAlign w:val="bottom"/>
          </w:tcPr>
          <w:p>
            <w:pPr>
              <w:spacing w:after="0"/>
              <w:rPr>
                <w:sz w:val="1"/>
                <w:szCs w:val="1"/>
                <w:color w:val="auto"/>
              </w:rPr>
            </w:pPr>
          </w:p>
        </w:tc>
      </w:tr>
      <w:tr>
        <w:trPr>
          <w:trHeight w:val="452"/>
        </w:trPr>
        <w:tc>
          <w:tcPr>
            <w:tcW w:w="2600" w:type="dxa"/>
            <w:vAlign w:val="bottom"/>
          </w:tcPr>
          <w:p>
            <w:pPr>
              <w:spacing w:after="0"/>
              <w:rPr>
                <w:sz w:val="20"/>
                <w:szCs w:val="20"/>
                <w:color w:val="auto"/>
              </w:rPr>
            </w:pPr>
            <w:r>
              <w:rPr>
                <w:rFonts w:ascii="Arial" w:cs="Arial" w:eastAsia="Arial" w:hAnsi="Arial"/>
                <w:sz w:val="14"/>
                <w:szCs w:val="14"/>
                <w:b w:val="1"/>
                <w:bCs w:val="1"/>
                <w:color w:val="065BAA"/>
              </w:rPr>
              <w:t>Business Strategy/</w:t>
            </w:r>
          </w:p>
        </w:tc>
        <w:tc>
          <w:tcPr>
            <w:tcW w:w="2600" w:type="dxa"/>
            <w:vAlign w:val="bottom"/>
            <w:vMerge w:val="restart"/>
          </w:tcPr>
          <w:p>
            <w:pPr>
              <w:ind w:left="320"/>
              <w:spacing w:after="0"/>
              <w:rPr>
                <w:sz w:val="20"/>
                <w:szCs w:val="20"/>
                <w:color w:val="auto"/>
              </w:rPr>
            </w:pPr>
            <w:r>
              <w:rPr>
                <w:rFonts w:ascii="Arial" w:cs="Arial" w:eastAsia="Arial" w:hAnsi="Arial"/>
                <w:sz w:val="14"/>
                <w:szCs w:val="14"/>
                <w:b w:val="1"/>
                <w:bCs w:val="1"/>
                <w:color w:val="065BAA"/>
              </w:rPr>
              <w:t>Financial Expertise</w:t>
            </w:r>
          </w:p>
        </w:tc>
        <w:tc>
          <w:tcPr>
            <w:tcW w:w="0" w:type="dxa"/>
            <w:vAlign w:val="bottom"/>
          </w:tcPr>
          <w:p>
            <w:pPr>
              <w:spacing w:after="0"/>
              <w:rPr>
                <w:sz w:val="1"/>
                <w:szCs w:val="1"/>
                <w:color w:val="auto"/>
              </w:rPr>
            </w:pPr>
          </w:p>
        </w:tc>
      </w:tr>
      <w:tr>
        <w:trPr>
          <w:trHeight w:val="115"/>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065BAA"/>
              </w:rPr>
              <w:t>Operations Experience</w:t>
            </w: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600" w:type="dxa"/>
            <w:vAlign w:val="bottom"/>
            <w:vMerge w:val="continue"/>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9"/>
        </w:trPr>
        <w:tc>
          <w:tcPr>
            <w:tcW w:w="2600" w:type="dxa"/>
            <w:vAlign w:val="bottom"/>
          </w:tcPr>
          <w:p>
            <w:pPr>
              <w:spacing w:after="0"/>
              <w:rPr>
                <w:sz w:val="20"/>
                <w:szCs w:val="20"/>
                <w:color w:val="auto"/>
              </w:rPr>
            </w:pPr>
            <w:r>
              <w:rPr>
                <w:rFonts w:ascii="Arial" w:cs="Arial" w:eastAsia="Arial" w:hAnsi="Arial"/>
                <w:sz w:val="14"/>
                <w:szCs w:val="14"/>
                <w:b w:val="1"/>
                <w:bCs w:val="1"/>
                <w:color w:val="065BAA"/>
              </w:rPr>
              <w:t>Public Company CEO Experience</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ind w:right="339"/>
        <w:spacing w:after="0" w:line="291" w:lineRule="auto"/>
        <w:rPr>
          <w:sz w:val="20"/>
          <w:szCs w:val="20"/>
          <w:color w:val="auto"/>
        </w:rPr>
      </w:pPr>
      <w:r>
        <w:rPr>
          <w:rFonts w:ascii="Arial" w:cs="Arial" w:eastAsia="Arial" w:hAnsi="Arial"/>
          <w:sz w:val="16"/>
          <w:szCs w:val="16"/>
          <w:color w:val="auto"/>
        </w:rPr>
        <w:t>Dr. Coles’s experience as a seasoned executive and corporate director with extensive knowledge of highly regulated biopharmaceutical and pharmaceutical companies, as well as his in-depth knowledge and understanding of the regulatory environment in which Regeneron operates, led to the board to conclude that Dr. Coles should serve as a director.</w:t>
      </w:r>
    </w:p>
    <w:p>
      <w:pPr>
        <w:spacing w:after="0" w:line="200" w:lineRule="exact"/>
        <w:rPr>
          <w:sz w:val="20"/>
          <w:szCs w:val="20"/>
          <w:color w:val="auto"/>
        </w:rPr>
      </w:pPr>
    </w:p>
    <w:p>
      <w:pPr>
        <w:sectPr>
          <w:pgSz w:w="11900" w:h="16838" w:orient="portrait"/>
          <w:cols w:equalWidth="0" w:num="2">
            <w:col w:w="2560" w:space="420"/>
            <w:col w:w="603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13</w:t>
            </w:r>
          </w:p>
        </w:tc>
      </w:tr>
    </w:tbl>
    <w:p>
      <w:pPr>
        <w:sectPr>
          <w:pgSz w:w="11900" w:h="16838" w:orient="portrait"/>
          <w:cols w:equalWidth="0" w:num="1">
            <w:col w:w="9019"/>
          </w:cols>
          <w:pgMar w:left="1440" w:top="657" w:right="1440" w:bottom="1440" w:gutter="0" w:footer="0" w:header="0"/>
          <w:type w:val="continuous"/>
        </w:sectPr>
      </w:pPr>
    </w:p>
    <w:bookmarkStart w:id="22" w:name="page23"/>
    <w:bookmarkEnd w:id="22"/>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54</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2023</w:t>
      </w:r>
    </w:p>
    <w:p>
      <w:pPr>
        <w:spacing w:after="0" w:line="221" w:lineRule="exact"/>
        <w:rPr>
          <w:sz w:val="20"/>
          <w:szCs w:val="20"/>
          <w:color w:val="auto"/>
        </w:rPr>
      </w:pPr>
    </w:p>
    <w:p>
      <w:pPr>
        <w:ind w:left="320" w:right="260"/>
        <w:spacing w:after="0" w:line="265" w:lineRule="auto"/>
        <w:rPr>
          <w:sz w:val="20"/>
          <w:szCs w:val="20"/>
          <w:color w:val="auto"/>
        </w:rPr>
      </w:pPr>
      <w:r>
        <w:rPr>
          <w:rFonts w:ascii="Arial" w:cs="Arial" w:eastAsia="Arial" w:hAnsi="Arial"/>
          <w:sz w:val="16"/>
          <w:szCs w:val="16"/>
          <w:b w:val="1"/>
          <w:bCs w:val="1"/>
          <w:color w:val="auto"/>
        </w:rPr>
        <w:t>Board and Committee Membership—</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2025 Attendance</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Board of Directors: </w:t>
      </w:r>
      <w:r>
        <w:rPr>
          <w:rFonts w:ascii="Arial" w:cs="Arial" w:eastAsia="Arial" w:hAnsi="Arial"/>
          <w:sz w:val="16"/>
          <w:szCs w:val="16"/>
          <w:b w:val="1"/>
          <w:bCs w:val="1"/>
          <w:color w:val="auto"/>
        </w:rPr>
        <w:t>15/15</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Audit Committee: </w:t>
      </w:r>
      <w:r>
        <w:rPr>
          <w:rFonts w:ascii="Arial" w:cs="Arial" w:eastAsia="Arial" w:hAnsi="Arial"/>
          <w:sz w:val="16"/>
          <w:szCs w:val="16"/>
          <w:b w:val="1"/>
          <w:bCs w:val="1"/>
          <w:color w:val="auto"/>
        </w:rPr>
        <w:t>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65BAA"/>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9"/>
          <w:szCs w:val="29"/>
          <w:b w:val="1"/>
          <w:bCs w:val="1"/>
          <w:color w:val="065BAA"/>
        </w:rPr>
        <w:t>Kathryn Guarini, Ph.D.</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86" w:lineRule="exact"/>
        <w:rPr>
          <w:sz w:val="20"/>
          <w:szCs w:val="20"/>
          <w:color w:val="auto"/>
        </w:rPr>
      </w:pPr>
    </w:p>
    <w:p>
      <w:pPr>
        <w:ind w:left="200" w:right="959" w:hanging="195"/>
        <w:spacing w:after="0" w:line="321" w:lineRule="auto"/>
        <w:tabs>
          <w:tab w:leader="none" w:pos="200" w:val="left"/>
        </w:tabs>
        <w:numPr>
          <w:ilvl w:val="0"/>
          <w:numId w:val="27"/>
        </w:numPr>
        <w:rPr>
          <w:rFonts w:ascii="Arial" w:cs="Arial" w:eastAsia="Arial" w:hAnsi="Arial"/>
          <w:sz w:val="16"/>
          <w:szCs w:val="16"/>
          <w:color w:val="065BAA"/>
        </w:rPr>
      </w:pPr>
      <w:r>
        <w:rPr>
          <w:rFonts w:ascii="Arial" w:cs="Arial" w:eastAsia="Arial" w:hAnsi="Arial"/>
          <w:sz w:val="16"/>
          <w:szCs w:val="16"/>
          <w:color w:val="auto"/>
        </w:rPr>
        <w:t>Former Chief Information Officer of International Business Machines Corporation (IBM) from 2021 to 2023</w:t>
      </w:r>
    </w:p>
    <w:p>
      <w:pPr>
        <w:spacing w:after="0" w:line="7" w:lineRule="exact"/>
        <w:rPr>
          <w:rFonts w:ascii="Arial" w:cs="Arial" w:eastAsia="Arial" w:hAnsi="Arial"/>
          <w:sz w:val="16"/>
          <w:szCs w:val="16"/>
          <w:color w:val="065BAA"/>
        </w:rPr>
      </w:pPr>
    </w:p>
    <w:p>
      <w:pPr>
        <w:ind w:left="200" w:hanging="195"/>
        <w:spacing w:after="0"/>
        <w:tabs>
          <w:tab w:leader="none" w:pos="200" w:val="left"/>
        </w:tabs>
        <w:numPr>
          <w:ilvl w:val="0"/>
          <w:numId w:val="27"/>
        </w:numPr>
        <w:rPr>
          <w:rFonts w:ascii="Arial" w:cs="Arial" w:eastAsia="Arial" w:hAnsi="Arial"/>
          <w:sz w:val="16"/>
          <w:szCs w:val="16"/>
          <w:color w:val="065BAA"/>
        </w:rPr>
      </w:pPr>
      <w:r>
        <w:rPr>
          <w:rFonts w:ascii="Arial" w:cs="Arial" w:eastAsia="Arial" w:hAnsi="Arial"/>
          <w:sz w:val="16"/>
          <w:szCs w:val="16"/>
          <w:color w:val="auto"/>
        </w:rPr>
        <w:t>Previously held positions of increasing responsibility at IBM, including</w:t>
      </w:r>
    </w:p>
    <w:p>
      <w:pPr>
        <w:spacing w:after="0" w:line="32" w:lineRule="exact"/>
        <w:rPr>
          <w:rFonts w:ascii="Arial" w:cs="Arial" w:eastAsia="Arial" w:hAnsi="Arial"/>
          <w:sz w:val="16"/>
          <w:szCs w:val="16"/>
          <w:color w:val="065BAA"/>
        </w:rPr>
      </w:pPr>
    </w:p>
    <w:p>
      <w:pPr>
        <w:ind w:left="200" w:right="399"/>
        <w:spacing w:after="0" w:line="295" w:lineRule="auto"/>
        <w:rPr>
          <w:rFonts w:ascii="Arial" w:cs="Arial" w:eastAsia="Arial" w:hAnsi="Arial"/>
          <w:sz w:val="16"/>
          <w:szCs w:val="16"/>
          <w:color w:val="065BAA"/>
        </w:rPr>
      </w:pPr>
      <w:r>
        <w:rPr>
          <w:rFonts w:ascii="Arial" w:cs="Arial" w:eastAsia="Arial" w:hAnsi="Arial"/>
          <w:sz w:val="16"/>
          <w:szCs w:val="16"/>
          <w:color w:val="auto"/>
        </w:rPr>
        <w:t>Vice President, Chief Operating Officer of IBM Research from 2020 to 2021; Vice President, Industry Research of IBM Research from 2018 to 2020; Vice President, Research Strategy of IBM Research from 2017 to 2018; and Vice President, Product Management of IBM Systems from 2014 to 2016</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065BAA"/>
        </w:rPr>
        <w:t xml:space="preserve">Executive/Leadership Experience  </w:t>
      </w:r>
      <w:r>
        <w:rPr>
          <w:sz w:val="1"/>
          <w:szCs w:val="1"/>
          <w:color w:val="auto"/>
        </w:rPr>
        <w:drawing>
          <wp:inline distT="0" distB="0" distL="0" distR="0">
            <wp:extent cx="240030" cy="24892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0030" cy="248920"/>
                    </a:xfrm>
                    <a:prstGeom prst="rect">
                      <a:avLst/>
                    </a:prstGeom>
                    <a:noFill/>
                    <a:ln>
                      <a:noFill/>
                    </a:ln>
                  </pic:spPr>
                </pic:pic>
              </a:graphicData>
            </a:graphic>
          </wp:inline>
        </w:drawing>
      </w:r>
      <w:r>
        <w:rPr>
          <w:rFonts w:ascii="Arial" w:cs="Arial" w:eastAsia="Arial" w:hAnsi="Arial"/>
          <w:sz w:val="14"/>
          <w:szCs w:val="14"/>
          <w:b w:val="1"/>
          <w:bCs w:val="1"/>
          <w:color w:val="065BAA"/>
        </w:rPr>
        <w:t xml:space="preserve">  Technology/Digital Experience</w:t>
      </w:r>
    </w:p>
    <w:p>
      <w:pPr>
        <w:spacing w:after="0" w:line="180"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065BAA"/>
              </w:rPr>
              <w:t>Science/Biotech Background</w:t>
            </w:r>
          </w:p>
        </w:tc>
        <w:tc>
          <w:tcPr>
            <w:tcW w:w="1920" w:type="dxa"/>
            <w:vAlign w:val="bottom"/>
          </w:tcPr>
          <w:p>
            <w:pPr>
              <w:ind w:left="360"/>
              <w:spacing w:after="0"/>
              <w:rPr>
                <w:sz w:val="20"/>
                <w:szCs w:val="20"/>
                <w:color w:val="auto"/>
              </w:rPr>
            </w:pPr>
            <w:r>
              <w:rPr>
                <w:rFonts w:ascii="Arial" w:cs="Arial" w:eastAsia="Arial" w:hAnsi="Arial"/>
                <w:sz w:val="14"/>
                <w:szCs w:val="14"/>
                <w:b w:val="1"/>
                <w:bCs w:val="1"/>
                <w:color w:val="065BAA"/>
              </w:rPr>
              <w:t>Business Strategy/</w:t>
            </w:r>
          </w:p>
        </w:tc>
        <w:tc>
          <w:tcPr>
            <w:tcW w:w="0" w:type="dxa"/>
            <w:vAlign w:val="bottom"/>
          </w:tcPr>
          <w:p>
            <w:pPr>
              <w:spacing w:after="0"/>
              <w:rPr>
                <w:sz w:val="1"/>
                <w:szCs w:val="1"/>
                <w:color w:val="auto"/>
              </w:rPr>
            </w:pPr>
          </w:p>
        </w:tc>
      </w:tr>
      <w:tr>
        <w:trPr>
          <w:trHeight w:val="115"/>
        </w:trPr>
        <w:tc>
          <w:tcPr>
            <w:tcW w:w="2560" w:type="dxa"/>
            <w:vAlign w:val="bottom"/>
            <w:vMerge w:val="continue"/>
          </w:tcPr>
          <w:p>
            <w:pPr>
              <w:spacing w:after="0"/>
              <w:rPr>
                <w:sz w:val="10"/>
                <w:szCs w:val="10"/>
                <w:color w:val="auto"/>
              </w:rPr>
            </w:pPr>
          </w:p>
        </w:tc>
        <w:tc>
          <w:tcPr>
            <w:tcW w:w="1920" w:type="dxa"/>
            <w:vAlign w:val="bottom"/>
            <w:vMerge w:val="restart"/>
          </w:tcPr>
          <w:p>
            <w:pPr>
              <w:ind w:left="360"/>
              <w:spacing w:after="0"/>
              <w:rPr>
                <w:sz w:val="20"/>
                <w:szCs w:val="20"/>
                <w:color w:val="auto"/>
              </w:rPr>
            </w:pPr>
            <w:r>
              <w:rPr>
                <w:rFonts w:ascii="Arial" w:cs="Arial" w:eastAsia="Arial" w:hAnsi="Arial"/>
                <w:sz w:val="14"/>
                <w:szCs w:val="14"/>
                <w:b w:val="1"/>
                <w:bCs w:val="1"/>
                <w:color w:val="065BAA"/>
              </w:rPr>
              <w:t>Operations Experience</w:t>
            </w: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9"/>
        </w:trPr>
        <w:tc>
          <w:tcPr>
            <w:tcW w:w="2560" w:type="dxa"/>
            <w:vAlign w:val="bottom"/>
          </w:tcPr>
          <w:p>
            <w:pPr>
              <w:spacing w:after="0"/>
              <w:rPr>
                <w:sz w:val="20"/>
                <w:szCs w:val="20"/>
                <w:color w:val="auto"/>
              </w:rPr>
            </w:pPr>
            <w:r>
              <w:rPr>
                <w:rFonts w:ascii="Arial" w:cs="Arial" w:eastAsia="Arial" w:hAnsi="Arial"/>
                <w:sz w:val="14"/>
                <w:szCs w:val="14"/>
                <w:b w:val="1"/>
                <w:bCs w:val="1"/>
                <w:color w:val="065BAA"/>
              </w:rPr>
              <w:t>Research/Academic Experience</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ind w:right="479"/>
        <w:spacing w:after="0" w:line="292" w:lineRule="auto"/>
        <w:rPr>
          <w:sz w:val="20"/>
          <w:szCs w:val="20"/>
          <w:color w:val="auto"/>
        </w:rPr>
      </w:pPr>
      <w:r>
        <w:rPr>
          <w:rFonts w:ascii="Arial" w:cs="Arial" w:eastAsia="Arial" w:hAnsi="Arial"/>
          <w:sz w:val="16"/>
          <w:szCs w:val="16"/>
          <w:color w:val="auto"/>
        </w:rPr>
        <w:t>Dr. Guarini’s experience as an executive of a major corporation and extensive knowledge of information technology, data security, and artificial intelligence matters led the board to conclude that Dr. Guarini should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right="179"/>
        <w:spacing w:after="0"/>
        <w:rPr>
          <w:sz w:val="20"/>
          <w:szCs w:val="20"/>
          <w:color w:val="auto"/>
        </w:rPr>
      </w:pPr>
      <w:r>
        <w:rPr>
          <w:rFonts w:ascii="Arial" w:cs="Arial" w:eastAsia="Arial" w:hAnsi="Arial"/>
          <w:sz w:val="14"/>
          <w:szCs w:val="14"/>
          <w:b w:val="1"/>
          <w:bCs w:val="1"/>
          <w:color w:val="065BAA"/>
        </w:rPr>
        <w:t>2026 Proxy Statement and Notice of Annual Shareholder Meeting</w:t>
      </w:r>
    </w:p>
    <w:p>
      <w:pPr>
        <w:sectPr>
          <w:pgSz w:w="11900" w:h="16838" w:orient="portrait"/>
          <w:cols w:equalWidth="0" w:num="2">
            <w:col w:w="2260" w:space="720"/>
            <w:col w:w="6039"/>
          </w:cols>
          <w:pgMar w:left="1440" w:top="657" w:right="1440" w:bottom="1440" w:gutter="0" w:footer="0" w:header="0"/>
          <w:type w:val="continuous"/>
        </w:sectPr>
      </w:pPr>
    </w:p>
    <w:bookmarkStart w:id="23" w:name="page24"/>
    <w:bookmarkEnd w:id="23"/>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83</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2003</w:t>
      </w:r>
    </w:p>
    <w:p>
      <w:pPr>
        <w:spacing w:after="0" w:line="221" w:lineRule="exact"/>
        <w:rPr>
          <w:sz w:val="20"/>
          <w:szCs w:val="20"/>
          <w:color w:val="auto"/>
        </w:rPr>
      </w:pPr>
    </w:p>
    <w:p>
      <w:pPr>
        <w:ind w:left="320" w:right="280"/>
        <w:spacing w:after="0" w:line="265" w:lineRule="auto"/>
        <w:rPr>
          <w:sz w:val="20"/>
          <w:szCs w:val="20"/>
          <w:color w:val="auto"/>
        </w:rPr>
      </w:pPr>
      <w:r>
        <w:rPr>
          <w:rFonts w:ascii="Arial" w:cs="Arial" w:eastAsia="Arial" w:hAnsi="Arial"/>
          <w:sz w:val="16"/>
          <w:szCs w:val="16"/>
          <w:b w:val="1"/>
          <w:bCs w:val="1"/>
          <w:color w:val="auto"/>
        </w:rPr>
        <w:t>Board and Committee Membership—</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2025 Attendance</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Board of Directors: </w:t>
      </w:r>
      <w:r>
        <w:rPr>
          <w:rFonts w:ascii="Arial" w:cs="Arial" w:eastAsia="Arial" w:hAnsi="Arial"/>
          <w:sz w:val="16"/>
          <w:szCs w:val="16"/>
          <w:b w:val="1"/>
          <w:bCs w:val="1"/>
          <w:color w:val="auto"/>
        </w:rPr>
        <w:t>14/15</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Audit Committee: </w:t>
      </w:r>
      <w:r>
        <w:rPr>
          <w:rFonts w:ascii="Arial" w:cs="Arial" w:eastAsia="Arial" w:hAnsi="Arial"/>
          <w:sz w:val="16"/>
          <w:szCs w:val="16"/>
          <w:b w:val="1"/>
          <w:bCs w:val="1"/>
          <w:color w:val="auto"/>
        </w:rPr>
        <w:t>9/9</w:t>
      </w:r>
    </w:p>
    <w:p>
      <w:pPr>
        <w:spacing w:after="0" w:line="59" w:lineRule="exact"/>
        <w:rPr>
          <w:sz w:val="20"/>
          <w:szCs w:val="20"/>
          <w:color w:val="auto"/>
        </w:rPr>
      </w:pPr>
    </w:p>
    <w:p>
      <w:pPr>
        <w:ind w:left="320"/>
        <w:spacing w:after="0" w:line="280" w:lineRule="auto"/>
        <w:rPr>
          <w:sz w:val="20"/>
          <w:szCs w:val="20"/>
          <w:color w:val="auto"/>
        </w:rPr>
      </w:pPr>
      <w:r>
        <w:rPr>
          <w:rFonts w:ascii="Arial" w:cs="Arial" w:eastAsia="Arial" w:hAnsi="Arial"/>
          <w:sz w:val="16"/>
          <w:szCs w:val="16"/>
          <w:color w:val="auto"/>
        </w:rPr>
        <w:t xml:space="preserve">Corporate Governance and Compliance Committee (Chair): </w:t>
      </w:r>
      <w:r>
        <w:rPr>
          <w:rFonts w:ascii="Arial" w:cs="Arial" w:eastAsia="Arial" w:hAnsi="Arial"/>
          <w:sz w:val="16"/>
          <w:szCs w:val="16"/>
          <w:b w:val="1"/>
          <w:bCs w:val="1"/>
          <w:color w:val="auto"/>
        </w:rPr>
        <w:t>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9"/>
          <w:szCs w:val="29"/>
          <w:b w:val="1"/>
          <w:bCs w:val="1"/>
          <w:color w:val="065BAA"/>
        </w:rPr>
        <w:t>Arthur F. Ryan</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86" w:lineRule="exact"/>
        <w:rPr>
          <w:sz w:val="20"/>
          <w:szCs w:val="20"/>
          <w:color w:val="auto"/>
        </w:rPr>
      </w:pPr>
    </w:p>
    <w:p>
      <w:pPr>
        <w:ind w:left="200" w:right="259" w:hanging="195"/>
        <w:spacing w:after="0" w:line="321" w:lineRule="auto"/>
        <w:tabs>
          <w:tab w:leader="none" w:pos="200" w:val="left"/>
        </w:tabs>
        <w:numPr>
          <w:ilvl w:val="0"/>
          <w:numId w:val="28"/>
        </w:numPr>
        <w:rPr>
          <w:rFonts w:ascii="Arial" w:cs="Arial" w:eastAsia="Arial" w:hAnsi="Arial"/>
          <w:sz w:val="16"/>
          <w:szCs w:val="16"/>
          <w:color w:val="065BAA"/>
        </w:rPr>
      </w:pPr>
      <w:r>
        <w:rPr>
          <w:rFonts w:ascii="Arial" w:cs="Arial" w:eastAsia="Arial" w:hAnsi="Arial"/>
          <w:sz w:val="16"/>
          <w:szCs w:val="16"/>
          <w:color w:val="auto"/>
        </w:rPr>
        <w:t>Former Chief Executive Officer and Chair of the Board of Prudential Financial, Inc. from 1994 to 2008</w:t>
      </w:r>
    </w:p>
    <w:p>
      <w:pPr>
        <w:spacing w:after="0" w:line="7" w:lineRule="exact"/>
        <w:rPr>
          <w:rFonts w:ascii="Arial" w:cs="Arial" w:eastAsia="Arial" w:hAnsi="Arial"/>
          <w:sz w:val="16"/>
          <w:szCs w:val="16"/>
          <w:color w:val="065BAA"/>
        </w:rPr>
      </w:pPr>
    </w:p>
    <w:p>
      <w:pPr>
        <w:ind w:left="200" w:right="439" w:hanging="195"/>
        <w:spacing w:after="0" w:line="321" w:lineRule="auto"/>
        <w:tabs>
          <w:tab w:leader="none" w:pos="200" w:val="left"/>
        </w:tabs>
        <w:numPr>
          <w:ilvl w:val="0"/>
          <w:numId w:val="28"/>
        </w:numPr>
        <w:rPr>
          <w:rFonts w:ascii="Arial" w:cs="Arial" w:eastAsia="Arial" w:hAnsi="Arial"/>
          <w:sz w:val="16"/>
          <w:szCs w:val="16"/>
          <w:color w:val="065BAA"/>
        </w:rPr>
      </w:pPr>
      <w:r>
        <w:rPr>
          <w:rFonts w:ascii="Arial" w:cs="Arial" w:eastAsia="Arial" w:hAnsi="Arial"/>
          <w:sz w:val="16"/>
          <w:szCs w:val="16"/>
          <w:color w:val="auto"/>
        </w:rPr>
        <w:t>President and Chief Operating Officer of Chase Manhattan Bank from 1990 to 1994</w:t>
      </w:r>
    </w:p>
    <w:p>
      <w:pPr>
        <w:spacing w:after="0" w:line="7" w:lineRule="exact"/>
        <w:rPr>
          <w:rFonts w:ascii="Arial" w:cs="Arial" w:eastAsia="Arial" w:hAnsi="Arial"/>
          <w:sz w:val="16"/>
          <w:szCs w:val="16"/>
          <w:color w:val="065BAA"/>
        </w:rPr>
      </w:pPr>
    </w:p>
    <w:p>
      <w:pPr>
        <w:ind w:left="200" w:hanging="195"/>
        <w:spacing w:after="0"/>
        <w:tabs>
          <w:tab w:leader="none" w:pos="200" w:val="left"/>
        </w:tabs>
        <w:numPr>
          <w:ilvl w:val="0"/>
          <w:numId w:val="28"/>
        </w:numPr>
        <w:rPr>
          <w:rFonts w:ascii="Arial" w:cs="Arial" w:eastAsia="Arial" w:hAnsi="Arial"/>
          <w:sz w:val="16"/>
          <w:szCs w:val="16"/>
          <w:color w:val="065BAA"/>
        </w:rPr>
      </w:pPr>
      <w:r>
        <w:rPr>
          <w:rFonts w:ascii="Arial" w:cs="Arial" w:eastAsia="Arial" w:hAnsi="Arial"/>
          <w:sz w:val="16"/>
          <w:szCs w:val="16"/>
          <w:color w:val="auto"/>
        </w:rPr>
        <w:t>Managed Chase’s worldwide retail bank between 1984 and 1990</w:t>
      </w:r>
    </w:p>
    <w:p>
      <w:pPr>
        <w:spacing w:after="0" w:line="77" w:lineRule="exact"/>
        <w:rPr>
          <w:rFonts w:ascii="Arial" w:cs="Arial" w:eastAsia="Arial" w:hAnsi="Arial"/>
          <w:sz w:val="16"/>
          <w:szCs w:val="16"/>
          <w:color w:val="065BAA"/>
        </w:rPr>
      </w:pPr>
    </w:p>
    <w:p>
      <w:pPr>
        <w:ind w:left="200" w:right="519" w:hanging="195"/>
        <w:spacing w:after="0" w:line="234" w:lineRule="exact"/>
        <w:tabs>
          <w:tab w:leader="none" w:pos="200" w:val="left"/>
        </w:tabs>
        <w:numPr>
          <w:ilvl w:val="0"/>
          <w:numId w:val="28"/>
        </w:numPr>
        <w:rPr>
          <w:rFonts w:ascii="Arial" w:cs="Arial" w:eastAsia="Arial" w:hAnsi="Arial"/>
          <w:sz w:val="16"/>
          <w:szCs w:val="16"/>
          <w:color w:val="065BAA"/>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executive director of the Royal Bank of Scotland Group plc from 2008 to 2013</w:t>
      </w:r>
    </w:p>
    <w:p>
      <w:pPr>
        <w:spacing w:after="0" w:line="69" w:lineRule="exact"/>
        <w:rPr>
          <w:rFonts w:ascii="Arial" w:cs="Arial" w:eastAsia="Arial" w:hAnsi="Arial"/>
          <w:sz w:val="16"/>
          <w:szCs w:val="16"/>
          <w:color w:val="065BAA"/>
        </w:rPr>
      </w:pPr>
    </w:p>
    <w:p>
      <w:pPr>
        <w:ind w:left="200" w:hanging="195"/>
        <w:spacing w:after="0"/>
        <w:tabs>
          <w:tab w:leader="none" w:pos="200" w:val="left"/>
        </w:tabs>
        <w:numPr>
          <w:ilvl w:val="0"/>
          <w:numId w:val="28"/>
        </w:numPr>
        <w:rPr>
          <w:rFonts w:ascii="Arial" w:cs="Arial" w:eastAsia="Arial" w:hAnsi="Arial"/>
          <w:sz w:val="16"/>
          <w:szCs w:val="16"/>
          <w:color w:val="065BAA"/>
        </w:rPr>
      </w:pPr>
      <w:r>
        <w:rPr>
          <w:rFonts w:ascii="Arial" w:cs="Arial" w:eastAsia="Arial" w:hAnsi="Arial"/>
          <w:sz w:val="16"/>
          <w:szCs w:val="16"/>
          <w:color w:val="auto"/>
        </w:rPr>
        <w:t>Director of Citizens Financial Group, Inc. from 2009 to 2019</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320"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2600" w:type="dxa"/>
            <w:vAlign w:val="bottom"/>
          </w:tcPr>
          <w:p>
            <w:pPr>
              <w:spacing w:after="0"/>
              <w:rPr>
                <w:sz w:val="20"/>
                <w:szCs w:val="20"/>
                <w:color w:val="auto"/>
              </w:rPr>
            </w:pPr>
            <w:r>
              <w:rPr>
                <w:rFonts w:ascii="Arial" w:cs="Arial" w:eastAsia="Arial" w:hAnsi="Arial"/>
                <w:sz w:val="14"/>
                <w:szCs w:val="14"/>
                <w:b w:val="1"/>
                <w:bCs w:val="1"/>
                <w:color w:val="065BAA"/>
              </w:rPr>
              <w:t>Industry Experience</w:t>
            </w:r>
          </w:p>
        </w:tc>
        <w:tc>
          <w:tcPr>
            <w:tcW w:w="2600" w:type="dxa"/>
            <w:vAlign w:val="bottom"/>
          </w:tcPr>
          <w:p>
            <w:pPr>
              <w:ind w:left="320"/>
              <w:spacing w:after="0"/>
              <w:rPr>
                <w:sz w:val="20"/>
                <w:szCs w:val="20"/>
                <w:color w:val="auto"/>
              </w:rPr>
            </w:pPr>
            <w:r>
              <w:rPr>
                <w:rFonts w:ascii="Arial" w:cs="Arial" w:eastAsia="Arial" w:hAnsi="Arial"/>
                <w:sz w:val="14"/>
                <w:szCs w:val="14"/>
                <w:b w:val="1"/>
                <w:bCs w:val="1"/>
                <w:color w:val="065BAA"/>
              </w:rPr>
              <w:t>Executive/Leadership Experience</w:t>
            </w:r>
          </w:p>
        </w:tc>
        <w:tc>
          <w:tcPr>
            <w:tcW w:w="0" w:type="dxa"/>
            <w:vAlign w:val="bottom"/>
          </w:tcPr>
          <w:p>
            <w:pPr>
              <w:spacing w:after="0"/>
              <w:rPr>
                <w:sz w:val="1"/>
                <w:szCs w:val="1"/>
                <w:color w:val="auto"/>
              </w:rPr>
            </w:pPr>
          </w:p>
        </w:tc>
      </w:tr>
      <w:tr>
        <w:trPr>
          <w:trHeight w:val="438"/>
        </w:trPr>
        <w:tc>
          <w:tcPr>
            <w:tcW w:w="2600" w:type="dxa"/>
            <w:vAlign w:val="bottom"/>
          </w:tcPr>
          <w:p>
            <w:pPr>
              <w:spacing w:after="0"/>
              <w:rPr>
                <w:sz w:val="20"/>
                <w:szCs w:val="20"/>
                <w:color w:val="auto"/>
              </w:rPr>
            </w:pPr>
            <w:r>
              <w:rPr>
                <w:rFonts w:ascii="Arial" w:cs="Arial" w:eastAsia="Arial" w:hAnsi="Arial"/>
                <w:sz w:val="14"/>
                <w:szCs w:val="14"/>
                <w:b w:val="1"/>
                <w:bCs w:val="1"/>
                <w:color w:val="065BAA"/>
              </w:rPr>
              <w:t>Business Strategy/</w:t>
            </w:r>
          </w:p>
        </w:tc>
        <w:tc>
          <w:tcPr>
            <w:tcW w:w="2600" w:type="dxa"/>
            <w:vAlign w:val="bottom"/>
            <w:vMerge w:val="restart"/>
          </w:tcPr>
          <w:p>
            <w:pPr>
              <w:ind w:left="320"/>
              <w:spacing w:after="0"/>
              <w:rPr>
                <w:sz w:val="20"/>
                <w:szCs w:val="20"/>
                <w:color w:val="auto"/>
              </w:rPr>
            </w:pPr>
            <w:r>
              <w:rPr>
                <w:rFonts w:ascii="Arial" w:cs="Arial" w:eastAsia="Arial" w:hAnsi="Arial"/>
                <w:sz w:val="14"/>
                <w:szCs w:val="14"/>
                <w:b w:val="1"/>
                <w:bCs w:val="1"/>
                <w:color w:val="065BAA"/>
              </w:rPr>
              <w:t>Financial Expertise</w:t>
            </w:r>
          </w:p>
        </w:tc>
        <w:tc>
          <w:tcPr>
            <w:tcW w:w="0" w:type="dxa"/>
            <w:vAlign w:val="bottom"/>
          </w:tcPr>
          <w:p>
            <w:pPr>
              <w:spacing w:after="0"/>
              <w:rPr>
                <w:sz w:val="1"/>
                <w:szCs w:val="1"/>
                <w:color w:val="auto"/>
              </w:rPr>
            </w:pPr>
          </w:p>
        </w:tc>
      </w:tr>
      <w:tr>
        <w:trPr>
          <w:trHeight w:val="115"/>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065BAA"/>
              </w:rPr>
              <w:t>Operations Experience</w:t>
            </w: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600" w:type="dxa"/>
            <w:vAlign w:val="bottom"/>
            <w:vMerge w:val="continue"/>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0"/>
        </w:trPr>
        <w:tc>
          <w:tcPr>
            <w:tcW w:w="2600" w:type="dxa"/>
            <w:vAlign w:val="bottom"/>
          </w:tcPr>
          <w:p>
            <w:pPr>
              <w:spacing w:after="0"/>
              <w:rPr>
                <w:sz w:val="20"/>
                <w:szCs w:val="20"/>
                <w:color w:val="auto"/>
              </w:rPr>
            </w:pPr>
            <w:r>
              <w:rPr>
                <w:rFonts w:ascii="Arial" w:cs="Arial" w:eastAsia="Arial" w:hAnsi="Arial"/>
                <w:sz w:val="14"/>
                <w:szCs w:val="14"/>
                <w:b w:val="1"/>
                <w:bCs w:val="1"/>
                <w:color w:val="065BAA"/>
              </w:rPr>
              <w:t>Public Company CEO Experience</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ind w:right="479"/>
        <w:spacing w:after="0" w:line="289" w:lineRule="auto"/>
        <w:rPr>
          <w:sz w:val="20"/>
          <w:szCs w:val="20"/>
          <w:color w:val="auto"/>
        </w:rPr>
      </w:pPr>
      <w:r>
        <w:rPr>
          <w:rFonts w:ascii="Arial" w:cs="Arial" w:eastAsia="Arial" w:hAnsi="Arial"/>
          <w:sz w:val="16"/>
          <w:szCs w:val="16"/>
          <w:color w:val="auto"/>
        </w:rPr>
        <w:t>Mr. Ryan’s substantial leadership experience as a chief executive officer of leading companies in the banking and insurance industries, and his extensive business experience and financial expertise, led the board to conclude that Mr. Ryan should serve as a director.</w:t>
      </w:r>
    </w:p>
    <w:p>
      <w:pPr>
        <w:spacing w:after="0" w:line="214" w:lineRule="exact"/>
        <w:rPr>
          <w:sz w:val="20"/>
          <w:szCs w:val="20"/>
          <w:color w:val="auto"/>
        </w:rPr>
      </w:pPr>
    </w:p>
    <w:p>
      <w:pPr>
        <w:sectPr>
          <w:pgSz w:w="11900" w:h="16838" w:orient="portrait"/>
          <w:cols w:equalWidth="0" w:num="2">
            <w:col w:w="2280" w:space="700"/>
            <w:col w:w="603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15</w:t>
            </w:r>
          </w:p>
        </w:tc>
      </w:tr>
    </w:tbl>
    <w:p>
      <w:pPr>
        <w:sectPr>
          <w:pgSz w:w="11900" w:h="16838" w:orient="portrait"/>
          <w:cols w:equalWidth="0" w:num="1">
            <w:col w:w="9019"/>
          </w:cols>
          <w:pgMar w:left="1440" w:top="657" w:right="1440" w:bottom="1440" w:gutter="0" w:footer="0" w:header="0"/>
          <w:type w:val="continuous"/>
        </w:sectPr>
      </w:pPr>
    </w:p>
    <w:bookmarkStart w:id="24" w:name="page25"/>
    <w:bookmarkEnd w:id="24"/>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76</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1988</w:t>
      </w:r>
    </w:p>
    <w:p>
      <w:pPr>
        <w:spacing w:after="0" w:line="221" w:lineRule="exact"/>
        <w:rPr>
          <w:sz w:val="20"/>
          <w:szCs w:val="20"/>
          <w:color w:val="auto"/>
        </w:rPr>
      </w:pPr>
    </w:p>
    <w:p>
      <w:pPr>
        <w:ind w:left="320" w:right="660"/>
        <w:spacing w:after="0" w:line="265" w:lineRule="auto"/>
        <w:rPr>
          <w:sz w:val="20"/>
          <w:szCs w:val="20"/>
          <w:color w:val="auto"/>
        </w:rPr>
      </w:pPr>
      <w:r>
        <w:rPr>
          <w:rFonts w:ascii="Arial" w:cs="Arial" w:eastAsia="Arial" w:hAnsi="Arial"/>
          <w:sz w:val="16"/>
          <w:szCs w:val="16"/>
          <w:b w:val="1"/>
          <w:bCs w:val="1"/>
          <w:color w:val="auto"/>
        </w:rPr>
        <w:t>Board and Committee Membership—</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2025 Attendance</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Board of Directors: </w:t>
      </w:r>
      <w:r>
        <w:rPr>
          <w:rFonts w:ascii="Arial" w:cs="Arial" w:eastAsia="Arial" w:hAnsi="Arial"/>
          <w:sz w:val="16"/>
          <w:szCs w:val="16"/>
          <w:b w:val="1"/>
          <w:bCs w:val="1"/>
          <w:color w:val="auto"/>
        </w:rPr>
        <w:t>14/15</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Audit Committee (Chair): </w:t>
      </w:r>
      <w:r>
        <w:rPr>
          <w:rFonts w:ascii="Arial" w:cs="Arial" w:eastAsia="Arial" w:hAnsi="Arial"/>
          <w:sz w:val="16"/>
          <w:szCs w:val="16"/>
          <w:b w:val="1"/>
          <w:bCs w:val="1"/>
          <w:color w:val="auto"/>
        </w:rPr>
        <w:t>9/9</w:t>
      </w:r>
    </w:p>
    <w:p>
      <w:pPr>
        <w:spacing w:after="0" w:line="59"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 xml:space="preserve">Compensation Committee: </w:t>
      </w:r>
      <w:r>
        <w:rPr>
          <w:rFonts w:ascii="Arial" w:cs="Arial" w:eastAsia="Arial" w:hAnsi="Arial"/>
          <w:sz w:val="16"/>
          <w:szCs w:val="16"/>
          <w:b w:val="1"/>
          <w:bCs w:val="1"/>
          <w:color w:val="auto"/>
        </w:rPr>
        <w:t>11/11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9"/>
          <w:szCs w:val="29"/>
          <w:b w:val="1"/>
          <w:bCs w:val="1"/>
          <w:color w:val="065BAA"/>
        </w:rPr>
        <w:t>George L. Sing</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86" w:lineRule="exact"/>
        <w:rPr>
          <w:sz w:val="20"/>
          <w:szCs w:val="20"/>
          <w:color w:val="auto"/>
        </w:rPr>
      </w:pPr>
    </w:p>
    <w:p>
      <w:pPr>
        <w:ind w:left="200" w:hanging="195"/>
        <w:spacing w:after="0"/>
        <w:tabs>
          <w:tab w:leader="none" w:pos="200" w:val="left"/>
        </w:tabs>
        <w:numPr>
          <w:ilvl w:val="0"/>
          <w:numId w:val="29"/>
        </w:numPr>
        <w:rPr>
          <w:rFonts w:ascii="Arial" w:cs="Arial" w:eastAsia="Arial" w:hAnsi="Arial"/>
          <w:sz w:val="16"/>
          <w:szCs w:val="16"/>
          <w:color w:val="065BAA"/>
        </w:rPr>
      </w:pPr>
      <w:r>
        <w:rPr>
          <w:rFonts w:ascii="Arial" w:cs="Arial" w:eastAsia="Arial" w:hAnsi="Arial"/>
          <w:sz w:val="16"/>
          <w:szCs w:val="16"/>
          <w:color w:val="auto"/>
        </w:rPr>
        <w:t>Chief Executive Officer of GanD, Inc. since 2016</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29"/>
        </w:numPr>
        <w:rPr>
          <w:rFonts w:ascii="Arial" w:cs="Arial" w:eastAsia="Arial" w:hAnsi="Arial"/>
          <w:sz w:val="16"/>
          <w:szCs w:val="16"/>
          <w:color w:val="065BAA"/>
        </w:rPr>
      </w:pPr>
      <w:r>
        <w:rPr>
          <w:rFonts w:ascii="Arial" w:cs="Arial" w:eastAsia="Arial" w:hAnsi="Arial"/>
          <w:sz w:val="16"/>
          <w:szCs w:val="16"/>
          <w:color w:val="auto"/>
        </w:rPr>
        <w:t>Chair of Grace Science, LLC since 2017</w:t>
      </w:r>
    </w:p>
    <w:p>
      <w:pPr>
        <w:spacing w:after="0" w:line="99" w:lineRule="exact"/>
        <w:rPr>
          <w:rFonts w:ascii="Arial" w:cs="Arial" w:eastAsia="Arial" w:hAnsi="Arial"/>
          <w:sz w:val="16"/>
          <w:szCs w:val="16"/>
          <w:color w:val="065BAA"/>
        </w:rPr>
      </w:pPr>
    </w:p>
    <w:p>
      <w:pPr>
        <w:ind w:left="200" w:right="599" w:hanging="195"/>
        <w:spacing w:after="0" w:line="321" w:lineRule="auto"/>
        <w:tabs>
          <w:tab w:leader="none" w:pos="200" w:val="left"/>
        </w:tabs>
        <w:numPr>
          <w:ilvl w:val="0"/>
          <w:numId w:val="29"/>
        </w:numPr>
        <w:rPr>
          <w:rFonts w:ascii="Arial" w:cs="Arial" w:eastAsia="Arial" w:hAnsi="Arial"/>
          <w:sz w:val="16"/>
          <w:szCs w:val="16"/>
          <w:color w:val="065BAA"/>
        </w:rPr>
      </w:pPr>
      <w:r>
        <w:rPr>
          <w:rFonts w:ascii="Arial" w:cs="Arial" w:eastAsia="Arial" w:hAnsi="Arial"/>
          <w:sz w:val="16"/>
          <w:szCs w:val="16"/>
          <w:color w:val="auto"/>
        </w:rPr>
        <w:t>Extensive venture capital and leadership experience in the biotechnology sector and high technology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320"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2460" w:type="dxa"/>
            <w:vAlign w:val="bottom"/>
          </w:tcPr>
          <w:p>
            <w:pPr>
              <w:spacing w:after="0"/>
              <w:rPr>
                <w:sz w:val="20"/>
                <w:szCs w:val="20"/>
                <w:color w:val="auto"/>
              </w:rPr>
            </w:pPr>
            <w:r>
              <w:rPr>
                <w:rFonts w:ascii="Arial" w:cs="Arial" w:eastAsia="Arial" w:hAnsi="Arial"/>
                <w:sz w:val="14"/>
                <w:szCs w:val="14"/>
                <w:b w:val="1"/>
                <w:bCs w:val="1"/>
                <w:color w:val="065BAA"/>
              </w:rPr>
              <w:t>Industry Experience</w:t>
            </w:r>
          </w:p>
        </w:tc>
        <w:tc>
          <w:tcPr>
            <w:tcW w:w="2740" w:type="dxa"/>
            <w:vAlign w:val="bottom"/>
          </w:tcPr>
          <w:p>
            <w:pPr>
              <w:ind w:left="460"/>
              <w:spacing w:after="0"/>
              <w:rPr>
                <w:sz w:val="20"/>
                <w:szCs w:val="20"/>
                <w:color w:val="auto"/>
              </w:rPr>
            </w:pPr>
            <w:r>
              <w:rPr>
                <w:rFonts w:ascii="Arial" w:cs="Arial" w:eastAsia="Arial" w:hAnsi="Arial"/>
                <w:sz w:val="14"/>
                <w:szCs w:val="14"/>
                <w:b w:val="1"/>
                <w:bCs w:val="1"/>
                <w:color w:val="065BAA"/>
              </w:rPr>
              <w:t>Executive/Leadership Experience</w:t>
            </w:r>
          </w:p>
        </w:tc>
        <w:tc>
          <w:tcPr>
            <w:tcW w:w="0" w:type="dxa"/>
            <w:vAlign w:val="bottom"/>
          </w:tcPr>
          <w:p>
            <w:pPr>
              <w:spacing w:after="0"/>
              <w:rPr>
                <w:sz w:val="1"/>
                <w:szCs w:val="1"/>
                <w:color w:val="auto"/>
              </w:rPr>
            </w:pPr>
          </w:p>
        </w:tc>
      </w:tr>
      <w:tr>
        <w:trPr>
          <w:trHeight w:val="438"/>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065BAA"/>
              </w:rPr>
              <w:t>Science/Biotech Background</w:t>
            </w:r>
          </w:p>
        </w:tc>
        <w:tc>
          <w:tcPr>
            <w:tcW w:w="2740" w:type="dxa"/>
            <w:vAlign w:val="bottom"/>
          </w:tcPr>
          <w:p>
            <w:pPr>
              <w:ind w:left="460"/>
              <w:spacing w:after="0"/>
              <w:rPr>
                <w:sz w:val="20"/>
                <w:szCs w:val="20"/>
                <w:color w:val="auto"/>
              </w:rPr>
            </w:pPr>
            <w:r>
              <w:rPr>
                <w:rFonts w:ascii="Arial" w:cs="Arial" w:eastAsia="Arial" w:hAnsi="Arial"/>
                <w:sz w:val="14"/>
                <w:szCs w:val="14"/>
                <w:b w:val="1"/>
                <w:bCs w:val="1"/>
                <w:color w:val="065BAA"/>
              </w:rPr>
              <w:t>Business Strategy/</w:t>
            </w:r>
          </w:p>
        </w:tc>
        <w:tc>
          <w:tcPr>
            <w:tcW w:w="0" w:type="dxa"/>
            <w:vAlign w:val="bottom"/>
          </w:tcPr>
          <w:p>
            <w:pPr>
              <w:spacing w:after="0"/>
              <w:rPr>
                <w:sz w:val="1"/>
                <w:szCs w:val="1"/>
                <w:color w:val="auto"/>
              </w:rPr>
            </w:pPr>
          </w:p>
        </w:tc>
      </w:tr>
      <w:tr>
        <w:trPr>
          <w:trHeight w:val="115"/>
        </w:trPr>
        <w:tc>
          <w:tcPr>
            <w:tcW w:w="2460" w:type="dxa"/>
            <w:vAlign w:val="bottom"/>
            <w:vMerge w:val="continue"/>
          </w:tcPr>
          <w:p>
            <w:pPr>
              <w:spacing w:after="0"/>
              <w:rPr>
                <w:sz w:val="10"/>
                <w:szCs w:val="10"/>
                <w:color w:val="auto"/>
              </w:rPr>
            </w:pPr>
          </w:p>
        </w:tc>
        <w:tc>
          <w:tcPr>
            <w:tcW w:w="2740" w:type="dxa"/>
            <w:vAlign w:val="bottom"/>
            <w:vMerge w:val="restart"/>
          </w:tcPr>
          <w:p>
            <w:pPr>
              <w:ind w:left="460"/>
              <w:spacing w:after="0"/>
              <w:rPr>
                <w:sz w:val="20"/>
                <w:szCs w:val="20"/>
                <w:color w:val="auto"/>
              </w:rPr>
            </w:pPr>
            <w:r>
              <w:rPr>
                <w:rFonts w:ascii="Arial" w:cs="Arial" w:eastAsia="Arial" w:hAnsi="Arial"/>
                <w:sz w:val="14"/>
                <w:szCs w:val="14"/>
                <w:b w:val="1"/>
                <w:bCs w:val="1"/>
                <w:color w:val="065BAA"/>
              </w:rPr>
              <w:t>Operations Experience</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14"/>
                <w:szCs w:val="14"/>
                <w:b w:val="1"/>
                <w:bCs w:val="1"/>
                <w:color w:val="065BAA"/>
              </w:rPr>
              <w:t>Financial Expertise</w:t>
            </w:r>
          </w:p>
        </w:tc>
        <w:tc>
          <w:tcPr>
            <w:tcW w:w="2740" w:type="dxa"/>
            <w:vAlign w:val="bottom"/>
          </w:tcPr>
          <w:p>
            <w:pPr>
              <w:ind w:left="460"/>
              <w:spacing w:after="0"/>
              <w:rPr>
                <w:sz w:val="20"/>
                <w:szCs w:val="20"/>
                <w:color w:val="auto"/>
              </w:rPr>
            </w:pPr>
            <w:r>
              <w:rPr>
                <w:rFonts w:ascii="Arial" w:cs="Arial" w:eastAsia="Arial" w:hAnsi="Arial"/>
                <w:sz w:val="14"/>
                <w:szCs w:val="14"/>
                <w:b w:val="1"/>
                <w:bCs w:val="1"/>
                <w:color w:val="065BAA"/>
              </w:rPr>
              <w:t>Technology/Digital Experience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jc w:val="both"/>
        <w:ind w:right="399"/>
        <w:spacing w:after="0" w:line="289" w:lineRule="auto"/>
        <w:rPr>
          <w:sz w:val="20"/>
          <w:szCs w:val="20"/>
          <w:color w:val="auto"/>
        </w:rPr>
      </w:pPr>
      <w:r>
        <w:rPr>
          <w:rFonts w:ascii="Arial" w:cs="Arial" w:eastAsia="Arial" w:hAnsi="Arial"/>
          <w:sz w:val="16"/>
          <w:szCs w:val="16"/>
          <w:color w:val="auto"/>
        </w:rPr>
        <w:t>Mr. Sing’s extensive healthcare and financial expertise as a healthcare venture capital investor and biomedical company chief executive officer, his executive leadership experience, and his substantial knowledge of the Company led the board to conclude that Mr. Sing should serve as a director.</w:t>
      </w:r>
    </w:p>
    <w:p>
      <w:pPr>
        <w:spacing w:after="0" w:line="780" w:lineRule="exact"/>
        <w:rPr>
          <w:sz w:val="20"/>
          <w:szCs w:val="20"/>
          <w:color w:val="auto"/>
        </w:rPr>
      </w:pPr>
    </w:p>
    <w:p>
      <w:pPr>
        <w:sectPr>
          <w:pgSz w:w="11900" w:h="16838" w:orient="portrait"/>
          <w:cols w:equalWidth="0" w:num="2">
            <w:col w:w="2660" w:space="320"/>
            <w:col w:w="603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16</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25" w:name="page26"/>
    <w:bookmarkEnd w:id="25"/>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Class I Directors Continuing in Office</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terms of office for the Class I directors listed below expire at the 2028 Annual Meeting.</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63</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2016</w:t>
      </w:r>
    </w:p>
    <w:p>
      <w:pPr>
        <w:spacing w:after="0" w:line="235" w:lineRule="exact"/>
        <w:rPr>
          <w:sz w:val="20"/>
          <w:szCs w:val="20"/>
          <w:color w:val="auto"/>
        </w:rPr>
      </w:pPr>
    </w:p>
    <w:p>
      <w:pPr>
        <w:ind w:left="320" w:right="320"/>
        <w:spacing w:after="0" w:line="265" w:lineRule="auto"/>
        <w:rPr>
          <w:sz w:val="20"/>
          <w:szCs w:val="20"/>
          <w:color w:val="auto"/>
        </w:rPr>
      </w:pPr>
      <w:r>
        <w:rPr>
          <w:rFonts w:ascii="Arial" w:cs="Arial" w:eastAsia="Arial" w:hAnsi="Arial"/>
          <w:sz w:val="16"/>
          <w:szCs w:val="16"/>
          <w:b w:val="1"/>
          <w:bCs w:val="1"/>
          <w:color w:val="auto"/>
        </w:rPr>
        <w:t>Board and Committee Membership—</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2025 Attendance</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Board of Directors: </w:t>
      </w:r>
      <w:r>
        <w:rPr>
          <w:rFonts w:ascii="Arial" w:cs="Arial" w:eastAsia="Arial" w:hAnsi="Arial"/>
          <w:sz w:val="16"/>
          <w:szCs w:val="16"/>
          <w:b w:val="1"/>
          <w:bCs w:val="1"/>
          <w:color w:val="auto"/>
        </w:rPr>
        <w:t>14/15</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Corporate Governance and</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Compliance Committee: </w:t>
      </w:r>
      <w:r>
        <w:rPr>
          <w:rFonts w:ascii="Arial" w:cs="Arial" w:eastAsia="Arial" w:hAnsi="Arial"/>
          <w:sz w:val="16"/>
          <w:szCs w:val="16"/>
          <w:b w:val="1"/>
          <w:bCs w:val="1"/>
          <w:color w:val="auto"/>
        </w:rPr>
        <w:t>5/5</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Technology Committee: </w:t>
      </w:r>
      <w:r>
        <w:rPr>
          <w:rFonts w:ascii="Arial" w:cs="Arial" w:eastAsia="Arial" w:hAnsi="Arial"/>
          <w:sz w:val="16"/>
          <w:szCs w:val="16"/>
          <w:b w:val="1"/>
          <w:bCs w:val="1"/>
          <w:color w:val="auto"/>
        </w:rPr>
        <w:t>2/2</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29"/>
          <w:szCs w:val="29"/>
          <w:b w:val="1"/>
          <w:bCs w:val="1"/>
          <w:color w:val="065BAA"/>
        </w:rPr>
        <w:t>Bonnie L. Bassler, Ph.D.</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86" w:lineRule="exact"/>
        <w:rPr>
          <w:sz w:val="20"/>
          <w:szCs w:val="20"/>
          <w:color w:val="auto"/>
        </w:rPr>
      </w:pPr>
    </w:p>
    <w:p>
      <w:pPr>
        <w:ind w:left="200" w:right="699" w:hanging="195"/>
        <w:spacing w:after="0" w:line="301" w:lineRule="auto"/>
        <w:tabs>
          <w:tab w:leader="none" w:pos="200" w:val="left"/>
        </w:tabs>
        <w:numPr>
          <w:ilvl w:val="0"/>
          <w:numId w:val="30"/>
        </w:numPr>
        <w:rPr>
          <w:rFonts w:ascii="Arial" w:cs="Arial" w:eastAsia="Arial" w:hAnsi="Arial"/>
          <w:sz w:val="16"/>
          <w:szCs w:val="16"/>
          <w:color w:val="065BAA"/>
        </w:rPr>
      </w:pPr>
      <w:r>
        <w:rPr>
          <w:rFonts w:ascii="Arial" w:cs="Arial" w:eastAsia="Arial" w:hAnsi="Arial"/>
          <w:sz w:val="16"/>
          <w:szCs w:val="16"/>
          <w:color w:val="auto"/>
        </w:rPr>
        <w:t>Andrew K. Golden University Professor since 2025, Squibb Professor in Molecular Biology since 2003, and former Chair of the Department of Molecular Biology from 2013 to 2015 at Princeton University</w:t>
      </w:r>
    </w:p>
    <w:p>
      <w:pPr>
        <w:spacing w:after="0" w:line="23" w:lineRule="exact"/>
        <w:rPr>
          <w:rFonts w:ascii="Arial" w:cs="Arial" w:eastAsia="Arial" w:hAnsi="Arial"/>
          <w:sz w:val="16"/>
          <w:szCs w:val="16"/>
          <w:color w:val="065BAA"/>
        </w:rPr>
      </w:pPr>
    </w:p>
    <w:p>
      <w:pPr>
        <w:ind w:left="200" w:hanging="195"/>
        <w:spacing w:after="0"/>
        <w:tabs>
          <w:tab w:leader="none" w:pos="200" w:val="left"/>
        </w:tabs>
        <w:numPr>
          <w:ilvl w:val="0"/>
          <w:numId w:val="30"/>
        </w:numPr>
        <w:rPr>
          <w:rFonts w:ascii="Arial" w:cs="Arial" w:eastAsia="Arial" w:hAnsi="Arial"/>
          <w:sz w:val="16"/>
          <w:szCs w:val="16"/>
          <w:color w:val="065BAA"/>
        </w:rPr>
      </w:pPr>
      <w:r>
        <w:rPr>
          <w:rFonts w:ascii="Arial" w:cs="Arial" w:eastAsia="Arial" w:hAnsi="Arial"/>
          <w:sz w:val="16"/>
          <w:szCs w:val="16"/>
          <w:color w:val="auto"/>
        </w:rPr>
        <w:t>Howard Hughes Medical Institute Investigator</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30"/>
        </w:numPr>
        <w:rPr>
          <w:rFonts w:ascii="Arial" w:cs="Arial" w:eastAsia="Arial" w:hAnsi="Arial"/>
          <w:sz w:val="16"/>
          <w:szCs w:val="16"/>
          <w:color w:val="065BAA"/>
        </w:rPr>
      </w:pPr>
      <w:r>
        <w:rPr>
          <w:rFonts w:ascii="Arial" w:cs="Arial" w:eastAsia="Arial" w:hAnsi="Arial"/>
          <w:sz w:val="16"/>
          <w:szCs w:val="16"/>
          <w:color w:val="auto"/>
        </w:rPr>
        <w:t>Former President of the American Society for Microbiology</w:t>
      </w:r>
    </w:p>
    <w:p>
      <w:pPr>
        <w:spacing w:after="0" w:line="113" w:lineRule="exact"/>
        <w:rPr>
          <w:rFonts w:ascii="Arial" w:cs="Arial" w:eastAsia="Arial" w:hAnsi="Arial"/>
          <w:sz w:val="16"/>
          <w:szCs w:val="16"/>
          <w:color w:val="065BAA"/>
        </w:rPr>
      </w:pPr>
    </w:p>
    <w:p>
      <w:pPr>
        <w:ind w:left="200" w:right="979" w:hanging="195"/>
        <w:spacing w:after="0" w:line="292" w:lineRule="auto"/>
        <w:tabs>
          <w:tab w:leader="none" w:pos="200" w:val="left"/>
        </w:tabs>
        <w:numPr>
          <w:ilvl w:val="0"/>
          <w:numId w:val="30"/>
        </w:numPr>
        <w:rPr>
          <w:rFonts w:ascii="Arial" w:cs="Arial" w:eastAsia="Arial" w:hAnsi="Arial"/>
          <w:sz w:val="16"/>
          <w:szCs w:val="16"/>
          <w:color w:val="065BAA"/>
        </w:rPr>
      </w:pPr>
      <w:r>
        <w:rPr>
          <w:rFonts w:ascii="Arial" w:cs="Arial" w:eastAsia="Arial" w:hAnsi="Arial"/>
          <w:sz w:val="16"/>
          <w:szCs w:val="16"/>
          <w:color w:val="auto"/>
        </w:rPr>
        <w:t>Former member of the board of the American Association for the Advancement of Science, the National Science Foundation, and the American Academy of Microbiology</w:t>
      </w:r>
    </w:p>
    <w:p>
      <w:pPr>
        <w:spacing w:after="0" w:line="43" w:lineRule="exact"/>
        <w:rPr>
          <w:rFonts w:ascii="Arial" w:cs="Arial" w:eastAsia="Arial" w:hAnsi="Arial"/>
          <w:sz w:val="16"/>
          <w:szCs w:val="16"/>
          <w:color w:val="065BAA"/>
        </w:rPr>
      </w:pPr>
    </w:p>
    <w:p>
      <w:pPr>
        <w:ind w:left="200" w:hanging="195"/>
        <w:spacing w:after="0"/>
        <w:tabs>
          <w:tab w:leader="none" w:pos="200" w:val="left"/>
        </w:tabs>
        <w:numPr>
          <w:ilvl w:val="0"/>
          <w:numId w:val="30"/>
        </w:numPr>
        <w:rPr>
          <w:rFonts w:ascii="Arial" w:cs="Arial" w:eastAsia="Arial" w:hAnsi="Arial"/>
          <w:sz w:val="16"/>
          <w:szCs w:val="16"/>
          <w:color w:val="065BAA"/>
        </w:rPr>
      </w:pPr>
      <w:r>
        <w:rPr>
          <w:rFonts w:ascii="Arial" w:cs="Arial" w:eastAsia="Arial" w:hAnsi="Arial"/>
          <w:sz w:val="16"/>
          <w:szCs w:val="16"/>
          <w:color w:val="auto"/>
        </w:rPr>
        <w:t>U.S. National Medal of Science</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30"/>
        </w:numPr>
        <w:rPr>
          <w:rFonts w:ascii="Arial" w:cs="Arial" w:eastAsia="Arial" w:hAnsi="Arial"/>
          <w:sz w:val="16"/>
          <w:szCs w:val="16"/>
          <w:color w:val="065BAA"/>
        </w:rPr>
      </w:pPr>
      <w:r>
        <w:rPr>
          <w:rFonts w:ascii="Arial" w:cs="Arial" w:eastAsia="Arial" w:hAnsi="Arial"/>
          <w:sz w:val="16"/>
          <w:szCs w:val="16"/>
          <w:color w:val="auto"/>
        </w:rPr>
        <w:t>MacArthur Foundation Fellowship</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30"/>
        </w:numPr>
        <w:rPr>
          <w:rFonts w:ascii="Arial" w:cs="Arial" w:eastAsia="Arial" w:hAnsi="Arial"/>
          <w:sz w:val="16"/>
          <w:szCs w:val="16"/>
          <w:color w:val="065BAA"/>
        </w:rPr>
      </w:pPr>
      <w:r>
        <w:rPr>
          <w:rFonts w:ascii="Arial" w:cs="Arial" w:eastAsia="Arial" w:hAnsi="Arial"/>
          <w:sz w:val="16"/>
          <w:szCs w:val="16"/>
          <w:color w:val="auto"/>
        </w:rPr>
        <w:t>Lounsbery Award</w:t>
      </w:r>
    </w:p>
    <w:p>
      <w:pPr>
        <w:spacing w:after="0" w:line="113" w:lineRule="exact"/>
        <w:rPr>
          <w:rFonts w:ascii="Arial" w:cs="Arial" w:eastAsia="Arial" w:hAnsi="Arial"/>
          <w:sz w:val="16"/>
          <w:szCs w:val="16"/>
          <w:color w:val="065BAA"/>
        </w:rPr>
      </w:pPr>
    </w:p>
    <w:p>
      <w:pPr>
        <w:ind w:left="200" w:hanging="195"/>
        <w:spacing w:after="0"/>
        <w:tabs>
          <w:tab w:leader="none" w:pos="200" w:val="left"/>
        </w:tabs>
        <w:numPr>
          <w:ilvl w:val="0"/>
          <w:numId w:val="30"/>
        </w:numPr>
        <w:rPr>
          <w:rFonts w:ascii="Arial" w:cs="Arial" w:eastAsia="Arial" w:hAnsi="Arial"/>
          <w:sz w:val="16"/>
          <w:szCs w:val="16"/>
          <w:color w:val="065BAA"/>
        </w:rPr>
      </w:pPr>
      <w:r>
        <w:rPr>
          <w:rFonts w:ascii="Arial" w:cs="Arial" w:eastAsia="Arial" w:hAnsi="Arial"/>
          <w:sz w:val="16"/>
          <w:szCs w:val="16"/>
          <w:color w:val="auto"/>
        </w:rPr>
        <w:t>Shaw Prize for Life Science and Medicine</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30"/>
        </w:numPr>
        <w:rPr>
          <w:rFonts w:ascii="Arial" w:cs="Arial" w:eastAsia="Arial" w:hAnsi="Arial"/>
          <w:sz w:val="16"/>
          <w:szCs w:val="16"/>
          <w:color w:val="065BAA"/>
        </w:rPr>
      </w:pPr>
      <w:r>
        <w:rPr>
          <w:rFonts w:ascii="Arial" w:cs="Arial" w:eastAsia="Arial" w:hAnsi="Arial"/>
          <w:sz w:val="16"/>
          <w:szCs w:val="16"/>
          <w:color w:val="auto"/>
        </w:rPr>
        <w:t>Gruber Prize in Genetics</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30"/>
        </w:numPr>
        <w:rPr>
          <w:rFonts w:ascii="Arial" w:cs="Arial" w:eastAsia="Arial" w:hAnsi="Arial"/>
          <w:sz w:val="16"/>
          <w:szCs w:val="16"/>
          <w:color w:val="065BAA"/>
        </w:rPr>
      </w:pPr>
      <w:r>
        <w:rPr>
          <w:rFonts w:ascii="Arial" w:cs="Arial" w:eastAsia="Arial" w:hAnsi="Arial"/>
          <w:sz w:val="16"/>
          <w:szCs w:val="16"/>
          <w:color w:val="auto"/>
        </w:rPr>
        <w:t>Wolf Prize in Chemistry</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30"/>
        </w:numPr>
        <w:rPr>
          <w:rFonts w:ascii="Arial" w:cs="Arial" w:eastAsia="Arial" w:hAnsi="Arial"/>
          <w:sz w:val="16"/>
          <w:szCs w:val="16"/>
          <w:color w:val="065BAA"/>
        </w:rPr>
      </w:pPr>
      <w:r>
        <w:rPr>
          <w:rFonts w:ascii="Arial" w:cs="Arial" w:eastAsia="Arial" w:hAnsi="Arial"/>
          <w:sz w:val="16"/>
          <w:szCs w:val="16"/>
          <w:color w:val="auto"/>
        </w:rPr>
        <w:t>Canada Gairdner International Award</w:t>
      </w:r>
    </w:p>
    <w:p>
      <w:pPr>
        <w:spacing w:after="0" w:line="113" w:lineRule="exact"/>
        <w:rPr>
          <w:rFonts w:ascii="Arial" w:cs="Arial" w:eastAsia="Arial" w:hAnsi="Arial"/>
          <w:sz w:val="16"/>
          <w:szCs w:val="16"/>
          <w:color w:val="065BAA"/>
        </w:rPr>
      </w:pPr>
    </w:p>
    <w:p>
      <w:pPr>
        <w:ind w:left="200" w:hanging="195"/>
        <w:spacing w:after="0"/>
        <w:tabs>
          <w:tab w:leader="none" w:pos="200" w:val="left"/>
        </w:tabs>
        <w:numPr>
          <w:ilvl w:val="0"/>
          <w:numId w:val="30"/>
        </w:numPr>
        <w:rPr>
          <w:rFonts w:ascii="Arial" w:cs="Arial" w:eastAsia="Arial" w:hAnsi="Arial"/>
          <w:sz w:val="16"/>
          <w:szCs w:val="16"/>
          <w:color w:val="065BAA"/>
        </w:rPr>
      </w:pPr>
      <w:r>
        <w:rPr>
          <w:rFonts w:ascii="Arial" w:cs="Arial" w:eastAsia="Arial" w:hAnsi="Arial"/>
          <w:sz w:val="16"/>
          <w:szCs w:val="16"/>
          <w:color w:val="auto"/>
        </w:rPr>
        <w:t>Former director of Kaleido Biosciences, Inc. and Cidara Therapeutics, Inc.</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065BAA"/>
        </w:rPr>
        <w:t xml:space="preserve">Industry Experience             </w:t>
      </w:r>
      <w:r>
        <w:rPr>
          <w:sz w:val="1"/>
          <w:szCs w:val="1"/>
          <w:color w:val="auto"/>
        </w:rPr>
        <w:drawing>
          <wp:inline distT="0" distB="0" distL="0" distR="0">
            <wp:extent cx="248920" cy="24003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8920" cy="240030"/>
                    </a:xfrm>
                    <a:prstGeom prst="rect">
                      <a:avLst/>
                    </a:prstGeom>
                    <a:noFill/>
                    <a:ln>
                      <a:noFill/>
                    </a:ln>
                  </pic:spPr>
                </pic:pic>
              </a:graphicData>
            </a:graphic>
          </wp:inline>
        </w:drawing>
      </w:r>
      <w:r>
        <w:rPr>
          <w:rFonts w:ascii="Arial" w:cs="Arial" w:eastAsia="Arial" w:hAnsi="Arial"/>
          <w:sz w:val="14"/>
          <w:szCs w:val="14"/>
          <w:b w:val="1"/>
          <w:bCs w:val="1"/>
          <w:color w:val="065BAA"/>
        </w:rPr>
        <w:t xml:space="preserve"> Executive/Leadership Experience</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065BAA"/>
        </w:rPr>
        <w:t xml:space="preserve">Science/Biotech Background     </w:t>
      </w:r>
      <w:r>
        <w:rPr>
          <w:sz w:val="1"/>
          <w:szCs w:val="1"/>
          <w:color w:val="auto"/>
        </w:rPr>
        <w:drawing>
          <wp:inline distT="0" distB="0" distL="0" distR="0">
            <wp:extent cx="248920" cy="24003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8920" cy="240030"/>
                    </a:xfrm>
                    <a:prstGeom prst="rect">
                      <a:avLst/>
                    </a:prstGeom>
                    <a:noFill/>
                    <a:ln>
                      <a:noFill/>
                    </a:ln>
                  </pic:spPr>
                </pic:pic>
              </a:graphicData>
            </a:graphic>
          </wp:inline>
        </w:drawing>
      </w:r>
      <w:r>
        <w:rPr>
          <w:rFonts w:ascii="Arial" w:cs="Arial" w:eastAsia="Arial" w:hAnsi="Arial"/>
          <w:sz w:val="14"/>
          <w:szCs w:val="14"/>
          <w:b w:val="1"/>
          <w:bCs w:val="1"/>
          <w:color w:val="065BAA"/>
        </w:rPr>
        <w:t xml:space="preserve"> Research/Academic Experience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Scientific Society Memberships</w:t>
      </w:r>
    </w:p>
    <w:p>
      <w:pPr>
        <w:spacing w:after="0" w:line="140" w:lineRule="exact"/>
        <w:rPr>
          <w:sz w:val="20"/>
          <w:szCs w:val="20"/>
          <w:color w:val="auto"/>
        </w:rPr>
      </w:pPr>
    </w:p>
    <w:p>
      <w:pPr>
        <w:spacing w:after="0"/>
        <w:tabs>
          <w:tab w:leader="none" w:pos="2900" w:val="left"/>
        </w:tabs>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The National Academy of Sciences</w:t>
      </w:r>
      <w:r>
        <w:rPr>
          <w:rFonts w:ascii="Arial" w:cs="Arial" w:eastAsia="Arial" w:hAnsi="Arial"/>
          <w:sz w:val="16"/>
          <w:szCs w:val="16"/>
          <w:color w:val="065BAA"/>
        </w:rPr>
        <w:tab/>
        <w:t xml:space="preserve">•  </w:t>
      </w:r>
      <w:r>
        <w:rPr>
          <w:rFonts w:ascii="Arial" w:cs="Arial" w:eastAsia="Arial" w:hAnsi="Arial"/>
          <w:sz w:val="16"/>
          <w:szCs w:val="16"/>
          <w:color w:val="000000"/>
        </w:rPr>
        <w:t>The Royal Society of London</w:t>
      </w:r>
    </w:p>
    <w:p>
      <w:pPr>
        <w:spacing w:after="0" w:line="86" w:lineRule="exact"/>
        <w:rPr>
          <w:sz w:val="20"/>
          <w:szCs w:val="20"/>
          <w:color w:val="auto"/>
        </w:rPr>
      </w:pPr>
    </w:p>
    <w:p>
      <w:pPr>
        <w:spacing w:after="0"/>
        <w:tabs>
          <w:tab w:leader="none" w:pos="2900" w:val="left"/>
        </w:tabs>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The National Academy of Medicine</w:t>
      </w:r>
      <w:r>
        <w:rPr>
          <w:rFonts w:ascii="Arial" w:cs="Arial" w:eastAsia="Arial" w:hAnsi="Arial"/>
          <w:sz w:val="16"/>
          <w:szCs w:val="16"/>
          <w:color w:val="065BAA"/>
        </w:rPr>
        <w:tab/>
        <w:t xml:space="preserve">•  </w:t>
      </w:r>
      <w:r>
        <w:rPr>
          <w:rFonts w:ascii="Arial" w:cs="Arial" w:eastAsia="Arial" w:hAnsi="Arial"/>
          <w:sz w:val="16"/>
          <w:szCs w:val="16"/>
          <w:color w:val="000000"/>
        </w:rPr>
        <w:t>The American Philosophical Society</w:t>
      </w:r>
    </w:p>
    <w:p>
      <w:pPr>
        <w:spacing w:after="0" w:line="73" w:lineRule="exact"/>
        <w:rPr>
          <w:sz w:val="20"/>
          <w:szCs w:val="20"/>
          <w:color w:val="auto"/>
        </w:rPr>
      </w:pPr>
    </w:p>
    <w:p>
      <w:pPr>
        <w:ind w:left="200" w:right="3599" w:hanging="195"/>
        <w:spacing w:after="0" w:line="304" w:lineRule="auto"/>
        <w:tabs>
          <w:tab w:leader="none" w:pos="200" w:val="left"/>
        </w:tabs>
        <w:numPr>
          <w:ilvl w:val="0"/>
          <w:numId w:val="31"/>
        </w:numPr>
        <w:rPr>
          <w:rFonts w:ascii="Arial" w:cs="Arial" w:eastAsia="Arial" w:hAnsi="Arial"/>
          <w:sz w:val="16"/>
          <w:szCs w:val="16"/>
          <w:color w:val="065BAA"/>
        </w:rPr>
      </w:pPr>
      <w:r>
        <w:rPr>
          <w:rFonts w:ascii="Arial" w:cs="Arial" w:eastAsia="Arial" w:hAnsi="Arial"/>
          <w:sz w:val="16"/>
          <w:szCs w:val="16"/>
          <w:color w:val="auto"/>
        </w:rPr>
        <w:t>The American Academy of Arts and Sciences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Boards</w:t>
      </w:r>
    </w:p>
    <w:p>
      <w:pPr>
        <w:spacing w:after="0" w:line="140" w:lineRule="exact"/>
        <w:rPr>
          <w:sz w:val="20"/>
          <w:szCs w:val="20"/>
          <w:color w:val="auto"/>
        </w:rPr>
      </w:pPr>
    </w:p>
    <w:p>
      <w:pPr>
        <w:ind w:left="200" w:hanging="195"/>
        <w:spacing w:after="0"/>
        <w:tabs>
          <w:tab w:leader="none" w:pos="200" w:val="left"/>
        </w:tabs>
        <w:numPr>
          <w:ilvl w:val="0"/>
          <w:numId w:val="32"/>
        </w:numPr>
        <w:rPr>
          <w:rFonts w:ascii="Arial" w:cs="Arial" w:eastAsia="Arial" w:hAnsi="Arial"/>
          <w:sz w:val="16"/>
          <w:szCs w:val="16"/>
          <w:color w:val="065BAA"/>
        </w:rPr>
      </w:pPr>
      <w:r>
        <w:rPr>
          <w:rFonts w:ascii="Arial" w:cs="Arial" w:eastAsia="Arial" w:hAnsi="Arial"/>
          <w:sz w:val="16"/>
          <w:szCs w:val="16"/>
          <w:color w:val="auto"/>
        </w:rPr>
        <w:t>Royalty Pharma plc</w:t>
      </w:r>
    </w:p>
    <w:p>
      <w:pPr>
        <w:spacing w:after="0" w:line="356" w:lineRule="exact"/>
        <w:rPr>
          <w:sz w:val="20"/>
          <w:szCs w:val="20"/>
          <w:color w:val="auto"/>
        </w:rPr>
      </w:pPr>
    </w:p>
    <w:p>
      <w:pPr>
        <w:ind w:right="339"/>
        <w:spacing w:after="0" w:line="301" w:lineRule="auto"/>
        <w:rPr>
          <w:sz w:val="20"/>
          <w:szCs w:val="20"/>
          <w:color w:val="auto"/>
        </w:rPr>
      </w:pPr>
      <w:r>
        <w:rPr>
          <w:rFonts w:ascii="Arial" w:cs="Arial" w:eastAsia="Arial" w:hAnsi="Arial"/>
          <w:sz w:val="16"/>
          <w:szCs w:val="16"/>
          <w:color w:val="auto"/>
        </w:rPr>
        <w:t>Dr. Bassler’s extensive research experience and her scientific and academic career and accomplishments, as well as her experience as a corporate director, led the board to conclude that Dr. Bassler should serve as a director.</w:t>
      </w:r>
    </w:p>
    <w:p>
      <w:pPr>
        <w:spacing w:after="0" w:line="200" w:lineRule="exact"/>
        <w:rPr>
          <w:sz w:val="20"/>
          <w:szCs w:val="20"/>
          <w:color w:val="auto"/>
        </w:rPr>
      </w:pPr>
    </w:p>
    <w:p>
      <w:pPr>
        <w:sectPr>
          <w:pgSz w:w="11900" w:h="16838" w:orient="portrait"/>
          <w:cols w:equalWidth="0" w:num="2">
            <w:col w:w="2320" w:space="660"/>
            <w:col w:w="603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17</w:t>
            </w:r>
          </w:p>
        </w:tc>
      </w:tr>
    </w:tbl>
    <w:p>
      <w:pPr>
        <w:sectPr>
          <w:pgSz w:w="11900" w:h="16838" w:orient="portrait"/>
          <w:cols w:equalWidth="0" w:num="1">
            <w:col w:w="9019"/>
          </w:cols>
          <w:pgMar w:left="1440" w:top="657" w:right="1440" w:bottom="1440" w:gutter="0" w:footer="0" w:header="0"/>
          <w:type w:val="continuous"/>
        </w:sectPr>
      </w:pPr>
    </w:p>
    <w:bookmarkStart w:id="26" w:name="page27"/>
    <w:bookmarkEnd w:id="26"/>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85</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1991</w:t>
      </w:r>
    </w:p>
    <w:p>
      <w:pPr>
        <w:spacing w:after="0" w:line="221" w:lineRule="exact"/>
        <w:rPr>
          <w:sz w:val="20"/>
          <w:szCs w:val="20"/>
          <w:color w:val="auto"/>
        </w:rPr>
      </w:pPr>
    </w:p>
    <w:p>
      <w:pPr>
        <w:ind w:left="320" w:right="320"/>
        <w:spacing w:after="0" w:line="265" w:lineRule="auto"/>
        <w:rPr>
          <w:sz w:val="20"/>
          <w:szCs w:val="20"/>
          <w:color w:val="auto"/>
        </w:rPr>
      </w:pPr>
      <w:r>
        <w:rPr>
          <w:rFonts w:ascii="Arial" w:cs="Arial" w:eastAsia="Arial" w:hAnsi="Arial"/>
          <w:sz w:val="16"/>
          <w:szCs w:val="16"/>
          <w:b w:val="1"/>
          <w:bCs w:val="1"/>
          <w:color w:val="auto"/>
        </w:rPr>
        <w:t>Board and Committee Membership—</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2025 Attendance</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Board of Directors: </w:t>
      </w:r>
      <w:r>
        <w:rPr>
          <w:rFonts w:ascii="Arial" w:cs="Arial" w:eastAsia="Arial" w:hAnsi="Arial"/>
          <w:sz w:val="16"/>
          <w:szCs w:val="16"/>
          <w:b w:val="1"/>
          <w:bCs w:val="1"/>
          <w:color w:val="auto"/>
        </w:rPr>
        <w:t>14/15</w:t>
      </w:r>
    </w:p>
    <w:p>
      <w:pPr>
        <w:spacing w:after="0" w:line="73" w:lineRule="exact"/>
        <w:rPr>
          <w:sz w:val="20"/>
          <w:szCs w:val="20"/>
          <w:color w:val="auto"/>
        </w:rPr>
      </w:pPr>
    </w:p>
    <w:p>
      <w:pPr>
        <w:ind w:left="320"/>
        <w:spacing w:after="0" w:line="281" w:lineRule="auto"/>
        <w:rPr>
          <w:sz w:val="20"/>
          <w:szCs w:val="20"/>
          <w:color w:val="auto"/>
        </w:rPr>
      </w:pPr>
      <w:r>
        <w:rPr>
          <w:rFonts w:ascii="Arial" w:cs="Arial" w:eastAsia="Arial" w:hAnsi="Arial"/>
          <w:sz w:val="16"/>
          <w:szCs w:val="16"/>
          <w:color w:val="auto"/>
        </w:rPr>
        <w:t xml:space="preserve">Corporate Governance and Compliance Committee: </w:t>
      </w:r>
      <w:r>
        <w:rPr>
          <w:rFonts w:ascii="Arial" w:cs="Arial" w:eastAsia="Arial" w:hAnsi="Arial"/>
          <w:sz w:val="16"/>
          <w:szCs w:val="16"/>
          <w:b w:val="1"/>
          <w:bCs w:val="1"/>
          <w:color w:val="auto"/>
        </w:rPr>
        <w:t>5/5</w:t>
      </w:r>
    </w:p>
    <w:p>
      <w:pPr>
        <w:spacing w:after="0" w:line="1" w:lineRule="exact"/>
        <w:rPr>
          <w:sz w:val="20"/>
          <w:szCs w:val="20"/>
          <w:color w:val="auto"/>
        </w:rPr>
      </w:pPr>
    </w:p>
    <w:p>
      <w:pPr>
        <w:ind w:left="320" w:right="360"/>
        <w:spacing w:after="0" w:line="314" w:lineRule="auto"/>
        <w:rPr>
          <w:sz w:val="20"/>
          <w:szCs w:val="20"/>
          <w:color w:val="auto"/>
        </w:rPr>
      </w:pPr>
      <w:r>
        <w:rPr>
          <w:rFonts w:ascii="Arial" w:cs="Arial" w:eastAsia="Arial" w:hAnsi="Arial"/>
          <w:sz w:val="16"/>
          <w:szCs w:val="16"/>
          <w:color w:val="auto"/>
        </w:rPr>
        <w:t xml:space="preserve">Technology Committee (Chair): </w:t>
      </w:r>
      <w:r>
        <w:rPr>
          <w:rFonts w:ascii="Arial" w:cs="Arial" w:eastAsia="Arial" w:hAnsi="Arial"/>
          <w:sz w:val="16"/>
          <w:szCs w:val="16"/>
          <w:b w:val="1"/>
          <w:bCs w:val="1"/>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65BAA"/>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9"/>
          <w:szCs w:val="29"/>
          <w:b w:val="1"/>
          <w:bCs w:val="1"/>
          <w:color w:val="065BAA"/>
        </w:rPr>
        <w:t>Michael S. Brown, M.D.</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86" w:lineRule="exact"/>
        <w:rPr>
          <w:sz w:val="20"/>
          <w:szCs w:val="20"/>
          <w:color w:val="auto"/>
        </w:rPr>
      </w:pPr>
    </w:p>
    <w:p>
      <w:pPr>
        <w:ind w:left="200" w:right="559" w:hanging="195"/>
        <w:spacing w:after="0" w:line="295" w:lineRule="auto"/>
        <w:tabs>
          <w:tab w:leader="none" w:pos="200" w:val="left"/>
        </w:tabs>
        <w:numPr>
          <w:ilvl w:val="0"/>
          <w:numId w:val="33"/>
        </w:numPr>
        <w:rPr>
          <w:rFonts w:ascii="Arial" w:cs="Arial" w:eastAsia="Arial" w:hAnsi="Arial"/>
          <w:sz w:val="16"/>
          <w:szCs w:val="16"/>
          <w:color w:val="065BAA"/>
        </w:rPr>
      </w:pPr>
      <w:r>
        <w:rPr>
          <w:rFonts w:ascii="Arial" w:cs="Arial" w:eastAsia="Arial" w:hAnsi="Arial"/>
          <w:sz w:val="16"/>
          <w:szCs w:val="16"/>
          <w:color w:val="auto"/>
        </w:rPr>
        <w:t>Distinguished Chair in Biomedical Sciences since 1989 and Regental Professor of Molecular Genetics and Internal Medicine and Director of the Jonsson Center for Molecular Genetics since 1985 at The University of Texas Southwestern Medical Center at Dallas</w:t>
      </w:r>
    </w:p>
    <w:p>
      <w:pPr>
        <w:spacing w:after="0" w:line="26" w:lineRule="exact"/>
        <w:rPr>
          <w:rFonts w:ascii="Arial" w:cs="Arial" w:eastAsia="Arial" w:hAnsi="Arial"/>
          <w:sz w:val="16"/>
          <w:szCs w:val="16"/>
          <w:color w:val="065BAA"/>
        </w:rPr>
      </w:pPr>
    </w:p>
    <w:p>
      <w:pPr>
        <w:ind w:left="200" w:hanging="195"/>
        <w:spacing w:after="0"/>
        <w:tabs>
          <w:tab w:leader="none" w:pos="200" w:val="left"/>
        </w:tabs>
        <w:numPr>
          <w:ilvl w:val="0"/>
          <w:numId w:val="33"/>
        </w:numPr>
        <w:rPr>
          <w:rFonts w:ascii="Arial" w:cs="Arial" w:eastAsia="Arial" w:hAnsi="Arial"/>
          <w:sz w:val="16"/>
          <w:szCs w:val="16"/>
          <w:color w:val="065BAA"/>
        </w:rPr>
      </w:pPr>
      <w:r>
        <w:rPr>
          <w:rFonts w:ascii="Arial" w:cs="Arial" w:eastAsia="Arial" w:hAnsi="Arial"/>
          <w:sz w:val="16"/>
          <w:szCs w:val="16"/>
          <w:color w:val="auto"/>
        </w:rPr>
        <w:t>Nobel Prize for Physiology or Medicine in 1985 (jointly with Dr. Goldstein)</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33"/>
        </w:numPr>
        <w:rPr>
          <w:rFonts w:ascii="Arial" w:cs="Arial" w:eastAsia="Arial" w:hAnsi="Arial"/>
          <w:sz w:val="16"/>
          <w:szCs w:val="16"/>
          <w:color w:val="065BAA"/>
        </w:rPr>
      </w:pPr>
      <w:r>
        <w:rPr>
          <w:rFonts w:ascii="Arial" w:cs="Arial" w:eastAsia="Arial" w:hAnsi="Arial"/>
          <w:sz w:val="16"/>
          <w:szCs w:val="16"/>
          <w:color w:val="auto"/>
        </w:rPr>
        <w:t>U.S. National Medal of Science in 1988 (jointly with Dr. Goldstein)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065BAA"/>
        </w:rPr>
        <w:t xml:space="preserve">Industry Experience             </w:t>
      </w:r>
      <w:r>
        <w:rPr>
          <w:sz w:val="1"/>
          <w:szCs w:val="1"/>
          <w:color w:val="auto"/>
        </w:rPr>
        <w:drawing>
          <wp:inline distT="0" distB="0" distL="0" distR="0">
            <wp:extent cx="248920" cy="22288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8920" cy="222885"/>
                    </a:xfrm>
                    <a:prstGeom prst="rect">
                      <a:avLst/>
                    </a:prstGeom>
                    <a:noFill/>
                    <a:ln>
                      <a:noFill/>
                    </a:ln>
                  </pic:spPr>
                </pic:pic>
              </a:graphicData>
            </a:graphic>
          </wp:inline>
        </w:drawing>
      </w:r>
      <w:r>
        <w:rPr>
          <w:rFonts w:ascii="Arial" w:cs="Arial" w:eastAsia="Arial" w:hAnsi="Arial"/>
          <w:sz w:val="14"/>
          <w:szCs w:val="14"/>
          <w:b w:val="1"/>
          <w:bCs w:val="1"/>
          <w:color w:val="065BAA"/>
        </w:rPr>
        <w:t xml:space="preserve"> Executive/Leadership Experience</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065BAA"/>
        </w:rPr>
        <w:t xml:space="preserve">Science/Biotech Background      </w:t>
      </w:r>
      <w:r>
        <w:rPr>
          <w:sz w:val="1"/>
          <w:szCs w:val="1"/>
          <w:color w:val="auto"/>
        </w:rPr>
        <w:drawing>
          <wp:inline distT="0" distB="0" distL="0" distR="0">
            <wp:extent cx="179705" cy="24892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9705" cy="248920"/>
                    </a:xfrm>
                    <a:prstGeom prst="rect">
                      <a:avLst/>
                    </a:prstGeom>
                    <a:noFill/>
                    <a:ln>
                      <a:noFill/>
                    </a:ln>
                  </pic:spPr>
                </pic:pic>
              </a:graphicData>
            </a:graphic>
          </wp:inline>
        </w:drawing>
      </w:r>
      <w:r>
        <w:rPr>
          <w:rFonts w:ascii="Arial" w:cs="Arial" w:eastAsia="Arial" w:hAnsi="Arial"/>
          <w:sz w:val="14"/>
          <w:szCs w:val="14"/>
          <w:b w:val="1"/>
          <w:bCs w:val="1"/>
          <w:color w:val="065BAA"/>
        </w:rPr>
        <w:t xml:space="preserve">  Research/Academic Experience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Scientific Society Memberships</w:t>
      </w:r>
    </w:p>
    <w:p>
      <w:pPr>
        <w:spacing w:after="0" w:line="127" w:lineRule="exact"/>
        <w:rPr>
          <w:sz w:val="20"/>
          <w:szCs w:val="20"/>
          <w:color w:val="auto"/>
        </w:rPr>
      </w:pPr>
    </w:p>
    <w:p>
      <w:pPr>
        <w:ind w:left="200" w:hanging="195"/>
        <w:spacing w:after="0"/>
        <w:tabs>
          <w:tab w:leader="none" w:pos="200" w:val="left"/>
        </w:tabs>
        <w:numPr>
          <w:ilvl w:val="0"/>
          <w:numId w:val="34"/>
        </w:numPr>
        <w:rPr>
          <w:rFonts w:ascii="Arial" w:cs="Arial" w:eastAsia="Arial" w:hAnsi="Arial"/>
          <w:sz w:val="16"/>
          <w:szCs w:val="16"/>
          <w:color w:val="065BAA"/>
        </w:rPr>
      </w:pPr>
      <w:r>
        <w:rPr>
          <w:rFonts w:ascii="Arial" w:cs="Arial" w:eastAsia="Arial" w:hAnsi="Arial"/>
          <w:sz w:val="16"/>
          <w:szCs w:val="16"/>
          <w:color w:val="auto"/>
        </w:rPr>
        <w:t>The National Academy of Sciences</w:t>
      </w:r>
    </w:p>
    <w:p>
      <w:pPr>
        <w:spacing w:after="0" w:line="86" w:lineRule="exact"/>
        <w:rPr>
          <w:rFonts w:ascii="Arial" w:cs="Arial" w:eastAsia="Arial" w:hAnsi="Arial"/>
          <w:sz w:val="16"/>
          <w:szCs w:val="16"/>
          <w:color w:val="065BAA"/>
        </w:rPr>
      </w:pPr>
    </w:p>
    <w:p>
      <w:pPr>
        <w:ind w:left="200" w:hanging="195"/>
        <w:spacing w:after="0"/>
        <w:tabs>
          <w:tab w:leader="none" w:pos="200" w:val="left"/>
        </w:tabs>
        <w:numPr>
          <w:ilvl w:val="0"/>
          <w:numId w:val="34"/>
        </w:numPr>
        <w:rPr>
          <w:rFonts w:ascii="Arial" w:cs="Arial" w:eastAsia="Arial" w:hAnsi="Arial"/>
          <w:sz w:val="16"/>
          <w:szCs w:val="16"/>
          <w:color w:val="065BAA"/>
        </w:rPr>
      </w:pPr>
      <w:r>
        <w:rPr>
          <w:rFonts w:ascii="Arial" w:cs="Arial" w:eastAsia="Arial" w:hAnsi="Arial"/>
          <w:sz w:val="16"/>
          <w:szCs w:val="16"/>
          <w:color w:val="auto"/>
        </w:rPr>
        <w:t>The National Academy of Medicine</w:t>
      </w:r>
    </w:p>
    <w:p>
      <w:pPr>
        <w:spacing w:after="0" w:line="99" w:lineRule="exact"/>
        <w:rPr>
          <w:rFonts w:ascii="Arial" w:cs="Arial" w:eastAsia="Arial" w:hAnsi="Arial"/>
          <w:sz w:val="16"/>
          <w:szCs w:val="16"/>
          <w:color w:val="065BAA"/>
        </w:rPr>
      </w:pPr>
    </w:p>
    <w:p>
      <w:pPr>
        <w:ind w:left="200" w:hanging="195"/>
        <w:spacing w:after="0"/>
        <w:tabs>
          <w:tab w:leader="none" w:pos="200" w:val="left"/>
        </w:tabs>
        <w:numPr>
          <w:ilvl w:val="0"/>
          <w:numId w:val="34"/>
        </w:numPr>
        <w:rPr>
          <w:rFonts w:ascii="Arial" w:cs="Arial" w:eastAsia="Arial" w:hAnsi="Arial"/>
          <w:sz w:val="16"/>
          <w:szCs w:val="16"/>
          <w:color w:val="065BAA"/>
        </w:rPr>
      </w:pPr>
      <w:r>
        <w:rPr>
          <w:rFonts w:ascii="Arial" w:cs="Arial" w:eastAsia="Arial" w:hAnsi="Arial"/>
          <w:sz w:val="16"/>
          <w:szCs w:val="16"/>
          <w:color w:val="auto"/>
        </w:rPr>
        <w:t>The Royal Society of London</w:t>
      </w:r>
    </w:p>
    <w:p>
      <w:pPr>
        <w:spacing w:after="0" w:line="383" w:lineRule="exact"/>
        <w:rPr>
          <w:sz w:val="20"/>
          <w:szCs w:val="20"/>
          <w:color w:val="auto"/>
        </w:rPr>
      </w:pPr>
    </w:p>
    <w:p>
      <w:pPr>
        <w:ind w:right="319"/>
        <w:spacing w:after="0" w:line="287" w:lineRule="auto"/>
        <w:rPr>
          <w:sz w:val="20"/>
          <w:szCs w:val="20"/>
          <w:color w:val="auto"/>
        </w:rPr>
      </w:pPr>
      <w:r>
        <w:rPr>
          <w:rFonts w:ascii="Arial" w:cs="Arial" w:eastAsia="Arial" w:hAnsi="Arial"/>
          <w:sz w:val="16"/>
          <w:szCs w:val="16"/>
          <w:color w:val="auto"/>
        </w:rPr>
        <w:t>Dr. Brown’s distinguished scientific and academic background, including his receipt of the Nobel Prize for Physiology or Medicine in 1985, and his significant industry experience gained through his service on the board of directors of the Company and the board of directors of a leading pharmaceutical company, led the board to conclude that Dr. Brown should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ind w:right="179"/>
        <w:spacing w:after="0"/>
        <w:rPr>
          <w:sz w:val="20"/>
          <w:szCs w:val="20"/>
          <w:color w:val="auto"/>
        </w:rPr>
      </w:pPr>
      <w:r>
        <w:rPr>
          <w:rFonts w:ascii="Arial" w:cs="Arial" w:eastAsia="Arial" w:hAnsi="Arial"/>
          <w:sz w:val="14"/>
          <w:szCs w:val="14"/>
          <w:b w:val="1"/>
          <w:bCs w:val="1"/>
          <w:color w:val="065BAA"/>
        </w:rPr>
        <w:t>2026 Proxy Statement and Notice of Annual Shareholder Meeting</w:t>
      </w:r>
    </w:p>
    <w:p>
      <w:pPr>
        <w:sectPr>
          <w:pgSz w:w="11900" w:h="16838" w:orient="portrait"/>
          <w:cols w:equalWidth="0" w:num="2">
            <w:col w:w="2320" w:space="660"/>
            <w:col w:w="6039"/>
          </w:cols>
          <w:pgMar w:left="1440" w:top="657" w:right="1440" w:bottom="1440" w:gutter="0" w:footer="0" w:header="0"/>
          <w:type w:val="continuous"/>
        </w:sectPr>
      </w:pPr>
    </w:p>
    <w:bookmarkStart w:id="27" w:name="page28"/>
    <w:bookmarkEnd w:id="27"/>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73</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1988</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Board co-Chair since: </w:t>
      </w:r>
      <w:r>
        <w:rPr>
          <w:rFonts w:ascii="Arial" w:cs="Arial" w:eastAsia="Arial" w:hAnsi="Arial"/>
          <w:sz w:val="16"/>
          <w:szCs w:val="16"/>
          <w:b w:val="1"/>
          <w:bCs w:val="1"/>
          <w:color w:val="auto"/>
        </w:rPr>
        <w:t>2023</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Board and Committee</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Membership—</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2025 Attendance</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Board of Directors: </w:t>
      </w:r>
      <w:r>
        <w:rPr>
          <w:rFonts w:ascii="Arial" w:cs="Arial" w:eastAsia="Arial" w:hAnsi="Arial"/>
          <w:sz w:val="16"/>
          <w:szCs w:val="16"/>
          <w:b w:val="1"/>
          <w:bCs w:val="1"/>
          <w:color w:val="auto"/>
        </w:rPr>
        <w:t>15/15</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Technology Committee: </w:t>
      </w:r>
      <w:r>
        <w:rPr>
          <w:rFonts w:ascii="Arial" w:cs="Arial" w:eastAsia="Arial" w:hAnsi="Arial"/>
          <w:sz w:val="16"/>
          <w:szCs w:val="16"/>
          <w:b w:val="1"/>
          <w:bCs w:val="1"/>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9"/>
          <w:szCs w:val="29"/>
          <w:b w:val="1"/>
          <w:bCs w:val="1"/>
          <w:color w:val="065BAA"/>
        </w:rPr>
        <w:t>Leonard S. Schleifer, M.D., Ph.D.</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86" w:lineRule="exact"/>
        <w:rPr>
          <w:sz w:val="20"/>
          <w:szCs w:val="20"/>
          <w:color w:val="auto"/>
        </w:rPr>
      </w:pPr>
    </w:p>
    <w:p>
      <w:pPr>
        <w:ind w:left="200" w:right="379" w:hanging="195"/>
        <w:spacing w:after="0" w:line="321" w:lineRule="auto"/>
        <w:tabs>
          <w:tab w:leader="none" w:pos="200" w:val="left"/>
        </w:tabs>
        <w:numPr>
          <w:ilvl w:val="0"/>
          <w:numId w:val="35"/>
        </w:numPr>
        <w:rPr>
          <w:rFonts w:ascii="Arial" w:cs="Arial" w:eastAsia="Arial" w:hAnsi="Arial"/>
          <w:sz w:val="16"/>
          <w:szCs w:val="16"/>
          <w:color w:val="065BAA"/>
        </w:rPr>
      </w:pPr>
      <w:r>
        <w:rPr>
          <w:rFonts w:ascii="Arial" w:cs="Arial" w:eastAsia="Arial" w:hAnsi="Arial"/>
          <w:sz w:val="16"/>
          <w:szCs w:val="16"/>
          <w:color w:val="auto"/>
        </w:rPr>
        <w:t>Founded the Company in 1988; built and managed the Company over the past 38 years together with Regeneron’s founding scientist, Dr. Yancopoulos</w:t>
      </w:r>
    </w:p>
    <w:p>
      <w:pPr>
        <w:spacing w:after="0" w:line="7" w:lineRule="exact"/>
        <w:rPr>
          <w:rFonts w:ascii="Arial" w:cs="Arial" w:eastAsia="Arial" w:hAnsi="Arial"/>
          <w:sz w:val="16"/>
          <w:szCs w:val="16"/>
          <w:color w:val="065BAA"/>
        </w:rPr>
      </w:pPr>
    </w:p>
    <w:p>
      <w:pPr>
        <w:ind w:left="200" w:right="839" w:hanging="195"/>
        <w:spacing w:after="0" w:line="302" w:lineRule="auto"/>
        <w:tabs>
          <w:tab w:leader="none" w:pos="200" w:val="left"/>
        </w:tabs>
        <w:numPr>
          <w:ilvl w:val="0"/>
          <w:numId w:val="35"/>
        </w:numPr>
        <w:rPr>
          <w:rFonts w:ascii="Arial" w:cs="Arial" w:eastAsia="Arial" w:hAnsi="Arial"/>
          <w:sz w:val="16"/>
          <w:szCs w:val="16"/>
          <w:color w:val="065BAA"/>
        </w:rPr>
      </w:pPr>
      <w:r>
        <w:rPr>
          <w:rFonts w:ascii="Arial" w:cs="Arial" w:eastAsia="Arial" w:hAnsi="Arial"/>
          <w:sz w:val="16"/>
          <w:szCs w:val="16"/>
          <w:color w:val="auto"/>
        </w:rPr>
        <w:t>Director, President, and Chief Executive Officer of the Company since its inception</w:t>
      </w:r>
    </w:p>
    <w:p>
      <w:pPr>
        <w:ind w:left="200" w:right="739" w:hanging="195"/>
        <w:spacing w:after="0" w:line="234" w:lineRule="exact"/>
        <w:tabs>
          <w:tab w:leader="none" w:pos="200" w:val="left"/>
        </w:tabs>
        <w:numPr>
          <w:ilvl w:val="0"/>
          <w:numId w:val="35"/>
        </w:numPr>
        <w:rPr>
          <w:rFonts w:ascii="Arial" w:cs="Arial" w:eastAsia="Arial" w:hAnsi="Arial"/>
          <w:sz w:val="16"/>
          <w:szCs w:val="16"/>
          <w:color w:val="065BAA"/>
        </w:rPr>
      </w:pPr>
      <w:r>
        <w:rPr>
          <w:rFonts w:ascii="Arial" w:cs="Arial" w:eastAsia="Arial" w:hAnsi="Arial"/>
          <w:sz w:val="16"/>
          <w:szCs w:val="16"/>
          <w:color w:val="auto"/>
        </w:rPr>
        <w:t>Co</w:t>
      </w:r>
      <w:r>
        <w:rPr>
          <w:rFonts w:ascii="MS PGothic" w:cs="MS PGothic" w:eastAsia="MS PGothic" w:hAnsi="MS PGothic"/>
          <w:sz w:val="16"/>
          <w:szCs w:val="16"/>
          <w:color w:val="auto"/>
        </w:rPr>
        <w:t>‑</w:t>
      </w:r>
      <w:r>
        <w:rPr>
          <w:rFonts w:ascii="Arial" w:cs="Arial" w:eastAsia="Arial" w:hAnsi="Arial"/>
          <w:sz w:val="16"/>
          <w:szCs w:val="16"/>
          <w:color w:val="auto"/>
        </w:rPr>
        <w:t>Chair of the Board since 2023; former Chair of the Board from 1990 through 1994</w:t>
      </w:r>
    </w:p>
    <w:p>
      <w:pPr>
        <w:spacing w:after="0" w:line="82" w:lineRule="exact"/>
        <w:rPr>
          <w:rFonts w:ascii="Arial" w:cs="Arial" w:eastAsia="Arial" w:hAnsi="Arial"/>
          <w:sz w:val="16"/>
          <w:szCs w:val="16"/>
          <w:color w:val="065BAA"/>
        </w:rPr>
      </w:pPr>
    </w:p>
    <w:p>
      <w:pPr>
        <w:ind w:left="200" w:right="239" w:hanging="195"/>
        <w:spacing w:after="0" w:line="321" w:lineRule="auto"/>
        <w:tabs>
          <w:tab w:leader="none" w:pos="200" w:val="left"/>
        </w:tabs>
        <w:numPr>
          <w:ilvl w:val="0"/>
          <w:numId w:val="35"/>
        </w:numPr>
        <w:rPr>
          <w:rFonts w:ascii="Arial" w:cs="Arial" w:eastAsia="Arial" w:hAnsi="Arial"/>
          <w:sz w:val="16"/>
          <w:szCs w:val="16"/>
          <w:color w:val="065BAA"/>
        </w:rPr>
      </w:pPr>
      <w:r>
        <w:rPr>
          <w:rFonts w:ascii="Arial" w:cs="Arial" w:eastAsia="Arial" w:hAnsi="Arial"/>
          <w:sz w:val="16"/>
          <w:szCs w:val="16"/>
          <w:color w:val="auto"/>
        </w:rPr>
        <w:t>Licensed physician certified in Neurology by the American Board of Psychiatry and Neurology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2600" w:type="dxa"/>
            <w:vAlign w:val="bottom"/>
          </w:tcPr>
          <w:p>
            <w:pPr>
              <w:spacing w:after="0"/>
              <w:rPr>
                <w:sz w:val="20"/>
                <w:szCs w:val="20"/>
                <w:color w:val="auto"/>
              </w:rPr>
            </w:pPr>
            <w:r>
              <w:rPr>
                <w:rFonts w:ascii="Arial" w:cs="Arial" w:eastAsia="Arial" w:hAnsi="Arial"/>
                <w:sz w:val="14"/>
                <w:szCs w:val="14"/>
                <w:b w:val="1"/>
                <w:bCs w:val="1"/>
                <w:color w:val="065BAA"/>
              </w:rPr>
              <w:t>Industry Experience</w:t>
            </w:r>
          </w:p>
        </w:tc>
        <w:tc>
          <w:tcPr>
            <w:tcW w:w="2600" w:type="dxa"/>
            <w:vAlign w:val="bottom"/>
          </w:tcPr>
          <w:p>
            <w:pPr>
              <w:ind w:left="320"/>
              <w:spacing w:after="0"/>
              <w:rPr>
                <w:sz w:val="20"/>
                <w:szCs w:val="20"/>
                <w:color w:val="auto"/>
              </w:rPr>
            </w:pPr>
            <w:r>
              <w:rPr>
                <w:rFonts w:ascii="Arial" w:cs="Arial" w:eastAsia="Arial" w:hAnsi="Arial"/>
                <w:sz w:val="14"/>
                <w:szCs w:val="14"/>
                <w:b w:val="1"/>
                <w:bCs w:val="1"/>
                <w:color w:val="065BAA"/>
              </w:rPr>
              <w:t>Executive/Leadership Experience</w:t>
            </w:r>
          </w:p>
        </w:tc>
        <w:tc>
          <w:tcPr>
            <w:tcW w:w="0" w:type="dxa"/>
            <w:vAlign w:val="bottom"/>
          </w:tcPr>
          <w:p>
            <w:pPr>
              <w:spacing w:after="0"/>
              <w:rPr>
                <w:sz w:val="1"/>
                <w:szCs w:val="1"/>
                <w:color w:val="auto"/>
              </w:rPr>
            </w:pPr>
          </w:p>
        </w:tc>
      </w:tr>
      <w:tr>
        <w:trPr>
          <w:trHeight w:val="526"/>
        </w:trPr>
        <w:tc>
          <w:tcPr>
            <w:tcW w:w="2600" w:type="dxa"/>
            <w:vAlign w:val="bottom"/>
          </w:tcPr>
          <w:p>
            <w:pPr>
              <w:spacing w:after="0"/>
              <w:rPr>
                <w:sz w:val="20"/>
                <w:szCs w:val="20"/>
                <w:color w:val="auto"/>
              </w:rPr>
            </w:pPr>
            <w:r>
              <w:rPr>
                <w:rFonts w:ascii="Arial" w:cs="Arial" w:eastAsia="Arial" w:hAnsi="Arial"/>
                <w:sz w:val="14"/>
                <w:szCs w:val="14"/>
                <w:b w:val="1"/>
                <w:bCs w:val="1"/>
                <w:color w:val="065BAA"/>
              </w:rPr>
              <w:t>Science/Biotech Background</w:t>
            </w:r>
          </w:p>
        </w:tc>
        <w:tc>
          <w:tcPr>
            <w:tcW w:w="2600" w:type="dxa"/>
            <w:vAlign w:val="bottom"/>
          </w:tcPr>
          <w:p>
            <w:pPr>
              <w:ind w:left="320"/>
              <w:spacing w:after="0"/>
              <w:rPr>
                <w:sz w:val="20"/>
                <w:szCs w:val="20"/>
                <w:color w:val="auto"/>
              </w:rPr>
            </w:pPr>
            <w:r>
              <w:rPr>
                <w:rFonts w:ascii="Arial" w:cs="Arial" w:eastAsia="Arial" w:hAnsi="Arial"/>
                <w:sz w:val="14"/>
                <w:szCs w:val="14"/>
                <w:b w:val="1"/>
                <w:bCs w:val="1"/>
                <w:color w:val="065BAA"/>
              </w:rPr>
              <w:t>Research/Academic Experience</w:t>
            </w:r>
          </w:p>
        </w:tc>
        <w:tc>
          <w:tcPr>
            <w:tcW w:w="0" w:type="dxa"/>
            <w:vAlign w:val="bottom"/>
          </w:tcPr>
          <w:p>
            <w:pPr>
              <w:spacing w:after="0"/>
              <w:rPr>
                <w:sz w:val="1"/>
                <w:szCs w:val="1"/>
                <w:color w:val="auto"/>
              </w:rPr>
            </w:pPr>
          </w:p>
        </w:tc>
      </w:tr>
      <w:tr>
        <w:trPr>
          <w:trHeight w:val="411"/>
        </w:trPr>
        <w:tc>
          <w:tcPr>
            <w:tcW w:w="2600" w:type="dxa"/>
            <w:vAlign w:val="bottom"/>
          </w:tcPr>
          <w:p>
            <w:pPr>
              <w:spacing w:after="0"/>
              <w:rPr>
                <w:sz w:val="20"/>
                <w:szCs w:val="20"/>
                <w:color w:val="auto"/>
              </w:rPr>
            </w:pPr>
            <w:r>
              <w:rPr>
                <w:rFonts w:ascii="Arial" w:cs="Arial" w:eastAsia="Arial" w:hAnsi="Arial"/>
                <w:sz w:val="14"/>
                <w:szCs w:val="14"/>
                <w:b w:val="1"/>
                <w:bCs w:val="1"/>
                <w:color w:val="065BAA"/>
              </w:rPr>
              <w:t>Business Strategy/</w:t>
            </w:r>
          </w:p>
        </w:tc>
        <w:tc>
          <w:tcPr>
            <w:tcW w:w="2600" w:type="dxa"/>
            <w:vAlign w:val="bottom"/>
            <w:vMerge w:val="restart"/>
          </w:tcPr>
          <w:p>
            <w:pPr>
              <w:ind w:left="320"/>
              <w:spacing w:after="0"/>
              <w:rPr>
                <w:sz w:val="20"/>
                <w:szCs w:val="20"/>
                <w:color w:val="auto"/>
              </w:rPr>
            </w:pPr>
            <w:r>
              <w:rPr>
                <w:rFonts w:ascii="Arial" w:cs="Arial" w:eastAsia="Arial" w:hAnsi="Arial"/>
                <w:sz w:val="14"/>
                <w:szCs w:val="14"/>
                <w:b w:val="1"/>
                <w:bCs w:val="1"/>
                <w:color w:val="065BAA"/>
              </w:rPr>
              <w:t>Financial Expertise</w:t>
            </w:r>
          </w:p>
        </w:tc>
        <w:tc>
          <w:tcPr>
            <w:tcW w:w="0" w:type="dxa"/>
            <w:vAlign w:val="bottom"/>
          </w:tcPr>
          <w:p>
            <w:pPr>
              <w:spacing w:after="0"/>
              <w:rPr>
                <w:sz w:val="1"/>
                <w:szCs w:val="1"/>
                <w:color w:val="auto"/>
              </w:rPr>
            </w:pPr>
          </w:p>
        </w:tc>
      </w:tr>
      <w:tr>
        <w:trPr>
          <w:trHeight w:val="115"/>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065BAA"/>
              </w:rPr>
              <w:t>Operations Experience</w:t>
            </w: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600" w:type="dxa"/>
            <w:vAlign w:val="bottom"/>
            <w:vMerge w:val="continue"/>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6"/>
        </w:trPr>
        <w:tc>
          <w:tcPr>
            <w:tcW w:w="2600" w:type="dxa"/>
            <w:vAlign w:val="bottom"/>
          </w:tcPr>
          <w:p>
            <w:pPr>
              <w:spacing w:after="0"/>
              <w:rPr>
                <w:sz w:val="20"/>
                <w:szCs w:val="20"/>
                <w:color w:val="auto"/>
              </w:rPr>
            </w:pPr>
            <w:r>
              <w:rPr>
                <w:rFonts w:ascii="Arial" w:cs="Arial" w:eastAsia="Arial" w:hAnsi="Arial"/>
                <w:sz w:val="14"/>
                <w:szCs w:val="14"/>
                <w:b w:val="1"/>
                <w:bCs w:val="1"/>
                <w:color w:val="065BAA"/>
              </w:rPr>
              <w:t>Public Company CEO Experience</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ind w:right="299"/>
        <w:spacing w:after="0" w:line="260" w:lineRule="auto"/>
        <w:rPr>
          <w:sz w:val="20"/>
          <w:szCs w:val="20"/>
          <w:color w:val="auto"/>
        </w:rPr>
      </w:pPr>
      <w:r>
        <w:rPr>
          <w:rFonts w:ascii="Arial" w:cs="Arial" w:eastAsia="Arial" w:hAnsi="Arial"/>
          <w:sz w:val="16"/>
          <w:szCs w:val="16"/>
          <w:color w:val="auto"/>
        </w:rPr>
        <w:t>Dr. Schleifer’s significant industry and leadership experience, as well as his incomparable knowledge of the Company and in-depth understanding of the complex research, drug development, and business issues facing companies in the biopharmaceutical sector, led the board to conclude that Dr. Schleifer should serve as a director.</w:t>
      </w:r>
    </w:p>
    <w:p>
      <w:pPr>
        <w:spacing w:after="0" w:line="200" w:lineRule="exact"/>
        <w:rPr>
          <w:sz w:val="20"/>
          <w:szCs w:val="20"/>
          <w:color w:val="auto"/>
        </w:rPr>
      </w:pPr>
    </w:p>
    <w:p>
      <w:pPr>
        <w:sectPr>
          <w:pgSz w:w="11900" w:h="16838" w:orient="portrait"/>
          <w:cols w:equalWidth="0" w:num="2">
            <w:col w:w="2280" w:space="700"/>
            <w:col w:w="603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19</w:t>
            </w:r>
          </w:p>
        </w:tc>
      </w:tr>
    </w:tbl>
    <w:p>
      <w:pPr>
        <w:sectPr>
          <w:pgSz w:w="11900" w:h="16838" w:orient="portrait"/>
          <w:cols w:equalWidth="0" w:num="1">
            <w:col w:w="9019"/>
          </w:cols>
          <w:pgMar w:left="1440" w:top="657" w:right="1440" w:bottom="1440" w:gutter="0" w:footer="0" w:header="0"/>
          <w:type w:val="continuous"/>
        </w:sectPr>
      </w:pPr>
    </w:p>
    <w:bookmarkStart w:id="28" w:name="page29"/>
    <w:bookmarkEnd w:id="28"/>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66</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2001</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Board co-Chair since: </w:t>
      </w:r>
      <w:r>
        <w:rPr>
          <w:rFonts w:ascii="Arial" w:cs="Arial" w:eastAsia="Arial" w:hAnsi="Arial"/>
          <w:sz w:val="16"/>
          <w:szCs w:val="16"/>
          <w:b w:val="1"/>
          <w:bCs w:val="1"/>
          <w:color w:val="auto"/>
        </w:rPr>
        <w:t>2023</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Board and Committee</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Membership—</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2025 Attendance</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Board of Directors: </w:t>
      </w:r>
      <w:r>
        <w:rPr>
          <w:rFonts w:ascii="Arial" w:cs="Arial" w:eastAsia="Arial" w:hAnsi="Arial"/>
          <w:sz w:val="16"/>
          <w:szCs w:val="16"/>
          <w:b w:val="1"/>
          <w:bCs w:val="1"/>
          <w:color w:val="auto"/>
        </w:rPr>
        <w:t>15/15</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Technology Committee: </w:t>
      </w:r>
      <w:r>
        <w:rPr>
          <w:rFonts w:ascii="Arial" w:cs="Arial" w:eastAsia="Arial" w:hAnsi="Arial"/>
          <w:sz w:val="16"/>
          <w:szCs w:val="16"/>
          <w:b w:val="1"/>
          <w:bCs w:val="1"/>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65BAA"/>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9"/>
          <w:szCs w:val="29"/>
          <w:b w:val="1"/>
          <w:bCs w:val="1"/>
          <w:color w:val="065BAA"/>
        </w:rPr>
        <w:t>George D. Yancopoulos, M.D., Ph.D.</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Career Highlights</w:t>
      </w:r>
    </w:p>
    <w:p>
      <w:pPr>
        <w:spacing w:after="0" w:line="86" w:lineRule="exact"/>
        <w:rPr>
          <w:sz w:val="20"/>
          <w:szCs w:val="20"/>
          <w:color w:val="auto"/>
        </w:rPr>
      </w:pPr>
    </w:p>
    <w:p>
      <w:pPr>
        <w:ind w:left="200" w:right="499" w:hanging="195"/>
        <w:spacing w:after="0" w:line="321" w:lineRule="auto"/>
        <w:tabs>
          <w:tab w:leader="none" w:pos="200" w:val="left"/>
        </w:tabs>
        <w:numPr>
          <w:ilvl w:val="0"/>
          <w:numId w:val="36"/>
        </w:numPr>
        <w:rPr>
          <w:rFonts w:ascii="Arial" w:cs="Arial" w:eastAsia="Arial" w:hAnsi="Arial"/>
          <w:sz w:val="16"/>
          <w:szCs w:val="16"/>
          <w:color w:val="065BAA"/>
        </w:rPr>
      </w:pPr>
      <w:r>
        <w:rPr>
          <w:rFonts w:ascii="Arial" w:cs="Arial" w:eastAsia="Arial" w:hAnsi="Arial"/>
          <w:sz w:val="16"/>
          <w:szCs w:val="16"/>
          <w:color w:val="auto"/>
        </w:rPr>
        <w:t>Founding scientist of the Company; built and managed the Company since 1989 together with Dr. Schleifer</w:t>
      </w:r>
    </w:p>
    <w:p>
      <w:pPr>
        <w:spacing w:after="0" w:line="7" w:lineRule="exact"/>
        <w:rPr>
          <w:rFonts w:ascii="Arial" w:cs="Arial" w:eastAsia="Arial" w:hAnsi="Arial"/>
          <w:sz w:val="16"/>
          <w:szCs w:val="16"/>
          <w:color w:val="065BAA"/>
        </w:rPr>
      </w:pPr>
    </w:p>
    <w:p>
      <w:pPr>
        <w:ind w:left="200" w:hanging="195"/>
        <w:spacing w:after="0"/>
        <w:tabs>
          <w:tab w:leader="none" w:pos="200" w:val="left"/>
        </w:tabs>
        <w:numPr>
          <w:ilvl w:val="0"/>
          <w:numId w:val="36"/>
        </w:numPr>
        <w:rPr>
          <w:rFonts w:ascii="Arial" w:cs="Arial" w:eastAsia="Arial" w:hAnsi="Arial"/>
          <w:sz w:val="16"/>
          <w:szCs w:val="16"/>
          <w:color w:val="065BAA"/>
        </w:rPr>
      </w:pPr>
      <w:r>
        <w:rPr>
          <w:rFonts w:ascii="Arial" w:cs="Arial" w:eastAsia="Arial" w:hAnsi="Arial"/>
          <w:sz w:val="16"/>
          <w:szCs w:val="16"/>
          <w:color w:val="auto"/>
        </w:rPr>
        <w:t>President and Chief Scientific Officer of the Company</w:t>
      </w:r>
    </w:p>
    <w:p>
      <w:pPr>
        <w:spacing w:after="0" w:line="63" w:lineRule="exact"/>
        <w:rPr>
          <w:rFonts w:ascii="Arial" w:cs="Arial" w:eastAsia="Arial" w:hAnsi="Arial"/>
          <w:sz w:val="16"/>
          <w:szCs w:val="16"/>
          <w:color w:val="065BAA"/>
        </w:rPr>
      </w:pPr>
    </w:p>
    <w:p>
      <w:pPr>
        <w:ind w:left="200" w:hanging="195"/>
        <w:spacing w:after="0" w:line="184" w:lineRule="exact"/>
        <w:tabs>
          <w:tab w:leader="none" w:pos="200" w:val="left"/>
        </w:tabs>
        <w:numPr>
          <w:ilvl w:val="0"/>
          <w:numId w:val="36"/>
        </w:numPr>
        <w:rPr>
          <w:rFonts w:ascii="Arial" w:cs="Arial" w:eastAsia="Arial" w:hAnsi="Arial"/>
          <w:sz w:val="16"/>
          <w:szCs w:val="16"/>
          <w:color w:val="065BAA"/>
        </w:rPr>
      </w:pPr>
      <w:r>
        <w:rPr>
          <w:rFonts w:ascii="Arial" w:cs="Arial" w:eastAsia="Arial" w:hAnsi="Arial"/>
          <w:sz w:val="16"/>
          <w:szCs w:val="16"/>
          <w:color w:val="auto"/>
        </w:rPr>
        <w:t>Co</w:t>
      </w:r>
      <w:r>
        <w:rPr>
          <w:rFonts w:ascii="MS PGothic" w:cs="MS PGothic" w:eastAsia="MS PGothic" w:hAnsi="MS PGothic"/>
          <w:sz w:val="16"/>
          <w:szCs w:val="16"/>
          <w:color w:val="auto"/>
        </w:rPr>
        <w:t>‑</w:t>
      </w:r>
      <w:r>
        <w:rPr>
          <w:rFonts w:ascii="Arial" w:cs="Arial" w:eastAsia="Arial" w:hAnsi="Arial"/>
          <w:sz w:val="16"/>
          <w:szCs w:val="16"/>
          <w:color w:val="auto"/>
        </w:rPr>
        <w:t>Chair of the Board since 2023 and director of the Company since 2001</w:t>
      </w:r>
    </w:p>
    <w:p>
      <w:pPr>
        <w:spacing w:after="0" w:line="148" w:lineRule="exact"/>
        <w:rPr>
          <w:rFonts w:ascii="Arial" w:cs="Arial" w:eastAsia="Arial" w:hAnsi="Arial"/>
          <w:sz w:val="16"/>
          <w:szCs w:val="16"/>
          <w:color w:val="065BAA"/>
        </w:rPr>
      </w:pPr>
    </w:p>
    <w:p>
      <w:pPr>
        <w:ind w:left="200" w:hanging="195"/>
        <w:spacing w:after="0"/>
        <w:tabs>
          <w:tab w:leader="none" w:pos="200" w:val="left"/>
        </w:tabs>
        <w:numPr>
          <w:ilvl w:val="0"/>
          <w:numId w:val="36"/>
        </w:numPr>
        <w:rPr>
          <w:rFonts w:ascii="Arial" w:cs="Arial" w:eastAsia="Arial" w:hAnsi="Arial"/>
          <w:sz w:val="16"/>
          <w:szCs w:val="16"/>
          <w:color w:val="065BAA"/>
        </w:rPr>
      </w:pPr>
      <w:r>
        <w:rPr>
          <w:rFonts w:ascii="Arial" w:cs="Arial" w:eastAsia="Arial" w:hAnsi="Arial"/>
          <w:sz w:val="16"/>
          <w:szCs w:val="16"/>
          <w:color w:val="auto"/>
        </w:rPr>
        <w:t>11th most highly cited scientist in the world in the 1990s</w:t>
      </w:r>
    </w:p>
    <w:p>
      <w:pPr>
        <w:spacing w:after="0" w:line="99" w:lineRule="exact"/>
        <w:rPr>
          <w:rFonts w:ascii="Arial" w:cs="Arial" w:eastAsia="Arial" w:hAnsi="Arial"/>
          <w:sz w:val="16"/>
          <w:szCs w:val="16"/>
          <w:color w:val="065BAA"/>
        </w:rPr>
      </w:pPr>
    </w:p>
    <w:p>
      <w:pPr>
        <w:ind w:left="200" w:right="199" w:hanging="195"/>
        <w:spacing w:after="0" w:line="222" w:lineRule="exact"/>
        <w:tabs>
          <w:tab w:leader="none" w:pos="200" w:val="left"/>
        </w:tabs>
        <w:numPr>
          <w:ilvl w:val="0"/>
          <w:numId w:val="36"/>
        </w:numPr>
        <w:rPr>
          <w:rFonts w:ascii="Arial" w:cs="Arial" w:eastAsia="Arial" w:hAnsi="Arial"/>
          <w:sz w:val="16"/>
          <w:szCs w:val="16"/>
          <w:color w:val="065BAA"/>
        </w:rPr>
      </w:pPr>
      <w:r>
        <w:rPr>
          <w:rFonts w:ascii="Arial" w:cs="Arial" w:eastAsia="Arial" w:hAnsi="Arial"/>
          <w:sz w:val="16"/>
          <w:szCs w:val="16"/>
          <w:color w:val="auto"/>
        </w:rPr>
        <w:t>Principal inventor and/or developer, together with key members of his team, of the 13 FDA</w:t>
      </w:r>
      <w:r>
        <w:rPr>
          <w:rFonts w:ascii="MS PGothic" w:cs="MS PGothic" w:eastAsia="MS PGothic" w:hAnsi="MS PGothic"/>
          <w:sz w:val="16"/>
          <w:szCs w:val="16"/>
          <w:color w:val="auto"/>
        </w:rPr>
        <w:t>‑</w:t>
      </w:r>
      <w:r>
        <w:rPr>
          <w:rFonts w:ascii="Arial" w:cs="Arial" w:eastAsia="Arial" w:hAnsi="Arial"/>
          <w:sz w:val="16"/>
          <w:szCs w:val="16"/>
          <w:color w:val="auto"/>
        </w:rPr>
        <w:t>approved drugs the Company has developed, EYLEA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(aflibercept) Injection, EYLEA HD</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(aflibercept) 8 mg, Dupixent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(dupilumab), Libtayo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(cemiplimab), Praluent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(alirocumab), Kevzara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(sarilumab), Lynozyfic</w:t>
      </w:r>
      <w:r>
        <w:rPr>
          <w:rFonts w:ascii="Arial" w:cs="Arial" w:eastAsia="Arial" w:hAnsi="Arial"/>
          <w:sz w:val="21"/>
          <w:szCs w:val="21"/>
          <w:color w:val="auto"/>
          <w:vertAlign w:val="superscript"/>
        </w:rPr>
        <w:t>®</w:t>
      </w:r>
      <w:r>
        <w:rPr>
          <w:rFonts w:ascii="Arial" w:cs="Arial" w:eastAsia="Arial" w:hAnsi="Arial"/>
          <w:sz w:val="16"/>
          <w:szCs w:val="16"/>
          <w:color w:val="auto"/>
        </w:rPr>
        <w:t xml:space="preserve"> (linvoseltamab), Evkeeza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(evinacumab</w:t>
      </w:r>
      <w:r>
        <w:rPr>
          <w:rFonts w:ascii="MS PGothic" w:cs="MS PGothic" w:eastAsia="MS PGothic" w:hAnsi="MS PGothic"/>
          <w:sz w:val="16"/>
          <w:szCs w:val="16"/>
          <w:color w:val="auto"/>
        </w:rPr>
        <w:t>‑</w:t>
      </w:r>
      <w:r>
        <w:rPr>
          <w:rFonts w:ascii="Arial" w:cs="Arial" w:eastAsia="Arial" w:hAnsi="Arial"/>
          <w:sz w:val="16"/>
          <w:szCs w:val="16"/>
          <w:color w:val="auto"/>
        </w:rPr>
        <w:t>dgnb), Inmazeb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(atoltivimab, maftivimab and odesivimab</w:t>
      </w:r>
      <w:r>
        <w:rPr>
          <w:rFonts w:ascii="MS PGothic" w:cs="MS PGothic" w:eastAsia="MS PGothic" w:hAnsi="MS PGothic"/>
          <w:sz w:val="16"/>
          <w:szCs w:val="16"/>
          <w:color w:val="auto"/>
        </w:rPr>
        <w:t>‑</w:t>
      </w:r>
      <w:r>
        <w:rPr>
          <w:rFonts w:ascii="Arial" w:cs="Arial" w:eastAsia="Arial" w:hAnsi="Arial"/>
          <w:sz w:val="16"/>
          <w:szCs w:val="16"/>
          <w:color w:val="auto"/>
        </w:rPr>
        <w:t>ebgn), Veopoz</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(pozelimab) Injection, Otarmeni™ (lunsotogene parvec-cwha), ZALTRAP</w:t>
      </w:r>
      <w:r>
        <w:rPr>
          <w:rFonts w:ascii="Arial" w:cs="Arial" w:eastAsia="Arial" w:hAnsi="Arial"/>
          <w:sz w:val="21"/>
          <w:szCs w:val="21"/>
          <w:color w:val="auto"/>
          <w:vertAlign w:val="superscript"/>
        </w:rPr>
        <w:t>®</w:t>
      </w:r>
      <w:r>
        <w:rPr>
          <w:rFonts w:ascii="Arial" w:cs="Arial" w:eastAsia="Arial" w:hAnsi="Arial"/>
          <w:sz w:val="16"/>
          <w:szCs w:val="16"/>
          <w:color w:val="auto"/>
        </w:rPr>
        <w:t xml:space="preserve"> (ziv</w:t>
      </w:r>
      <w:r>
        <w:rPr>
          <w:rFonts w:ascii="MS PGothic" w:cs="MS PGothic" w:eastAsia="MS PGothic" w:hAnsi="MS PGothic"/>
          <w:sz w:val="16"/>
          <w:szCs w:val="16"/>
          <w:color w:val="auto"/>
        </w:rPr>
        <w:t>‑</w:t>
      </w:r>
      <w:r>
        <w:rPr>
          <w:rFonts w:ascii="Arial" w:cs="Arial" w:eastAsia="Arial" w:hAnsi="Arial"/>
          <w:sz w:val="16"/>
          <w:szCs w:val="16"/>
          <w:color w:val="auto"/>
        </w:rPr>
        <w:t>aflibercept) Injection for Intravenous Infusion, and ARCALYST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(rilonacept) Injection for Subcutaneous Use, as well as of its foundation technologies, including the TRAP technology, </w:t>
      </w:r>
      <w:r>
        <w:rPr>
          <w:rFonts w:ascii="Arial" w:cs="Arial" w:eastAsia="Arial" w:hAnsi="Arial"/>
          <w:sz w:val="16"/>
          <w:szCs w:val="16"/>
          <w:i w:val="1"/>
          <w:iCs w:val="1"/>
          <w:color w:val="auto"/>
        </w:rPr>
        <w:t>VelociGene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VelocImmune</w:t>
      </w:r>
      <w:r>
        <w:rPr>
          <w:rFonts w:ascii="Arial" w:cs="Arial" w:eastAsia="Arial" w:hAnsi="Arial"/>
          <w:sz w:val="21"/>
          <w:szCs w:val="21"/>
          <w:color w:val="auto"/>
          <w:vertAlign w:val="superscript"/>
        </w:rPr>
        <w:t>®</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065BAA"/>
        </w:rPr>
        <w:t xml:space="preserve">Industry Experience             </w:t>
      </w:r>
      <w:r>
        <w:rPr>
          <w:sz w:val="1"/>
          <w:szCs w:val="1"/>
          <w:color w:val="auto"/>
        </w:rPr>
        <w:drawing>
          <wp:inline distT="0" distB="0" distL="0" distR="0">
            <wp:extent cx="248920" cy="22288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8920" cy="222885"/>
                    </a:xfrm>
                    <a:prstGeom prst="rect">
                      <a:avLst/>
                    </a:prstGeom>
                    <a:noFill/>
                    <a:ln>
                      <a:noFill/>
                    </a:ln>
                  </pic:spPr>
                </pic:pic>
              </a:graphicData>
            </a:graphic>
          </wp:inline>
        </w:drawing>
      </w:r>
      <w:r>
        <w:rPr>
          <w:rFonts w:ascii="Arial" w:cs="Arial" w:eastAsia="Arial" w:hAnsi="Arial"/>
          <w:sz w:val="14"/>
          <w:szCs w:val="14"/>
          <w:b w:val="1"/>
          <w:bCs w:val="1"/>
          <w:color w:val="065BAA"/>
        </w:rPr>
        <w:t xml:space="preserve"> Executive/Leadership Experience</w:t>
      </w:r>
    </w:p>
    <w:p>
      <w:pPr>
        <w:spacing w:after="0" w:line="15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065BAA"/>
        </w:rPr>
        <w:t xml:space="preserve">Science/Biotech Background      </w:t>
      </w:r>
      <w:r>
        <w:rPr>
          <w:sz w:val="1"/>
          <w:szCs w:val="1"/>
          <w:color w:val="auto"/>
        </w:rPr>
        <w:drawing>
          <wp:inline distT="0" distB="0" distL="0" distR="0">
            <wp:extent cx="179705" cy="24892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9705" cy="248920"/>
                    </a:xfrm>
                    <a:prstGeom prst="rect">
                      <a:avLst/>
                    </a:prstGeom>
                    <a:noFill/>
                    <a:ln>
                      <a:noFill/>
                    </a:ln>
                  </pic:spPr>
                </pic:pic>
              </a:graphicData>
            </a:graphic>
          </wp:inline>
        </w:drawing>
      </w:r>
      <w:r>
        <w:rPr>
          <w:rFonts w:ascii="Arial" w:cs="Arial" w:eastAsia="Arial" w:hAnsi="Arial"/>
          <w:sz w:val="14"/>
          <w:szCs w:val="14"/>
          <w:b w:val="1"/>
          <w:bCs w:val="1"/>
          <w:color w:val="065BAA"/>
        </w:rPr>
        <w:t xml:space="preserve">  Research/Academic Experience</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065BAA"/>
        </w:rPr>
        <w:t>Business Strategy/</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065BAA"/>
        </w:rPr>
        <w:t>Operations Experience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Scientific Society Memberships</w:t>
      </w:r>
    </w:p>
    <w:p>
      <w:pPr>
        <w:spacing w:after="0" w:line="127" w:lineRule="exact"/>
        <w:rPr>
          <w:sz w:val="20"/>
          <w:szCs w:val="20"/>
          <w:color w:val="auto"/>
        </w:rPr>
      </w:pPr>
    </w:p>
    <w:p>
      <w:pPr>
        <w:ind w:left="200" w:hanging="195"/>
        <w:spacing w:after="0"/>
        <w:tabs>
          <w:tab w:leader="none" w:pos="200" w:val="left"/>
        </w:tabs>
        <w:numPr>
          <w:ilvl w:val="0"/>
          <w:numId w:val="37"/>
        </w:numPr>
        <w:rPr>
          <w:rFonts w:ascii="Arial" w:cs="Arial" w:eastAsia="Arial" w:hAnsi="Arial"/>
          <w:sz w:val="16"/>
          <w:szCs w:val="16"/>
          <w:color w:val="065BAA"/>
        </w:rPr>
      </w:pPr>
      <w:r>
        <w:rPr>
          <w:rFonts w:ascii="Arial" w:cs="Arial" w:eastAsia="Arial" w:hAnsi="Arial"/>
          <w:sz w:val="16"/>
          <w:szCs w:val="16"/>
          <w:color w:val="auto"/>
        </w:rPr>
        <w:t>The National Academy of Sciences</w:t>
      </w:r>
    </w:p>
    <w:p>
      <w:pPr>
        <w:spacing w:after="0" w:line="356" w:lineRule="exact"/>
        <w:rPr>
          <w:sz w:val="20"/>
          <w:szCs w:val="20"/>
          <w:color w:val="auto"/>
        </w:rPr>
      </w:pPr>
    </w:p>
    <w:p>
      <w:pPr>
        <w:ind w:right="439"/>
        <w:spacing w:after="0" w:line="287" w:lineRule="auto"/>
        <w:rPr>
          <w:sz w:val="20"/>
          <w:szCs w:val="20"/>
          <w:color w:val="auto"/>
        </w:rPr>
      </w:pPr>
      <w:r>
        <w:rPr>
          <w:rFonts w:ascii="Arial" w:cs="Arial" w:eastAsia="Arial" w:hAnsi="Arial"/>
          <w:sz w:val="16"/>
          <w:szCs w:val="16"/>
          <w:color w:val="auto"/>
        </w:rPr>
        <w:t>Dr. Yancopoulos’s significant industry and scientific experience and distinguished record of scientific expertise, as well as his extensive knowledge of the Company and in-depth knowledge of the Company’s technologies and research and development programs, led the board to conclude that Dr. Yancopoulos should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179"/>
        <w:spacing w:after="0"/>
        <w:rPr>
          <w:sz w:val="20"/>
          <w:szCs w:val="20"/>
          <w:color w:val="auto"/>
        </w:rPr>
      </w:pPr>
      <w:r>
        <w:rPr>
          <w:rFonts w:ascii="Arial" w:cs="Arial" w:eastAsia="Arial" w:hAnsi="Arial"/>
          <w:sz w:val="14"/>
          <w:szCs w:val="14"/>
          <w:b w:val="1"/>
          <w:bCs w:val="1"/>
          <w:color w:val="065BAA"/>
        </w:rPr>
        <w:t>2026 Proxy Statement and Notice of Annual Shareholder Meeting</w:t>
      </w:r>
    </w:p>
    <w:p>
      <w:pPr>
        <w:sectPr>
          <w:pgSz w:w="11900" w:h="16838" w:orient="portrait"/>
          <w:cols w:equalWidth="0" w:num="2">
            <w:col w:w="2280" w:space="700"/>
            <w:col w:w="6039"/>
          </w:cols>
          <w:pgMar w:left="1440" w:top="657" w:right="1440" w:bottom="1440" w:gutter="0" w:footer="0" w:header="0"/>
          <w:type w:val="continuous"/>
        </w:sectPr>
      </w:pPr>
    </w:p>
    <w:bookmarkStart w:id="29" w:name="page30"/>
    <w:bookmarkEnd w:id="29"/>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Director Independence</w:t>
      </w:r>
    </w:p>
    <w:p>
      <w:pPr>
        <w:spacing w:after="0" w:line="195" w:lineRule="exact"/>
        <w:rPr>
          <w:sz w:val="20"/>
          <w:szCs w:val="20"/>
          <w:color w:val="auto"/>
        </w:rPr>
      </w:pPr>
    </w:p>
    <w:p>
      <w:pPr>
        <w:ind w:left="140" w:right="399"/>
        <w:spacing w:after="0" w:line="281" w:lineRule="auto"/>
        <w:rPr>
          <w:sz w:val="20"/>
          <w:szCs w:val="20"/>
          <w:color w:val="auto"/>
        </w:rPr>
      </w:pPr>
      <w:r>
        <w:rPr>
          <w:rFonts w:ascii="Arial" w:cs="Arial" w:eastAsia="Arial" w:hAnsi="Arial"/>
          <w:sz w:val="16"/>
          <w:szCs w:val="16"/>
          <w:color w:val="auto"/>
        </w:rPr>
        <w:t>The board of directors has determined that each of the following currently serving directors is independent as defined in the listing standards of the Nasdaq Stock Market LLC and our Corporate Governance Guidelines: Bonnie L. Bassler, Ph.D., Michael S. Brown, M.D., N. Anthony Coles, M.D., Joseph L. Goldstein, M.D., Kathryn Guarini, Ph.D., Christine A. Poon, Arthur F. Ryan, David P. Schenkein, M.D., George L. Sing, Craig B. Thompson, M.D., and</w:t>
      </w:r>
    </w:p>
    <w:p>
      <w:pPr>
        <w:spacing w:after="0" w:line="2" w:lineRule="exact"/>
        <w:rPr>
          <w:sz w:val="20"/>
          <w:szCs w:val="20"/>
          <w:color w:val="auto"/>
        </w:rPr>
      </w:pPr>
    </w:p>
    <w:p>
      <w:pPr>
        <w:ind w:left="140" w:right="179"/>
        <w:spacing w:after="0" w:line="289" w:lineRule="auto"/>
        <w:rPr>
          <w:sz w:val="20"/>
          <w:szCs w:val="20"/>
          <w:color w:val="auto"/>
        </w:rPr>
      </w:pPr>
      <w:r>
        <w:rPr>
          <w:rFonts w:ascii="Arial" w:cs="Arial" w:eastAsia="Arial" w:hAnsi="Arial"/>
          <w:sz w:val="16"/>
          <w:szCs w:val="16"/>
          <w:color w:val="auto"/>
        </w:rPr>
        <w:t>Huda Y. Zoghbi, M.D. These individuals are affiliated with numerous educational institutions, hospitals, charities, and corporations, as well as civic organizations and professional associations. The board of directors considered such affiliations and determined that none of them conflicted with the interests of the Company or would impair a director’s independence or judgment. In accordance with our Corporate Governance Guidelines, the board conducts executive sessions of independent directors presided by the Lead Independent Director in connection with each regularly scheduled board meeting, as discussed further below.</w:t>
      </w:r>
    </w:p>
    <w:p>
      <w:pPr>
        <w:spacing w:after="0" w:line="102" w:lineRule="exact"/>
        <w:rPr>
          <w:sz w:val="20"/>
          <w:szCs w:val="20"/>
          <w:color w:val="auto"/>
        </w:rPr>
      </w:pPr>
    </w:p>
    <w:p>
      <w:pPr>
        <w:ind w:left="140" w:right="279"/>
        <w:spacing w:after="0" w:line="295" w:lineRule="auto"/>
        <w:rPr>
          <w:sz w:val="20"/>
          <w:szCs w:val="20"/>
          <w:color w:val="auto"/>
        </w:rPr>
      </w:pPr>
      <w:r>
        <w:rPr>
          <w:rFonts w:ascii="Arial" w:cs="Arial" w:eastAsia="Arial" w:hAnsi="Arial"/>
          <w:sz w:val="16"/>
          <w:szCs w:val="16"/>
          <w:color w:val="auto"/>
        </w:rPr>
        <w:t>The board of directors has determined that each of the current members of the Audit Committee, Drs. Coles and Guarini and Messrs. Ryan and Sing, is independent as defined for audit committee members in the listing standards of the Nasdaq Stock Market LLC and U.S. Securities and Exchange Commission (“SEC”) rules; and that each of Dr. Coles and Messrs. Ryan and Sing qualifies as an “audit committee financial expert” as that term is defined by SEC rules.</w:t>
      </w:r>
    </w:p>
    <w:p>
      <w:pPr>
        <w:spacing w:after="0" w:line="108" w:lineRule="exact"/>
        <w:rPr>
          <w:sz w:val="20"/>
          <w:szCs w:val="20"/>
          <w:color w:val="auto"/>
        </w:rPr>
      </w:pPr>
    </w:p>
    <w:p>
      <w:pPr>
        <w:ind w:left="140" w:right="139"/>
        <w:spacing w:after="0" w:line="295" w:lineRule="auto"/>
        <w:rPr>
          <w:sz w:val="20"/>
          <w:szCs w:val="20"/>
          <w:color w:val="auto"/>
        </w:rPr>
      </w:pPr>
      <w:r>
        <w:rPr>
          <w:rFonts w:ascii="Arial" w:cs="Arial" w:eastAsia="Arial" w:hAnsi="Arial"/>
          <w:sz w:val="16"/>
          <w:szCs w:val="16"/>
          <w:color w:val="auto"/>
        </w:rPr>
        <w:t>In addition, the board of directors has determined that each of the current members of the Compensation Committee, Drs. Coles, Schenkein, and Zoghbi, Ms. Poon, and Mr. Sing, meets the additional independence criteria applicable to compensation committee members under the listing standards of the Nasdaq Stock Market LLC and qualifies as a “Non-Employee Director” pursuant to Rule 16b-3 under the Securities Exchange Act of 1934, as amended (the “Exchange Act”).</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Board Committees</w:t>
      </w:r>
    </w:p>
    <w:p>
      <w:pPr>
        <w:spacing w:after="0" w:line="195" w:lineRule="exact"/>
        <w:rPr>
          <w:sz w:val="20"/>
          <w:szCs w:val="20"/>
          <w:color w:val="auto"/>
        </w:rPr>
      </w:pPr>
    </w:p>
    <w:p>
      <w:pPr>
        <w:ind w:left="140" w:right="219"/>
        <w:spacing w:after="0" w:line="287" w:lineRule="auto"/>
        <w:rPr>
          <w:sz w:val="20"/>
          <w:szCs w:val="20"/>
          <w:color w:val="auto"/>
        </w:rPr>
      </w:pPr>
      <w:r>
        <w:rPr>
          <w:rFonts w:ascii="Arial" w:cs="Arial" w:eastAsia="Arial" w:hAnsi="Arial"/>
          <w:sz w:val="16"/>
          <w:szCs w:val="16"/>
          <w:color w:val="auto"/>
        </w:rPr>
        <w:t xml:space="preserve">The board has a standing Audit Committee, Compensation Committee, and Corporate Governance and Compliance Committee. In addition, in April 2026, the board established a new standing Digital Technology Committee. Each of the Audit Committee, Compensation Committee, Corporate Governance and Compliance Committee, and Digital Technology Committee is comprised entirely of independent directors. The board also has a standing Technology Committee, which provides direct oversight of our research and clinical development programs, plans, and policies. The charters for the Audit Committee, Compensation Committee, Corporate Governance and Compliance Committee, Digital Technology Committee, and Technology Committee are available on our website at </w:t>
      </w:r>
      <w:r>
        <w:rPr>
          <w:rFonts w:ascii="Arial" w:cs="Arial" w:eastAsia="Arial" w:hAnsi="Arial"/>
          <w:sz w:val="16"/>
          <w:szCs w:val="16"/>
          <w:b w:val="1"/>
          <w:bCs w:val="1"/>
          <w:color w:val="2069E7"/>
        </w:rPr>
        <w:t>www.regeneron.com</w:t>
      </w:r>
      <w:r>
        <w:rPr>
          <w:rFonts w:ascii="Arial" w:cs="Arial" w:eastAsia="Arial" w:hAnsi="Arial"/>
          <w:sz w:val="16"/>
          <w:szCs w:val="16"/>
          <w:color w:val="auto"/>
        </w:rPr>
        <w:t xml:space="preserve"> under the “Governance” heading on the “Investors &amp; Media” page.</w:t>
      </w:r>
    </w:p>
    <w:p>
      <w:pPr>
        <w:spacing w:after="0" w:line="103" w:lineRule="exact"/>
        <w:rPr>
          <w:sz w:val="20"/>
          <w:szCs w:val="20"/>
          <w:color w:val="auto"/>
        </w:rPr>
      </w:pPr>
    </w:p>
    <w:p>
      <w:pPr>
        <w:ind w:left="140" w:right="399"/>
        <w:spacing w:after="0" w:line="321" w:lineRule="auto"/>
        <w:rPr>
          <w:sz w:val="20"/>
          <w:szCs w:val="20"/>
          <w:color w:val="auto"/>
        </w:rPr>
      </w:pPr>
      <w:r>
        <w:rPr>
          <w:rFonts w:ascii="Arial" w:cs="Arial" w:eastAsia="Arial" w:hAnsi="Arial"/>
          <w:sz w:val="16"/>
          <w:szCs w:val="16"/>
          <w:color w:val="auto"/>
        </w:rPr>
        <w:t>We show on the following pages, as applicable, information on the membership, key functions, recent focus areas, and number of meetings of each board committee during 2025 (2026 in the case of the Digital Technology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21</w:t>
            </w:r>
          </w:p>
        </w:tc>
      </w:tr>
    </w:tbl>
    <w:p>
      <w:pPr>
        <w:sectPr>
          <w:pgSz w:w="11900" w:h="16838" w:orient="portrait"/>
          <w:cols w:equalWidth="0" w:num="1">
            <w:col w:w="9019"/>
          </w:cols>
          <w:pgMar w:left="1440" w:top="657" w:right="1440" w:bottom="1440" w:gutter="0" w:footer="0" w:header="0"/>
        </w:sectPr>
      </w:pPr>
    </w:p>
    <w:bookmarkStart w:id="30" w:name="page31"/>
    <w:bookmarkEnd w:id="30"/>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Audit Committee</w:t>
      </w:r>
    </w:p>
    <w:p>
      <w:pPr>
        <w:sectPr>
          <w:pgSz w:w="11900" w:h="16838" w:orient="portrait"/>
          <w:cols w:equalWidth="0" w:num="1">
            <w:col w:w="9019"/>
          </w:cols>
          <w:pgMar w:left="1440" w:top="657" w:right="1440" w:bottom="1440" w:gutter="0" w:footer="0" w:header="0"/>
        </w:sectPr>
      </w:pPr>
    </w:p>
    <w:p>
      <w:pPr>
        <w:spacing w:after="0" w:line="36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065BAA"/>
        </w:rPr>
        <w:t>Members</w:t>
      </w:r>
    </w:p>
    <w:p>
      <w:pPr>
        <w:spacing w:after="0" w:line="370"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 xml:space="preserve">George L. Sing, </w:t>
      </w:r>
      <w:r>
        <w:rPr>
          <w:rFonts w:ascii="Arial" w:cs="Arial" w:eastAsia="Arial" w:hAnsi="Arial"/>
          <w:sz w:val="16"/>
          <w:szCs w:val="16"/>
          <w:b w:val="1"/>
          <w:bCs w:val="1"/>
          <w:i w:val="1"/>
          <w:iCs w:val="1"/>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 Anthony Coles, M.D.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Kathryn Guarini, Ph.D.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Arthur F. Ryan</w:t>
      </w: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065BAA"/>
        </w:rPr>
        <w:t>Number of Meetings Held in 2025</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65BAA"/>
        </w:rPr>
        <w:t>Key Functions of the Committee</w:t>
      </w:r>
    </w:p>
    <w:p>
      <w:pPr>
        <w:spacing w:after="0" w:line="167" w:lineRule="exact"/>
        <w:rPr>
          <w:sz w:val="20"/>
          <w:szCs w:val="20"/>
          <w:color w:val="auto"/>
        </w:rPr>
      </w:pPr>
    </w:p>
    <w:p>
      <w:pPr>
        <w:ind w:left="187" w:right="339" w:hanging="187"/>
        <w:spacing w:after="0" w:line="301" w:lineRule="auto"/>
        <w:tabs>
          <w:tab w:leader="none" w:pos="187" w:val="left"/>
        </w:tabs>
        <w:numPr>
          <w:ilvl w:val="0"/>
          <w:numId w:val="38"/>
        </w:numPr>
        <w:rPr>
          <w:rFonts w:ascii="Arial" w:cs="Arial" w:eastAsia="Arial" w:hAnsi="Arial"/>
          <w:sz w:val="16"/>
          <w:szCs w:val="16"/>
          <w:color w:val="065BAA"/>
        </w:rPr>
      </w:pPr>
      <w:r>
        <w:rPr>
          <w:rFonts w:ascii="Arial" w:cs="Arial" w:eastAsia="Arial" w:hAnsi="Arial"/>
          <w:sz w:val="16"/>
          <w:szCs w:val="16"/>
          <w:color w:val="auto"/>
        </w:rPr>
        <w:t>Select the independent registered public accounting firm, review and approve its engagement letter, and monitor its independence and performance</w:t>
      </w:r>
    </w:p>
    <w:p>
      <w:pPr>
        <w:spacing w:after="0" w:line="36" w:lineRule="exact"/>
        <w:rPr>
          <w:rFonts w:ascii="Arial" w:cs="Arial" w:eastAsia="Arial" w:hAnsi="Arial"/>
          <w:sz w:val="16"/>
          <w:szCs w:val="16"/>
          <w:color w:val="065BAA"/>
        </w:rPr>
      </w:pPr>
    </w:p>
    <w:p>
      <w:pPr>
        <w:ind w:left="187" w:right="779" w:hanging="187"/>
        <w:spacing w:after="0" w:line="321" w:lineRule="auto"/>
        <w:tabs>
          <w:tab w:leader="none" w:pos="187" w:val="left"/>
        </w:tabs>
        <w:numPr>
          <w:ilvl w:val="0"/>
          <w:numId w:val="38"/>
        </w:numPr>
        <w:rPr>
          <w:rFonts w:ascii="Arial" w:cs="Arial" w:eastAsia="Arial" w:hAnsi="Arial"/>
          <w:sz w:val="16"/>
          <w:szCs w:val="16"/>
          <w:color w:val="065BAA"/>
        </w:rPr>
      </w:pPr>
      <w:r>
        <w:rPr>
          <w:rFonts w:ascii="Arial" w:cs="Arial" w:eastAsia="Arial" w:hAnsi="Arial"/>
          <w:sz w:val="16"/>
          <w:szCs w:val="16"/>
          <w:color w:val="auto"/>
        </w:rPr>
        <w:t>Review the overall scope and plans for the annual audit by the independent registered public accounting firm</w:t>
      </w:r>
    </w:p>
    <w:p>
      <w:pPr>
        <w:spacing w:after="0" w:line="7" w:lineRule="exact"/>
        <w:rPr>
          <w:rFonts w:ascii="Arial" w:cs="Arial" w:eastAsia="Arial" w:hAnsi="Arial"/>
          <w:sz w:val="16"/>
          <w:szCs w:val="16"/>
          <w:color w:val="065BAA"/>
        </w:rPr>
      </w:pPr>
    </w:p>
    <w:p>
      <w:pPr>
        <w:ind w:left="187" w:right="239" w:hanging="187"/>
        <w:spacing w:after="0" w:line="301" w:lineRule="auto"/>
        <w:tabs>
          <w:tab w:leader="none" w:pos="187" w:val="left"/>
        </w:tabs>
        <w:numPr>
          <w:ilvl w:val="0"/>
          <w:numId w:val="38"/>
        </w:numPr>
        <w:rPr>
          <w:rFonts w:ascii="Arial" w:cs="Arial" w:eastAsia="Arial" w:hAnsi="Arial"/>
          <w:sz w:val="16"/>
          <w:szCs w:val="16"/>
          <w:color w:val="065BAA"/>
        </w:rPr>
      </w:pPr>
      <w:r>
        <w:rPr>
          <w:rFonts w:ascii="Arial" w:cs="Arial" w:eastAsia="Arial" w:hAnsi="Arial"/>
          <w:sz w:val="16"/>
          <w:szCs w:val="16"/>
          <w:color w:val="auto"/>
        </w:rPr>
        <w:t>Approve permissible non-audit services by the independent registered public accounting firm and evaluate the performance and independence of the independent registered public accounting firm</w:t>
      </w:r>
    </w:p>
    <w:p>
      <w:pPr>
        <w:spacing w:after="0" w:line="23" w:lineRule="exact"/>
        <w:rPr>
          <w:rFonts w:ascii="Arial" w:cs="Arial" w:eastAsia="Arial" w:hAnsi="Arial"/>
          <w:sz w:val="16"/>
          <w:szCs w:val="16"/>
          <w:color w:val="065BAA"/>
        </w:rPr>
      </w:pPr>
    </w:p>
    <w:p>
      <w:pPr>
        <w:ind w:left="187" w:right="239" w:hanging="187"/>
        <w:spacing w:after="0" w:line="321" w:lineRule="auto"/>
        <w:tabs>
          <w:tab w:leader="none" w:pos="187" w:val="left"/>
        </w:tabs>
        <w:numPr>
          <w:ilvl w:val="0"/>
          <w:numId w:val="38"/>
        </w:numPr>
        <w:rPr>
          <w:rFonts w:ascii="Arial" w:cs="Arial" w:eastAsia="Arial" w:hAnsi="Arial"/>
          <w:sz w:val="16"/>
          <w:szCs w:val="16"/>
          <w:color w:val="065BAA"/>
        </w:rPr>
      </w:pPr>
      <w:r>
        <w:rPr>
          <w:rFonts w:ascii="Arial" w:cs="Arial" w:eastAsia="Arial" w:hAnsi="Arial"/>
          <w:sz w:val="16"/>
          <w:szCs w:val="16"/>
          <w:color w:val="auto"/>
        </w:rPr>
        <w:t>Review and approve the Company’s periodic financial statements and the results of the year-end audit</w:t>
      </w:r>
    </w:p>
    <w:p>
      <w:pPr>
        <w:spacing w:after="0" w:line="7" w:lineRule="exact"/>
        <w:rPr>
          <w:rFonts w:ascii="Arial" w:cs="Arial" w:eastAsia="Arial" w:hAnsi="Arial"/>
          <w:sz w:val="16"/>
          <w:szCs w:val="16"/>
          <w:color w:val="065BAA"/>
        </w:rPr>
      </w:pPr>
    </w:p>
    <w:p>
      <w:pPr>
        <w:ind w:left="187" w:right="439" w:hanging="187"/>
        <w:spacing w:after="0" w:line="321" w:lineRule="auto"/>
        <w:tabs>
          <w:tab w:leader="none" w:pos="187" w:val="left"/>
        </w:tabs>
        <w:numPr>
          <w:ilvl w:val="0"/>
          <w:numId w:val="38"/>
        </w:numPr>
        <w:rPr>
          <w:rFonts w:ascii="Arial" w:cs="Arial" w:eastAsia="Arial" w:hAnsi="Arial"/>
          <w:sz w:val="16"/>
          <w:szCs w:val="16"/>
          <w:color w:val="065BAA"/>
        </w:rPr>
      </w:pPr>
      <w:r>
        <w:rPr>
          <w:rFonts w:ascii="Arial" w:cs="Arial" w:eastAsia="Arial" w:hAnsi="Arial"/>
          <w:sz w:val="16"/>
          <w:szCs w:val="16"/>
          <w:color w:val="auto"/>
        </w:rPr>
        <w:t>Review and discuss the adequacy and effectiveness of the Company’s accounting and internal control policies and procedures</w:t>
      </w:r>
    </w:p>
    <w:p>
      <w:pPr>
        <w:spacing w:after="0" w:line="20" w:lineRule="exact"/>
        <w:rPr>
          <w:rFonts w:ascii="Arial" w:cs="Arial" w:eastAsia="Arial" w:hAnsi="Arial"/>
          <w:sz w:val="16"/>
          <w:szCs w:val="16"/>
          <w:color w:val="065BAA"/>
        </w:rPr>
      </w:pPr>
    </w:p>
    <w:p>
      <w:pPr>
        <w:ind w:left="187" w:right="439" w:hanging="187"/>
        <w:spacing w:after="0" w:line="291" w:lineRule="auto"/>
        <w:tabs>
          <w:tab w:leader="none" w:pos="187" w:val="left"/>
        </w:tabs>
        <w:numPr>
          <w:ilvl w:val="0"/>
          <w:numId w:val="38"/>
        </w:numPr>
        <w:rPr>
          <w:rFonts w:ascii="Arial" w:cs="Arial" w:eastAsia="Arial" w:hAnsi="Arial"/>
          <w:sz w:val="16"/>
          <w:szCs w:val="16"/>
          <w:color w:val="065BAA"/>
        </w:rPr>
      </w:pPr>
      <w:r>
        <w:rPr>
          <w:rFonts w:ascii="Arial" w:cs="Arial" w:eastAsia="Arial" w:hAnsi="Arial"/>
          <w:sz w:val="16"/>
          <w:szCs w:val="16"/>
          <w:color w:val="auto"/>
        </w:rPr>
        <w:t>Evaluate the internal audit process for establishing the annual audit plan; review and approve the appointment and replacement of the Company’s Chief Audit Executive, if applicable, and any outside entities providing internal audit services and evaluate their performance on an annual basis</w:t>
      </w:r>
    </w:p>
    <w:p>
      <w:pPr>
        <w:spacing w:after="0" w:line="32" w:lineRule="exact"/>
        <w:rPr>
          <w:rFonts w:ascii="Arial" w:cs="Arial" w:eastAsia="Arial" w:hAnsi="Arial"/>
          <w:sz w:val="16"/>
          <w:szCs w:val="16"/>
          <w:color w:val="065BAA"/>
        </w:rPr>
      </w:pPr>
    </w:p>
    <w:p>
      <w:pPr>
        <w:ind w:left="187" w:right="679" w:hanging="187"/>
        <w:spacing w:after="0" w:line="301" w:lineRule="auto"/>
        <w:tabs>
          <w:tab w:leader="none" w:pos="187" w:val="left"/>
        </w:tabs>
        <w:numPr>
          <w:ilvl w:val="0"/>
          <w:numId w:val="38"/>
        </w:numPr>
        <w:rPr>
          <w:rFonts w:ascii="Arial" w:cs="Arial" w:eastAsia="Arial" w:hAnsi="Arial"/>
          <w:sz w:val="16"/>
          <w:szCs w:val="16"/>
          <w:color w:val="065BAA"/>
        </w:rPr>
      </w:pPr>
      <w:r>
        <w:rPr>
          <w:rFonts w:ascii="Arial" w:cs="Arial" w:eastAsia="Arial" w:hAnsi="Arial"/>
          <w:sz w:val="16"/>
          <w:szCs w:val="16"/>
          <w:color w:val="auto"/>
        </w:rPr>
        <w:t>Review the independent registered public accounting firm’s recommendations concerning the Company’s financial practices and procedures</w:t>
      </w:r>
    </w:p>
    <w:p>
      <w:pPr>
        <w:spacing w:after="0" w:line="23" w:lineRule="exact"/>
        <w:rPr>
          <w:rFonts w:ascii="Arial" w:cs="Arial" w:eastAsia="Arial" w:hAnsi="Arial"/>
          <w:sz w:val="16"/>
          <w:szCs w:val="16"/>
          <w:color w:val="065BAA"/>
        </w:rPr>
      </w:pPr>
    </w:p>
    <w:p>
      <w:pPr>
        <w:ind w:left="187" w:hanging="187"/>
        <w:spacing w:after="0"/>
        <w:tabs>
          <w:tab w:leader="none" w:pos="187" w:val="left"/>
        </w:tabs>
        <w:numPr>
          <w:ilvl w:val="0"/>
          <w:numId w:val="38"/>
        </w:numPr>
        <w:rPr>
          <w:rFonts w:ascii="Arial" w:cs="Arial" w:eastAsia="Arial" w:hAnsi="Arial"/>
          <w:sz w:val="16"/>
          <w:szCs w:val="16"/>
          <w:color w:val="065BAA"/>
        </w:rPr>
      </w:pPr>
      <w:r>
        <w:rPr>
          <w:rFonts w:ascii="Arial" w:cs="Arial" w:eastAsia="Arial" w:hAnsi="Arial"/>
          <w:sz w:val="16"/>
          <w:szCs w:val="16"/>
          <w:color w:val="auto"/>
        </w:rPr>
        <w:t>Oversee the Company’s risk management program</w:t>
      </w:r>
    </w:p>
    <w:p>
      <w:pPr>
        <w:spacing w:after="0" w:line="99" w:lineRule="exact"/>
        <w:rPr>
          <w:rFonts w:ascii="Arial" w:cs="Arial" w:eastAsia="Arial" w:hAnsi="Arial"/>
          <w:sz w:val="16"/>
          <w:szCs w:val="16"/>
          <w:color w:val="065BAA"/>
        </w:rPr>
      </w:pPr>
    </w:p>
    <w:p>
      <w:pPr>
        <w:ind w:left="187" w:right="659" w:hanging="187"/>
        <w:spacing w:after="0" w:line="301" w:lineRule="auto"/>
        <w:tabs>
          <w:tab w:leader="none" w:pos="187" w:val="left"/>
        </w:tabs>
        <w:numPr>
          <w:ilvl w:val="0"/>
          <w:numId w:val="38"/>
        </w:numPr>
        <w:rPr>
          <w:rFonts w:ascii="Arial" w:cs="Arial" w:eastAsia="Arial" w:hAnsi="Arial"/>
          <w:sz w:val="16"/>
          <w:szCs w:val="16"/>
          <w:color w:val="065BAA"/>
        </w:rPr>
      </w:pPr>
      <w:r>
        <w:rPr>
          <w:rFonts w:ascii="Arial" w:cs="Arial" w:eastAsia="Arial" w:hAnsi="Arial"/>
          <w:sz w:val="16"/>
          <w:szCs w:val="16"/>
          <w:color w:val="auto"/>
        </w:rPr>
        <w:t>Discuss with management the Company’s major financial risk exposures and the steps management has taken to monitor and control such exposures</w:t>
      </w:r>
    </w:p>
    <w:p>
      <w:pPr>
        <w:spacing w:after="0" w:line="36" w:lineRule="exact"/>
        <w:rPr>
          <w:rFonts w:ascii="Arial" w:cs="Arial" w:eastAsia="Arial" w:hAnsi="Arial"/>
          <w:sz w:val="16"/>
          <w:szCs w:val="16"/>
          <w:color w:val="065BAA"/>
        </w:rPr>
      </w:pPr>
    </w:p>
    <w:p>
      <w:pPr>
        <w:ind w:left="187" w:right="419" w:hanging="187"/>
        <w:spacing w:after="0" w:line="287" w:lineRule="auto"/>
        <w:tabs>
          <w:tab w:leader="none" w:pos="187" w:val="left"/>
        </w:tabs>
        <w:numPr>
          <w:ilvl w:val="0"/>
          <w:numId w:val="38"/>
        </w:numPr>
        <w:rPr>
          <w:rFonts w:ascii="Arial" w:cs="Arial" w:eastAsia="Arial" w:hAnsi="Arial"/>
          <w:sz w:val="16"/>
          <w:szCs w:val="16"/>
          <w:color w:val="065BAA"/>
        </w:rPr>
      </w:pPr>
      <w:r>
        <w:rPr>
          <w:rFonts w:ascii="Arial" w:cs="Arial" w:eastAsia="Arial" w:hAnsi="Arial"/>
          <w:sz w:val="16"/>
          <w:szCs w:val="16"/>
          <w:color w:val="auto"/>
        </w:rPr>
        <w:t>Establish procedures for the receipt, retention, and treatment of complaints received by the Company regarding accounting, internal accounting controls, or auditing matters and for the confidential, anonymous submission by employees of concerns regarding questionable accounting or auditing matters</w:t>
      </w:r>
    </w:p>
    <w:p>
      <w:pPr>
        <w:spacing w:after="0" w:line="47" w:lineRule="exact"/>
        <w:rPr>
          <w:rFonts w:ascii="Arial" w:cs="Arial" w:eastAsia="Arial" w:hAnsi="Arial"/>
          <w:sz w:val="16"/>
          <w:szCs w:val="16"/>
          <w:color w:val="065BAA"/>
        </w:rPr>
      </w:pPr>
    </w:p>
    <w:p>
      <w:pPr>
        <w:ind w:left="187" w:hanging="187"/>
        <w:spacing w:after="0"/>
        <w:tabs>
          <w:tab w:leader="none" w:pos="187" w:val="left"/>
        </w:tabs>
        <w:numPr>
          <w:ilvl w:val="0"/>
          <w:numId w:val="38"/>
        </w:numPr>
        <w:rPr>
          <w:rFonts w:ascii="Arial" w:cs="Arial" w:eastAsia="Arial" w:hAnsi="Arial"/>
          <w:sz w:val="16"/>
          <w:szCs w:val="16"/>
          <w:color w:val="065BAA"/>
        </w:rPr>
      </w:pPr>
      <w:r>
        <w:rPr>
          <w:rFonts w:ascii="Arial" w:cs="Arial" w:eastAsia="Arial" w:hAnsi="Arial"/>
          <w:sz w:val="16"/>
          <w:szCs w:val="16"/>
          <w:color w:val="auto"/>
        </w:rPr>
        <w:t>Review and approve any related person transaction</w:t>
      </w:r>
    </w:p>
    <w:p>
      <w:pPr>
        <w:spacing w:after="0" w:line="99" w:lineRule="exact"/>
        <w:rPr>
          <w:rFonts w:ascii="Arial" w:cs="Arial" w:eastAsia="Arial" w:hAnsi="Arial"/>
          <w:sz w:val="16"/>
          <w:szCs w:val="16"/>
          <w:color w:val="065BAA"/>
        </w:rPr>
      </w:pPr>
    </w:p>
    <w:p>
      <w:pPr>
        <w:ind w:left="187" w:right="399" w:hanging="187"/>
        <w:spacing w:after="0" w:line="321" w:lineRule="auto"/>
        <w:tabs>
          <w:tab w:leader="none" w:pos="187" w:val="left"/>
        </w:tabs>
        <w:numPr>
          <w:ilvl w:val="0"/>
          <w:numId w:val="38"/>
        </w:numPr>
        <w:rPr>
          <w:rFonts w:ascii="Arial" w:cs="Arial" w:eastAsia="Arial" w:hAnsi="Arial"/>
          <w:sz w:val="16"/>
          <w:szCs w:val="16"/>
          <w:color w:val="065BAA"/>
        </w:rPr>
      </w:pPr>
      <w:r>
        <w:rPr>
          <w:rFonts w:ascii="Arial" w:cs="Arial" w:eastAsia="Arial" w:hAnsi="Arial"/>
          <w:sz w:val="16"/>
          <w:szCs w:val="16"/>
          <w:color w:val="auto"/>
        </w:rPr>
        <w:t>Prepare an annual report of the Audit Committee for inclusion in the Company’s proxy statement</w:t>
      </w:r>
    </w:p>
    <w:p>
      <w:pPr>
        <w:spacing w:after="0" w:line="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65BAA"/>
        </w:rPr>
        <w:t>Recent Focus Areas</w:t>
      </w:r>
    </w:p>
    <w:p>
      <w:pPr>
        <w:spacing w:after="0" w:line="167" w:lineRule="exact"/>
        <w:rPr>
          <w:sz w:val="20"/>
          <w:szCs w:val="20"/>
          <w:color w:val="auto"/>
        </w:rPr>
      </w:pPr>
    </w:p>
    <w:p>
      <w:pPr>
        <w:ind w:left="187" w:hanging="187"/>
        <w:spacing w:after="0"/>
        <w:tabs>
          <w:tab w:leader="none" w:pos="187" w:val="left"/>
        </w:tabs>
        <w:numPr>
          <w:ilvl w:val="0"/>
          <w:numId w:val="39"/>
        </w:numPr>
        <w:rPr>
          <w:rFonts w:ascii="Arial" w:cs="Arial" w:eastAsia="Arial" w:hAnsi="Arial"/>
          <w:sz w:val="16"/>
          <w:szCs w:val="16"/>
          <w:color w:val="065BAA"/>
        </w:rPr>
      </w:pPr>
      <w:r>
        <w:rPr>
          <w:rFonts w:ascii="Arial" w:cs="Arial" w:eastAsia="Arial" w:hAnsi="Arial"/>
          <w:sz w:val="16"/>
          <w:szCs w:val="16"/>
          <w:color w:val="auto"/>
        </w:rPr>
        <w:t>Enterprise resource planning system modernization</w:t>
      </w:r>
    </w:p>
    <w:p>
      <w:pPr>
        <w:spacing w:after="0" w:line="99" w:lineRule="exact"/>
        <w:rPr>
          <w:rFonts w:ascii="Arial" w:cs="Arial" w:eastAsia="Arial" w:hAnsi="Arial"/>
          <w:sz w:val="16"/>
          <w:szCs w:val="16"/>
          <w:color w:val="065BAA"/>
        </w:rPr>
      </w:pPr>
    </w:p>
    <w:p>
      <w:pPr>
        <w:ind w:left="187" w:hanging="187"/>
        <w:spacing w:after="0"/>
        <w:tabs>
          <w:tab w:leader="none" w:pos="187" w:val="left"/>
        </w:tabs>
        <w:numPr>
          <w:ilvl w:val="0"/>
          <w:numId w:val="39"/>
        </w:numPr>
        <w:rPr>
          <w:rFonts w:ascii="Arial" w:cs="Arial" w:eastAsia="Arial" w:hAnsi="Arial"/>
          <w:sz w:val="16"/>
          <w:szCs w:val="16"/>
          <w:color w:val="065BAA"/>
        </w:rPr>
      </w:pPr>
      <w:r>
        <w:rPr>
          <w:rFonts w:ascii="Arial" w:cs="Arial" w:eastAsia="Arial" w:hAnsi="Arial"/>
          <w:sz w:val="16"/>
          <w:szCs w:val="16"/>
          <w:color w:val="auto"/>
        </w:rPr>
        <w:t>Cybersecurity risk management</w:t>
      </w:r>
    </w:p>
    <w:p>
      <w:pPr>
        <w:spacing w:after="0" w:line="113" w:lineRule="exact"/>
        <w:rPr>
          <w:rFonts w:ascii="Arial" w:cs="Arial" w:eastAsia="Arial" w:hAnsi="Arial"/>
          <w:sz w:val="16"/>
          <w:szCs w:val="16"/>
          <w:color w:val="065BAA"/>
        </w:rPr>
      </w:pPr>
    </w:p>
    <w:p>
      <w:pPr>
        <w:ind w:left="187" w:hanging="187"/>
        <w:spacing w:after="0"/>
        <w:tabs>
          <w:tab w:leader="none" w:pos="187" w:val="left"/>
        </w:tabs>
        <w:numPr>
          <w:ilvl w:val="0"/>
          <w:numId w:val="39"/>
        </w:numPr>
        <w:rPr>
          <w:rFonts w:ascii="Arial" w:cs="Arial" w:eastAsia="Arial" w:hAnsi="Arial"/>
          <w:sz w:val="16"/>
          <w:szCs w:val="16"/>
          <w:color w:val="065BAA"/>
        </w:rPr>
      </w:pPr>
      <w:r>
        <w:rPr>
          <w:rFonts w:ascii="Arial" w:cs="Arial" w:eastAsia="Arial" w:hAnsi="Arial"/>
          <w:sz w:val="16"/>
          <w:szCs w:val="16"/>
          <w:color w:val="auto"/>
        </w:rPr>
        <w:t>Artificial intelligence and other digital technology</w:t>
      </w:r>
    </w:p>
    <w:p>
      <w:pPr>
        <w:spacing w:after="0" w:line="99" w:lineRule="exact"/>
        <w:rPr>
          <w:rFonts w:ascii="Arial" w:cs="Arial" w:eastAsia="Arial" w:hAnsi="Arial"/>
          <w:sz w:val="16"/>
          <w:szCs w:val="16"/>
          <w:color w:val="065BAA"/>
        </w:rPr>
      </w:pPr>
    </w:p>
    <w:p>
      <w:pPr>
        <w:ind w:left="187" w:hanging="187"/>
        <w:spacing w:after="0"/>
        <w:tabs>
          <w:tab w:leader="none" w:pos="187" w:val="left"/>
        </w:tabs>
        <w:numPr>
          <w:ilvl w:val="0"/>
          <w:numId w:val="39"/>
        </w:numPr>
        <w:rPr>
          <w:rFonts w:ascii="Arial" w:cs="Arial" w:eastAsia="Arial" w:hAnsi="Arial"/>
          <w:sz w:val="16"/>
          <w:szCs w:val="16"/>
          <w:color w:val="065BAA"/>
        </w:rPr>
      </w:pPr>
      <w:r>
        <w:rPr>
          <w:rFonts w:ascii="Arial" w:cs="Arial" w:eastAsia="Arial" w:hAnsi="Arial"/>
          <w:sz w:val="16"/>
          <w:szCs w:val="16"/>
          <w:color w:val="auto"/>
        </w:rPr>
        <w:t>International expansion and related audit and tax matters</w:t>
      </w:r>
    </w:p>
    <w:p>
      <w:pPr>
        <w:spacing w:after="0" w:line="99" w:lineRule="exact"/>
        <w:rPr>
          <w:rFonts w:ascii="Arial" w:cs="Arial" w:eastAsia="Arial" w:hAnsi="Arial"/>
          <w:sz w:val="16"/>
          <w:szCs w:val="16"/>
          <w:color w:val="065BAA"/>
        </w:rPr>
      </w:pPr>
    </w:p>
    <w:p>
      <w:pPr>
        <w:ind w:left="187" w:hanging="187"/>
        <w:spacing w:after="0"/>
        <w:tabs>
          <w:tab w:leader="none" w:pos="187" w:val="left"/>
        </w:tabs>
        <w:numPr>
          <w:ilvl w:val="0"/>
          <w:numId w:val="39"/>
        </w:numPr>
        <w:rPr>
          <w:rFonts w:ascii="Arial" w:cs="Arial" w:eastAsia="Arial" w:hAnsi="Arial"/>
          <w:sz w:val="16"/>
          <w:szCs w:val="16"/>
          <w:color w:val="065BAA"/>
        </w:rPr>
      </w:pPr>
      <w:r>
        <w:rPr>
          <w:rFonts w:ascii="Arial" w:cs="Arial" w:eastAsia="Arial" w:hAnsi="Arial"/>
          <w:sz w:val="16"/>
          <w:szCs w:val="16"/>
          <w:color w:val="auto"/>
        </w:rPr>
        <w:t>Capital allocation</w:t>
      </w:r>
    </w:p>
    <w:p>
      <w:pPr>
        <w:spacing w:after="0" w:line="200" w:lineRule="exact"/>
        <w:rPr>
          <w:sz w:val="20"/>
          <w:szCs w:val="20"/>
          <w:color w:val="auto"/>
        </w:rPr>
      </w:pPr>
    </w:p>
    <w:p>
      <w:pPr>
        <w:sectPr>
          <w:pgSz w:w="11900" w:h="16838" w:orient="portrait"/>
          <w:cols w:equalWidth="0" w:num="2">
            <w:col w:w="2853" w:space="720"/>
            <w:col w:w="5446"/>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22</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31" w:name="page32"/>
    <w:bookmarkEnd w:id="31"/>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Compensation Committee</w:t>
      </w:r>
    </w:p>
    <w:p>
      <w:pPr>
        <w:sectPr>
          <w:pgSz w:w="11900" w:h="16838" w:orient="portrait"/>
          <w:cols w:equalWidth="0" w:num="1">
            <w:col w:w="9019"/>
          </w:cols>
          <w:pgMar w:left="1440" w:top="657" w:right="1440" w:bottom="1440" w:gutter="0" w:footer="0" w:header="0"/>
        </w:sectPr>
      </w:pPr>
    </w:p>
    <w:p>
      <w:pPr>
        <w:spacing w:after="0" w:line="36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065BAA"/>
        </w:rPr>
        <w:t>Members</w:t>
      </w:r>
    </w:p>
    <w:p>
      <w:pPr>
        <w:spacing w:after="0" w:line="370"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 xml:space="preserve">Christine A. Poon, </w:t>
      </w:r>
      <w:r>
        <w:rPr>
          <w:rFonts w:ascii="Arial" w:cs="Arial" w:eastAsia="Arial" w:hAnsi="Arial"/>
          <w:sz w:val="16"/>
          <w:szCs w:val="16"/>
          <w:b w:val="1"/>
          <w:bCs w:val="1"/>
          <w:i w:val="1"/>
          <w:iCs w:val="1"/>
          <w:color w:val="auto"/>
        </w:rPr>
        <w:t>Chair</w:t>
      </w:r>
    </w:p>
    <w:p>
      <w:pPr>
        <w:spacing w:after="0" w:line="200" w:lineRule="exact"/>
        <w:rPr>
          <w:sz w:val="20"/>
          <w:szCs w:val="20"/>
          <w:color w:val="auto"/>
        </w:rPr>
      </w:pPr>
    </w:p>
    <w:p>
      <w:pPr>
        <w:spacing w:after="0" w:line="30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 Anthony Coles, M.D.</w:t>
      </w:r>
    </w:p>
    <w:p>
      <w:pPr>
        <w:spacing w:after="0" w:line="75" w:lineRule="exact"/>
        <w:rPr>
          <w:sz w:val="20"/>
          <w:szCs w:val="20"/>
          <w:color w:val="auto"/>
        </w:rPr>
      </w:pPr>
    </w:p>
    <w:p>
      <w:pPr>
        <w:ind w:left="1140"/>
        <w:spacing w:after="0"/>
        <w:rPr>
          <w:sz w:val="20"/>
          <w:szCs w:val="20"/>
          <w:color w:val="auto"/>
        </w:rPr>
      </w:pPr>
      <w:r>
        <w:rPr>
          <w:rFonts w:ascii="Arial" w:cs="Arial" w:eastAsia="Arial" w:hAnsi="Arial"/>
          <w:sz w:val="16"/>
          <w:szCs w:val="16"/>
          <w:i w:val="1"/>
          <w:iCs w:val="1"/>
          <w:color w:val="auto"/>
        </w:rPr>
        <w:t>(since April 4, 2025)</w:t>
      </w:r>
    </w:p>
    <w:p>
      <w:pPr>
        <w:spacing w:after="0" w:line="395" w:lineRule="exact"/>
        <w:rPr>
          <w:sz w:val="20"/>
          <w:szCs w:val="20"/>
          <w:color w:val="auto"/>
        </w:rPr>
      </w:pPr>
    </w:p>
    <w:p>
      <w:pPr>
        <w:ind w:left="1140"/>
        <w:spacing w:after="0" w:line="304" w:lineRule="auto"/>
        <w:rPr>
          <w:sz w:val="20"/>
          <w:szCs w:val="20"/>
          <w:color w:val="auto"/>
        </w:rPr>
      </w:pPr>
      <w:r>
        <w:rPr>
          <w:rFonts w:ascii="Arial" w:cs="Arial" w:eastAsia="Arial" w:hAnsi="Arial"/>
          <w:sz w:val="16"/>
          <w:szCs w:val="16"/>
          <w:color w:val="auto"/>
        </w:rPr>
        <w:t xml:space="preserve">David P. Schenkein, M.D. </w:t>
      </w:r>
      <w:r>
        <w:rPr>
          <w:rFonts w:ascii="Arial" w:cs="Arial" w:eastAsia="Arial" w:hAnsi="Arial"/>
          <w:sz w:val="16"/>
          <w:szCs w:val="16"/>
          <w:i w:val="1"/>
          <w:iCs w:val="1"/>
          <w:color w:val="auto"/>
        </w:rPr>
        <w:t>(since September 12, 2025)</w:t>
      </w:r>
    </w:p>
    <w:p>
      <w:pPr>
        <w:spacing w:after="0" w:line="200" w:lineRule="exact"/>
        <w:rPr>
          <w:sz w:val="20"/>
          <w:szCs w:val="20"/>
          <w:color w:val="auto"/>
        </w:rPr>
      </w:pPr>
    </w:p>
    <w:p>
      <w:pPr>
        <w:spacing w:after="0" w:line="23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George L. Sing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Huda Y. Zoghbi, M.D.</w:t>
      </w: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065BAA"/>
        </w:rPr>
        <w:t>Number of Meetings Held in 2025</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65BAA"/>
        </w:rPr>
        <w:t>Key Functions of the Committee</w:t>
      </w:r>
    </w:p>
    <w:p>
      <w:pPr>
        <w:spacing w:after="0" w:line="167" w:lineRule="exact"/>
        <w:rPr>
          <w:sz w:val="20"/>
          <w:szCs w:val="20"/>
          <w:color w:val="auto"/>
        </w:rPr>
      </w:pPr>
    </w:p>
    <w:p>
      <w:pPr>
        <w:ind w:left="187" w:right="519" w:hanging="187"/>
        <w:spacing w:after="0" w:line="321" w:lineRule="auto"/>
        <w:tabs>
          <w:tab w:leader="none" w:pos="187" w:val="left"/>
        </w:tabs>
        <w:numPr>
          <w:ilvl w:val="0"/>
          <w:numId w:val="40"/>
        </w:numPr>
        <w:rPr>
          <w:rFonts w:ascii="Arial" w:cs="Arial" w:eastAsia="Arial" w:hAnsi="Arial"/>
          <w:sz w:val="16"/>
          <w:szCs w:val="16"/>
          <w:color w:val="065BAA"/>
        </w:rPr>
      </w:pPr>
      <w:r>
        <w:rPr>
          <w:rFonts w:ascii="Arial" w:cs="Arial" w:eastAsia="Arial" w:hAnsi="Arial"/>
          <w:sz w:val="16"/>
          <w:szCs w:val="16"/>
          <w:color w:val="auto"/>
        </w:rPr>
        <w:t>Evaluate the performance of the Chief Executive Officer, the Chief Scientific Officer, and other executive officers of the Company</w:t>
      </w:r>
    </w:p>
    <w:p>
      <w:pPr>
        <w:spacing w:after="0" w:line="20" w:lineRule="exact"/>
        <w:rPr>
          <w:rFonts w:ascii="Arial" w:cs="Arial" w:eastAsia="Arial" w:hAnsi="Arial"/>
          <w:sz w:val="16"/>
          <w:szCs w:val="16"/>
          <w:color w:val="065BAA"/>
        </w:rPr>
      </w:pPr>
    </w:p>
    <w:p>
      <w:pPr>
        <w:ind w:left="187" w:right="299" w:hanging="187"/>
        <w:spacing w:after="0" w:line="301" w:lineRule="auto"/>
        <w:tabs>
          <w:tab w:leader="none" w:pos="187" w:val="left"/>
        </w:tabs>
        <w:numPr>
          <w:ilvl w:val="0"/>
          <w:numId w:val="40"/>
        </w:numPr>
        <w:rPr>
          <w:rFonts w:ascii="Arial" w:cs="Arial" w:eastAsia="Arial" w:hAnsi="Arial"/>
          <w:sz w:val="16"/>
          <w:szCs w:val="16"/>
          <w:color w:val="065BAA"/>
        </w:rPr>
      </w:pPr>
      <w:r>
        <w:rPr>
          <w:rFonts w:ascii="Arial" w:cs="Arial" w:eastAsia="Arial" w:hAnsi="Arial"/>
          <w:sz w:val="16"/>
          <w:szCs w:val="16"/>
          <w:color w:val="auto"/>
        </w:rPr>
        <w:t>Recommend compensation for the Chief Executive Officer and the Chief Scientific Officer for approval by the non-employee members of the board of directors</w:t>
      </w:r>
    </w:p>
    <w:p>
      <w:pPr>
        <w:spacing w:after="0" w:line="23" w:lineRule="exact"/>
        <w:rPr>
          <w:rFonts w:ascii="Arial" w:cs="Arial" w:eastAsia="Arial" w:hAnsi="Arial"/>
          <w:sz w:val="16"/>
          <w:szCs w:val="16"/>
          <w:color w:val="065BAA"/>
        </w:rPr>
      </w:pPr>
    </w:p>
    <w:p>
      <w:pPr>
        <w:ind w:left="187" w:hanging="187"/>
        <w:spacing w:after="0"/>
        <w:tabs>
          <w:tab w:leader="none" w:pos="187" w:val="left"/>
        </w:tabs>
        <w:numPr>
          <w:ilvl w:val="0"/>
          <w:numId w:val="40"/>
        </w:numPr>
        <w:rPr>
          <w:rFonts w:ascii="Arial" w:cs="Arial" w:eastAsia="Arial" w:hAnsi="Arial"/>
          <w:sz w:val="16"/>
          <w:szCs w:val="16"/>
          <w:color w:val="065BAA"/>
        </w:rPr>
      </w:pPr>
      <w:r>
        <w:rPr>
          <w:rFonts w:ascii="Arial" w:cs="Arial" w:eastAsia="Arial" w:hAnsi="Arial"/>
          <w:sz w:val="16"/>
          <w:szCs w:val="16"/>
          <w:color w:val="auto"/>
        </w:rPr>
        <w:t>Approve compensation for other executive officers</w:t>
      </w:r>
    </w:p>
    <w:p>
      <w:pPr>
        <w:spacing w:after="0" w:line="99" w:lineRule="exact"/>
        <w:rPr>
          <w:rFonts w:ascii="Arial" w:cs="Arial" w:eastAsia="Arial" w:hAnsi="Arial"/>
          <w:sz w:val="16"/>
          <w:szCs w:val="16"/>
          <w:color w:val="065BAA"/>
        </w:rPr>
      </w:pPr>
    </w:p>
    <w:p>
      <w:pPr>
        <w:ind w:left="187" w:hanging="187"/>
        <w:spacing w:after="0"/>
        <w:tabs>
          <w:tab w:leader="none" w:pos="187" w:val="left"/>
        </w:tabs>
        <w:numPr>
          <w:ilvl w:val="0"/>
          <w:numId w:val="40"/>
        </w:numPr>
        <w:rPr>
          <w:rFonts w:ascii="Arial" w:cs="Arial" w:eastAsia="Arial" w:hAnsi="Arial"/>
          <w:sz w:val="16"/>
          <w:szCs w:val="16"/>
          <w:color w:val="065BAA"/>
        </w:rPr>
      </w:pPr>
      <w:r>
        <w:rPr>
          <w:rFonts w:ascii="Arial" w:cs="Arial" w:eastAsia="Arial" w:hAnsi="Arial"/>
          <w:sz w:val="16"/>
          <w:szCs w:val="16"/>
          <w:color w:val="auto"/>
        </w:rPr>
        <w:t>Approve the total compensation budget for all Company employees</w:t>
      </w:r>
    </w:p>
    <w:p>
      <w:pPr>
        <w:spacing w:after="0" w:line="113" w:lineRule="exact"/>
        <w:rPr>
          <w:rFonts w:ascii="Arial" w:cs="Arial" w:eastAsia="Arial" w:hAnsi="Arial"/>
          <w:sz w:val="16"/>
          <w:szCs w:val="16"/>
          <w:color w:val="065BAA"/>
        </w:rPr>
      </w:pPr>
    </w:p>
    <w:p>
      <w:pPr>
        <w:ind w:left="187" w:right="479" w:hanging="187"/>
        <w:spacing w:after="0" w:line="304" w:lineRule="auto"/>
        <w:tabs>
          <w:tab w:leader="none" w:pos="187" w:val="left"/>
        </w:tabs>
        <w:numPr>
          <w:ilvl w:val="0"/>
          <w:numId w:val="40"/>
        </w:numPr>
        <w:rPr>
          <w:rFonts w:ascii="Arial" w:cs="Arial" w:eastAsia="Arial" w:hAnsi="Arial"/>
          <w:sz w:val="16"/>
          <w:szCs w:val="16"/>
          <w:color w:val="065BAA"/>
        </w:rPr>
      </w:pPr>
      <w:r>
        <w:rPr>
          <w:rFonts w:ascii="Arial" w:cs="Arial" w:eastAsia="Arial" w:hAnsi="Arial"/>
          <w:sz w:val="16"/>
          <w:szCs w:val="16"/>
          <w:color w:val="auto"/>
        </w:rPr>
        <w:t>Oversee the Company’s compensation and benefit philosophy and programs generally</w:t>
      </w:r>
    </w:p>
    <w:p>
      <w:pPr>
        <w:spacing w:after="0" w:line="33" w:lineRule="exact"/>
        <w:rPr>
          <w:rFonts w:ascii="Arial" w:cs="Arial" w:eastAsia="Arial" w:hAnsi="Arial"/>
          <w:sz w:val="16"/>
          <w:szCs w:val="16"/>
          <w:color w:val="065BAA"/>
        </w:rPr>
      </w:pPr>
    </w:p>
    <w:p>
      <w:pPr>
        <w:ind w:left="187" w:right="259" w:hanging="187"/>
        <w:spacing w:after="0" w:line="295" w:lineRule="auto"/>
        <w:tabs>
          <w:tab w:leader="none" w:pos="187" w:val="left"/>
        </w:tabs>
        <w:numPr>
          <w:ilvl w:val="0"/>
          <w:numId w:val="40"/>
        </w:numPr>
        <w:rPr>
          <w:rFonts w:ascii="Arial" w:cs="Arial" w:eastAsia="Arial" w:hAnsi="Arial"/>
          <w:sz w:val="16"/>
          <w:szCs w:val="16"/>
          <w:color w:val="065BAA"/>
        </w:rPr>
      </w:pPr>
      <w:r>
        <w:rPr>
          <w:rFonts w:ascii="Arial" w:cs="Arial" w:eastAsia="Arial" w:hAnsi="Arial"/>
          <w:sz w:val="16"/>
          <w:szCs w:val="16"/>
          <w:color w:val="auto"/>
        </w:rPr>
        <w:t>Oversee the Company’s strategies and policies related to human capital management, including with respect to workplace environment and culture; talent recruitment, development, and retention; and employee engagement*</w:t>
      </w:r>
    </w:p>
    <w:p>
      <w:pPr>
        <w:spacing w:after="0" w:line="26" w:lineRule="exact"/>
        <w:rPr>
          <w:rFonts w:ascii="Arial" w:cs="Arial" w:eastAsia="Arial" w:hAnsi="Arial"/>
          <w:sz w:val="16"/>
          <w:szCs w:val="16"/>
          <w:color w:val="065BAA"/>
        </w:rPr>
      </w:pPr>
    </w:p>
    <w:p>
      <w:pPr>
        <w:ind w:left="187" w:right="559" w:hanging="187"/>
        <w:spacing w:after="0" w:line="295" w:lineRule="auto"/>
        <w:tabs>
          <w:tab w:leader="none" w:pos="187" w:val="left"/>
        </w:tabs>
        <w:numPr>
          <w:ilvl w:val="0"/>
          <w:numId w:val="40"/>
        </w:numPr>
        <w:rPr>
          <w:rFonts w:ascii="Arial" w:cs="Arial" w:eastAsia="Arial" w:hAnsi="Arial"/>
          <w:sz w:val="16"/>
          <w:szCs w:val="16"/>
          <w:color w:val="065BAA"/>
        </w:rPr>
      </w:pPr>
      <w:r>
        <w:rPr>
          <w:rFonts w:ascii="Arial" w:cs="Arial" w:eastAsia="Arial" w:hAnsi="Arial"/>
          <w:sz w:val="16"/>
          <w:szCs w:val="16"/>
          <w:color w:val="auto"/>
        </w:rPr>
        <w:t>Review and approve annually the corporate goals and objectives applicable to the compensation of the Chief Executive Officer and the goals and objectives of the Company’s executive compensation programs</w:t>
      </w:r>
    </w:p>
    <w:p>
      <w:pPr>
        <w:spacing w:after="0" w:line="26" w:lineRule="exact"/>
        <w:rPr>
          <w:rFonts w:ascii="Arial" w:cs="Arial" w:eastAsia="Arial" w:hAnsi="Arial"/>
          <w:sz w:val="16"/>
          <w:szCs w:val="16"/>
          <w:color w:val="065BAA"/>
        </w:rPr>
      </w:pPr>
    </w:p>
    <w:p>
      <w:pPr>
        <w:ind w:left="187" w:right="219" w:hanging="187"/>
        <w:spacing w:after="0" w:line="321" w:lineRule="auto"/>
        <w:tabs>
          <w:tab w:leader="none" w:pos="187" w:val="left"/>
        </w:tabs>
        <w:numPr>
          <w:ilvl w:val="0"/>
          <w:numId w:val="40"/>
        </w:numPr>
        <w:rPr>
          <w:rFonts w:ascii="Arial" w:cs="Arial" w:eastAsia="Arial" w:hAnsi="Arial"/>
          <w:sz w:val="16"/>
          <w:szCs w:val="16"/>
          <w:color w:val="065BAA"/>
        </w:rPr>
      </w:pPr>
      <w:r>
        <w:rPr>
          <w:rFonts w:ascii="Arial" w:cs="Arial" w:eastAsia="Arial" w:hAnsi="Arial"/>
          <w:sz w:val="16"/>
          <w:szCs w:val="16"/>
          <w:color w:val="auto"/>
        </w:rPr>
        <w:t>Review and approve the Compensation Discussion and Analysis to be included in the Company’s proxy statement</w:t>
      </w:r>
    </w:p>
    <w:p>
      <w:pPr>
        <w:spacing w:after="0" w:line="7" w:lineRule="exact"/>
        <w:rPr>
          <w:rFonts w:ascii="Arial" w:cs="Arial" w:eastAsia="Arial" w:hAnsi="Arial"/>
          <w:sz w:val="16"/>
          <w:szCs w:val="16"/>
          <w:color w:val="065BAA"/>
        </w:rPr>
      </w:pPr>
    </w:p>
    <w:p>
      <w:pPr>
        <w:ind w:left="187" w:right="839" w:hanging="187"/>
        <w:spacing w:after="0" w:line="321" w:lineRule="auto"/>
        <w:tabs>
          <w:tab w:leader="none" w:pos="187" w:val="left"/>
        </w:tabs>
        <w:numPr>
          <w:ilvl w:val="0"/>
          <w:numId w:val="40"/>
        </w:numPr>
        <w:rPr>
          <w:rFonts w:ascii="Arial" w:cs="Arial" w:eastAsia="Arial" w:hAnsi="Arial"/>
          <w:sz w:val="16"/>
          <w:szCs w:val="16"/>
          <w:color w:val="065BAA"/>
        </w:rPr>
      </w:pPr>
      <w:r>
        <w:rPr>
          <w:rFonts w:ascii="Arial" w:cs="Arial" w:eastAsia="Arial" w:hAnsi="Arial"/>
          <w:sz w:val="16"/>
          <w:szCs w:val="16"/>
          <w:color w:val="auto"/>
        </w:rPr>
        <w:t>Prepare an annual report of the Compensation Committee for inclusion in the Company’s proxy statement</w:t>
      </w:r>
    </w:p>
    <w:p>
      <w:pPr>
        <w:spacing w:after="0" w:line="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65BAA"/>
        </w:rPr>
        <w:t>Recent Focus Areas</w:t>
      </w:r>
    </w:p>
    <w:p>
      <w:pPr>
        <w:spacing w:after="0" w:line="181" w:lineRule="exact"/>
        <w:rPr>
          <w:sz w:val="20"/>
          <w:szCs w:val="20"/>
          <w:color w:val="auto"/>
        </w:rPr>
      </w:pPr>
    </w:p>
    <w:p>
      <w:pPr>
        <w:ind w:left="187" w:hanging="187"/>
        <w:spacing w:after="0"/>
        <w:tabs>
          <w:tab w:leader="none" w:pos="187" w:val="left"/>
        </w:tabs>
        <w:numPr>
          <w:ilvl w:val="0"/>
          <w:numId w:val="41"/>
        </w:numPr>
        <w:rPr>
          <w:rFonts w:ascii="Arial" w:cs="Arial" w:eastAsia="Arial" w:hAnsi="Arial"/>
          <w:sz w:val="16"/>
          <w:szCs w:val="16"/>
          <w:color w:val="065BAA"/>
        </w:rPr>
      </w:pPr>
      <w:r>
        <w:rPr>
          <w:rFonts w:ascii="Arial" w:cs="Arial" w:eastAsia="Arial" w:hAnsi="Arial"/>
          <w:sz w:val="16"/>
          <w:szCs w:val="16"/>
          <w:color w:val="auto"/>
        </w:rPr>
        <w:t>Equity compensation design and planning for CEO and CSO</w:t>
      </w:r>
    </w:p>
    <w:p>
      <w:pPr>
        <w:spacing w:after="0" w:line="99" w:lineRule="exact"/>
        <w:rPr>
          <w:rFonts w:ascii="Arial" w:cs="Arial" w:eastAsia="Arial" w:hAnsi="Arial"/>
          <w:sz w:val="16"/>
          <w:szCs w:val="16"/>
          <w:color w:val="065BAA"/>
        </w:rPr>
      </w:pPr>
    </w:p>
    <w:p>
      <w:pPr>
        <w:ind w:left="187" w:hanging="187"/>
        <w:spacing w:after="0"/>
        <w:tabs>
          <w:tab w:leader="none" w:pos="187" w:val="left"/>
        </w:tabs>
        <w:numPr>
          <w:ilvl w:val="0"/>
          <w:numId w:val="41"/>
        </w:numPr>
        <w:rPr>
          <w:rFonts w:ascii="Arial" w:cs="Arial" w:eastAsia="Arial" w:hAnsi="Arial"/>
          <w:sz w:val="16"/>
          <w:szCs w:val="16"/>
          <w:color w:val="065BAA"/>
        </w:rPr>
      </w:pPr>
      <w:r>
        <w:rPr>
          <w:rFonts w:ascii="Arial" w:cs="Arial" w:eastAsia="Arial" w:hAnsi="Arial"/>
          <w:sz w:val="16"/>
          <w:szCs w:val="16"/>
          <w:color w:val="auto"/>
        </w:rPr>
        <w:t>Retention of key leaders</w:t>
      </w:r>
    </w:p>
    <w:p>
      <w:pPr>
        <w:spacing w:after="0" w:line="99" w:lineRule="exact"/>
        <w:rPr>
          <w:rFonts w:ascii="Arial" w:cs="Arial" w:eastAsia="Arial" w:hAnsi="Arial"/>
          <w:sz w:val="16"/>
          <w:szCs w:val="16"/>
          <w:color w:val="065BAA"/>
        </w:rPr>
      </w:pPr>
    </w:p>
    <w:p>
      <w:pPr>
        <w:ind w:left="187" w:hanging="187"/>
        <w:spacing w:after="0"/>
        <w:tabs>
          <w:tab w:leader="none" w:pos="187" w:val="left"/>
        </w:tabs>
        <w:numPr>
          <w:ilvl w:val="0"/>
          <w:numId w:val="41"/>
        </w:numPr>
        <w:rPr>
          <w:rFonts w:ascii="Arial" w:cs="Arial" w:eastAsia="Arial" w:hAnsi="Arial"/>
          <w:sz w:val="16"/>
          <w:szCs w:val="16"/>
          <w:color w:val="065BAA"/>
        </w:rPr>
      </w:pPr>
      <w:r>
        <w:rPr>
          <w:rFonts w:ascii="Arial" w:cs="Arial" w:eastAsia="Arial" w:hAnsi="Arial"/>
          <w:sz w:val="16"/>
          <w:szCs w:val="16"/>
          <w:color w:val="auto"/>
        </w:rPr>
        <w:t>Pay mix and market competitiveness considerations</w:t>
      </w:r>
    </w:p>
    <w:p>
      <w:pPr>
        <w:spacing w:after="0" w:line="200" w:lineRule="exact"/>
        <w:rPr>
          <w:sz w:val="20"/>
          <w:szCs w:val="20"/>
          <w:color w:val="auto"/>
        </w:rPr>
      </w:pPr>
    </w:p>
    <w:p>
      <w:pPr>
        <w:sectPr>
          <w:pgSz w:w="11900" w:h="16838" w:orient="portrait"/>
          <w:cols w:equalWidth="0" w:num="2">
            <w:col w:w="3140" w:space="433"/>
            <w:col w:w="5446"/>
          </w:cols>
          <w:pgMar w:left="1440" w:top="657" w:right="1440" w:bottom="1440" w:gutter="0" w:footer="0" w:header="0"/>
          <w:type w:val="continuous"/>
        </w:sectPr>
      </w:pPr>
    </w:p>
    <w:p>
      <w:pPr>
        <w:spacing w:after="0" w:line="152" w:lineRule="exact"/>
        <w:rPr>
          <w:sz w:val="20"/>
          <w:szCs w:val="20"/>
          <w:color w:val="auto"/>
        </w:rPr>
      </w:pPr>
    </w:p>
    <w:p>
      <w:pPr>
        <w:ind w:left="320" w:right="199" w:hanging="190"/>
        <w:spacing w:after="0" w:line="286" w:lineRule="auto"/>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full board retains oversight of the Company’s strategies and policies related to the Company’s culture. See the subsection “Corporate Governance— Corporate Responsibility”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23</w:t>
            </w:r>
          </w:p>
        </w:tc>
      </w:tr>
    </w:tbl>
    <w:p>
      <w:pPr>
        <w:sectPr>
          <w:pgSz w:w="11900" w:h="16838" w:orient="portrait"/>
          <w:cols w:equalWidth="0" w:num="1">
            <w:col w:w="9019"/>
          </w:cols>
          <w:pgMar w:left="1440" w:top="657" w:right="1440" w:bottom="1440" w:gutter="0" w:footer="0" w:header="0"/>
          <w:type w:val="continuous"/>
        </w:sectPr>
      </w:pPr>
    </w:p>
    <w:bookmarkStart w:id="32" w:name="page33"/>
    <w:bookmarkEnd w:id="32"/>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Corporate Governance and Compliance Committee</w:t>
      </w:r>
    </w:p>
    <w:p>
      <w:pPr>
        <w:sectPr>
          <w:pgSz w:w="11900" w:h="16838" w:orient="portrait"/>
          <w:cols w:equalWidth="0" w:num="1">
            <w:col w:w="9019"/>
          </w:cols>
          <w:pgMar w:left="1440" w:top="657" w:right="1440" w:bottom="1440" w:gutter="0" w:footer="0" w:header="0"/>
        </w:sectPr>
      </w:pPr>
    </w:p>
    <w:p>
      <w:pPr>
        <w:spacing w:after="0" w:line="36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065BAA"/>
        </w:rPr>
        <w:t>Members</w:t>
      </w:r>
    </w:p>
    <w:p>
      <w:pPr>
        <w:spacing w:after="0" w:line="370"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 xml:space="preserve">Arthur F. Ryan, </w:t>
      </w:r>
      <w:r>
        <w:rPr>
          <w:rFonts w:ascii="Arial" w:cs="Arial" w:eastAsia="Arial" w:hAnsi="Arial"/>
          <w:sz w:val="16"/>
          <w:szCs w:val="16"/>
          <w:b w:val="1"/>
          <w:bCs w:val="1"/>
          <w:i w:val="1"/>
          <w:iCs w:val="1"/>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Bonnie L. Bassler, Ph.D.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Michael S. Brown, M.D.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Joseph L. Goldstein, M.D.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Christine A. Poon</w:t>
      </w:r>
    </w:p>
    <w:p>
      <w:pPr>
        <w:spacing w:after="0" w:line="200" w:lineRule="exact"/>
        <w:rPr>
          <w:sz w:val="20"/>
          <w:szCs w:val="20"/>
          <w:color w:val="auto"/>
        </w:rPr>
      </w:pPr>
    </w:p>
    <w:p>
      <w:pPr>
        <w:spacing w:after="0" w:line="332" w:lineRule="exact"/>
        <w:rPr>
          <w:sz w:val="20"/>
          <w:szCs w:val="20"/>
          <w:color w:val="auto"/>
        </w:rPr>
      </w:pPr>
    </w:p>
    <w:p>
      <w:pPr>
        <w:ind w:left="1140"/>
        <w:spacing w:after="0" w:line="304" w:lineRule="auto"/>
        <w:rPr>
          <w:sz w:val="20"/>
          <w:szCs w:val="20"/>
          <w:color w:val="auto"/>
        </w:rPr>
      </w:pPr>
      <w:r>
        <w:rPr>
          <w:rFonts w:ascii="Arial" w:cs="Arial" w:eastAsia="Arial" w:hAnsi="Arial"/>
          <w:sz w:val="16"/>
          <w:szCs w:val="16"/>
          <w:color w:val="auto"/>
        </w:rPr>
        <w:t xml:space="preserve">Craig B. Thompson, M.D. </w:t>
      </w:r>
      <w:r>
        <w:rPr>
          <w:rFonts w:ascii="Arial" w:cs="Arial" w:eastAsia="Arial" w:hAnsi="Arial"/>
          <w:sz w:val="16"/>
          <w:szCs w:val="16"/>
          <w:i w:val="1"/>
          <w:iCs w:val="1"/>
          <w:color w:val="auto"/>
        </w:rPr>
        <w:t>(since September 12, 2025)</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065BAA"/>
        </w:rPr>
        <w:t>Number of Meetings Held in 2025</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65BAA"/>
        </w:rPr>
        <w:t>Key Functions of the Committee</w:t>
      </w:r>
    </w:p>
    <w:p>
      <w:pPr>
        <w:spacing w:after="0" w:line="167" w:lineRule="exact"/>
        <w:rPr>
          <w:sz w:val="20"/>
          <w:szCs w:val="20"/>
          <w:color w:val="auto"/>
        </w:rPr>
      </w:pPr>
    </w:p>
    <w:p>
      <w:pPr>
        <w:ind w:left="187" w:right="539" w:hanging="187"/>
        <w:spacing w:after="0" w:line="321" w:lineRule="auto"/>
        <w:tabs>
          <w:tab w:leader="none" w:pos="187" w:val="left"/>
        </w:tabs>
        <w:numPr>
          <w:ilvl w:val="0"/>
          <w:numId w:val="43"/>
        </w:numPr>
        <w:rPr>
          <w:rFonts w:ascii="Arial" w:cs="Arial" w:eastAsia="Arial" w:hAnsi="Arial"/>
          <w:sz w:val="16"/>
          <w:szCs w:val="16"/>
          <w:color w:val="065BAA"/>
        </w:rPr>
      </w:pPr>
      <w:r>
        <w:rPr>
          <w:rFonts w:ascii="Arial" w:cs="Arial" w:eastAsia="Arial" w:hAnsi="Arial"/>
          <w:sz w:val="16"/>
          <w:szCs w:val="16"/>
          <w:color w:val="auto"/>
        </w:rPr>
        <w:t>Identify qualified individuals to become members of the board and recommend such candidates to the board</w:t>
      </w:r>
    </w:p>
    <w:p>
      <w:pPr>
        <w:spacing w:after="0" w:line="20" w:lineRule="exact"/>
        <w:rPr>
          <w:rFonts w:ascii="Arial" w:cs="Arial" w:eastAsia="Arial" w:hAnsi="Arial"/>
          <w:sz w:val="16"/>
          <w:szCs w:val="16"/>
          <w:color w:val="065BAA"/>
        </w:rPr>
      </w:pPr>
    </w:p>
    <w:p>
      <w:pPr>
        <w:ind w:left="187" w:hanging="187"/>
        <w:spacing w:after="0"/>
        <w:tabs>
          <w:tab w:leader="none" w:pos="187" w:val="left"/>
        </w:tabs>
        <w:numPr>
          <w:ilvl w:val="0"/>
          <w:numId w:val="43"/>
        </w:numPr>
        <w:rPr>
          <w:rFonts w:ascii="Arial" w:cs="Arial" w:eastAsia="Arial" w:hAnsi="Arial"/>
          <w:sz w:val="16"/>
          <w:szCs w:val="16"/>
          <w:color w:val="065BAA"/>
        </w:rPr>
      </w:pPr>
      <w:r>
        <w:rPr>
          <w:rFonts w:ascii="Arial" w:cs="Arial" w:eastAsia="Arial" w:hAnsi="Arial"/>
          <w:sz w:val="16"/>
          <w:szCs w:val="16"/>
          <w:color w:val="auto"/>
        </w:rPr>
        <w:t>Assess the functioning of the board and its committees and</w:t>
      </w:r>
    </w:p>
    <w:p>
      <w:pPr>
        <w:spacing w:after="0" w:line="32" w:lineRule="exact"/>
        <w:rPr>
          <w:rFonts w:ascii="Arial" w:cs="Arial" w:eastAsia="Arial" w:hAnsi="Arial"/>
          <w:sz w:val="16"/>
          <w:szCs w:val="16"/>
          <w:color w:val="065BAA"/>
        </w:rPr>
      </w:pPr>
    </w:p>
    <w:p>
      <w:pPr>
        <w:ind w:left="187" w:right="259"/>
        <w:spacing w:after="0" w:line="321" w:lineRule="auto"/>
        <w:rPr>
          <w:rFonts w:ascii="Arial" w:cs="Arial" w:eastAsia="Arial" w:hAnsi="Arial"/>
          <w:sz w:val="16"/>
          <w:szCs w:val="16"/>
          <w:color w:val="065BAA"/>
        </w:rPr>
      </w:pPr>
      <w:r>
        <w:rPr>
          <w:rFonts w:ascii="Arial" w:cs="Arial" w:eastAsia="Arial" w:hAnsi="Arial"/>
          <w:sz w:val="16"/>
          <w:szCs w:val="16"/>
          <w:color w:val="auto"/>
        </w:rPr>
        <w:t>make recommendations to the board concerning the appropriate size, function, and needs of the board</w:t>
      </w:r>
    </w:p>
    <w:p>
      <w:pPr>
        <w:spacing w:after="0" w:line="7" w:lineRule="exact"/>
        <w:rPr>
          <w:rFonts w:ascii="Arial" w:cs="Arial" w:eastAsia="Arial" w:hAnsi="Arial"/>
          <w:sz w:val="16"/>
          <w:szCs w:val="16"/>
          <w:color w:val="065BAA"/>
        </w:rPr>
      </w:pPr>
    </w:p>
    <w:p>
      <w:pPr>
        <w:ind w:left="187" w:right="919" w:hanging="187"/>
        <w:spacing w:after="0" w:line="321" w:lineRule="auto"/>
        <w:tabs>
          <w:tab w:leader="none" w:pos="187" w:val="left"/>
        </w:tabs>
        <w:numPr>
          <w:ilvl w:val="0"/>
          <w:numId w:val="43"/>
        </w:numPr>
        <w:rPr>
          <w:rFonts w:ascii="Arial" w:cs="Arial" w:eastAsia="Arial" w:hAnsi="Arial"/>
          <w:sz w:val="16"/>
          <w:szCs w:val="16"/>
          <w:color w:val="065BAA"/>
        </w:rPr>
      </w:pPr>
      <w:r>
        <w:rPr>
          <w:rFonts w:ascii="Arial" w:cs="Arial" w:eastAsia="Arial" w:hAnsi="Arial"/>
          <w:sz w:val="16"/>
          <w:szCs w:val="16"/>
          <w:color w:val="auto"/>
        </w:rPr>
        <w:t>Review, and make recommendations to the board regarding, non-employee director compensation</w:t>
      </w:r>
    </w:p>
    <w:p>
      <w:pPr>
        <w:spacing w:after="0" w:line="7" w:lineRule="exact"/>
        <w:rPr>
          <w:rFonts w:ascii="Arial" w:cs="Arial" w:eastAsia="Arial" w:hAnsi="Arial"/>
          <w:sz w:val="16"/>
          <w:szCs w:val="16"/>
          <w:color w:val="065BAA"/>
        </w:rPr>
      </w:pPr>
    </w:p>
    <w:p>
      <w:pPr>
        <w:ind w:left="187" w:right="199" w:hanging="187"/>
        <w:spacing w:after="0" w:line="321" w:lineRule="auto"/>
        <w:tabs>
          <w:tab w:leader="none" w:pos="187" w:val="left"/>
        </w:tabs>
        <w:numPr>
          <w:ilvl w:val="0"/>
          <w:numId w:val="43"/>
        </w:numPr>
        <w:rPr>
          <w:rFonts w:ascii="Arial" w:cs="Arial" w:eastAsia="Arial" w:hAnsi="Arial"/>
          <w:sz w:val="16"/>
          <w:szCs w:val="16"/>
          <w:color w:val="065BAA"/>
        </w:rPr>
      </w:pPr>
      <w:r>
        <w:rPr>
          <w:rFonts w:ascii="Arial" w:cs="Arial" w:eastAsia="Arial" w:hAnsi="Arial"/>
          <w:sz w:val="16"/>
          <w:szCs w:val="16"/>
          <w:color w:val="auto"/>
        </w:rPr>
        <w:t>Oversee, periodically review, and make recommendations to the board regarding corporate governance matters and practices</w:t>
      </w:r>
    </w:p>
    <w:p>
      <w:pPr>
        <w:spacing w:after="0" w:line="7" w:lineRule="exact"/>
        <w:rPr>
          <w:rFonts w:ascii="Arial" w:cs="Arial" w:eastAsia="Arial" w:hAnsi="Arial"/>
          <w:sz w:val="16"/>
          <w:szCs w:val="16"/>
          <w:color w:val="065BAA"/>
        </w:rPr>
      </w:pPr>
    </w:p>
    <w:p>
      <w:pPr>
        <w:ind w:left="187" w:hanging="187"/>
        <w:spacing w:after="0"/>
        <w:tabs>
          <w:tab w:leader="none" w:pos="187" w:val="left"/>
        </w:tabs>
        <w:numPr>
          <w:ilvl w:val="0"/>
          <w:numId w:val="43"/>
        </w:numPr>
        <w:rPr>
          <w:rFonts w:ascii="Arial" w:cs="Arial" w:eastAsia="Arial" w:hAnsi="Arial"/>
          <w:sz w:val="16"/>
          <w:szCs w:val="16"/>
          <w:color w:val="065BAA"/>
        </w:rPr>
      </w:pPr>
      <w:r>
        <w:rPr>
          <w:rFonts w:ascii="Arial" w:cs="Arial" w:eastAsia="Arial" w:hAnsi="Arial"/>
          <w:sz w:val="16"/>
          <w:szCs w:val="16"/>
          <w:color w:val="auto"/>
        </w:rPr>
        <w:t>Oversee the Company’s comprehensive compliance program</w:t>
      </w:r>
    </w:p>
    <w:p>
      <w:pPr>
        <w:spacing w:after="0" w:line="32" w:lineRule="exact"/>
        <w:rPr>
          <w:rFonts w:ascii="Arial" w:cs="Arial" w:eastAsia="Arial" w:hAnsi="Arial"/>
          <w:sz w:val="16"/>
          <w:szCs w:val="16"/>
          <w:color w:val="065BAA"/>
        </w:rPr>
      </w:pPr>
    </w:p>
    <w:p>
      <w:pPr>
        <w:ind w:left="187"/>
        <w:spacing w:after="0"/>
        <w:rPr>
          <w:rFonts w:ascii="Arial" w:cs="Arial" w:eastAsia="Arial" w:hAnsi="Arial"/>
          <w:sz w:val="16"/>
          <w:szCs w:val="16"/>
          <w:color w:val="065BAA"/>
        </w:rPr>
      </w:pPr>
      <w:r>
        <w:rPr>
          <w:rFonts w:ascii="Arial" w:cs="Arial" w:eastAsia="Arial" w:hAnsi="Arial"/>
          <w:sz w:val="16"/>
          <w:szCs w:val="16"/>
          <w:color w:val="auto"/>
        </w:rPr>
        <w:t>(other than specific areas overseen by other committees of the board)</w:t>
      </w:r>
    </w:p>
    <w:p>
      <w:pPr>
        <w:spacing w:after="0" w:line="113" w:lineRule="exact"/>
        <w:rPr>
          <w:rFonts w:ascii="Arial" w:cs="Arial" w:eastAsia="Arial" w:hAnsi="Arial"/>
          <w:sz w:val="16"/>
          <w:szCs w:val="16"/>
          <w:color w:val="065BAA"/>
        </w:rPr>
      </w:pPr>
    </w:p>
    <w:p>
      <w:pPr>
        <w:ind w:left="187" w:right="1099" w:hanging="187"/>
        <w:spacing w:after="0" w:line="321" w:lineRule="auto"/>
        <w:tabs>
          <w:tab w:leader="none" w:pos="187" w:val="left"/>
        </w:tabs>
        <w:numPr>
          <w:ilvl w:val="0"/>
          <w:numId w:val="43"/>
        </w:numPr>
        <w:rPr>
          <w:rFonts w:ascii="Arial" w:cs="Arial" w:eastAsia="Arial" w:hAnsi="Arial"/>
          <w:sz w:val="16"/>
          <w:szCs w:val="16"/>
          <w:color w:val="065BAA"/>
        </w:rPr>
      </w:pPr>
      <w:r>
        <w:rPr>
          <w:rFonts w:ascii="Arial" w:cs="Arial" w:eastAsia="Arial" w:hAnsi="Arial"/>
          <w:sz w:val="16"/>
          <w:szCs w:val="16"/>
          <w:color w:val="auto"/>
        </w:rPr>
        <w:t>Oversee and periodically review the Company’s corporate responsibility matters and key initiatives*</w:t>
      </w:r>
    </w:p>
    <w:p>
      <w:pPr>
        <w:spacing w:after="0" w:line="7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65BAA"/>
        </w:rPr>
        <w:t>Recent Focus Areas</w:t>
      </w:r>
    </w:p>
    <w:p>
      <w:pPr>
        <w:spacing w:after="0" w:line="181" w:lineRule="exact"/>
        <w:rPr>
          <w:sz w:val="20"/>
          <w:szCs w:val="20"/>
          <w:color w:val="auto"/>
        </w:rPr>
      </w:pPr>
    </w:p>
    <w:p>
      <w:pPr>
        <w:ind w:left="187" w:right="199" w:hanging="187"/>
        <w:spacing w:after="0" w:line="321" w:lineRule="auto"/>
        <w:tabs>
          <w:tab w:leader="none" w:pos="187" w:val="left"/>
        </w:tabs>
        <w:numPr>
          <w:ilvl w:val="0"/>
          <w:numId w:val="44"/>
        </w:numPr>
        <w:rPr>
          <w:rFonts w:ascii="Arial" w:cs="Arial" w:eastAsia="Arial" w:hAnsi="Arial"/>
          <w:sz w:val="16"/>
          <w:szCs w:val="16"/>
          <w:color w:val="065BAA"/>
        </w:rPr>
      </w:pPr>
      <w:r>
        <w:rPr>
          <w:rFonts w:ascii="Arial" w:cs="Arial" w:eastAsia="Arial" w:hAnsi="Arial"/>
          <w:sz w:val="16"/>
          <w:szCs w:val="16"/>
          <w:color w:val="auto"/>
        </w:rPr>
        <w:t>Board declassification and other corporate governance expectations of shareholders and other stakeholders</w:t>
      </w:r>
    </w:p>
    <w:p>
      <w:pPr>
        <w:spacing w:after="0" w:line="7" w:lineRule="exact"/>
        <w:rPr>
          <w:rFonts w:ascii="Arial" w:cs="Arial" w:eastAsia="Arial" w:hAnsi="Arial"/>
          <w:sz w:val="16"/>
          <w:szCs w:val="16"/>
          <w:color w:val="065BAA"/>
        </w:rPr>
      </w:pPr>
    </w:p>
    <w:p>
      <w:pPr>
        <w:ind w:left="187" w:hanging="187"/>
        <w:spacing w:after="0"/>
        <w:tabs>
          <w:tab w:leader="none" w:pos="187" w:val="left"/>
        </w:tabs>
        <w:numPr>
          <w:ilvl w:val="0"/>
          <w:numId w:val="44"/>
        </w:numPr>
        <w:rPr>
          <w:rFonts w:ascii="Arial" w:cs="Arial" w:eastAsia="Arial" w:hAnsi="Arial"/>
          <w:sz w:val="16"/>
          <w:szCs w:val="16"/>
          <w:color w:val="065BAA"/>
        </w:rPr>
      </w:pPr>
      <w:r>
        <w:rPr>
          <w:rFonts w:ascii="Arial" w:cs="Arial" w:eastAsia="Arial" w:hAnsi="Arial"/>
          <w:sz w:val="16"/>
          <w:szCs w:val="16"/>
          <w:color w:val="auto"/>
        </w:rPr>
        <w:t>Changes to board committee membership</w:t>
      </w:r>
    </w:p>
    <w:p>
      <w:pPr>
        <w:spacing w:after="0" w:line="99" w:lineRule="exact"/>
        <w:rPr>
          <w:rFonts w:ascii="Arial" w:cs="Arial" w:eastAsia="Arial" w:hAnsi="Arial"/>
          <w:sz w:val="16"/>
          <w:szCs w:val="16"/>
          <w:color w:val="065BAA"/>
        </w:rPr>
      </w:pPr>
    </w:p>
    <w:p>
      <w:pPr>
        <w:ind w:left="187" w:right="1259" w:hanging="187"/>
        <w:spacing w:after="0" w:line="321" w:lineRule="auto"/>
        <w:tabs>
          <w:tab w:leader="none" w:pos="187" w:val="left"/>
        </w:tabs>
        <w:numPr>
          <w:ilvl w:val="0"/>
          <w:numId w:val="44"/>
        </w:numPr>
        <w:rPr>
          <w:rFonts w:ascii="Arial" w:cs="Arial" w:eastAsia="Arial" w:hAnsi="Arial"/>
          <w:sz w:val="16"/>
          <w:szCs w:val="16"/>
          <w:color w:val="065BAA"/>
        </w:rPr>
      </w:pPr>
      <w:r>
        <w:rPr>
          <w:rFonts w:ascii="Arial" w:cs="Arial" w:eastAsia="Arial" w:hAnsi="Arial"/>
          <w:sz w:val="16"/>
          <w:szCs w:val="16"/>
          <w:color w:val="auto"/>
        </w:rPr>
        <w:t>New compliance oversight framework encompassing all relevant compliance categories</w:t>
      </w:r>
    </w:p>
    <w:p>
      <w:pPr>
        <w:spacing w:after="0" w:line="20" w:lineRule="exact"/>
        <w:rPr>
          <w:rFonts w:ascii="Arial" w:cs="Arial" w:eastAsia="Arial" w:hAnsi="Arial"/>
          <w:sz w:val="16"/>
          <w:szCs w:val="16"/>
          <w:color w:val="065BAA"/>
        </w:rPr>
      </w:pPr>
    </w:p>
    <w:p>
      <w:pPr>
        <w:ind w:left="187" w:hanging="187"/>
        <w:spacing w:after="0"/>
        <w:tabs>
          <w:tab w:leader="none" w:pos="187" w:val="left"/>
        </w:tabs>
        <w:numPr>
          <w:ilvl w:val="0"/>
          <w:numId w:val="44"/>
        </w:numPr>
        <w:rPr>
          <w:rFonts w:ascii="Arial" w:cs="Arial" w:eastAsia="Arial" w:hAnsi="Arial"/>
          <w:sz w:val="16"/>
          <w:szCs w:val="16"/>
          <w:color w:val="065BAA"/>
        </w:rPr>
      </w:pPr>
      <w:r>
        <w:rPr>
          <w:rFonts w:ascii="Arial" w:cs="Arial" w:eastAsia="Arial" w:hAnsi="Arial"/>
          <w:sz w:val="16"/>
          <w:szCs w:val="16"/>
          <w:color w:val="auto"/>
        </w:rPr>
        <w:t>Corporate responsibility matters</w:t>
      </w:r>
    </w:p>
    <w:p>
      <w:pPr>
        <w:spacing w:after="0" w:line="537" w:lineRule="exact"/>
        <w:rPr>
          <w:sz w:val="20"/>
          <w:szCs w:val="20"/>
          <w:color w:val="auto"/>
        </w:rPr>
      </w:pPr>
    </w:p>
    <w:p>
      <w:pPr>
        <w:sectPr>
          <w:pgSz w:w="11900" w:h="16838" w:orient="portrait"/>
          <w:cols w:equalWidth="0" w:num="2">
            <w:col w:w="3140" w:space="433"/>
            <w:col w:w="5446"/>
          </w:cols>
          <w:pgMar w:left="1440" w:top="657" w:right="1440" w:bottom="1440" w:gutter="0" w:footer="0" w:header="0"/>
          <w:type w:val="continuous"/>
        </w:sectPr>
      </w:pPr>
    </w:p>
    <w:p>
      <w:pPr>
        <w:spacing w:after="0" w:line="112" w:lineRule="exact"/>
        <w:rPr>
          <w:sz w:val="20"/>
          <w:szCs w:val="20"/>
          <w:color w:val="auto"/>
        </w:rPr>
      </w:pPr>
    </w:p>
    <w:p>
      <w:pPr>
        <w:ind w:left="320" w:right="199" w:hanging="190"/>
        <w:spacing w:after="0" w:line="286" w:lineRule="auto"/>
        <w:tabs>
          <w:tab w:leader="none" w:pos="3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full board retains oversight of the Company’s strategies and policies related to the Company’s culture. See the subsection “Corporate Governance— Corporate Responsibility”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24</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33" w:name="page34"/>
    <w:bookmarkEnd w:id="33"/>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Digital Technology Committee</w:t>
      </w:r>
    </w:p>
    <w:p>
      <w:pPr>
        <w:sectPr>
          <w:pgSz w:w="11900" w:h="16838" w:orient="portrait"/>
          <w:cols w:equalWidth="0" w:num="1">
            <w:col w:w="9019"/>
          </w:cols>
          <w:pgMar w:left="1440" w:top="657" w:right="1440" w:bottom="1440" w:gutter="0" w:footer="0" w:header="0"/>
        </w:sectPr>
      </w:pPr>
    </w:p>
    <w:p>
      <w:pPr>
        <w:spacing w:after="0" w:line="36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065BAA"/>
        </w:rPr>
        <w:t>Members</w:t>
      </w:r>
    </w:p>
    <w:p>
      <w:pPr>
        <w:spacing w:after="0" w:line="262" w:lineRule="exact"/>
        <w:rPr>
          <w:sz w:val="20"/>
          <w:szCs w:val="20"/>
          <w:color w:val="auto"/>
        </w:rPr>
      </w:pPr>
    </w:p>
    <w:p>
      <w:pPr>
        <w:ind w:left="1140" w:right="160"/>
        <w:spacing w:after="0" w:line="332" w:lineRule="auto"/>
        <w:rPr>
          <w:sz w:val="20"/>
          <w:szCs w:val="20"/>
          <w:color w:val="auto"/>
        </w:rPr>
      </w:pPr>
      <w:r>
        <w:rPr>
          <w:rFonts w:ascii="Arial" w:cs="Arial" w:eastAsia="Arial" w:hAnsi="Arial"/>
          <w:sz w:val="16"/>
          <w:szCs w:val="16"/>
          <w:b w:val="1"/>
          <w:bCs w:val="1"/>
          <w:color w:val="auto"/>
        </w:rPr>
        <w:t xml:space="preserve">Kathryn Guarini, Ph.D., </w:t>
      </w:r>
      <w:r>
        <w:rPr>
          <w:rFonts w:ascii="Arial" w:cs="Arial" w:eastAsia="Arial" w:hAnsi="Arial"/>
          <w:sz w:val="16"/>
          <w:szCs w:val="16"/>
          <w:b w:val="1"/>
          <w:bCs w:val="1"/>
          <w:i w:val="1"/>
          <w:iCs w:val="1"/>
          <w:color w:val="auto"/>
        </w:rPr>
        <w:t>Chair</w:t>
      </w:r>
    </w:p>
    <w:p>
      <w:pPr>
        <w:spacing w:after="0" w:line="200" w:lineRule="exact"/>
        <w:rPr>
          <w:sz w:val="20"/>
          <w:szCs w:val="20"/>
          <w:color w:val="auto"/>
        </w:rPr>
      </w:pPr>
    </w:p>
    <w:p>
      <w:pPr>
        <w:spacing w:after="0" w:line="20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David P. Schenkein, M.D.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Craig B. Thompson, M.D.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Huda Y. Zoghbi, M.D.</w:t>
      </w: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065BAA"/>
        </w:rPr>
        <w:t>Committee established in April 2026</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65BAA"/>
        </w:rPr>
        <w:t>Key Functions of the Committee</w:t>
      </w:r>
    </w:p>
    <w:p>
      <w:pPr>
        <w:spacing w:after="0" w:line="167" w:lineRule="exact"/>
        <w:rPr>
          <w:sz w:val="20"/>
          <w:szCs w:val="20"/>
          <w:color w:val="auto"/>
        </w:rPr>
      </w:pPr>
    </w:p>
    <w:p>
      <w:pPr>
        <w:ind w:left="187" w:right="359" w:hanging="187"/>
        <w:spacing w:after="0" w:line="289" w:lineRule="auto"/>
        <w:tabs>
          <w:tab w:leader="none" w:pos="187" w:val="left"/>
        </w:tabs>
        <w:numPr>
          <w:ilvl w:val="0"/>
          <w:numId w:val="46"/>
        </w:numPr>
        <w:rPr>
          <w:rFonts w:ascii="Arial" w:cs="Arial" w:eastAsia="Arial" w:hAnsi="Arial"/>
          <w:sz w:val="16"/>
          <w:szCs w:val="16"/>
          <w:color w:val="065BAA"/>
        </w:rPr>
      </w:pPr>
      <w:r>
        <w:rPr>
          <w:rFonts w:ascii="Arial" w:cs="Arial" w:eastAsia="Arial" w:hAnsi="Arial"/>
          <w:sz w:val="16"/>
          <w:szCs w:val="16"/>
          <w:color w:val="auto"/>
        </w:rPr>
        <w:t>Oversee the Company’s overall strategy related to digital technology (including artificial intelligence, machine learning, automation, cloud computing, and digital platforms) and the Company’s use of digital technology to advance the Company’s business objectives, competitive position, and long-term value creation in a way that safeguards the Company’s reputation</w:t>
      </w:r>
    </w:p>
    <w:p>
      <w:pPr>
        <w:spacing w:after="0" w:line="47" w:lineRule="exact"/>
        <w:rPr>
          <w:rFonts w:ascii="Arial" w:cs="Arial" w:eastAsia="Arial" w:hAnsi="Arial"/>
          <w:sz w:val="16"/>
          <w:szCs w:val="16"/>
          <w:color w:val="065BAA"/>
        </w:rPr>
      </w:pPr>
    </w:p>
    <w:p>
      <w:pPr>
        <w:ind w:left="187" w:right="199" w:hanging="187"/>
        <w:spacing w:after="0" w:line="321" w:lineRule="auto"/>
        <w:tabs>
          <w:tab w:leader="none" w:pos="187" w:val="left"/>
        </w:tabs>
        <w:numPr>
          <w:ilvl w:val="0"/>
          <w:numId w:val="46"/>
        </w:numPr>
        <w:rPr>
          <w:rFonts w:ascii="Arial" w:cs="Arial" w:eastAsia="Arial" w:hAnsi="Arial"/>
          <w:sz w:val="16"/>
          <w:szCs w:val="16"/>
          <w:color w:val="065BAA"/>
        </w:rPr>
      </w:pPr>
      <w:r>
        <w:rPr>
          <w:rFonts w:ascii="Arial" w:cs="Arial" w:eastAsia="Arial" w:hAnsi="Arial"/>
          <w:sz w:val="16"/>
          <w:szCs w:val="16"/>
          <w:color w:val="auto"/>
        </w:rPr>
        <w:t>Oversee risks, controls, and procedures relating to the Company’s use of digital technology</w:t>
      </w:r>
    </w:p>
    <w:p>
      <w:pPr>
        <w:spacing w:after="0" w:line="7" w:lineRule="exact"/>
        <w:rPr>
          <w:rFonts w:ascii="Arial" w:cs="Arial" w:eastAsia="Arial" w:hAnsi="Arial"/>
          <w:sz w:val="16"/>
          <w:szCs w:val="16"/>
          <w:color w:val="065BAA"/>
        </w:rPr>
      </w:pPr>
    </w:p>
    <w:p>
      <w:pPr>
        <w:ind w:left="187" w:right="219" w:hanging="187"/>
        <w:spacing w:after="0" w:line="295" w:lineRule="auto"/>
        <w:tabs>
          <w:tab w:leader="none" w:pos="187" w:val="left"/>
        </w:tabs>
        <w:numPr>
          <w:ilvl w:val="0"/>
          <w:numId w:val="46"/>
        </w:numPr>
        <w:rPr>
          <w:rFonts w:ascii="Arial" w:cs="Arial" w:eastAsia="Arial" w:hAnsi="Arial"/>
          <w:sz w:val="16"/>
          <w:szCs w:val="16"/>
          <w:color w:val="065BAA"/>
        </w:rPr>
      </w:pPr>
      <w:r>
        <w:rPr>
          <w:rFonts w:ascii="Arial" w:cs="Arial" w:eastAsia="Arial" w:hAnsi="Arial"/>
          <w:sz w:val="16"/>
          <w:szCs w:val="16"/>
          <w:color w:val="auto"/>
        </w:rPr>
        <w:t>Oversee management’s approach to digital transformation, including the prioritization of digital technology initiatives, the adequacy of digital technology resources and talent, and the strategic alignment of significant digital technology investments</w:t>
      </w:r>
    </w:p>
    <w:p>
      <w:pPr>
        <w:spacing w:after="0" w:line="26" w:lineRule="exact"/>
        <w:rPr>
          <w:rFonts w:ascii="Arial" w:cs="Arial" w:eastAsia="Arial" w:hAnsi="Arial"/>
          <w:sz w:val="16"/>
          <w:szCs w:val="16"/>
          <w:color w:val="065BAA"/>
        </w:rPr>
      </w:pPr>
    </w:p>
    <w:p>
      <w:pPr>
        <w:ind w:left="187" w:right="279" w:hanging="187"/>
        <w:spacing w:after="0" w:line="295" w:lineRule="auto"/>
        <w:tabs>
          <w:tab w:leader="none" w:pos="187" w:val="left"/>
        </w:tabs>
        <w:numPr>
          <w:ilvl w:val="0"/>
          <w:numId w:val="46"/>
        </w:numPr>
        <w:rPr>
          <w:rFonts w:ascii="Arial" w:cs="Arial" w:eastAsia="Arial" w:hAnsi="Arial"/>
          <w:sz w:val="16"/>
          <w:szCs w:val="16"/>
          <w:color w:val="065BAA"/>
        </w:rPr>
      </w:pPr>
      <w:r>
        <w:rPr>
          <w:rFonts w:ascii="Arial" w:cs="Arial" w:eastAsia="Arial" w:hAnsi="Arial"/>
          <w:sz w:val="16"/>
          <w:szCs w:val="16"/>
          <w:color w:val="auto"/>
        </w:rPr>
        <w:t>Oversee the Company’s information security (including cybersecurity) and related digital technology risks, controls, and procedures, including the Company’s plan to mitigate cybersecurity risks and to respond to data breaches*</w:t>
      </w:r>
    </w:p>
    <w:p>
      <w:pPr>
        <w:spacing w:after="0" w:line="26" w:lineRule="exact"/>
        <w:rPr>
          <w:rFonts w:ascii="Arial" w:cs="Arial" w:eastAsia="Arial" w:hAnsi="Arial"/>
          <w:sz w:val="16"/>
          <w:szCs w:val="16"/>
          <w:color w:val="065BAA"/>
        </w:rPr>
      </w:pPr>
    </w:p>
    <w:p>
      <w:pPr>
        <w:ind w:left="187" w:right="379" w:hanging="187"/>
        <w:spacing w:after="0" w:line="295" w:lineRule="auto"/>
        <w:tabs>
          <w:tab w:leader="none" w:pos="187" w:val="left"/>
        </w:tabs>
        <w:numPr>
          <w:ilvl w:val="0"/>
          <w:numId w:val="46"/>
        </w:numPr>
        <w:rPr>
          <w:rFonts w:ascii="Arial" w:cs="Arial" w:eastAsia="Arial" w:hAnsi="Arial"/>
          <w:sz w:val="16"/>
          <w:szCs w:val="16"/>
          <w:color w:val="065BAA"/>
        </w:rPr>
      </w:pPr>
      <w:r>
        <w:rPr>
          <w:rFonts w:ascii="Arial" w:cs="Arial" w:eastAsia="Arial" w:hAnsi="Arial"/>
          <w:sz w:val="16"/>
          <w:szCs w:val="16"/>
          <w:color w:val="auto"/>
        </w:rPr>
        <w:t>Oversee the Company’s data governance framework and, in coordination with the Corporate Governance and Compliance Committee, compliance with applicable privacy laws and regulations as they pertain to the Company’s use of digital technology</w:t>
      </w:r>
    </w:p>
    <w:p>
      <w:pPr>
        <w:spacing w:after="0" w:line="200" w:lineRule="exact"/>
        <w:rPr>
          <w:sz w:val="20"/>
          <w:szCs w:val="20"/>
          <w:color w:val="auto"/>
        </w:rPr>
      </w:pPr>
    </w:p>
    <w:p>
      <w:pPr>
        <w:sectPr>
          <w:pgSz w:w="11900" w:h="16838" w:orient="portrait"/>
          <w:cols w:equalWidth="0" w:num="2">
            <w:col w:w="3080" w:space="493"/>
            <w:col w:w="5446"/>
          </w:cols>
          <w:pgMar w:left="1440" w:top="657" w:right="1440" w:bottom="1440" w:gutter="0" w:footer="0" w:header="0"/>
          <w:type w:val="continuous"/>
        </w:sectPr>
      </w:pPr>
    </w:p>
    <w:p>
      <w:pPr>
        <w:spacing w:after="0" w:line="39" w:lineRule="exact"/>
        <w:rPr>
          <w:sz w:val="20"/>
          <w:szCs w:val="20"/>
          <w:color w:val="auto"/>
        </w:rPr>
      </w:pPr>
    </w:p>
    <w:p>
      <w:pPr>
        <w:ind w:left="320" w:hanging="190"/>
        <w:spacing w:after="0"/>
        <w:tabs>
          <w:tab w:leader="none" w:pos="3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Prior to the establishment of this Committee in April 2026, oversight of these matters was fulfilled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25</w:t>
            </w:r>
          </w:p>
        </w:tc>
      </w:tr>
    </w:tbl>
    <w:p>
      <w:pPr>
        <w:sectPr>
          <w:pgSz w:w="11900" w:h="16838" w:orient="portrait"/>
          <w:cols w:equalWidth="0" w:num="1">
            <w:col w:w="9019"/>
          </w:cols>
          <w:pgMar w:left="1440" w:top="657" w:right="1440" w:bottom="1440" w:gutter="0" w:footer="0" w:header="0"/>
          <w:type w:val="continuous"/>
        </w:sectPr>
      </w:pPr>
    </w:p>
    <w:bookmarkStart w:id="34" w:name="page35"/>
    <w:bookmarkEnd w:id="34"/>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Technology Committee</w:t>
      </w:r>
    </w:p>
    <w:p>
      <w:pPr>
        <w:sectPr>
          <w:pgSz w:w="11900" w:h="16838" w:orient="portrait"/>
          <w:cols w:equalWidth="0" w:num="1">
            <w:col w:w="9019"/>
          </w:cols>
          <w:pgMar w:left="1440" w:top="657" w:right="1440" w:bottom="1440" w:gutter="0" w:footer="0" w:header="0"/>
        </w:sectPr>
      </w:pPr>
    </w:p>
    <w:p>
      <w:pPr>
        <w:spacing w:after="0" w:line="36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065BAA"/>
        </w:rPr>
        <w:t>Members</w:t>
      </w:r>
    </w:p>
    <w:p>
      <w:pPr>
        <w:spacing w:after="0" w:line="262" w:lineRule="exact"/>
        <w:rPr>
          <w:sz w:val="20"/>
          <w:szCs w:val="20"/>
          <w:color w:val="auto"/>
        </w:rPr>
      </w:pPr>
    </w:p>
    <w:p>
      <w:pPr>
        <w:ind w:left="1140" w:right="60"/>
        <w:spacing w:after="0" w:line="332" w:lineRule="auto"/>
        <w:rPr>
          <w:sz w:val="20"/>
          <w:szCs w:val="20"/>
          <w:color w:val="auto"/>
        </w:rPr>
      </w:pPr>
      <w:r>
        <w:rPr>
          <w:rFonts w:ascii="Arial" w:cs="Arial" w:eastAsia="Arial" w:hAnsi="Arial"/>
          <w:sz w:val="16"/>
          <w:szCs w:val="16"/>
          <w:b w:val="1"/>
          <w:bCs w:val="1"/>
          <w:color w:val="auto"/>
        </w:rPr>
        <w:t xml:space="preserve">Michael S. Brown, M.D., </w:t>
      </w:r>
      <w:r>
        <w:rPr>
          <w:rFonts w:ascii="Arial" w:cs="Arial" w:eastAsia="Arial" w:hAnsi="Arial"/>
          <w:sz w:val="16"/>
          <w:szCs w:val="16"/>
          <w:b w:val="1"/>
          <w:bCs w:val="1"/>
          <w:i w:val="1"/>
          <w:iCs w:val="1"/>
          <w:color w:val="auto"/>
        </w:rPr>
        <w:t>Chair</w:t>
      </w:r>
    </w:p>
    <w:p>
      <w:pPr>
        <w:spacing w:after="0" w:line="200" w:lineRule="exact"/>
        <w:rPr>
          <w:sz w:val="20"/>
          <w:szCs w:val="20"/>
          <w:color w:val="auto"/>
        </w:rPr>
      </w:pPr>
    </w:p>
    <w:p>
      <w:pPr>
        <w:spacing w:after="0" w:line="20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Bonnie L. Bassler, Ph.D.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Joseph L. Goldstein, M.D.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David P. Schenkein, M.D.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Craig B. Thompson, M.D.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Huda Y. Zoghbi, M.D.</w:t>
      </w:r>
    </w:p>
    <w:p>
      <w:pPr>
        <w:spacing w:after="0" w:line="200" w:lineRule="exact"/>
        <w:rPr>
          <w:sz w:val="20"/>
          <w:szCs w:val="20"/>
          <w:color w:val="auto"/>
        </w:rPr>
      </w:pPr>
    </w:p>
    <w:p>
      <w:pPr>
        <w:spacing w:after="0" w:line="318" w:lineRule="exact"/>
        <w:rPr>
          <w:sz w:val="20"/>
          <w:szCs w:val="20"/>
          <w:color w:val="auto"/>
        </w:rPr>
      </w:pPr>
    </w:p>
    <w:p>
      <w:pPr>
        <w:ind w:left="1140" w:right="360"/>
        <w:spacing w:after="0" w:line="321" w:lineRule="auto"/>
        <w:rPr>
          <w:sz w:val="20"/>
          <w:szCs w:val="20"/>
          <w:color w:val="auto"/>
        </w:rPr>
      </w:pPr>
      <w:r>
        <w:rPr>
          <w:rFonts w:ascii="Arial" w:cs="Arial" w:eastAsia="Arial" w:hAnsi="Arial"/>
          <w:sz w:val="16"/>
          <w:szCs w:val="16"/>
          <w:color w:val="auto"/>
        </w:rPr>
        <w:t>Leonard S. Schleifer, M.D., Ph.D.*</w:t>
      </w:r>
    </w:p>
    <w:p>
      <w:pPr>
        <w:spacing w:after="0" w:line="318" w:lineRule="exact"/>
        <w:rPr>
          <w:sz w:val="20"/>
          <w:szCs w:val="20"/>
          <w:color w:val="auto"/>
        </w:rPr>
      </w:pPr>
    </w:p>
    <w:p>
      <w:pPr>
        <w:ind w:left="1140" w:right="120"/>
        <w:spacing w:after="0" w:line="321" w:lineRule="auto"/>
        <w:rPr>
          <w:sz w:val="20"/>
          <w:szCs w:val="20"/>
          <w:color w:val="auto"/>
        </w:rPr>
      </w:pPr>
      <w:r>
        <w:rPr>
          <w:rFonts w:ascii="Arial" w:cs="Arial" w:eastAsia="Arial" w:hAnsi="Arial"/>
          <w:sz w:val="16"/>
          <w:szCs w:val="16"/>
          <w:color w:val="auto"/>
        </w:rPr>
        <w:t>George D. Yancopoulos, M.D., Ph.D.*</w:t>
      </w:r>
    </w:p>
    <w:p>
      <w:pPr>
        <w:spacing w:after="0" w:line="31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065BAA"/>
        </w:rPr>
        <w:t>Number of Meetings Held in 2025</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65BAA"/>
        </w:rPr>
        <w:t>Key Functions of the Committee</w:t>
      </w:r>
    </w:p>
    <w:p>
      <w:pPr>
        <w:spacing w:after="0" w:line="167" w:lineRule="exact"/>
        <w:rPr>
          <w:sz w:val="20"/>
          <w:szCs w:val="20"/>
          <w:color w:val="auto"/>
        </w:rPr>
      </w:pPr>
    </w:p>
    <w:p>
      <w:pPr>
        <w:ind w:left="187" w:right="419" w:hanging="187"/>
        <w:spacing w:after="0" w:line="321" w:lineRule="auto"/>
        <w:tabs>
          <w:tab w:leader="none" w:pos="187" w:val="left"/>
        </w:tabs>
        <w:numPr>
          <w:ilvl w:val="0"/>
          <w:numId w:val="48"/>
        </w:numPr>
        <w:rPr>
          <w:rFonts w:ascii="Arial" w:cs="Arial" w:eastAsia="Arial" w:hAnsi="Arial"/>
          <w:sz w:val="16"/>
          <w:szCs w:val="16"/>
          <w:color w:val="065BAA"/>
        </w:rPr>
      </w:pPr>
      <w:r>
        <w:rPr>
          <w:rFonts w:ascii="Arial" w:cs="Arial" w:eastAsia="Arial" w:hAnsi="Arial"/>
          <w:sz w:val="16"/>
          <w:szCs w:val="16"/>
          <w:color w:val="auto"/>
        </w:rPr>
        <w:t>Oversee, review, and evaluate the Company’s research and clinical development programs, plans, and policies</w:t>
      </w:r>
    </w:p>
    <w:p>
      <w:pPr>
        <w:spacing w:after="0" w:line="20" w:lineRule="exact"/>
        <w:rPr>
          <w:rFonts w:ascii="Arial" w:cs="Arial" w:eastAsia="Arial" w:hAnsi="Arial"/>
          <w:sz w:val="16"/>
          <w:szCs w:val="16"/>
          <w:color w:val="065BAA"/>
        </w:rPr>
      </w:pPr>
    </w:p>
    <w:p>
      <w:pPr>
        <w:ind w:left="187" w:right="479" w:hanging="187"/>
        <w:spacing w:after="0" w:line="301" w:lineRule="auto"/>
        <w:tabs>
          <w:tab w:leader="none" w:pos="187" w:val="left"/>
        </w:tabs>
        <w:numPr>
          <w:ilvl w:val="0"/>
          <w:numId w:val="48"/>
        </w:numPr>
        <w:rPr>
          <w:rFonts w:ascii="Arial" w:cs="Arial" w:eastAsia="Arial" w:hAnsi="Arial"/>
          <w:sz w:val="16"/>
          <w:szCs w:val="16"/>
          <w:color w:val="065BAA"/>
        </w:rPr>
      </w:pPr>
      <w:r>
        <w:rPr>
          <w:rFonts w:ascii="Arial" w:cs="Arial" w:eastAsia="Arial" w:hAnsi="Arial"/>
          <w:sz w:val="16"/>
          <w:szCs w:val="16"/>
          <w:color w:val="auto"/>
        </w:rPr>
        <w:t>Identify and discuss emerging scientific and technology issues and trends, including their impact on Regeneron’s research and development programs, plans, or policies</w:t>
      </w:r>
    </w:p>
    <w:p>
      <w:pPr>
        <w:spacing w:after="0" w:line="23" w:lineRule="exact"/>
        <w:rPr>
          <w:rFonts w:ascii="Arial" w:cs="Arial" w:eastAsia="Arial" w:hAnsi="Arial"/>
          <w:sz w:val="16"/>
          <w:szCs w:val="16"/>
          <w:color w:val="065BAA"/>
        </w:rPr>
      </w:pPr>
    </w:p>
    <w:p>
      <w:pPr>
        <w:ind w:left="187" w:right="379" w:hanging="187"/>
        <w:spacing w:after="0" w:line="321" w:lineRule="auto"/>
        <w:tabs>
          <w:tab w:leader="none" w:pos="187" w:val="left"/>
        </w:tabs>
        <w:numPr>
          <w:ilvl w:val="0"/>
          <w:numId w:val="48"/>
        </w:numPr>
        <w:rPr>
          <w:rFonts w:ascii="Arial" w:cs="Arial" w:eastAsia="Arial" w:hAnsi="Arial"/>
          <w:sz w:val="16"/>
          <w:szCs w:val="16"/>
          <w:color w:val="065BAA"/>
        </w:rPr>
      </w:pPr>
      <w:r>
        <w:rPr>
          <w:rFonts w:ascii="Arial" w:cs="Arial" w:eastAsia="Arial" w:hAnsi="Arial"/>
          <w:sz w:val="16"/>
          <w:szCs w:val="16"/>
          <w:color w:val="auto"/>
        </w:rPr>
        <w:t>Identify and assess new leaders within research &amp; development and global development organizations</w:t>
      </w:r>
    </w:p>
    <w:p>
      <w:pPr>
        <w:spacing w:after="0" w:line="8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65BAA"/>
        </w:rPr>
        <w:t>Recent Focus Areas</w:t>
      </w:r>
    </w:p>
    <w:p>
      <w:pPr>
        <w:spacing w:after="0" w:line="167" w:lineRule="exact"/>
        <w:rPr>
          <w:sz w:val="20"/>
          <w:szCs w:val="20"/>
          <w:color w:val="auto"/>
        </w:rPr>
      </w:pPr>
    </w:p>
    <w:p>
      <w:pPr>
        <w:ind w:left="187" w:right="439" w:hanging="187"/>
        <w:spacing w:after="0" w:line="301" w:lineRule="auto"/>
        <w:tabs>
          <w:tab w:leader="none" w:pos="187" w:val="left"/>
        </w:tabs>
        <w:numPr>
          <w:ilvl w:val="0"/>
          <w:numId w:val="49"/>
        </w:numPr>
        <w:rPr>
          <w:rFonts w:ascii="Arial" w:cs="Arial" w:eastAsia="Arial" w:hAnsi="Arial"/>
          <w:sz w:val="16"/>
          <w:szCs w:val="16"/>
          <w:color w:val="065BAA"/>
        </w:rPr>
      </w:pPr>
      <w:r>
        <w:rPr>
          <w:rFonts w:ascii="Arial" w:cs="Arial" w:eastAsia="Arial" w:hAnsi="Arial"/>
          <w:sz w:val="16"/>
          <w:szCs w:val="16"/>
          <w:color w:val="auto"/>
        </w:rPr>
        <w:t>The Company’s immuno-oncology, immunology and allergy, cell medicine, coagulation/hematology, ophthalmology, and obesity and metabolic disease programs</w:t>
      </w:r>
    </w:p>
    <w:p>
      <w:pPr>
        <w:spacing w:after="0" w:line="23" w:lineRule="exact"/>
        <w:rPr>
          <w:rFonts w:ascii="Arial" w:cs="Arial" w:eastAsia="Arial" w:hAnsi="Arial"/>
          <w:sz w:val="16"/>
          <w:szCs w:val="16"/>
          <w:color w:val="065BAA"/>
        </w:rPr>
      </w:pPr>
    </w:p>
    <w:p>
      <w:pPr>
        <w:ind w:left="187" w:right="779" w:hanging="187"/>
        <w:spacing w:after="0" w:line="295" w:lineRule="auto"/>
        <w:tabs>
          <w:tab w:leader="none" w:pos="187" w:val="left"/>
        </w:tabs>
        <w:numPr>
          <w:ilvl w:val="0"/>
          <w:numId w:val="49"/>
        </w:numPr>
        <w:rPr>
          <w:rFonts w:ascii="Arial" w:cs="Arial" w:eastAsia="Arial" w:hAnsi="Arial"/>
          <w:sz w:val="16"/>
          <w:szCs w:val="16"/>
          <w:color w:val="065BAA"/>
        </w:rPr>
      </w:pPr>
      <w:r>
        <w:rPr>
          <w:rFonts w:ascii="Arial" w:cs="Arial" w:eastAsia="Arial" w:hAnsi="Arial"/>
          <w:sz w:val="16"/>
          <w:szCs w:val="16"/>
          <w:color w:val="auto"/>
        </w:rPr>
        <w:t>Other developments within the Company’s late-stage clinical development pipeline and early-stage preclinical and clinical development pipeline, including genetic medicine technologies and programs</w:t>
      </w:r>
    </w:p>
    <w:p>
      <w:pPr>
        <w:spacing w:after="0" w:line="16" w:lineRule="exact"/>
        <w:rPr>
          <w:rFonts w:ascii="Arial" w:cs="Arial" w:eastAsia="Arial" w:hAnsi="Arial"/>
          <w:sz w:val="16"/>
          <w:szCs w:val="16"/>
          <w:color w:val="065BAA"/>
        </w:rPr>
      </w:pPr>
    </w:p>
    <w:p>
      <w:pPr>
        <w:ind w:left="187" w:hanging="187"/>
        <w:spacing w:after="0"/>
        <w:tabs>
          <w:tab w:leader="none" w:pos="187" w:val="left"/>
        </w:tabs>
        <w:numPr>
          <w:ilvl w:val="0"/>
          <w:numId w:val="49"/>
        </w:numPr>
        <w:rPr>
          <w:rFonts w:ascii="Arial" w:cs="Arial" w:eastAsia="Arial" w:hAnsi="Arial"/>
          <w:sz w:val="16"/>
          <w:szCs w:val="16"/>
          <w:color w:val="065BAA"/>
        </w:rPr>
      </w:pPr>
      <w:r>
        <w:rPr>
          <w:rFonts w:ascii="Arial" w:cs="Arial" w:eastAsia="Arial" w:hAnsi="Arial"/>
          <w:sz w:val="16"/>
          <w:szCs w:val="16"/>
          <w:color w:val="auto"/>
        </w:rPr>
        <w:t>Recent advances and discoveries by the Regeneron Genetics Center</w:t>
      </w:r>
      <w:r>
        <w:rPr>
          <w:rFonts w:ascii="Arial" w:cs="Arial" w:eastAsia="Arial" w:hAnsi="Arial"/>
          <w:sz w:val="21"/>
          <w:szCs w:val="21"/>
          <w:color w:val="auto"/>
          <w:vertAlign w:val="superscript"/>
        </w:rPr>
        <w:t>®</w:t>
      </w:r>
    </w:p>
    <w:p>
      <w:pPr>
        <w:spacing w:after="0" w:line="3271" w:lineRule="exact"/>
        <w:rPr>
          <w:sz w:val="20"/>
          <w:szCs w:val="20"/>
          <w:color w:val="auto"/>
        </w:rPr>
      </w:pPr>
    </w:p>
    <w:p>
      <w:pPr>
        <w:sectPr>
          <w:pgSz w:w="11900" w:h="16838" w:orient="portrait"/>
          <w:cols w:equalWidth="0" w:num="2">
            <w:col w:w="3020" w:space="553"/>
            <w:col w:w="5446"/>
          </w:cols>
          <w:pgMar w:left="1440" w:top="657" w:right="1440" w:bottom="1440" w:gutter="0" w:footer="0" w:header="0"/>
          <w:type w:val="continuous"/>
        </w:sectPr>
      </w:pPr>
    </w:p>
    <w:p>
      <w:pPr>
        <w:spacing w:after="0" w:line="71" w:lineRule="exact"/>
        <w:rPr>
          <w:sz w:val="20"/>
          <w:szCs w:val="20"/>
          <w:color w:val="auto"/>
        </w:rPr>
      </w:pPr>
    </w:p>
    <w:p>
      <w:pPr>
        <w:ind w:left="320" w:hanging="190"/>
        <w:spacing w:after="0"/>
        <w:tabs>
          <w:tab w:leader="none" w:pos="320"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 xml:space="preserve">Ex Officio </w:t>
      </w:r>
      <w:r>
        <w:rPr>
          <w:rFonts w:ascii="Arial" w:cs="Arial" w:eastAsia="Arial" w:hAnsi="Arial"/>
          <w:sz w:val="13"/>
          <w:szCs w:val="13"/>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26</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35" w:name="page36"/>
    <w:bookmarkEnd w:id="35"/>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Compensation of Directors</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Overview</w:t>
      </w:r>
    </w:p>
    <w:p>
      <w:pPr>
        <w:spacing w:after="0" w:line="132" w:lineRule="exact"/>
        <w:rPr>
          <w:sz w:val="20"/>
          <w:szCs w:val="20"/>
          <w:color w:val="auto"/>
        </w:rPr>
      </w:pPr>
    </w:p>
    <w:p>
      <w:pPr>
        <w:ind w:left="140" w:right="139"/>
        <w:spacing w:after="0" w:line="289" w:lineRule="auto"/>
        <w:rPr>
          <w:sz w:val="20"/>
          <w:szCs w:val="20"/>
          <w:color w:val="auto"/>
        </w:rPr>
      </w:pPr>
      <w:r>
        <w:rPr>
          <w:rFonts w:ascii="Arial" w:cs="Arial" w:eastAsia="Arial" w:hAnsi="Arial"/>
          <w:sz w:val="16"/>
          <w:szCs w:val="16"/>
          <w:color w:val="auto"/>
        </w:rPr>
        <w:t>The general philosophy of the compensation program for our non-employee directors is similar to the executive compensation philosophy outlined in the “Compensation-Related Matters” section of this proxy statement. This philosophy, including its emphasis on equity compensation, is consistent with the Company’s long-term business orientation and has helped ensure alignment of directors’ interests with those of Regeneron shareholders.</w:t>
      </w:r>
    </w:p>
    <w:p>
      <w:pPr>
        <w:spacing w:after="0" w:line="113" w:lineRule="exact"/>
        <w:rPr>
          <w:sz w:val="20"/>
          <w:szCs w:val="20"/>
          <w:color w:val="auto"/>
        </w:rPr>
      </w:pPr>
    </w:p>
    <w:p>
      <w:pPr>
        <w:ind w:left="140" w:right="219"/>
        <w:spacing w:after="0" w:line="282" w:lineRule="auto"/>
        <w:rPr>
          <w:sz w:val="20"/>
          <w:szCs w:val="20"/>
          <w:color w:val="auto"/>
        </w:rPr>
      </w:pPr>
      <w:r>
        <w:rPr>
          <w:rFonts w:ascii="Arial" w:cs="Arial" w:eastAsia="Arial" w:hAnsi="Arial"/>
          <w:sz w:val="16"/>
          <w:szCs w:val="16"/>
          <w:color w:val="auto"/>
        </w:rPr>
        <w:t>Non-employee director compensation is subject to annual review by the Corporate Governance and Compliance Committee, which makes recommendations to the board of directors regarding the non-employee director compensation program (including the appropriate level and form of compensation). Directors who are Company employees receive no additional compensation for serving on our board of directors or its committees. In determining compensation recommendations for the non-employee directors, the Corporate Governance and Compliance Committee considers, among other things, the qualifications and expertise of our non-employee directors, the time, effort, and accountability required of active board membership, practices of similar companies in the biotechnology industry (including the Peer Group described below under “Compensation-Related Matters—Compensation Discussion and Analysis—Compensation Processes—Peer and Other Market Data”), and any comparative information provided by independent compensation consultants. The Corporate Governance and Compliance Committee’s practice is to have the non-employee director compensation program reviewed annually by an independent compensation consultant. Since 2021, the Committee has engaged Pay Governance LLC for this purpose.</w:t>
      </w:r>
    </w:p>
    <w:p>
      <w:pPr>
        <w:spacing w:after="0" w:line="106" w:lineRule="exact"/>
        <w:rPr>
          <w:sz w:val="20"/>
          <w:szCs w:val="20"/>
          <w:color w:val="auto"/>
        </w:rPr>
      </w:pPr>
    </w:p>
    <w:p>
      <w:pPr>
        <w:ind w:left="140" w:right="999"/>
        <w:spacing w:after="0" w:line="321" w:lineRule="auto"/>
        <w:rPr>
          <w:sz w:val="20"/>
          <w:szCs w:val="20"/>
          <w:color w:val="auto"/>
        </w:rPr>
      </w:pPr>
      <w:r>
        <w:rPr>
          <w:rFonts w:ascii="Arial" w:cs="Arial" w:eastAsia="Arial" w:hAnsi="Arial"/>
          <w:sz w:val="16"/>
          <w:szCs w:val="16"/>
          <w:color w:val="auto"/>
        </w:rPr>
        <w:t>The current compensation program for our non-employee directors is referred to in this section as the “Current Compensation Program.”</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Non-Employee Director Compensation Philosophy</w:t>
      </w:r>
    </w:p>
    <w:p>
      <w:pPr>
        <w:spacing w:after="0" w:line="132" w:lineRule="exact"/>
        <w:rPr>
          <w:sz w:val="20"/>
          <w:szCs w:val="20"/>
          <w:color w:val="auto"/>
        </w:rPr>
      </w:pPr>
    </w:p>
    <w:p>
      <w:pPr>
        <w:ind w:left="140" w:right="259"/>
        <w:spacing w:after="0" w:line="282" w:lineRule="auto"/>
        <w:rPr>
          <w:sz w:val="20"/>
          <w:szCs w:val="20"/>
          <w:color w:val="auto"/>
        </w:rPr>
      </w:pPr>
      <w:r>
        <w:rPr>
          <w:rFonts w:ascii="Arial" w:cs="Arial" w:eastAsia="Arial" w:hAnsi="Arial"/>
          <w:sz w:val="16"/>
          <w:szCs w:val="16"/>
          <w:color w:val="auto"/>
        </w:rPr>
        <w:t>Our philosophy for non-employee director compensation is simple: to attract the most highly qualified directors with a range of skillsets who will serve as stewards of the Company’s long-term prospects and scientific focus. There is significant competition within our industry for highly qualified directors, particularly those with distinguished scientific credentials (such as members of the National Academy of Sciences) and the caliber of science-based backgrounds that we seek in our board members from the industry. With this in mind, the Current Compensation Program emphasizes equity compensation primarily in the form of stock options, which reward increases in stock price, over cash fees. The board of directors believes that this emphasis is consistent with the Company’s long-term business orientation and has helped ensure alignment of directors’ interests with those of Regeneron shareholders. Under the Current Compensation Program, we have utilized value-denominated equity compensation awards (granted in the form of stock options and a relatively small percentage of restricted stock units (“RSUs”)) for our non-employee directors. This feature is meant to, among other things, ensure greater stability in reported non-employee director compensation on a year-over-year basis. The board of directors believes that the Current Compensation Program is consistent with Regeneron’s philosophy for non-employee director compensation.</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Cash Fees, Expenses, and Matching Gift Program</w:t>
      </w:r>
    </w:p>
    <w:p>
      <w:pPr>
        <w:spacing w:after="0" w:line="132" w:lineRule="exact"/>
        <w:rPr>
          <w:sz w:val="20"/>
          <w:szCs w:val="20"/>
          <w:color w:val="auto"/>
        </w:rPr>
      </w:pPr>
    </w:p>
    <w:p>
      <w:pPr>
        <w:ind w:left="140" w:right="219"/>
        <w:spacing w:after="0" w:line="285" w:lineRule="auto"/>
        <w:rPr>
          <w:sz w:val="20"/>
          <w:szCs w:val="20"/>
          <w:color w:val="auto"/>
        </w:rPr>
      </w:pPr>
      <w:r>
        <w:rPr>
          <w:rFonts w:ascii="Arial" w:cs="Arial" w:eastAsia="Arial" w:hAnsi="Arial"/>
          <w:sz w:val="16"/>
          <w:szCs w:val="16"/>
          <w:color w:val="auto"/>
        </w:rPr>
        <w:t>In 2025, each non-employee director received an annual retainer of $90,000 and an annual committee retainer of $10,000 for each standing committee of the Company’s board of directors on which the director served. In addition, each committee chair received an additional annual retainer of $10,000, and Ms. Poon also received an annual Lead Independent Director retainer of $50,000. Compared to cash compensation of non-employee directors in our Peer Group, the 2025 annual retainer for board service was below the median; the additional retainers provided to our committee chairs were below the median; and the Lead Independent Director retainer was at the median (in each case based on information reported by our Peer Group companies in 2025).</w:t>
      </w:r>
    </w:p>
    <w:p>
      <w:pPr>
        <w:spacing w:after="0" w:line="118" w:lineRule="exact"/>
        <w:rPr>
          <w:sz w:val="20"/>
          <w:szCs w:val="20"/>
          <w:color w:val="auto"/>
        </w:rPr>
      </w:pPr>
    </w:p>
    <w:p>
      <w:pPr>
        <w:ind w:left="140" w:right="299"/>
        <w:spacing w:after="0" w:line="287" w:lineRule="auto"/>
        <w:rPr>
          <w:sz w:val="20"/>
          <w:szCs w:val="20"/>
          <w:color w:val="auto"/>
        </w:rPr>
      </w:pPr>
      <w:r>
        <w:rPr>
          <w:rFonts w:ascii="Arial" w:cs="Arial" w:eastAsia="Arial" w:hAnsi="Arial"/>
          <w:sz w:val="16"/>
          <w:szCs w:val="16"/>
          <w:color w:val="auto"/>
        </w:rPr>
        <w:t>Non-employee directors are reimbursed for their actual expenses incurred in connection with their activities as directors, which include travel, hotel, and food and entertainment expenses (as applicable). In addition, directors are eligible to participate in the Regeneron Matching Gift Program, which is also available to eligible employees. Under this program, the Company matches contributions made by directors and employees to eligible tax-exempt organizations up to an annual maximum amount per director or employee.</w:t>
      </w:r>
    </w:p>
    <w:p>
      <w:pPr>
        <w:spacing w:after="0" w:line="2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27</w:t>
            </w:r>
          </w:p>
        </w:tc>
      </w:tr>
    </w:tbl>
    <w:p>
      <w:pPr>
        <w:sectPr>
          <w:pgSz w:w="11900" w:h="16838" w:orient="portrait"/>
          <w:cols w:equalWidth="0" w:num="1">
            <w:col w:w="9019"/>
          </w:cols>
          <w:pgMar w:left="1440" w:top="657" w:right="1440" w:bottom="1440" w:gutter="0" w:footer="0" w:header="0"/>
        </w:sectPr>
      </w:pPr>
    </w:p>
    <w:bookmarkStart w:id="36" w:name="page37"/>
    <w:bookmarkEnd w:id="36"/>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Annual Equity Awards</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2025 Equity Awards</w:t>
      </w:r>
    </w:p>
    <w:p>
      <w:pPr>
        <w:spacing w:after="0" w:line="180" w:lineRule="exact"/>
        <w:rPr>
          <w:sz w:val="20"/>
          <w:szCs w:val="20"/>
          <w:color w:val="auto"/>
        </w:rPr>
      </w:pPr>
    </w:p>
    <w:p>
      <w:pPr>
        <w:ind w:left="140" w:right="219"/>
        <w:spacing w:after="0" w:line="291" w:lineRule="auto"/>
        <w:rPr>
          <w:sz w:val="20"/>
          <w:szCs w:val="20"/>
          <w:color w:val="auto"/>
        </w:rPr>
      </w:pPr>
      <w:r>
        <w:rPr>
          <w:rFonts w:ascii="Arial" w:cs="Arial" w:eastAsia="Arial" w:hAnsi="Arial"/>
          <w:sz w:val="16"/>
          <w:szCs w:val="16"/>
          <w:color w:val="auto"/>
        </w:rPr>
        <w:t>The board of directors (upon the recommendation of the Corporate Governance and Compliance Committee) determined that the target aggregate grant date fair value of the January 2025 annual equity awards would be set at $600,000 per non-employee director and consist of stock options with a grant date fair value of $480,000 (or 80% thereof) and RSUs with a grant date fair value of $120,000 (or 20% thereof). The January 2025 annual equity awards to our non-employee directors are shown in the table below.</w:t>
      </w:r>
    </w:p>
    <w:p>
      <w:pPr>
        <w:spacing w:after="0" w:line="100" w:lineRule="exact"/>
        <w:rPr>
          <w:sz w:val="20"/>
          <w:szCs w:val="20"/>
          <w:color w:val="auto"/>
        </w:rPr>
      </w:pPr>
    </w:p>
    <w:p>
      <w:pPr>
        <w:ind w:left="140" w:right="479"/>
        <w:spacing w:after="0" w:line="289" w:lineRule="auto"/>
        <w:rPr>
          <w:sz w:val="20"/>
          <w:szCs w:val="20"/>
          <w:color w:val="auto"/>
        </w:rPr>
      </w:pPr>
      <w:r>
        <w:rPr>
          <w:rFonts w:ascii="Arial" w:cs="Arial" w:eastAsia="Arial" w:hAnsi="Arial"/>
          <w:sz w:val="16"/>
          <w:szCs w:val="16"/>
          <w:color w:val="auto"/>
        </w:rPr>
        <w:t>The Corporate Governance and Compliance Committee recommended the approval of, and the board of directors approved, the terms of the January 2025 annual equity awards after consideration of the review, analysis, and recommendations of the Corporate Governance and Compliance Committee’s independent compensation consultant. Such analysis focused on, among other matters, the market practices of companies in our Peer Group, other relevant industry and market data points, and Regeneron’s non-employee director compensation philosophy (including its emphasis on long-term incentives).</w:t>
      </w:r>
    </w:p>
    <w:p>
      <w:pPr>
        <w:spacing w:after="0" w:line="228"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Terms of Equity Awards</w:t>
      </w:r>
    </w:p>
    <w:p>
      <w:pPr>
        <w:spacing w:after="0" w:line="180" w:lineRule="exact"/>
        <w:rPr>
          <w:sz w:val="20"/>
          <w:szCs w:val="20"/>
          <w:color w:val="auto"/>
        </w:rPr>
      </w:pPr>
    </w:p>
    <w:p>
      <w:pPr>
        <w:ind w:left="140" w:right="319"/>
        <w:spacing w:after="0" w:line="291" w:lineRule="auto"/>
        <w:rPr>
          <w:sz w:val="20"/>
          <w:szCs w:val="20"/>
          <w:color w:val="auto"/>
        </w:rPr>
      </w:pPr>
      <w:r>
        <w:rPr>
          <w:rFonts w:ascii="Arial" w:cs="Arial" w:eastAsia="Arial" w:hAnsi="Arial"/>
          <w:sz w:val="16"/>
          <w:szCs w:val="16"/>
          <w:color w:val="auto"/>
        </w:rPr>
        <w:t>The exercise price of a non-employee director stock option is equal to the fair market value of a share of the Company’s common stock on the date of grant (determined as the average of the high and low sales price per share of the Company’s common stock on the Nasdaq Global Select Market on the date of grant or, if such date is not a trading day, on the last preceding date on which there was a sale of the Company’s common stock on the Nasdaq Global Select Market).</w:t>
      </w:r>
    </w:p>
    <w:p>
      <w:pPr>
        <w:spacing w:after="0" w:line="113" w:lineRule="exact"/>
        <w:rPr>
          <w:sz w:val="20"/>
          <w:szCs w:val="20"/>
          <w:color w:val="auto"/>
        </w:rPr>
      </w:pPr>
    </w:p>
    <w:p>
      <w:pPr>
        <w:ind w:left="140" w:right="139"/>
        <w:spacing w:after="0" w:line="283" w:lineRule="auto"/>
        <w:rPr>
          <w:sz w:val="20"/>
          <w:szCs w:val="20"/>
          <w:color w:val="auto"/>
        </w:rPr>
      </w:pPr>
      <w:r>
        <w:rPr>
          <w:rFonts w:ascii="Arial" w:cs="Arial" w:eastAsia="Arial" w:hAnsi="Arial"/>
          <w:sz w:val="16"/>
          <w:szCs w:val="16"/>
          <w:color w:val="auto"/>
        </w:rPr>
        <w:t>Under the Current Compensation Program, a pro-rata portion of each equity award (i.e., each stock option and RSU award) equal to the portion of one year that has passed from its date of grant vests on the date of the Company’s first annual shareholder meeting following the date of grant, and the remaining portion vests on the first anniversary of the date of grant. The RSU awards contain mandatory deferral provisions, according to which the shares underlying the RSUs will generally not be delivered to the non-employee director until the earliest of (i) the termination of the non-employee director’s service as a member of the board, (ii) the seventh anniversary of the RSU grant date, and (iii) the date of a change in control (as defined in the Second Amended and Restated Regeneron Pharmaceuticals, Inc. 2014 Long-Term Incentive Plan (or its predecessor)). A non-employee director may, subject to compliance with applicable tax rules, elect in writing a maximum deferral period longer than the seventh anniversary of the grant date. Other than as discussed below, the vesting of equity awards is generally subject to continued service on the board, and stock option awards generally expire ten years following the date of grant.</w:t>
      </w:r>
    </w:p>
    <w:p>
      <w:pPr>
        <w:spacing w:after="0" w:line="125" w:lineRule="exact"/>
        <w:rPr>
          <w:sz w:val="20"/>
          <w:szCs w:val="20"/>
          <w:color w:val="auto"/>
        </w:rPr>
      </w:pPr>
    </w:p>
    <w:p>
      <w:pPr>
        <w:ind w:left="140" w:right="499"/>
        <w:spacing w:after="0" w:line="295" w:lineRule="auto"/>
        <w:rPr>
          <w:sz w:val="20"/>
          <w:szCs w:val="20"/>
          <w:color w:val="auto"/>
        </w:rPr>
      </w:pPr>
      <w:r>
        <w:rPr>
          <w:rFonts w:ascii="Arial" w:cs="Arial" w:eastAsia="Arial" w:hAnsi="Arial"/>
          <w:sz w:val="16"/>
          <w:szCs w:val="16"/>
          <w:color w:val="auto"/>
        </w:rPr>
        <w:t>Equity awards granted to a non-employee director continue to vest following the retirement of that director provided applicable conditions relating to the length of the director’s service and the director’s age have been met. If a non-employee director’s service as a member of the board is terminated as a result of his or her death, all of the director’s equity awards will immediately vest in full.</w:t>
      </w:r>
    </w:p>
    <w:p>
      <w:pPr>
        <w:spacing w:after="0" w:line="108" w:lineRule="exact"/>
        <w:rPr>
          <w:sz w:val="20"/>
          <w:szCs w:val="20"/>
          <w:color w:val="auto"/>
        </w:rPr>
      </w:pPr>
    </w:p>
    <w:p>
      <w:pPr>
        <w:ind w:left="140" w:right="419"/>
        <w:spacing w:after="0" w:line="292" w:lineRule="auto"/>
        <w:rPr>
          <w:sz w:val="20"/>
          <w:szCs w:val="20"/>
          <w:color w:val="auto"/>
        </w:rPr>
      </w:pPr>
      <w:r>
        <w:rPr>
          <w:rFonts w:ascii="Arial" w:cs="Arial" w:eastAsia="Arial" w:hAnsi="Arial"/>
          <w:sz w:val="16"/>
          <w:szCs w:val="16"/>
          <w:color w:val="auto"/>
        </w:rPr>
        <w:t>Equity awards granted to non-employee directors become fully vested automatically upon a change in control of the Company. Each non-employee director has the right to nullify this acceleration of vesting, in whole or in part, if it would cause the director to pay excise taxes under the requirements of the Internal Revenue Code.</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Equity Awards to New Directors</w:t>
      </w:r>
    </w:p>
    <w:p>
      <w:pPr>
        <w:spacing w:after="0" w:line="132" w:lineRule="exact"/>
        <w:rPr>
          <w:sz w:val="20"/>
          <w:szCs w:val="20"/>
          <w:color w:val="auto"/>
        </w:rPr>
      </w:pPr>
    </w:p>
    <w:p>
      <w:pPr>
        <w:ind w:left="140" w:right="359"/>
        <w:spacing w:after="0" w:line="291" w:lineRule="auto"/>
        <w:rPr>
          <w:sz w:val="20"/>
          <w:szCs w:val="20"/>
          <w:color w:val="auto"/>
        </w:rPr>
      </w:pPr>
      <w:r>
        <w:rPr>
          <w:rFonts w:ascii="Arial" w:cs="Arial" w:eastAsia="Arial" w:hAnsi="Arial"/>
          <w:sz w:val="16"/>
          <w:szCs w:val="16"/>
          <w:color w:val="auto"/>
        </w:rPr>
        <w:t>Under the Current Compensation Program, any newly elected non-employee director will receive an initial equity award with an aggregate grant date fair value equal to 5/3rds of the aggregate grant date fair value of the most recent annual equity award to our non-employee directors; and, with respect to the annual equity award to a non-employee director in respect of the first year of his or her service, the aggregate grant date fair value of such annual award will be prorated based on the date as of which the non-employee director first becomes a member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28</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37" w:name="page38"/>
    <w:bookmarkEnd w:id="37"/>
    <w:p>
      <w:pPr>
        <w:jc w:val="center"/>
        <w:ind w:right="-20"/>
        <w:spacing w:after="0"/>
        <w:tabs>
          <w:tab w:leader="none" w:pos="280" w:val="left"/>
          <w:tab w:leader="none" w:pos="240" w:val="left"/>
          <w:tab w:leader="none" w:pos="28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r>
      <w:r>
        <w:rPr>
          <w:sz w:val="20"/>
          <w:szCs w:val="20"/>
          <w:color w:val="auto"/>
        </w:rPr>
        <w:tab/>
      </w:r>
      <w:r>
        <w:rPr>
          <w:rFonts w:ascii="Arial" w:cs="Arial" w:eastAsia="Arial" w:hAnsi="Arial"/>
          <w:sz w:val="14"/>
          <w:szCs w:val="14"/>
          <w:b w:val="1"/>
          <w:bCs w:val="1"/>
          <w:color w:val="343434"/>
        </w:rPr>
        <w:t>Board of Directors</w:t>
      </w:r>
      <w:r>
        <w:rPr>
          <w:sz w:val="20"/>
          <w:szCs w:val="20"/>
          <w:color w:val="auto"/>
        </w:rPr>
        <w:tab/>
      </w:r>
      <w:r>
        <w:rPr>
          <w:rFonts w:ascii="Arial" w:cs="Arial" w:eastAsia="Arial" w:hAnsi="Arial"/>
          <w:sz w:val="14"/>
          <w:szCs w:val="14"/>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2025 Director Compensation</w:t>
      </w:r>
    </w:p>
    <w:p>
      <w:pPr>
        <w:spacing w:after="0" w:line="132" w:lineRule="exact"/>
        <w:rPr>
          <w:sz w:val="20"/>
          <w:szCs w:val="20"/>
          <w:color w:val="auto"/>
        </w:rPr>
      </w:pPr>
    </w:p>
    <w:p>
      <w:pPr>
        <w:ind w:left="140" w:right="1139"/>
        <w:spacing w:after="0" w:line="321" w:lineRule="auto"/>
        <w:rPr>
          <w:sz w:val="20"/>
          <w:szCs w:val="20"/>
          <w:color w:val="auto"/>
        </w:rPr>
      </w:pPr>
      <w:r>
        <w:rPr>
          <w:rFonts w:ascii="Arial" w:cs="Arial" w:eastAsia="Arial" w:hAnsi="Arial"/>
          <w:sz w:val="16"/>
          <w:szCs w:val="16"/>
          <w:color w:val="auto"/>
        </w:rPr>
        <w:t>The following table and explanatory footnotes provide information with respect to compensation paid to each non-employee director for their service in 2025 in accordance with the policies and plans described above:</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Director Compensation</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40" w:type="dxa"/>
            <w:vAlign w:val="bottom"/>
            <w:tcBorders>
              <w:bottom w:val="single" w:sz="8" w:color="065BAA"/>
            </w:tcBorders>
          </w:tcPr>
          <w:p>
            <w:pPr>
              <w:ind w:left="960"/>
              <w:spacing w:after="0"/>
              <w:rPr>
                <w:sz w:val="20"/>
                <w:szCs w:val="20"/>
                <w:color w:val="auto"/>
              </w:rPr>
            </w:pPr>
            <w:r>
              <w:rPr>
                <w:rFonts w:ascii="Arial" w:cs="Arial" w:eastAsia="Arial" w:hAnsi="Arial"/>
                <w:sz w:val="14"/>
                <w:szCs w:val="14"/>
                <w:b w:val="1"/>
                <w:bCs w:val="1"/>
                <w:color w:val="065BAA"/>
              </w:rPr>
              <w:t>A</w:t>
            </w:r>
          </w:p>
        </w:tc>
        <w:tc>
          <w:tcPr>
            <w:tcW w:w="1040" w:type="dxa"/>
            <w:vAlign w:val="bottom"/>
            <w:tcBorders>
              <w:bottom w:val="single" w:sz="8" w:color="065BAA"/>
            </w:tcBorders>
          </w:tcPr>
          <w:p>
            <w:pPr>
              <w:ind w:left="480"/>
              <w:spacing w:after="0"/>
              <w:rPr>
                <w:sz w:val="20"/>
                <w:szCs w:val="20"/>
                <w:color w:val="auto"/>
              </w:rPr>
            </w:pPr>
            <w:r>
              <w:rPr>
                <w:rFonts w:ascii="Arial" w:cs="Arial" w:eastAsia="Arial" w:hAnsi="Arial"/>
                <w:sz w:val="14"/>
                <w:szCs w:val="14"/>
                <w:b w:val="1"/>
                <w:bCs w:val="1"/>
                <w:color w:val="065BAA"/>
              </w:rPr>
              <w:t>B</w:t>
            </w:r>
          </w:p>
        </w:tc>
        <w:tc>
          <w:tcPr>
            <w:tcW w:w="720" w:type="dxa"/>
            <w:vAlign w:val="bottom"/>
            <w:tcBorders>
              <w:bottom w:val="single" w:sz="8" w:color="065BAA"/>
            </w:tcBorders>
          </w:tcPr>
          <w:p>
            <w:pPr>
              <w:ind w:left="280"/>
              <w:spacing w:after="0"/>
              <w:rPr>
                <w:sz w:val="20"/>
                <w:szCs w:val="20"/>
                <w:color w:val="auto"/>
              </w:rPr>
            </w:pPr>
            <w:r>
              <w:rPr>
                <w:rFonts w:ascii="Arial" w:cs="Arial" w:eastAsia="Arial" w:hAnsi="Arial"/>
                <w:sz w:val="14"/>
                <w:szCs w:val="14"/>
                <w:b w:val="1"/>
                <w:bCs w:val="1"/>
                <w:color w:val="065BAA"/>
              </w:rPr>
              <w:t>C</w:t>
            </w:r>
          </w:p>
        </w:tc>
        <w:tc>
          <w:tcPr>
            <w:tcW w:w="800" w:type="dxa"/>
            <w:vAlign w:val="bottom"/>
            <w:tcBorders>
              <w:bottom w:val="single" w:sz="8" w:color="065BAA"/>
            </w:tcBorders>
          </w:tcPr>
          <w:p>
            <w:pPr>
              <w:jc w:val="right"/>
              <w:ind w:right="328"/>
              <w:spacing w:after="0"/>
              <w:rPr>
                <w:sz w:val="20"/>
                <w:szCs w:val="20"/>
                <w:color w:val="auto"/>
              </w:rPr>
            </w:pPr>
            <w:r>
              <w:rPr>
                <w:rFonts w:ascii="Arial" w:cs="Arial" w:eastAsia="Arial" w:hAnsi="Arial"/>
                <w:sz w:val="14"/>
                <w:szCs w:val="14"/>
                <w:b w:val="1"/>
                <w:bCs w:val="1"/>
                <w:color w:val="065BAA"/>
              </w:rPr>
              <w:t>D</w:t>
            </w:r>
          </w:p>
        </w:tc>
        <w:tc>
          <w:tcPr>
            <w:tcW w:w="1120" w:type="dxa"/>
            <w:vAlign w:val="bottom"/>
            <w:tcBorders>
              <w:bottom w:val="single" w:sz="8" w:color="065BAA"/>
            </w:tcBorders>
          </w:tcPr>
          <w:p>
            <w:pPr>
              <w:jc w:val="right"/>
              <w:ind w:right="468"/>
              <w:spacing w:after="0"/>
              <w:rPr>
                <w:sz w:val="20"/>
                <w:szCs w:val="20"/>
                <w:color w:val="auto"/>
              </w:rPr>
            </w:pPr>
            <w:r>
              <w:rPr>
                <w:rFonts w:ascii="Arial" w:cs="Arial" w:eastAsia="Arial" w:hAnsi="Arial"/>
                <w:sz w:val="14"/>
                <w:szCs w:val="14"/>
                <w:b w:val="1"/>
                <w:bCs w:val="1"/>
                <w:color w:val="065BAA"/>
              </w:rPr>
              <w:t>E</w:t>
            </w:r>
          </w:p>
        </w:tc>
        <w:tc>
          <w:tcPr>
            <w:tcW w:w="1120" w:type="dxa"/>
            <w:vAlign w:val="bottom"/>
            <w:tcBorders>
              <w:bottom w:val="single" w:sz="8" w:color="065BAA"/>
            </w:tcBorders>
          </w:tcPr>
          <w:p>
            <w:pPr>
              <w:ind w:left="500"/>
              <w:spacing w:after="0"/>
              <w:rPr>
                <w:sz w:val="20"/>
                <w:szCs w:val="20"/>
                <w:color w:val="auto"/>
              </w:rPr>
            </w:pPr>
            <w:r>
              <w:rPr>
                <w:rFonts w:ascii="Arial" w:cs="Arial" w:eastAsia="Arial" w:hAnsi="Arial"/>
                <w:sz w:val="14"/>
                <w:szCs w:val="14"/>
                <w:b w:val="1"/>
                <w:bCs w:val="1"/>
                <w:color w:val="065BAA"/>
              </w:rPr>
              <w:t>F</w:t>
            </w:r>
          </w:p>
        </w:tc>
        <w:tc>
          <w:tcPr>
            <w:tcW w:w="1160" w:type="dxa"/>
            <w:vAlign w:val="bottom"/>
            <w:tcBorders>
              <w:bottom w:val="single" w:sz="8" w:color="065BAA"/>
            </w:tcBorders>
          </w:tcPr>
          <w:p>
            <w:pPr>
              <w:jc w:val="right"/>
              <w:ind w:right="468"/>
              <w:spacing w:after="0"/>
              <w:rPr>
                <w:sz w:val="20"/>
                <w:szCs w:val="20"/>
                <w:color w:val="auto"/>
              </w:rPr>
            </w:pPr>
            <w:r>
              <w:rPr>
                <w:rFonts w:ascii="Arial" w:cs="Arial" w:eastAsia="Arial" w:hAnsi="Arial"/>
                <w:sz w:val="14"/>
                <w:szCs w:val="14"/>
                <w:b w:val="1"/>
                <w:bCs w:val="1"/>
                <w:color w:val="065BAA"/>
              </w:rPr>
              <w:t>G</w:t>
            </w:r>
          </w:p>
        </w:tc>
        <w:tc>
          <w:tcPr>
            <w:tcW w:w="180" w:type="dxa"/>
            <w:vAlign w:val="bottom"/>
            <w:tcBorders>
              <w:bottom w:val="single" w:sz="8" w:color="065BAA"/>
            </w:tcBorders>
          </w:tcPr>
          <w:p>
            <w:pPr>
              <w:spacing w:after="0"/>
              <w:rPr>
                <w:sz w:val="14"/>
                <w:szCs w:val="14"/>
                <w:color w:val="auto"/>
              </w:rPr>
            </w:pPr>
          </w:p>
        </w:tc>
        <w:tc>
          <w:tcPr>
            <w:tcW w:w="680" w:type="dxa"/>
            <w:vAlign w:val="bottom"/>
            <w:tcBorders>
              <w:bottom w:val="single" w:sz="8" w:color="065BAA"/>
            </w:tcBorders>
          </w:tcPr>
          <w:p>
            <w:pPr>
              <w:jc w:val="right"/>
              <w:ind w:right="228"/>
              <w:spacing w:after="0"/>
              <w:rPr>
                <w:sz w:val="20"/>
                <w:szCs w:val="20"/>
                <w:color w:val="auto"/>
              </w:rPr>
            </w:pPr>
            <w:r>
              <w:rPr>
                <w:rFonts w:ascii="Arial" w:cs="Arial" w:eastAsia="Arial" w:hAnsi="Arial"/>
                <w:sz w:val="14"/>
                <w:szCs w:val="14"/>
                <w:b w:val="1"/>
                <w:bCs w:val="1"/>
                <w:color w:val="065BAA"/>
              </w:rPr>
              <w:t>H</w:t>
            </w:r>
          </w:p>
        </w:tc>
      </w:tr>
      <w:tr>
        <w:trPr>
          <w:trHeight w:val="187"/>
        </w:trPr>
        <w:tc>
          <w:tcPr>
            <w:tcW w:w="1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065BAA"/>
              </w:rPr>
              <w:t>Change in</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75"/>
        </w:trPr>
        <w:tc>
          <w:tcPr>
            <w:tcW w:w="1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065BAA"/>
              </w:rPr>
              <w:t>pension</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62"/>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065BAA"/>
              </w:rPr>
              <w:t>value and</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5"/>
        </w:trPr>
        <w:tc>
          <w:tcPr>
            <w:tcW w:w="194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065BAA"/>
              </w:rPr>
              <w:t>Fees earned</w:t>
            </w: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40" w:type="dxa"/>
            <w:vAlign w:val="bottom"/>
            <w:gridSpan w:val="2"/>
          </w:tcPr>
          <w:p>
            <w:pPr>
              <w:jc w:val="right"/>
              <w:spacing w:after="0"/>
              <w:rPr>
                <w:sz w:val="20"/>
                <w:szCs w:val="20"/>
                <w:color w:val="auto"/>
              </w:rPr>
            </w:pPr>
            <w:r>
              <w:rPr>
                <w:rFonts w:ascii="Arial" w:cs="Arial" w:eastAsia="Arial" w:hAnsi="Arial"/>
                <w:sz w:val="14"/>
                <w:szCs w:val="14"/>
                <w:b w:val="1"/>
                <w:bCs w:val="1"/>
                <w:color w:val="065BAA"/>
              </w:rPr>
              <w:t>Non-Equity   non-qualified</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60"/>
        </w:trPr>
        <w:tc>
          <w:tcPr>
            <w:tcW w:w="1940" w:type="dxa"/>
            <w:vAlign w:val="bottom"/>
          </w:tcPr>
          <w:p>
            <w:pPr>
              <w:spacing w:after="0"/>
              <w:rPr>
                <w:sz w:val="13"/>
                <w:szCs w:val="13"/>
                <w:color w:val="auto"/>
              </w:rPr>
            </w:pPr>
          </w:p>
        </w:tc>
        <w:tc>
          <w:tcPr>
            <w:tcW w:w="1040" w:type="dxa"/>
            <w:vAlign w:val="bottom"/>
          </w:tcPr>
          <w:p>
            <w:pPr>
              <w:jc w:val="right"/>
              <w:ind w:right="8"/>
              <w:spacing w:after="0" w:line="159" w:lineRule="exact"/>
              <w:rPr>
                <w:sz w:val="20"/>
                <w:szCs w:val="20"/>
                <w:color w:val="auto"/>
              </w:rPr>
            </w:pPr>
            <w:r>
              <w:rPr>
                <w:rFonts w:ascii="Arial" w:cs="Arial" w:eastAsia="Arial" w:hAnsi="Arial"/>
                <w:sz w:val="14"/>
                <w:szCs w:val="14"/>
                <w:b w:val="1"/>
                <w:bCs w:val="1"/>
                <w:color w:val="065BAA"/>
              </w:rPr>
              <w:t>or paid in</w:t>
            </w:r>
          </w:p>
        </w:tc>
        <w:tc>
          <w:tcPr>
            <w:tcW w:w="720" w:type="dxa"/>
            <w:vAlign w:val="bottom"/>
          </w:tcPr>
          <w:p>
            <w:pPr>
              <w:jc w:val="right"/>
              <w:ind w:right="28"/>
              <w:spacing w:after="0" w:line="159" w:lineRule="exact"/>
              <w:rPr>
                <w:sz w:val="20"/>
                <w:szCs w:val="20"/>
                <w:color w:val="auto"/>
              </w:rPr>
            </w:pPr>
            <w:r>
              <w:rPr>
                <w:rFonts w:ascii="Arial" w:cs="Arial" w:eastAsia="Arial" w:hAnsi="Arial"/>
                <w:sz w:val="14"/>
                <w:szCs w:val="14"/>
                <w:b w:val="1"/>
                <w:bCs w:val="1"/>
                <w:color w:val="065BAA"/>
              </w:rPr>
              <w:t>Stock</w:t>
            </w:r>
          </w:p>
        </w:tc>
        <w:tc>
          <w:tcPr>
            <w:tcW w:w="800" w:type="dxa"/>
            <w:vAlign w:val="bottom"/>
          </w:tcPr>
          <w:p>
            <w:pPr>
              <w:jc w:val="right"/>
              <w:ind w:right="28"/>
              <w:spacing w:after="0" w:line="159" w:lineRule="exact"/>
              <w:rPr>
                <w:sz w:val="20"/>
                <w:szCs w:val="20"/>
                <w:color w:val="auto"/>
              </w:rPr>
            </w:pPr>
            <w:r>
              <w:rPr>
                <w:rFonts w:ascii="Arial" w:cs="Arial" w:eastAsia="Arial" w:hAnsi="Arial"/>
                <w:sz w:val="14"/>
                <w:szCs w:val="14"/>
                <w:b w:val="1"/>
                <w:bCs w:val="1"/>
                <w:color w:val="065BAA"/>
              </w:rPr>
              <w:t>Option</w:t>
            </w:r>
          </w:p>
        </w:tc>
        <w:tc>
          <w:tcPr>
            <w:tcW w:w="1120" w:type="dxa"/>
            <w:vAlign w:val="bottom"/>
          </w:tcPr>
          <w:p>
            <w:pPr>
              <w:jc w:val="right"/>
              <w:spacing w:after="0" w:line="159" w:lineRule="exact"/>
              <w:rPr>
                <w:sz w:val="20"/>
                <w:szCs w:val="20"/>
                <w:color w:val="auto"/>
              </w:rPr>
            </w:pPr>
            <w:r>
              <w:rPr>
                <w:rFonts w:ascii="Arial" w:cs="Arial" w:eastAsia="Arial" w:hAnsi="Arial"/>
                <w:sz w:val="14"/>
                <w:szCs w:val="14"/>
                <w:b w:val="1"/>
                <w:bCs w:val="1"/>
                <w:color w:val="065BAA"/>
              </w:rPr>
              <w:t>incentive plan</w:t>
            </w:r>
          </w:p>
        </w:tc>
        <w:tc>
          <w:tcPr>
            <w:tcW w:w="1120" w:type="dxa"/>
            <w:vAlign w:val="bottom"/>
          </w:tcPr>
          <w:p>
            <w:pPr>
              <w:jc w:val="right"/>
              <w:spacing w:after="0" w:line="159" w:lineRule="exact"/>
              <w:rPr>
                <w:sz w:val="20"/>
                <w:szCs w:val="20"/>
                <w:color w:val="auto"/>
              </w:rPr>
            </w:pPr>
            <w:r>
              <w:rPr>
                <w:rFonts w:ascii="Arial" w:cs="Arial" w:eastAsia="Arial" w:hAnsi="Arial"/>
                <w:sz w:val="14"/>
                <w:szCs w:val="14"/>
                <w:b w:val="1"/>
                <w:bCs w:val="1"/>
                <w:color w:val="065BAA"/>
              </w:rPr>
              <w:t>deferred</w:t>
            </w:r>
          </w:p>
        </w:tc>
        <w:tc>
          <w:tcPr>
            <w:tcW w:w="1160" w:type="dxa"/>
            <w:vAlign w:val="bottom"/>
          </w:tcPr>
          <w:p>
            <w:pPr>
              <w:jc w:val="right"/>
              <w:spacing w:after="0" w:line="159" w:lineRule="exact"/>
              <w:rPr>
                <w:sz w:val="20"/>
                <w:szCs w:val="20"/>
                <w:color w:val="auto"/>
              </w:rPr>
            </w:pPr>
            <w:r>
              <w:rPr>
                <w:rFonts w:ascii="Arial" w:cs="Arial" w:eastAsia="Arial" w:hAnsi="Arial"/>
                <w:sz w:val="14"/>
                <w:szCs w:val="14"/>
                <w:b w:val="1"/>
                <w:bCs w:val="1"/>
                <w:color w:val="065BAA"/>
              </w:rPr>
              <w:t>All other</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91"/>
        </w:trPr>
        <w:tc>
          <w:tcPr>
            <w:tcW w:w="19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065BAA"/>
              </w:rPr>
              <w:t>cash</w:t>
            </w:r>
          </w:p>
        </w:tc>
        <w:tc>
          <w:tcPr>
            <w:tcW w:w="720" w:type="dxa"/>
            <w:vAlign w:val="bottom"/>
          </w:tcPr>
          <w:p>
            <w:pPr>
              <w:ind w:left="80"/>
              <w:spacing w:after="0" w:line="191" w:lineRule="exact"/>
              <w:rPr>
                <w:sz w:val="20"/>
                <w:szCs w:val="20"/>
                <w:color w:val="auto"/>
              </w:rPr>
            </w:pPr>
            <w:r>
              <w:rPr>
                <w:rFonts w:ascii="Arial" w:cs="Arial" w:eastAsia="Arial" w:hAnsi="Arial"/>
                <w:sz w:val="14"/>
                <w:szCs w:val="14"/>
                <w:b w:val="1"/>
                <w:bCs w:val="1"/>
                <w:color w:val="065BAA"/>
              </w:rPr>
              <w:t>awards</w:t>
            </w:r>
            <w:r>
              <w:rPr>
                <w:rFonts w:ascii="Arial" w:cs="Arial" w:eastAsia="Arial" w:hAnsi="Arial"/>
                <w:sz w:val="18"/>
                <w:szCs w:val="18"/>
                <w:b w:val="1"/>
                <w:bCs w:val="1"/>
                <w:color w:val="065BAA"/>
                <w:vertAlign w:val="superscript"/>
              </w:rPr>
              <w:t>1</w:t>
            </w:r>
          </w:p>
        </w:tc>
        <w:tc>
          <w:tcPr>
            <w:tcW w:w="800" w:type="dxa"/>
            <w:vAlign w:val="bottom"/>
          </w:tcPr>
          <w:p>
            <w:pPr>
              <w:jc w:val="right"/>
              <w:ind w:right="28"/>
              <w:spacing w:after="0" w:line="191" w:lineRule="exact"/>
              <w:rPr>
                <w:sz w:val="20"/>
                <w:szCs w:val="20"/>
                <w:color w:val="auto"/>
              </w:rPr>
            </w:pPr>
            <w:r>
              <w:rPr>
                <w:rFonts w:ascii="Arial" w:cs="Arial" w:eastAsia="Arial" w:hAnsi="Arial"/>
                <w:sz w:val="14"/>
                <w:szCs w:val="14"/>
                <w:b w:val="1"/>
                <w:bCs w:val="1"/>
                <w:color w:val="065BAA"/>
              </w:rPr>
              <w:t>awards</w:t>
            </w:r>
            <w:r>
              <w:rPr>
                <w:rFonts w:ascii="Arial" w:cs="Arial" w:eastAsia="Arial" w:hAnsi="Arial"/>
                <w:sz w:val="18"/>
                <w:szCs w:val="18"/>
                <w:b w:val="1"/>
                <w:bCs w:val="1"/>
                <w:color w:val="065BAA"/>
                <w:vertAlign w:val="superscript"/>
              </w:rPr>
              <w:t>1,2</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065BAA"/>
              </w:rPr>
              <w:t>compensation</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065BAA"/>
              </w:rPr>
              <w:t>compensation</w:t>
            </w:r>
          </w:p>
        </w:tc>
        <w:tc>
          <w:tcPr>
            <w:tcW w:w="1160" w:type="dxa"/>
            <w:vAlign w:val="bottom"/>
          </w:tcPr>
          <w:p>
            <w:pPr>
              <w:jc w:val="right"/>
              <w:spacing w:after="0" w:line="191" w:lineRule="exact"/>
              <w:rPr>
                <w:sz w:val="20"/>
                <w:szCs w:val="20"/>
                <w:color w:val="auto"/>
              </w:rPr>
            </w:pPr>
            <w:r>
              <w:rPr>
                <w:rFonts w:ascii="Arial" w:cs="Arial" w:eastAsia="Arial" w:hAnsi="Arial"/>
                <w:sz w:val="14"/>
                <w:szCs w:val="14"/>
                <w:b w:val="1"/>
                <w:bCs w:val="1"/>
                <w:color w:val="065BAA"/>
              </w:rPr>
              <w:t>compensation</w:t>
            </w:r>
            <w:r>
              <w:rPr>
                <w:rFonts w:ascii="Arial" w:cs="Arial" w:eastAsia="Arial" w:hAnsi="Arial"/>
                <w:sz w:val="18"/>
                <w:szCs w:val="18"/>
                <w:b w:val="1"/>
                <w:bCs w:val="1"/>
                <w:color w:val="065BAA"/>
                <w:vertAlign w:val="superscript"/>
              </w:rPr>
              <w:t>3</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065BAA"/>
              </w:rPr>
              <w:t>Total</w:t>
            </w:r>
          </w:p>
        </w:tc>
      </w:tr>
      <w:tr>
        <w:trPr>
          <w:trHeight w:val="185"/>
        </w:trPr>
        <w:tc>
          <w:tcPr>
            <w:tcW w:w="1940" w:type="dxa"/>
            <w:vAlign w:val="bottom"/>
            <w:tcBorders>
              <w:bottom w:val="single" w:sz="8" w:color="065BAA"/>
            </w:tcBorders>
          </w:tcPr>
          <w:p>
            <w:pPr>
              <w:ind w:left="80"/>
              <w:spacing w:after="0"/>
              <w:rPr>
                <w:sz w:val="20"/>
                <w:szCs w:val="20"/>
                <w:color w:val="auto"/>
              </w:rPr>
            </w:pPr>
            <w:r>
              <w:rPr>
                <w:rFonts w:ascii="Arial" w:cs="Arial" w:eastAsia="Arial" w:hAnsi="Arial"/>
                <w:sz w:val="14"/>
                <w:szCs w:val="14"/>
                <w:b w:val="1"/>
                <w:bCs w:val="1"/>
                <w:color w:val="065BAA"/>
              </w:rPr>
              <w:t>Name</w:t>
            </w:r>
          </w:p>
        </w:tc>
        <w:tc>
          <w:tcPr>
            <w:tcW w:w="1040" w:type="dxa"/>
            <w:vAlign w:val="bottom"/>
            <w:tcBorders>
              <w:bottom w:val="single" w:sz="8" w:color="065BAA"/>
            </w:tcBorders>
          </w:tcPr>
          <w:p>
            <w:pPr>
              <w:jc w:val="right"/>
              <w:ind w:right="8"/>
              <w:spacing w:after="0"/>
              <w:rPr>
                <w:sz w:val="20"/>
                <w:szCs w:val="20"/>
                <w:color w:val="auto"/>
              </w:rPr>
            </w:pPr>
            <w:r>
              <w:rPr>
                <w:rFonts w:ascii="Arial" w:cs="Arial" w:eastAsia="Arial" w:hAnsi="Arial"/>
                <w:sz w:val="14"/>
                <w:szCs w:val="14"/>
                <w:b w:val="1"/>
                <w:bCs w:val="1"/>
                <w:color w:val="065BAA"/>
              </w:rPr>
              <w:t>($)</w:t>
            </w:r>
          </w:p>
        </w:tc>
        <w:tc>
          <w:tcPr>
            <w:tcW w:w="720" w:type="dxa"/>
            <w:vAlign w:val="bottom"/>
            <w:tcBorders>
              <w:bottom w:val="single" w:sz="8" w:color="065BAA"/>
            </w:tcBorders>
          </w:tcPr>
          <w:p>
            <w:pPr>
              <w:jc w:val="right"/>
              <w:ind w:right="28"/>
              <w:spacing w:after="0"/>
              <w:rPr>
                <w:sz w:val="20"/>
                <w:szCs w:val="20"/>
                <w:color w:val="auto"/>
              </w:rPr>
            </w:pPr>
            <w:r>
              <w:rPr>
                <w:rFonts w:ascii="Arial" w:cs="Arial" w:eastAsia="Arial" w:hAnsi="Arial"/>
                <w:sz w:val="14"/>
                <w:szCs w:val="14"/>
                <w:b w:val="1"/>
                <w:bCs w:val="1"/>
                <w:color w:val="065BAA"/>
              </w:rPr>
              <w:t>($)</w:t>
            </w:r>
          </w:p>
        </w:tc>
        <w:tc>
          <w:tcPr>
            <w:tcW w:w="800" w:type="dxa"/>
            <w:vAlign w:val="bottom"/>
            <w:tcBorders>
              <w:bottom w:val="single" w:sz="8" w:color="065BAA"/>
            </w:tcBorders>
          </w:tcPr>
          <w:p>
            <w:pPr>
              <w:jc w:val="right"/>
              <w:ind w:right="28"/>
              <w:spacing w:after="0"/>
              <w:rPr>
                <w:sz w:val="20"/>
                <w:szCs w:val="20"/>
                <w:color w:val="auto"/>
              </w:rPr>
            </w:pPr>
            <w:r>
              <w:rPr>
                <w:rFonts w:ascii="Arial" w:cs="Arial" w:eastAsia="Arial" w:hAnsi="Arial"/>
                <w:sz w:val="14"/>
                <w:szCs w:val="14"/>
                <w:b w:val="1"/>
                <w:bCs w:val="1"/>
                <w:color w:val="065BAA"/>
              </w:rPr>
              <w:t>($)</w:t>
            </w:r>
          </w:p>
        </w:tc>
        <w:tc>
          <w:tcPr>
            <w:tcW w:w="1120" w:type="dxa"/>
            <w:vAlign w:val="bottom"/>
            <w:tcBorders>
              <w:bottom w:val="single" w:sz="8" w:color="065BAA"/>
            </w:tcBorders>
          </w:tcPr>
          <w:p>
            <w:pPr>
              <w:jc w:val="center"/>
              <w:ind w:left="748"/>
              <w:spacing w:after="0"/>
              <w:rPr>
                <w:sz w:val="20"/>
                <w:szCs w:val="20"/>
                <w:color w:val="auto"/>
              </w:rPr>
            </w:pPr>
            <w:r>
              <w:rPr>
                <w:rFonts w:ascii="Arial" w:cs="Arial" w:eastAsia="Arial" w:hAnsi="Arial"/>
                <w:sz w:val="14"/>
                <w:szCs w:val="14"/>
                <w:b w:val="1"/>
                <w:bCs w:val="1"/>
                <w:color w:val="065BAA"/>
              </w:rPr>
              <w:t>($)</w:t>
            </w:r>
          </w:p>
        </w:tc>
        <w:tc>
          <w:tcPr>
            <w:tcW w:w="1120" w:type="dxa"/>
            <w:vAlign w:val="bottom"/>
            <w:tcBorders>
              <w:bottom w:val="single" w:sz="8" w:color="065BAA"/>
            </w:tcBorders>
          </w:tcPr>
          <w:p>
            <w:pPr>
              <w:jc w:val="right"/>
              <w:spacing w:after="0"/>
              <w:rPr>
                <w:sz w:val="20"/>
                <w:szCs w:val="20"/>
                <w:color w:val="auto"/>
              </w:rPr>
            </w:pPr>
            <w:r>
              <w:rPr>
                <w:rFonts w:ascii="Arial" w:cs="Arial" w:eastAsia="Arial" w:hAnsi="Arial"/>
                <w:sz w:val="14"/>
                <w:szCs w:val="14"/>
                <w:b w:val="1"/>
                <w:bCs w:val="1"/>
                <w:color w:val="065BAA"/>
              </w:rPr>
              <w:t>earnings</w:t>
            </w:r>
          </w:p>
        </w:tc>
        <w:tc>
          <w:tcPr>
            <w:tcW w:w="1160" w:type="dxa"/>
            <w:vAlign w:val="bottom"/>
            <w:tcBorders>
              <w:bottom w:val="single" w:sz="8" w:color="065BAA"/>
            </w:tcBorders>
          </w:tcPr>
          <w:p>
            <w:pPr>
              <w:jc w:val="right"/>
              <w:spacing w:after="0"/>
              <w:rPr>
                <w:sz w:val="20"/>
                <w:szCs w:val="20"/>
                <w:color w:val="auto"/>
              </w:rPr>
            </w:pPr>
            <w:r>
              <w:rPr>
                <w:rFonts w:ascii="Arial" w:cs="Arial" w:eastAsia="Arial" w:hAnsi="Arial"/>
                <w:sz w:val="14"/>
                <w:szCs w:val="14"/>
                <w:b w:val="1"/>
                <w:bCs w:val="1"/>
                <w:color w:val="065BAA"/>
              </w:rPr>
              <w:t>($)</w:t>
            </w:r>
          </w:p>
        </w:tc>
        <w:tc>
          <w:tcPr>
            <w:tcW w:w="180" w:type="dxa"/>
            <w:vAlign w:val="bottom"/>
            <w:tcBorders>
              <w:bottom w:val="single" w:sz="8" w:color="065BAA"/>
            </w:tcBorders>
          </w:tcPr>
          <w:p>
            <w:pPr>
              <w:spacing w:after="0"/>
              <w:rPr>
                <w:sz w:val="16"/>
                <w:szCs w:val="16"/>
                <w:color w:val="auto"/>
              </w:rPr>
            </w:pPr>
          </w:p>
        </w:tc>
        <w:tc>
          <w:tcPr>
            <w:tcW w:w="680" w:type="dxa"/>
            <w:vAlign w:val="bottom"/>
            <w:tcBorders>
              <w:bottom w:val="single" w:sz="8" w:color="065BAA"/>
            </w:tcBorders>
          </w:tcPr>
          <w:p>
            <w:pPr>
              <w:jc w:val="right"/>
              <w:spacing w:after="0"/>
              <w:rPr>
                <w:sz w:val="20"/>
                <w:szCs w:val="20"/>
                <w:color w:val="auto"/>
              </w:rPr>
            </w:pPr>
            <w:r>
              <w:rPr>
                <w:rFonts w:ascii="Arial" w:cs="Arial" w:eastAsia="Arial" w:hAnsi="Arial"/>
                <w:sz w:val="14"/>
                <w:szCs w:val="14"/>
                <w:b w:val="1"/>
                <w:bCs w:val="1"/>
                <w:color w:val="065BAA"/>
              </w:rPr>
              <w:t>($)</w:t>
            </w:r>
          </w:p>
        </w:tc>
      </w:tr>
      <w:tr>
        <w:trPr>
          <w:trHeight w:val="195"/>
        </w:trPr>
        <w:tc>
          <w:tcPr>
            <w:tcW w:w="1940" w:type="dxa"/>
            <w:vAlign w:val="bottom"/>
          </w:tcPr>
          <w:p>
            <w:pPr>
              <w:ind w:left="80"/>
              <w:spacing w:after="0"/>
              <w:rPr>
                <w:sz w:val="20"/>
                <w:szCs w:val="20"/>
                <w:color w:val="auto"/>
              </w:rPr>
            </w:pPr>
            <w:r>
              <w:rPr>
                <w:rFonts w:ascii="Arial" w:cs="Arial" w:eastAsia="Arial" w:hAnsi="Arial"/>
                <w:sz w:val="14"/>
                <w:szCs w:val="14"/>
                <w:b w:val="1"/>
                <w:bCs w:val="1"/>
                <w:color w:val="auto"/>
              </w:rPr>
              <w:t>Bonnie L. Bassler, Ph.D.</w:t>
            </w:r>
          </w:p>
        </w:tc>
        <w:tc>
          <w:tcPr>
            <w:tcW w:w="1040" w:type="dxa"/>
            <w:vAlign w:val="bottom"/>
          </w:tcPr>
          <w:p>
            <w:pPr>
              <w:ind w:left="440"/>
              <w:spacing w:after="0"/>
              <w:rPr>
                <w:sz w:val="20"/>
                <w:szCs w:val="20"/>
                <w:color w:val="auto"/>
              </w:rPr>
            </w:pPr>
            <w:r>
              <w:rPr>
                <w:rFonts w:ascii="Arial" w:cs="Arial" w:eastAsia="Arial" w:hAnsi="Arial"/>
                <w:sz w:val="14"/>
                <w:szCs w:val="14"/>
                <w:color w:val="auto"/>
              </w:rPr>
              <w:t>110,000</w:t>
            </w:r>
          </w:p>
        </w:tc>
        <w:tc>
          <w:tcPr>
            <w:tcW w:w="720" w:type="dxa"/>
            <w:vAlign w:val="bottom"/>
          </w:tcPr>
          <w:p>
            <w:pPr>
              <w:ind w:left="100"/>
              <w:spacing w:after="0"/>
              <w:rPr>
                <w:sz w:val="20"/>
                <w:szCs w:val="20"/>
                <w:color w:val="auto"/>
              </w:rPr>
            </w:pPr>
            <w:r>
              <w:rPr>
                <w:rFonts w:ascii="Arial" w:cs="Arial" w:eastAsia="Arial" w:hAnsi="Arial"/>
                <w:sz w:val="14"/>
                <w:szCs w:val="14"/>
                <w:color w:val="auto"/>
              </w:rPr>
              <w:t>119,415</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480,552</w:t>
            </w:r>
          </w:p>
        </w:tc>
        <w:tc>
          <w:tcPr>
            <w:tcW w:w="1120" w:type="dxa"/>
            <w:vAlign w:val="bottom"/>
          </w:tcPr>
          <w:p>
            <w:pPr>
              <w:jc w:val="center"/>
              <w:ind w:left="748"/>
              <w:spacing w:after="0"/>
              <w:rPr>
                <w:sz w:val="20"/>
                <w:szCs w:val="20"/>
                <w:color w:val="auto"/>
              </w:rPr>
            </w:pPr>
            <w:r>
              <w:rPr>
                <w:rFonts w:ascii="Arial" w:cs="Arial" w:eastAsia="Arial" w:hAnsi="Arial"/>
                <w:sz w:val="14"/>
                <w:szCs w:val="14"/>
                <w:color w:val="auto"/>
                <w:w w:val="99"/>
              </w:rPr>
              <w:t>—</w:t>
            </w:r>
          </w:p>
        </w:tc>
        <w:tc>
          <w:tcPr>
            <w:tcW w:w="1120" w:type="dxa"/>
            <w:vAlign w:val="bottom"/>
          </w:tcPr>
          <w:p>
            <w:pPr>
              <w:ind w:left="9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5,449</w:t>
            </w:r>
          </w:p>
        </w:tc>
        <w:tc>
          <w:tcPr>
            <w:tcW w:w="180" w:type="dxa"/>
            <w:vAlign w:val="bottom"/>
          </w:tcPr>
          <w:p>
            <w:pPr>
              <w:jc w:val="right"/>
              <w:ind w:right="33"/>
              <w:spacing w:after="0"/>
              <w:rPr>
                <w:sz w:val="20"/>
                <w:szCs w:val="20"/>
                <w:color w:val="auto"/>
              </w:rPr>
            </w:pPr>
            <w:r>
              <w:rPr>
                <w:rFonts w:ascii="Arial" w:cs="Arial" w:eastAsia="Arial" w:hAnsi="Arial"/>
                <w:sz w:val="9"/>
                <w:szCs w:val="9"/>
                <w:color w:val="auto"/>
              </w:rPr>
              <w:t>4</w:t>
            </w:r>
          </w:p>
        </w:tc>
        <w:tc>
          <w:tcPr>
            <w:tcW w:w="680" w:type="dxa"/>
            <w:vAlign w:val="bottom"/>
          </w:tcPr>
          <w:p>
            <w:pPr>
              <w:jc w:val="right"/>
              <w:spacing w:after="0"/>
              <w:rPr>
                <w:sz w:val="20"/>
                <w:szCs w:val="20"/>
                <w:color w:val="auto"/>
              </w:rPr>
            </w:pPr>
            <w:r>
              <w:rPr>
                <w:rFonts w:ascii="Arial" w:cs="Arial" w:eastAsia="Arial" w:hAnsi="Arial"/>
                <w:sz w:val="14"/>
                <w:szCs w:val="14"/>
                <w:color w:val="auto"/>
              </w:rPr>
              <w:t>715,416</w:t>
            </w:r>
          </w:p>
        </w:tc>
      </w:tr>
      <w:tr>
        <w:trPr>
          <w:trHeight w:val="217"/>
        </w:trPr>
        <w:tc>
          <w:tcPr>
            <w:tcW w:w="194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Michael S. Brown, M.D.</w:t>
            </w:r>
          </w:p>
        </w:tc>
        <w:tc>
          <w:tcPr>
            <w:tcW w:w="1040" w:type="dxa"/>
            <w:vAlign w:val="bottom"/>
            <w:shd w:val="clear" w:color="auto" w:fill="DAEBF8"/>
          </w:tcPr>
          <w:p>
            <w:pPr>
              <w:ind w:left="440"/>
              <w:spacing w:after="0"/>
              <w:rPr>
                <w:sz w:val="20"/>
                <w:szCs w:val="20"/>
                <w:color w:val="auto"/>
              </w:rPr>
            </w:pPr>
            <w:r>
              <w:rPr>
                <w:rFonts w:ascii="Arial" w:cs="Arial" w:eastAsia="Arial" w:hAnsi="Arial"/>
                <w:sz w:val="14"/>
                <w:szCs w:val="14"/>
                <w:color w:val="auto"/>
              </w:rPr>
              <w:t>120,000</w:t>
            </w:r>
          </w:p>
        </w:tc>
        <w:tc>
          <w:tcPr>
            <w:tcW w:w="720" w:type="dxa"/>
            <w:vAlign w:val="bottom"/>
            <w:shd w:val="clear" w:color="auto" w:fill="DAEBF8"/>
          </w:tcPr>
          <w:p>
            <w:pPr>
              <w:ind w:left="100"/>
              <w:spacing w:after="0"/>
              <w:rPr>
                <w:sz w:val="20"/>
                <w:szCs w:val="20"/>
                <w:color w:val="auto"/>
              </w:rPr>
            </w:pPr>
            <w:r>
              <w:rPr>
                <w:rFonts w:ascii="Arial" w:cs="Arial" w:eastAsia="Arial" w:hAnsi="Arial"/>
                <w:sz w:val="14"/>
                <w:szCs w:val="14"/>
                <w:color w:val="auto"/>
              </w:rPr>
              <w:t>119,415</w:t>
            </w:r>
          </w:p>
        </w:tc>
        <w:tc>
          <w:tcPr>
            <w:tcW w:w="800" w:type="dxa"/>
            <w:vAlign w:val="bottom"/>
            <w:shd w:val="clear" w:color="auto" w:fill="DAEBF8"/>
          </w:tcPr>
          <w:p>
            <w:pPr>
              <w:jc w:val="right"/>
              <w:ind w:right="28"/>
              <w:spacing w:after="0"/>
              <w:rPr>
                <w:sz w:val="20"/>
                <w:szCs w:val="20"/>
                <w:color w:val="auto"/>
              </w:rPr>
            </w:pPr>
            <w:r>
              <w:rPr>
                <w:rFonts w:ascii="Arial" w:cs="Arial" w:eastAsia="Arial" w:hAnsi="Arial"/>
                <w:sz w:val="14"/>
                <w:szCs w:val="14"/>
                <w:color w:val="auto"/>
              </w:rPr>
              <w:t>480,552</w:t>
            </w:r>
          </w:p>
        </w:tc>
        <w:tc>
          <w:tcPr>
            <w:tcW w:w="1120" w:type="dxa"/>
            <w:vAlign w:val="bottom"/>
            <w:shd w:val="clear" w:color="auto" w:fill="DAEBF8"/>
          </w:tcPr>
          <w:p>
            <w:pPr>
              <w:jc w:val="center"/>
              <w:ind w:left="748"/>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DAEBF8"/>
          </w:tcPr>
          <w:p>
            <w:pPr>
              <w:ind w:left="9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10,449</w:t>
            </w:r>
          </w:p>
        </w:tc>
        <w:tc>
          <w:tcPr>
            <w:tcW w:w="180" w:type="dxa"/>
            <w:vAlign w:val="bottom"/>
            <w:shd w:val="clear" w:color="auto" w:fill="DAEBF8"/>
          </w:tcPr>
          <w:p>
            <w:pPr>
              <w:jc w:val="right"/>
              <w:ind w:right="33"/>
              <w:spacing w:after="0"/>
              <w:rPr>
                <w:sz w:val="20"/>
                <w:szCs w:val="20"/>
                <w:color w:val="auto"/>
              </w:rPr>
            </w:pPr>
            <w:r>
              <w:rPr>
                <w:rFonts w:ascii="Arial" w:cs="Arial" w:eastAsia="Arial" w:hAnsi="Arial"/>
                <w:sz w:val="9"/>
                <w:szCs w:val="9"/>
                <w:color w:val="auto"/>
              </w:rPr>
              <w:t>5</w:t>
            </w:r>
          </w:p>
        </w:tc>
        <w:tc>
          <w:tcPr>
            <w:tcW w:w="6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730,416</w:t>
            </w:r>
          </w:p>
        </w:tc>
      </w:tr>
      <w:tr>
        <w:trPr>
          <w:trHeight w:val="216"/>
        </w:trPr>
        <w:tc>
          <w:tcPr>
            <w:tcW w:w="1940" w:type="dxa"/>
            <w:vAlign w:val="bottom"/>
          </w:tcPr>
          <w:p>
            <w:pPr>
              <w:ind w:left="80"/>
              <w:spacing w:after="0"/>
              <w:rPr>
                <w:sz w:val="20"/>
                <w:szCs w:val="20"/>
                <w:color w:val="auto"/>
              </w:rPr>
            </w:pPr>
            <w:r>
              <w:rPr>
                <w:rFonts w:ascii="Arial" w:cs="Arial" w:eastAsia="Arial" w:hAnsi="Arial"/>
                <w:sz w:val="14"/>
                <w:szCs w:val="14"/>
                <w:b w:val="1"/>
                <w:bCs w:val="1"/>
                <w:color w:val="auto"/>
              </w:rPr>
              <w:t>N. Anthony Coles, M.D.</w:t>
            </w:r>
            <w:r>
              <w:rPr>
                <w:rFonts w:ascii="Arial" w:cs="Arial" w:eastAsia="Arial" w:hAnsi="Arial"/>
                <w:sz w:val="18"/>
                <w:szCs w:val="18"/>
                <w:b w:val="1"/>
                <w:bCs w:val="1"/>
                <w:color w:val="auto"/>
                <w:vertAlign w:val="superscript"/>
              </w:rPr>
              <w:t>6</w:t>
            </w:r>
          </w:p>
        </w:tc>
        <w:tc>
          <w:tcPr>
            <w:tcW w:w="1040" w:type="dxa"/>
            <w:vAlign w:val="bottom"/>
          </w:tcPr>
          <w:p>
            <w:pPr>
              <w:ind w:left="440"/>
              <w:spacing w:after="0"/>
              <w:rPr>
                <w:sz w:val="20"/>
                <w:szCs w:val="20"/>
                <w:color w:val="auto"/>
              </w:rPr>
            </w:pPr>
            <w:r>
              <w:rPr>
                <w:rFonts w:ascii="Arial" w:cs="Arial" w:eastAsia="Arial" w:hAnsi="Arial"/>
                <w:sz w:val="14"/>
                <w:szCs w:val="14"/>
                <w:color w:val="auto"/>
              </w:rPr>
              <w:t>107,411</w:t>
            </w:r>
          </w:p>
        </w:tc>
        <w:tc>
          <w:tcPr>
            <w:tcW w:w="720" w:type="dxa"/>
            <w:vAlign w:val="bottom"/>
          </w:tcPr>
          <w:p>
            <w:pPr>
              <w:ind w:left="100"/>
              <w:spacing w:after="0"/>
              <w:rPr>
                <w:sz w:val="20"/>
                <w:szCs w:val="20"/>
                <w:color w:val="auto"/>
              </w:rPr>
            </w:pPr>
            <w:r>
              <w:rPr>
                <w:rFonts w:ascii="Arial" w:cs="Arial" w:eastAsia="Arial" w:hAnsi="Arial"/>
                <w:sz w:val="14"/>
                <w:szCs w:val="14"/>
                <w:color w:val="auto"/>
              </w:rPr>
              <w:t>119,415</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480,552</w:t>
            </w:r>
          </w:p>
        </w:tc>
        <w:tc>
          <w:tcPr>
            <w:tcW w:w="1120" w:type="dxa"/>
            <w:vAlign w:val="bottom"/>
          </w:tcPr>
          <w:p>
            <w:pPr>
              <w:jc w:val="center"/>
              <w:ind w:left="748"/>
              <w:spacing w:after="0"/>
              <w:rPr>
                <w:sz w:val="20"/>
                <w:szCs w:val="20"/>
                <w:color w:val="auto"/>
              </w:rPr>
            </w:pPr>
            <w:r>
              <w:rPr>
                <w:rFonts w:ascii="Arial" w:cs="Arial" w:eastAsia="Arial" w:hAnsi="Arial"/>
                <w:sz w:val="14"/>
                <w:szCs w:val="14"/>
                <w:color w:val="auto"/>
                <w:w w:val="99"/>
              </w:rPr>
              <w:t>—</w:t>
            </w:r>
          </w:p>
        </w:tc>
        <w:tc>
          <w:tcPr>
            <w:tcW w:w="1120" w:type="dxa"/>
            <w:vAlign w:val="bottom"/>
          </w:tcPr>
          <w:p>
            <w:pPr>
              <w:ind w:left="9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10,449</w:t>
            </w:r>
          </w:p>
        </w:tc>
        <w:tc>
          <w:tcPr>
            <w:tcW w:w="180" w:type="dxa"/>
            <w:vAlign w:val="bottom"/>
          </w:tcPr>
          <w:p>
            <w:pPr>
              <w:jc w:val="right"/>
              <w:ind w:right="33"/>
              <w:spacing w:after="0"/>
              <w:rPr>
                <w:sz w:val="20"/>
                <w:szCs w:val="20"/>
                <w:color w:val="auto"/>
              </w:rPr>
            </w:pPr>
            <w:r>
              <w:rPr>
                <w:rFonts w:ascii="Arial" w:cs="Arial" w:eastAsia="Arial" w:hAnsi="Arial"/>
                <w:sz w:val="9"/>
                <w:szCs w:val="9"/>
                <w:color w:val="auto"/>
              </w:rPr>
              <w:t>5</w:t>
            </w:r>
          </w:p>
        </w:tc>
        <w:tc>
          <w:tcPr>
            <w:tcW w:w="680" w:type="dxa"/>
            <w:vAlign w:val="bottom"/>
          </w:tcPr>
          <w:p>
            <w:pPr>
              <w:jc w:val="right"/>
              <w:spacing w:after="0"/>
              <w:rPr>
                <w:sz w:val="20"/>
                <w:szCs w:val="20"/>
                <w:color w:val="auto"/>
              </w:rPr>
            </w:pPr>
            <w:r>
              <w:rPr>
                <w:rFonts w:ascii="Arial" w:cs="Arial" w:eastAsia="Arial" w:hAnsi="Arial"/>
                <w:sz w:val="14"/>
                <w:szCs w:val="14"/>
                <w:color w:val="auto"/>
              </w:rPr>
              <w:t>717,827</w:t>
            </w:r>
          </w:p>
        </w:tc>
      </w:tr>
      <w:tr>
        <w:trPr>
          <w:trHeight w:val="216"/>
        </w:trPr>
        <w:tc>
          <w:tcPr>
            <w:tcW w:w="194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Joseph L. Goldstein, M.D.</w:t>
            </w:r>
          </w:p>
        </w:tc>
        <w:tc>
          <w:tcPr>
            <w:tcW w:w="1040" w:type="dxa"/>
            <w:vAlign w:val="bottom"/>
            <w:shd w:val="clear" w:color="auto" w:fill="DAEBF8"/>
          </w:tcPr>
          <w:p>
            <w:pPr>
              <w:ind w:left="440"/>
              <w:spacing w:after="0"/>
              <w:rPr>
                <w:sz w:val="20"/>
                <w:szCs w:val="20"/>
                <w:color w:val="auto"/>
              </w:rPr>
            </w:pPr>
            <w:r>
              <w:rPr>
                <w:rFonts w:ascii="Arial" w:cs="Arial" w:eastAsia="Arial" w:hAnsi="Arial"/>
                <w:sz w:val="14"/>
                <w:szCs w:val="14"/>
                <w:color w:val="auto"/>
              </w:rPr>
              <w:t>110,000</w:t>
            </w:r>
          </w:p>
        </w:tc>
        <w:tc>
          <w:tcPr>
            <w:tcW w:w="720" w:type="dxa"/>
            <w:vAlign w:val="bottom"/>
            <w:shd w:val="clear" w:color="auto" w:fill="DAEBF8"/>
          </w:tcPr>
          <w:p>
            <w:pPr>
              <w:ind w:left="100"/>
              <w:spacing w:after="0"/>
              <w:rPr>
                <w:sz w:val="20"/>
                <w:szCs w:val="20"/>
                <w:color w:val="auto"/>
              </w:rPr>
            </w:pPr>
            <w:r>
              <w:rPr>
                <w:rFonts w:ascii="Arial" w:cs="Arial" w:eastAsia="Arial" w:hAnsi="Arial"/>
                <w:sz w:val="14"/>
                <w:szCs w:val="14"/>
                <w:color w:val="auto"/>
              </w:rPr>
              <w:t>119,415</w:t>
            </w:r>
          </w:p>
        </w:tc>
        <w:tc>
          <w:tcPr>
            <w:tcW w:w="800" w:type="dxa"/>
            <w:vAlign w:val="bottom"/>
            <w:shd w:val="clear" w:color="auto" w:fill="DAEBF8"/>
          </w:tcPr>
          <w:p>
            <w:pPr>
              <w:jc w:val="right"/>
              <w:ind w:right="28"/>
              <w:spacing w:after="0"/>
              <w:rPr>
                <w:sz w:val="20"/>
                <w:szCs w:val="20"/>
                <w:color w:val="auto"/>
              </w:rPr>
            </w:pPr>
            <w:r>
              <w:rPr>
                <w:rFonts w:ascii="Arial" w:cs="Arial" w:eastAsia="Arial" w:hAnsi="Arial"/>
                <w:sz w:val="14"/>
                <w:szCs w:val="14"/>
                <w:color w:val="auto"/>
              </w:rPr>
              <w:t>480,552</w:t>
            </w:r>
          </w:p>
        </w:tc>
        <w:tc>
          <w:tcPr>
            <w:tcW w:w="1120" w:type="dxa"/>
            <w:vAlign w:val="bottom"/>
            <w:shd w:val="clear" w:color="auto" w:fill="DAEBF8"/>
          </w:tcPr>
          <w:p>
            <w:pPr>
              <w:jc w:val="center"/>
              <w:ind w:left="748"/>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DAEBF8"/>
          </w:tcPr>
          <w:p>
            <w:pPr>
              <w:ind w:left="9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5,449</w:t>
            </w:r>
          </w:p>
        </w:tc>
        <w:tc>
          <w:tcPr>
            <w:tcW w:w="180" w:type="dxa"/>
            <w:vAlign w:val="bottom"/>
            <w:shd w:val="clear" w:color="auto" w:fill="DAEBF8"/>
          </w:tcPr>
          <w:p>
            <w:pPr>
              <w:jc w:val="right"/>
              <w:ind w:right="33"/>
              <w:spacing w:after="0"/>
              <w:rPr>
                <w:sz w:val="20"/>
                <w:szCs w:val="20"/>
                <w:color w:val="auto"/>
              </w:rPr>
            </w:pPr>
            <w:r>
              <w:rPr>
                <w:rFonts w:ascii="Arial" w:cs="Arial" w:eastAsia="Arial" w:hAnsi="Arial"/>
                <w:sz w:val="9"/>
                <w:szCs w:val="9"/>
                <w:color w:val="auto"/>
              </w:rPr>
              <w:t>4</w:t>
            </w:r>
          </w:p>
        </w:tc>
        <w:tc>
          <w:tcPr>
            <w:tcW w:w="6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715,416</w:t>
            </w:r>
          </w:p>
        </w:tc>
      </w:tr>
      <w:tr>
        <w:trPr>
          <w:trHeight w:val="215"/>
        </w:trPr>
        <w:tc>
          <w:tcPr>
            <w:tcW w:w="1940" w:type="dxa"/>
            <w:vAlign w:val="bottom"/>
          </w:tcPr>
          <w:p>
            <w:pPr>
              <w:ind w:left="80"/>
              <w:spacing w:after="0"/>
              <w:rPr>
                <w:sz w:val="20"/>
                <w:szCs w:val="20"/>
                <w:color w:val="auto"/>
              </w:rPr>
            </w:pPr>
            <w:r>
              <w:rPr>
                <w:rFonts w:ascii="Arial" w:cs="Arial" w:eastAsia="Arial" w:hAnsi="Arial"/>
                <w:sz w:val="14"/>
                <w:szCs w:val="14"/>
                <w:b w:val="1"/>
                <w:bCs w:val="1"/>
                <w:color w:val="auto"/>
              </w:rPr>
              <w:t>Kathryn Guarini, Ph.D.</w:t>
            </w:r>
          </w:p>
        </w:tc>
        <w:tc>
          <w:tcPr>
            <w:tcW w:w="1040" w:type="dxa"/>
            <w:vAlign w:val="bottom"/>
          </w:tcPr>
          <w:p>
            <w:pPr>
              <w:ind w:left="440"/>
              <w:spacing w:after="0"/>
              <w:rPr>
                <w:sz w:val="20"/>
                <w:szCs w:val="20"/>
                <w:color w:val="auto"/>
              </w:rPr>
            </w:pPr>
            <w:r>
              <w:rPr>
                <w:rFonts w:ascii="Arial" w:cs="Arial" w:eastAsia="Arial" w:hAnsi="Arial"/>
                <w:sz w:val="14"/>
                <w:szCs w:val="14"/>
                <w:color w:val="auto"/>
              </w:rPr>
              <w:t>100,000</w:t>
            </w:r>
          </w:p>
        </w:tc>
        <w:tc>
          <w:tcPr>
            <w:tcW w:w="720" w:type="dxa"/>
            <w:vAlign w:val="bottom"/>
          </w:tcPr>
          <w:p>
            <w:pPr>
              <w:ind w:left="100"/>
              <w:spacing w:after="0"/>
              <w:rPr>
                <w:sz w:val="20"/>
                <w:szCs w:val="20"/>
                <w:color w:val="auto"/>
              </w:rPr>
            </w:pPr>
            <w:r>
              <w:rPr>
                <w:rFonts w:ascii="Arial" w:cs="Arial" w:eastAsia="Arial" w:hAnsi="Arial"/>
                <w:sz w:val="14"/>
                <w:szCs w:val="14"/>
                <w:color w:val="auto"/>
              </w:rPr>
              <w:t>119,415</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480,552</w:t>
            </w:r>
          </w:p>
        </w:tc>
        <w:tc>
          <w:tcPr>
            <w:tcW w:w="1120" w:type="dxa"/>
            <w:vAlign w:val="bottom"/>
          </w:tcPr>
          <w:p>
            <w:pPr>
              <w:jc w:val="center"/>
              <w:ind w:left="748"/>
              <w:spacing w:after="0"/>
              <w:rPr>
                <w:sz w:val="20"/>
                <w:szCs w:val="20"/>
                <w:color w:val="auto"/>
              </w:rPr>
            </w:pPr>
            <w:r>
              <w:rPr>
                <w:rFonts w:ascii="Arial" w:cs="Arial" w:eastAsia="Arial" w:hAnsi="Arial"/>
                <w:sz w:val="14"/>
                <w:szCs w:val="14"/>
                <w:color w:val="auto"/>
                <w:w w:val="99"/>
              </w:rPr>
              <w:t>—</w:t>
            </w:r>
          </w:p>
        </w:tc>
        <w:tc>
          <w:tcPr>
            <w:tcW w:w="1120" w:type="dxa"/>
            <w:vAlign w:val="bottom"/>
          </w:tcPr>
          <w:p>
            <w:pPr>
              <w:ind w:left="9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1,577</w:t>
            </w:r>
          </w:p>
        </w:tc>
        <w:tc>
          <w:tcPr>
            <w:tcW w:w="180" w:type="dxa"/>
            <w:vAlign w:val="bottom"/>
          </w:tcPr>
          <w:p>
            <w:pPr>
              <w:jc w:val="right"/>
              <w:ind w:right="33"/>
              <w:spacing w:after="0"/>
              <w:rPr>
                <w:sz w:val="20"/>
                <w:szCs w:val="20"/>
                <w:color w:val="auto"/>
              </w:rPr>
            </w:pPr>
            <w:r>
              <w:rPr>
                <w:rFonts w:ascii="Arial" w:cs="Arial" w:eastAsia="Arial" w:hAnsi="Arial"/>
                <w:sz w:val="9"/>
                <w:szCs w:val="9"/>
                <w:color w:val="auto"/>
              </w:rPr>
              <w:t>4</w:t>
            </w:r>
          </w:p>
        </w:tc>
        <w:tc>
          <w:tcPr>
            <w:tcW w:w="680" w:type="dxa"/>
            <w:vAlign w:val="bottom"/>
          </w:tcPr>
          <w:p>
            <w:pPr>
              <w:jc w:val="right"/>
              <w:spacing w:after="0"/>
              <w:rPr>
                <w:sz w:val="20"/>
                <w:szCs w:val="20"/>
                <w:color w:val="auto"/>
              </w:rPr>
            </w:pPr>
            <w:r>
              <w:rPr>
                <w:rFonts w:ascii="Arial" w:cs="Arial" w:eastAsia="Arial" w:hAnsi="Arial"/>
                <w:sz w:val="14"/>
                <w:szCs w:val="14"/>
                <w:color w:val="auto"/>
              </w:rPr>
              <w:t>701,544</w:t>
            </w:r>
          </w:p>
        </w:tc>
      </w:tr>
      <w:tr>
        <w:trPr>
          <w:trHeight w:val="217"/>
        </w:trPr>
        <w:tc>
          <w:tcPr>
            <w:tcW w:w="194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Christine A. Poon</w:t>
            </w:r>
          </w:p>
        </w:tc>
        <w:tc>
          <w:tcPr>
            <w:tcW w:w="1040" w:type="dxa"/>
            <w:vAlign w:val="bottom"/>
            <w:shd w:val="clear" w:color="auto" w:fill="DAEBF8"/>
          </w:tcPr>
          <w:p>
            <w:pPr>
              <w:ind w:left="440"/>
              <w:spacing w:after="0"/>
              <w:rPr>
                <w:sz w:val="20"/>
                <w:szCs w:val="20"/>
                <w:color w:val="auto"/>
              </w:rPr>
            </w:pPr>
            <w:r>
              <w:rPr>
                <w:rFonts w:ascii="Arial" w:cs="Arial" w:eastAsia="Arial" w:hAnsi="Arial"/>
                <w:sz w:val="14"/>
                <w:szCs w:val="14"/>
                <w:color w:val="auto"/>
              </w:rPr>
              <w:t>170,000</w:t>
            </w:r>
          </w:p>
        </w:tc>
        <w:tc>
          <w:tcPr>
            <w:tcW w:w="720" w:type="dxa"/>
            <w:vAlign w:val="bottom"/>
            <w:shd w:val="clear" w:color="auto" w:fill="DAEBF8"/>
          </w:tcPr>
          <w:p>
            <w:pPr>
              <w:ind w:left="100"/>
              <w:spacing w:after="0"/>
              <w:rPr>
                <w:sz w:val="20"/>
                <w:szCs w:val="20"/>
                <w:color w:val="auto"/>
              </w:rPr>
            </w:pPr>
            <w:r>
              <w:rPr>
                <w:rFonts w:ascii="Arial" w:cs="Arial" w:eastAsia="Arial" w:hAnsi="Arial"/>
                <w:sz w:val="14"/>
                <w:szCs w:val="14"/>
                <w:color w:val="auto"/>
              </w:rPr>
              <w:t>119,415</w:t>
            </w:r>
          </w:p>
        </w:tc>
        <w:tc>
          <w:tcPr>
            <w:tcW w:w="800" w:type="dxa"/>
            <w:vAlign w:val="bottom"/>
            <w:shd w:val="clear" w:color="auto" w:fill="DAEBF8"/>
          </w:tcPr>
          <w:p>
            <w:pPr>
              <w:jc w:val="right"/>
              <w:ind w:right="28"/>
              <w:spacing w:after="0"/>
              <w:rPr>
                <w:sz w:val="20"/>
                <w:szCs w:val="20"/>
                <w:color w:val="auto"/>
              </w:rPr>
            </w:pPr>
            <w:r>
              <w:rPr>
                <w:rFonts w:ascii="Arial" w:cs="Arial" w:eastAsia="Arial" w:hAnsi="Arial"/>
                <w:sz w:val="14"/>
                <w:szCs w:val="14"/>
                <w:color w:val="auto"/>
              </w:rPr>
              <w:t>480,552</w:t>
            </w:r>
          </w:p>
        </w:tc>
        <w:tc>
          <w:tcPr>
            <w:tcW w:w="1120" w:type="dxa"/>
            <w:vAlign w:val="bottom"/>
            <w:shd w:val="clear" w:color="auto" w:fill="DAEBF8"/>
          </w:tcPr>
          <w:p>
            <w:pPr>
              <w:jc w:val="center"/>
              <w:ind w:left="748"/>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DAEBF8"/>
          </w:tcPr>
          <w:p>
            <w:pPr>
              <w:ind w:left="9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5,449</w:t>
            </w:r>
          </w:p>
        </w:tc>
        <w:tc>
          <w:tcPr>
            <w:tcW w:w="180" w:type="dxa"/>
            <w:vAlign w:val="bottom"/>
            <w:shd w:val="clear" w:color="auto" w:fill="DAEBF8"/>
          </w:tcPr>
          <w:p>
            <w:pPr>
              <w:jc w:val="right"/>
              <w:ind w:right="33"/>
              <w:spacing w:after="0"/>
              <w:rPr>
                <w:sz w:val="20"/>
                <w:szCs w:val="20"/>
                <w:color w:val="auto"/>
              </w:rPr>
            </w:pPr>
            <w:r>
              <w:rPr>
                <w:rFonts w:ascii="Arial" w:cs="Arial" w:eastAsia="Arial" w:hAnsi="Arial"/>
                <w:sz w:val="9"/>
                <w:szCs w:val="9"/>
                <w:color w:val="auto"/>
              </w:rPr>
              <w:t>4</w:t>
            </w:r>
          </w:p>
        </w:tc>
        <w:tc>
          <w:tcPr>
            <w:tcW w:w="6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775,416</w:t>
            </w:r>
          </w:p>
        </w:tc>
      </w:tr>
      <w:tr>
        <w:trPr>
          <w:trHeight w:val="215"/>
        </w:trPr>
        <w:tc>
          <w:tcPr>
            <w:tcW w:w="1940" w:type="dxa"/>
            <w:vAlign w:val="bottom"/>
          </w:tcPr>
          <w:p>
            <w:pPr>
              <w:ind w:left="80"/>
              <w:spacing w:after="0"/>
              <w:rPr>
                <w:sz w:val="20"/>
                <w:szCs w:val="20"/>
                <w:color w:val="auto"/>
              </w:rPr>
            </w:pPr>
            <w:r>
              <w:rPr>
                <w:rFonts w:ascii="Arial" w:cs="Arial" w:eastAsia="Arial" w:hAnsi="Arial"/>
                <w:sz w:val="14"/>
                <w:szCs w:val="14"/>
                <w:b w:val="1"/>
                <w:bCs w:val="1"/>
                <w:color w:val="auto"/>
              </w:rPr>
              <w:t>Arthur F. Ryan</w:t>
            </w:r>
          </w:p>
        </w:tc>
        <w:tc>
          <w:tcPr>
            <w:tcW w:w="1040" w:type="dxa"/>
            <w:vAlign w:val="bottom"/>
          </w:tcPr>
          <w:p>
            <w:pPr>
              <w:ind w:left="440"/>
              <w:spacing w:after="0"/>
              <w:rPr>
                <w:sz w:val="20"/>
                <w:szCs w:val="20"/>
                <w:color w:val="auto"/>
              </w:rPr>
            </w:pPr>
            <w:r>
              <w:rPr>
                <w:rFonts w:ascii="Arial" w:cs="Arial" w:eastAsia="Arial" w:hAnsi="Arial"/>
                <w:sz w:val="14"/>
                <w:szCs w:val="14"/>
                <w:color w:val="auto"/>
              </w:rPr>
              <w:t>120,000</w:t>
            </w:r>
          </w:p>
        </w:tc>
        <w:tc>
          <w:tcPr>
            <w:tcW w:w="720" w:type="dxa"/>
            <w:vAlign w:val="bottom"/>
          </w:tcPr>
          <w:p>
            <w:pPr>
              <w:ind w:left="100"/>
              <w:spacing w:after="0"/>
              <w:rPr>
                <w:sz w:val="20"/>
                <w:szCs w:val="20"/>
                <w:color w:val="auto"/>
              </w:rPr>
            </w:pPr>
            <w:r>
              <w:rPr>
                <w:rFonts w:ascii="Arial" w:cs="Arial" w:eastAsia="Arial" w:hAnsi="Arial"/>
                <w:sz w:val="14"/>
                <w:szCs w:val="14"/>
                <w:color w:val="auto"/>
              </w:rPr>
              <w:t>119,415</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480,552</w:t>
            </w:r>
          </w:p>
        </w:tc>
        <w:tc>
          <w:tcPr>
            <w:tcW w:w="1120" w:type="dxa"/>
            <w:vAlign w:val="bottom"/>
          </w:tcPr>
          <w:p>
            <w:pPr>
              <w:jc w:val="center"/>
              <w:ind w:left="748"/>
              <w:spacing w:after="0"/>
              <w:rPr>
                <w:sz w:val="20"/>
                <w:szCs w:val="20"/>
                <w:color w:val="auto"/>
              </w:rPr>
            </w:pPr>
            <w:r>
              <w:rPr>
                <w:rFonts w:ascii="Arial" w:cs="Arial" w:eastAsia="Arial" w:hAnsi="Arial"/>
                <w:sz w:val="14"/>
                <w:szCs w:val="14"/>
                <w:color w:val="auto"/>
                <w:w w:val="99"/>
              </w:rPr>
              <w:t>—</w:t>
            </w:r>
          </w:p>
        </w:tc>
        <w:tc>
          <w:tcPr>
            <w:tcW w:w="1120" w:type="dxa"/>
            <w:vAlign w:val="bottom"/>
          </w:tcPr>
          <w:p>
            <w:pPr>
              <w:ind w:left="9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5,449</w:t>
            </w:r>
          </w:p>
        </w:tc>
        <w:tc>
          <w:tcPr>
            <w:tcW w:w="180" w:type="dxa"/>
            <w:vAlign w:val="bottom"/>
          </w:tcPr>
          <w:p>
            <w:pPr>
              <w:jc w:val="right"/>
              <w:ind w:right="33"/>
              <w:spacing w:after="0"/>
              <w:rPr>
                <w:sz w:val="20"/>
                <w:szCs w:val="20"/>
                <w:color w:val="auto"/>
              </w:rPr>
            </w:pPr>
            <w:r>
              <w:rPr>
                <w:rFonts w:ascii="Arial" w:cs="Arial" w:eastAsia="Arial" w:hAnsi="Arial"/>
                <w:sz w:val="9"/>
                <w:szCs w:val="9"/>
                <w:color w:val="auto"/>
              </w:rPr>
              <w:t>4</w:t>
            </w:r>
          </w:p>
        </w:tc>
        <w:tc>
          <w:tcPr>
            <w:tcW w:w="680" w:type="dxa"/>
            <w:vAlign w:val="bottom"/>
          </w:tcPr>
          <w:p>
            <w:pPr>
              <w:jc w:val="right"/>
              <w:spacing w:after="0"/>
              <w:rPr>
                <w:sz w:val="20"/>
                <w:szCs w:val="20"/>
                <w:color w:val="auto"/>
              </w:rPr>
            </w:pPr>
            <w:r>
              <w:rPr>
                <w:rFonts w:ascii="Arial" w:cs="Arial" w:eastAsia="Arial" w:hAnsi="Arial"/>
                <w:sz w:val="14"/>
                <w:szCs w:val="14"/>
                <w:color w:val="auto"/>
              </w:rPr>
              <w:t>725,416</w:t>
            </w:r>
          </w:p>
        </w:tc>
      </w:tr>
      <w:tr>
        <w:trPr>
          <w:trHeight w:val="217"/>
        </w:trPr>
        <w:tc>
          <w:tcPr>
            <w:tcW w:w="194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 xml:space="preserve">David P. Schenkein, M.D. </w:t>
            </w:r>
            <w:r>
              <w:rPr>
                <w:rFonts w:ascii="Arial" w:cs="Arial" w:eastAsia="Arial" w:hAnsi="Arial"/>
                <w:sz w:val="18"/>
                <w:szCs w:val="18"/>
                <w:b w:val="1"/>
                <w:bCs w:val="1"/>
                <w:color w:val="auto"/>
                <w:vertAlign w:val="superscript"/>
              </w:rPr>
              <w:t>6</w:t>
            </w:r>
          </w:p>
        </w:tc>
        <w:tc>
          <w:tcPr>
            <w:tcW w:w="1040" w:type="dxa"/>
            <w:vAlign w:val="bottom"/>
            <w:shd w:val="clear" w:color="auto" w:fill="DAEBF8"/>
          </w:tcPr>
          <w:p>
            <w:pPr>
              <w:ind w:left="440"/>
              <w:spacing w:after="0"/>
              <w:rPr>
                <w:sz w:val="20"/>
                <w:szCs w:val="20"/>
                <w:color w:val="auto"/>
              </w:rPr>
            </w:pPr>
            <w:r>
              <w:rPr>
                <w:rFonts w:ascii="Arial" w:cs="Arial" w:eastAsia="Arial" w:hAnsi="Arial"/>
                <w:sz w:val="14"/>
                <w:szCs w:val="14"/>
                <w:color w:val="auto"/>
              </w:rPr>
              <w:t>103,021</w:t>
            </w:r>
          </w:p>
        </w:tc>
        <w:tc>
          <w:tcPr>
            <w:tcW w:w="720" w:type="dxa"/>
            <w:vAlign w:val="bottom"/>
            <w:shd w:val="clear" w:color="auto" w:fill="DAEBF8"/>
          </w:tcPr>
          <w:p>
            <w:pPr>
              <w:ind w:left="100"/>
              <w:spacing w:after="0"/>
              <w:rPr>
                <w:sz w:val="20"/>
                <w:szCs w:val="20"/>
                <w:color w:val="auto"/>
              </w:rPr>
            </w:pPr>
            <w:r>
              <w:rPr>
                <w:rFonts w:ascii="Arial" w:cs="Arial" w:eastAsia="Arial" w:hAnsi="Arial"/>
                <w:sz w:val="14"/>
                <w:szCs w:val="14"/>
                <w:color w:val="auto"/>
              </w:rPr>
              <w:t>119,415</w:t>
            </w:r>
          </w:p>
        </w:tc>
        <w:tc>
          <w:tcPr>
            <w:tcW w:w="800" w:type="dxa"/>
            <w:vAlign w:val="bottom"/>
            <w:shd w:val="clear" w:color="auto" w:fill="DAEBF8"/>
          </w:tcPr>
          <w:p>
            <w:pPr>
              <w:jc w:val="right"/>
              <w:ind w:right="28"/>
              <w:spacing w:after="0"/>
              <w:rPr>
                <w:sz w:val="20"/>
                <w:szCs w:val="20"/>
                <w:color w:val="auto"/>
              </w:rPr>
            </w:pPr>
            <w:r>
              <w:rPr>
                <w:rFonts w:ascii="Arial" w:cs="Arial" w:eastAsia="Arial" w:hAnsi="Arial"/>
                <w:sz w:val="14"/>
                <w:szCs w:val="14"/>
                <w:color w:val="auto"/>
              </w:rPr>
              <w:t>480,552</w:t>
            </w:r>
          </w:p>
        </w:tc>
        <w:tc>
          <w:tcPr>
            <w:tcW w:w="1120" w:type="dxa"/>
            <w:vAlign w:val="bottom"/>
            <w:shd w:val="clear" w:color="auto" w:fill="DAEBF8"/>
          </w:tcPr>
          <w:p>
            <w:pPr>
              <w:jc w:val="center"/>
              <w:ind w:left="748"/>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DAEBF8"/>
          </w:tcPr>
          <w:p>
            <w:pPr>
              <w:ind w:left="9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1,577</w:t>
            </w:r>
          </w:p>
        </w:tc>
        <w:tc>
          <w:tcPr>
            <w:tcW w:w="180" w:type="dxa"/>
            <w:vAlign w:val="bottom"/>
            <w:shd w:val="clear" w:color="auto" w:fill="DAEBF8"/>
          </w:tcPr>
          <w:p>
            <w:pPr>
              <w:jc w:val="right"/>
              <w:ind w:right="33"/>
              <w:spacing w:after="0"/>
              <w:rPr>
                <w:sz w:val="20"/>
                <w:szCs w:val="20"/>
                <w:color w:val="auto"/>
              </w:rPr>
            </w:pPr>
            <w:r>
              <w:rPr>
                <w:rFonts w:ascii="Arial" w:cs="Arial" w:eastAsia="Arial" w:hAnsi="Arial"/>
                <w:sz w:val="9"/>
                <w:szCs w:val="9"/>
                <w:color w:val="auto"/>
              </w:rPr>
              <w:t>4</w:t>
            </w:r>
          </w:p>
        </w:tc>
        <w:tc>
          <w:tcPr>
            <w:tcW w:w="6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704,565</w:t>
            </w:r>
          </w:p>
        </w:tc>
      </w:tr>
      <w:tr>
        <w:trPr>
          <w:trHeight w:val="215"/>
        </w:trPr>
        <w:tc>
          <w:tcPr>
            <w:tcW w:w="1940" w:type="dxa"/>
            <w:vAlign w:val="bottom"/>
          </w:tcPr>
          <w:p>
            <w:pPr>
              <w:ind w:left="80"/>
              <w:spacing w:after="0"/>
              <w:rPr>
                <w:sz w:val="20"/>
                <w:szCs w:val="20"/>
                <w:color w:val="auto"/>
              </w:rPr>
            </w:pPr>
            <w:r>
              <w:rPr>
                <w:rFonts w:ascii="Arial" w:cs="Arial" w:eastAsia="Arial" w:hAnsi="Arial"/>
                <w:sz w:val="14"/>
                <w:szCs w:val="14"/>
                <w:b w:val="1"/>
                <w:bCs w:val="1"/>
                <w:color w:val="auto"/>
              </w:rPr>
              <w:t>George L. Sing</w:t>
            </w:r>
          </w:p>
        </w:tc>
        <w:tc>
          <w:tcPr>
            <w:tcW w:w="1040" w:type="dxa"/>
            <w:vAlign w:val="bottom"/>
          </w:tcPr>
          <w:p>
            <w:pPr>
              <w:ind w:left="440"/>
              <w:spacing w:after="0"/>
              <w:rPr>
                <w:sz w:val="20"/>
                <w:szCs w:val="20"/>
                <w:color w:val="auto"/>
              </w:rPr>
            </w:pPr>
            <w:r>
              <w:rPr>
                <w:rFonts w:ascii="Arial" w:cs="Arial" w:eastAsia="Arial" w:hAnsi="Arial"/>
                <w:sz w:val="14"/>
                <w:szCs w:val="14"/>
                <w:color w:val="auto"/>
              </w:rPr>
              <w:t>120,000</w:t>
            </w:r>
          </w:p>
        </w:tc>
        <w:tc>
          <w:tcPr>
            <w:tcW w:w="720" w:type="dxa"/>
            <w:vAlign w:val="bottom"/>
          </w:tcPr>
          <w:p>
            <w:pPr>
              <w:ind w:left="100"/>
              <w:spacing w:after="0"/>
              <w:rPr>
                <w:sz w:val="20"/>
                <w:szCs w:val="20"/>
                <w:color w:val="auto"/>
              </w:rPr>
            </w:pPr>
            <w:r>
              <w:rPr>
                <w:rFonts w:ascii="Arial" w:cs="Arial" w:eastAsia="Arial" w:hAnsi="Arial"/>
                <w:sz w:val="14"/>
                <w:szCs w:val="14"/>
                <w:color w:val="auto"/>
              </w:rPr>
              <w:t>119,415</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480,552</w:t>
            </w:r>
          </w:p>
        </w:tc>
        <w:tc>
          <w:tcPr>
            <w:tcW w:w="1120" w:type="dxa"/>
            <w:vAlign w:val="bottom"/>
          </w:tcPr>
          <w:p>
            <w:pPr>
              <w:jc w:val="center"/>
              <w:ind w:left="748"/>
              <w:spacing w:after="0"/>
              <w:rPr>
                <w:sz w:val="20"/>
                <w:szCs w:val="20"/>
                <w:color w:val="auto"/>
              </w:rPr>
            </w:pPr>
            <w:r>
              <w:rPr>
                <w:rFonts w:ascii="Arial" w:cs="Arial" w:eastAsia="Arial" w:hAnsi="Arial"/>
                <w:sz w:val="14"/>
                <w:szCs w:val="14"/>
                <w:color w:val="auto"/>
                <w:w w:val="99"/>
              </w:rPr>
              <w:t>—</w:t>
            </w:r>
          </w:p>
        </w:tc>
        <w:tc>
          <w:tcPr>
            <w:tcW w:w="1120" w:type="dxa"/>
            <w:vAlign w:val="bottom"/>
          </w:tcPr>
          <w:p>
            <w:pPr>
              <w:ind w:left="9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10,449</w:t>
            </w:r>
          </w:p>
        </w:tc>
        <w:tc>
          <w:tcPr>
            <w:tcW w:w="180" w:type="dxa"/>
            <w:vAlign w:val="bottom"/>
          </w:tcPr>
          <w:p>
            <w:pPr>
              <w:jc w:val="right"/>
              <w:ind w:right="33"/>
              <w:spacing w:after="0"/>
              <w:rPr>
                <w:sz w:val="20"/>
                <w:szCs w:val="20"/>
                <w:color w:val="auto"/>
              </w:rPr>
            </w:pPr>
            <w:r>
              <w:rPr>
                <w:rFonts w:ascii="Arial" w:cs="Arial" w:eastAsia="Arial" w:hAnsi="Arial"/>
                <w:sz w:val="9"/>
                <w:szCs w:val="9"/>
                <w:color w:val="auto"/>
              </w:rPr>
              <w:t>5</w:t>
            </w:r>
          </w:p>
        </w:tc>
        <w:tc>
          <w:tcPr>
            <w:tcW w:w="680" w:type="dxa"/>
            <w:vAlign w:val="bottom"/>
          </w:tcPr>
          <w:p>
            <w:pPr>
              <w:jc w:val="right"/>
              <w:spacing w:after="0"/>
              <w:rPr>
                <w:sz w:val="20"/>
                <w:szCs w:val="20"/>
                <w:color w:val="auto"/>
              </w:rPr>
            </w:pPr>
            <w:r>
              <w:rPr>
                <w:rFonts w:ascii="Arial" w:cs="Arial" w:eastAsia="Arial" w:hAnsi="Arial"/>
                <w:sz w:val="14"/>
                <w:szCs w:val="14"/>
                <w:color w:val="auto"/>
              </w:rPr>
              <w:t>730,416</w:t>
            </w:r>
          </w:p>
        </w:tc>
      </w:tr>
      <w:tr>
        <w:trPr>
          <w:trHeight w:val="217"/>
        </w:trPr>
        <w:tc>
          <w:tcPr>
            <w:tcW w:w="194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Craig B. Thompson, M.D.</w:t>
            </w:r>
            <w:r>
              <w:rPr>
                <w:rFonts w:ascii="Arial" w:cs="Arial" w:eastAsia="Arial" w:hAnsi="Arial"/>
                <w:sz w:val="18"/>
                <w:szCs w:val="18"/>
                <w:b w:val="1"/>
                <w:bCs w:val="1"/>
                <w:color w:val="auto"/>
                <w:vertAlign w:val="superscript"/>
              </w:rPr>
              <w:t>6</w:t>
            </w:r>
          </w:p>
        </w:tc>
        <w:tc>
          <w:tcPr>
            <w:tcW w:w="1040" w:type="dxa"/>
            <w:vAlign w:val="bottom"/>
            <w:shd w:val="clear" w:color="auto" w:fill="DAEBF8"/>
          </w:tcPr>
          <w:p>
            <w:pPr>
              <w:ind w:left="440"/>
              <w:spacing w:after="0"/>
              <w:rPr>
                <w:sz w:val="20"/>
                <w:szCs w:val="20"/>
                <w:color w:val="auto"/>
              </w:rPr>
            </w:pPr>
            <w:r>
              <w:rPr>
                <w:rFonts w:ascii="Arial" w:cs="Arial" w:eastAsia="Arial" w:hAnsi="Arial"/>
                <w:sz w:val="14"/>
                <w:szCs w:val="14"/>
                <w:color w:val="auto"/>
              </w:rPr>
              <w:t>103,021</w:t>
            </w:r>
          </w:p>
        </w:tc>
        <w:tc>
          <w:tcPr>
            <w:tcW w:w="720" w:type="dxa"/>
            <w:vAlign w:val="bottom"/>
            <w:shd w:val="clear" w:color="auto" w:fill="DAEBF8"/>
          </w:tcPr>
          <w:p>
            <w:pPr>
              <w:ind w:left="100"/>
              <w:spacing w:after="0"/>
              <w:rPr>
                <w:sz w:val="20"/>
                <w:szCs w:val="20"/>
                <w:color w:val="auto"/>
              </w:rPr>
            </w:pPr>
            <w:r>
              <w:rPr>
                <w:rFonts w:ascii="Arial" w:cs="Arial" w:eastAsia="Arial" w:hAnsi="Arial"/>
                <w:sz w:val="14"/>
                <w:szCs w:val="14"/>
                <w:color w:val="auto"/>
              </w:rPr>
              <w:t>119,415</w:t>
            </w:r>
          </w:p>
        </w:tc>
        <w:tc>
          <w:tcPr>
            <w:tcW w:w="800" w:type="dxa"/>
            <w:vAlign w:val="bottom"/>
            <w:shd w:val="clear" w:color="auto" w:fill="DAEBF8"/>
          </w:tcPr>
          <w:p>
            <w:pPr>
              <w:jc w:val="right"/>
              <w:ind w:right="28"/>
              <w:spacing w:after="0"/>
              <w:rPr>
                <w:sz w:val="20"/>
                <w:szCs w:val="20"/>
                <w:color w:val="auto"/>
              </w:rPr>
            </w:pPr>
            <w:r>
              <w:rPr>
                <w:rFonts w:ascii="Arial" w:cs="Arial" w:eastAsia="Arial" w:hAnsi="Arial"/>
                <w:sz w:val="14"/>
                <w:szCs w:val="14"/>
                <w:color w:val="auto"/>
              </w:rPr>
              <w:t>480,552</w:t>
            </w:r>
          </w:p>
        </w:tc>
        <w:tc>
          <w:tcPr>
            <w:tcW w:w="1120" w:type="dxa"/>
            <w:vAlign w:val="bottom"/>
            <w:shd w:val="clear" w:color="auto" w:fill="DAEBF8"/>
          </w:tcPr>
          <w:p>
            <w:pPr>
              <w:jc w:val="center"/>
              <w:ind w:left="748"/>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DAEBF8"/>
          </w:tcPr>
          <w:p>
            <w:pPr>
              <w:ind w:left="9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2,182</w:t>
            </w:r>
          </w:p>
        </w:tc>
        <w:tc>
          <w:tcPr>
            <w:tcW w:w="180" w:type="dxa"/>
            <w:vAlign w:val="bottom"/>
            <w:shd w:val="clear" w:color="auto" w:fill="DAEBF8"/>
          </w:tcPr>
          <w:p>
            <w:pPr>
              <w:jc w:val="right"/>
              <w:ind w:right="33"/>
              <w:spacing w:after="0"/>
              <w:rPr>
                <w:sz w:val="20"/>
                <w:szCs w:val="20"/>
                <w:color w:val="auto"/>
              </w:rPr>
            </w:pPr>
            <w:r>
              <w:rPr>
                <w:rFonts w:ascii="Arial" w:cs="Arial" w:eastAsia="Arial" w:hAnsi="Arial"/>
                <w:sz w:val="9"/>
                <w:szCs w:val="9"/>
                <w:color w:val="auto"/>
              </w:rPr>
              <w:t>4</w:t>
            </w:r>
          </w:p>
        </w:tc>
        <w:tc>
          <w:tcPr>
            <w:tcW w:w="6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705,170</w:t>
            </w:r>
          </w:p>
        </w:tc>
      </w:tr>
      <w:tr>
        <w:trPr>
          <w:trHeight w:val="215"/>
        </w:trPr>
        <w:tc>
          <w:tcPr>
            <w:tcW w:w="1940" w:type="dxa"/>
            <w:vAlign w:val="bottom"/>
            <w:tcBorders>
              <w:bottom w:val="single" w:sz="8" w:color="065BAA"/>
            </w:tcBorders>
          </w:tcPr>
          <w:p>
            <w:pPr>
              <w:ind w:left="80"/>
              <w:spacing w:after="0"/>
              <w:rPr>
                <w:sz w:val="20"/>
                <w:szCs w:val="20"/>
                <w:color w:val="auto"/>
              </w:rPr>
            </w:pPr>
            <w:r>
              <w:rPr>
                <w:rFonts w:ascii="Arial" w:cs="Arial" w:eastAsia="Arial" w:hAnsi="Arial"/>
                <w:sz w:val="14"/>
                <w:szCs w:val="14"/>
                <w:b w:val="1"/>
                <w:bCs w:val="1"/>
                <w:color w:val="auto"/>
              </w:rPr>
              <w:t>Huda Y. Zoghbi, M.D.</w:t>
            </w:r>
          </w:p>
        </w:tc>
        <w:tc>
          <w:tcPr>
            <w:tcW w:w="1040" w:type="dxa"/>
            <w:vAlign w:val="bottom"/>
            <w:tcBorders>
              <w:bottom w:val="single" w:sz="8" w:color="065BAA"/>
            </w:tcBorders>
          </w:tcPr>
          <w:p>
            <w:pPr>
              <w:ind w:left="440"/>
              <w:spacing w:after="0"/>
              <w:rPr>
                <w:sz w:val="20"/>
                <w:szCs w:val="20"/>
                <w:color w:val="auto"/>
              </w:rPr>
            </w:pPr>
            <w:r>
              <w:rPr>
                <w:rFonts w:ascii="Arial" w:cs="Arial" w:eastAsia="Arial" w:hAnsi="Arial"/>
                <w:sz w:val="14"/>
                <w:szCs w:val="14"/>
                <w:color w:val="auto"/>
              </w:rPr>
              <w:t>110,000</w:t>
            </w:r>
          </w:p>
        </w:tc>
        <w:tc>
          <w:tcPr>
            <w:tcW w:w="720" w:type="dxa"/>
            <w:vAlign w:val="bottom"/>
            <w:tcBorders>
              <w:bottom w:val="single" w:sz="8" w:color="065BAA"/>
            </w:tcBorders>
          </w:tcPr>
          <w:p>
            <w:pPr>
              <w:ind w:left="100"/>
              <w:spacing w:after="0"/>
              <w:rPr>
                <w:sz w:val="20"/>
                <w:szCs w:val="20"/>
                <w:color w:val="auto"/>
              </w:rPr>
            </w:pPr>
            <w:r>
              <w:rPr>
                <w:rFonts w:ascii="Arial" w:cs="Arial" w:eastAsia="Arial" w:hAnsi="Arial"/>
                <w:sz w:val="14"/>
                <w:szCs w:val="14"/>
                <w:color w:val="auto"/>
              </w:rPr>
              <w:t>119,415</w:t>
            </w:r>
          </w:p>
        </w:tc>
        <w:tc>
          <w:tcPr>
            <w:tcW w:w="800" w:type="dxa"/>
            <w:vAlign w:val="bottom"/>
            <w:tcBorders>
              <w:bottom w:val="single" w:sz="8" w:color="065BAA"/>
            </w:tcBorders>
          </w:tcPr>
          <w:p>
            <w:pPr>
              <w:jc w:val="right"/>
              <w:ind w:right="28"/>
              <w:spacing w:after="0"/>
              <w:rPr>
                <w:sz w:val="20"/>
                <w:szCs w:val="20"/>
                <w:color w:val="auto"/>
              </w:rPr>
            </w:pPr>
            <w:r>
              <w:rPr>
                <w:rFonts w:ascii="Arial" w:cs="Arial" w:eastAsia="Arial" w:hAnsi="Arial"/>
                <w:sz w:val="14"/>
                <w:szCs w:val="14"/>
                <w:color w:val="auto"/>
              </w:rPr>
              <w:t>480,552</w:t>
            </w:r>
          </w:p>
        </w:tc>
        <w:tc>
          <w:tcPr>
            <w:tcW w:w="1120" w:type="dxa"/>
            <w:vAlign w:val="bottom"/>
            <w:tcBorders>
              <w:bottom w:val="single" w:sz="8" w:color="065BAA"/>
            </w:tcBorders>
          </w:tcPr>
          <w:p>
            <w:pPr>
              <w:jc w:val="center"/>
              <w:ind w:left="748"/>
              <w:spacing w:after="0"/>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065BAA"/>
            </w:tcBorders>
          </w:tcPr>
          <w:p>
            <w:pPr>
              <w:ind w:left="9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65BAA"/>
            </w:tcBorders>
          </w:tcPr>
          <w:p>
            <w:pPr>
              <w:jc w:val="right"/>
              <w:spacing w:after="0"/>
              <w:rPr>
                <w:sz w:val="20"/>
                <w:szCs w:val="20"/>
                <w:color w:val="auto"/>
              </w:rPr>
            </w:pPr>
            <w:r>
              <w:rPr>
                <w:rFonts w:ascii="Arial" w:cs="Arial" w:eastAsia="Arial" w:hAnsi="Arial"/>
                <w:sz w:val="14"/>
                <w:szCs w:val="14"/>
                <w:color w:val="auto"/>
              </w:rPr>
              <w:t>10,449</w:t>
            </w:r>
          </w:p>
        </w:tc>
        <w:tc>
          <w:tcPr>
            <w:tcW w:w="180" w:type="dxa"/>
            <w:vAlign w:val="bottom"/>
            <w:tcBorders>
              <w:bottom w:val="single" w:sz="8" w:color="065BAA"/>
            </w:tcBorders>
          </w:tcPr>
          <w:p>
            <w:pPr>
              <w:jc w:val="right"/>
              <w:ind w:right="33"/>
              <w:spacing w:after="0"/>
              <w:rPr>
                <w:sz w:val="20"/>
                <w:szCs w:val="20"/>
                <w:color w:val="auto"/>
              </w:rPr>
            </w:pPr>
            <w:r>
              <w:rPr>
                <w:rFonts w:ascii="Arial" w:cs="Arial" w:eastAsia="Arial" w:hAnsi="Arial"/>
                <w:sz w:val="9"/>
                <w:szCs w:val="9"/>
                <w:color w:val="auto"/>
              </w:rPr>
              <w:t>5</w:t>
            </w:r>
          </w:p>
        </w:tc>
        <w:tc>
          <w:tcPr>
            <w:tcW w:w="680" w:type="dxa"/>
            <w:vAlign w:val="bottom"/>
            <w:tcBorders>
              <w:bottom w:val="single" w:sz="8" w:color="065BAA"/>
            </w:tcBorders>
          </w:tcPr>
          <w:p>
            <w:pPr>
              <w:jc w:val="right"/>
              <w:spacing w:after="0"/>
              <w:rPr>
                <w:sz w:val="20"/>
                <w:szCs w:val="20"/>
                <w:color w:val="auto"/>
              </w:rPr>
            </w:pPr>
            <w:r>
              <w:rPr>
                <w:rFonts w:ascii="Arial" w:cs="Arial" w:eastAsia="Arial" w:hAnsi="Arial"/>
                <w:sz w:val="14"/>
                <w:szCs w:val="14"/>
                <w:color w:val="auto"/>
              </w:rPr>
              <w:t>720,416</w:t>
            </w:r>
          </w:p>
        </w:tc>
      </w:tr>
    </w:tbl>
    <w:p>
      <w:pPr>
        <w:spacing w:after="0" w:line="117" w:lineRule="exact"/>
        <w:rPr>
          <w:sz w:val="20"/>
          <w:szCs w:val="20"/>
          <w:color w:val="auto"/>
        </w:rPr>
      </w:pPr>
    </w:p>
    <w:p>
      <w:pPr>
        <w:ind w:left="320" w:right="239" w:hanging="190"/>
        <w:spacing w:after="0" w:line="252" w:lineRule="auto"/>
        <w:tabs>
          <w:tab w:leader="none" w:pos="320" w:val="left"/>
        </w:tabs>
        <w:numPr>
          <w:ilvl w:val="0"/>
          <w:numId w:val="51"/>
        </w:numPr>
        <w:rPr>
          <w:rFonts w:ascii="Arial" w:cs="Arial" w:eastAsia="Arial" w:hAnsi="Arial"/>
          <w:sz w:val="16"/>
          <w:szCs w:val="16"/>
          <w:color w:val="auto"/>
          <w:vertAlign w:val="superscript"/>
        </w:rPr>
      </w:pPr>
      <w:r>
        <w:rPr>
          <w:rFonts w:ascii="Arial" w:cs="Arial" w:eastAsia="Arial" w:hAnsi="Arial"/>
          <w:sz w:val="13"/>
          <w:szCs w:val="13"/>
          <w:color w:val="auto"/>
        </w:rPr>
        <w:t>The amounts in columns C and D reflect the respective aggregate grant date fair values of RSUs and options awarded during the year ended December 31, 2025 pursuant to the Second Amended and Restated Regeneron Pharmaceuticals, Inc. 2014 Long-Term Incentive Plan. Valuation assumptions and methodologies used in the calculation of these amounts do not take into account expected forfeitures and are otherwise described in Note 13 to the Company’s audited financial statements for the fiscal year ended December 31, 2025 included in our Annual Report on Form 10-K for the fiscal year ended December 31, 2025 filed with the SEC on February 4, 2026 (the “2025 Annual Report”).</w:t>
      </w:r>
    </w:p>
    <w:p>
      <w:pPr>
        <w:spacing w:after="0" w:line="11" w:lineRule="exact"/>
        <w:rPr>
          <w:sz w:val="20"/>
          <w:szCs w:val="20"/>
          <w:color w:val="auto"/>
        </w:rPr>
      </w:pPr>
    </w:p>
    <w:p>
      <w:pPr>
        <w:ind w:left="320" w:hanging="190"/>
        <w:spacing w:after="0"/>
        <w:tabs>
          <w:tab w:leader="none" w:pos="320" w:val="left"/>
        </w:tabs>
        <w:numPr>
          <w:ilvl w:val="0"/>
          <w:numId w:val="52"/>
        </w:numPr>
        <w:rPr>
          <w:rFonts w:ascii="Arial" w:cs="Arial" w:eastAsia="Arial" w:hAnsi="Arial"/>
          <w:sz w:val="16"/>
          <w:szCs w:val="16"/>
          <w:color w:val="auto"/>
          <w:vertAlign w:val="superscript"/>
        </w:rPr>
      </w:pPr>
      <w:r>
        <w:rPr>
          <w:rFonts w:ascii="Arial" w:cs="Arial" w:eastAsia="Arial" w:hAnsi="Arial"/>
          <w:sz w:val="13"/>
          <w:szCs w:val="13"/>
          <w:color w:val="auto"/>
        </w:rPr>
        <w:t>At December 31, 2025, the non-employee directors listed in this table had the following aggregate number of stock option awards</w:t>
      </w:r>
    </w:p>
    <w:p>
      <w:pPr>
        <w:spacing w:after="0" w:line="8" w:lineRule="exact"/>
        <w:rPr>
          <w:rFonts w:ascii="Arial" w:cs="Arial" w:eastAsia="Arial" w:hAnsi="Arial"/>
          <w:sz w:val="16"/>
          <w:szCs w:val="16"/>
          <w:color w:val="auto"/>
          <w:vertAlign w:val="superscript"/>
        </w:rPr>
      </w:pPr>
    </w:p>
    <w:p>
      <w:pPr>
        <w:ind w:left="320"/>
        <w:spacing w:after="0"/>
        <w:rPr>
          <w:rFonts w:ascii="Arial" w:cs="Arial" w:eastAsia="Arial" w:hAnsi="Arial"/>
          <w:sz w:val="16"/>
          <w:szCs w:val="16"/>
          <w:color w:val="auto"/>
          <w:vertAlign w:val="superscript"/>
        </w:rPr>
      </w:pPr>
      <w:r>
        <w:rPr>
          <w:rFonts w:ascii="Arial" w:cs="Arial" w:eastAsia="Arial" w:hAnsi="Arial"/>
          <w:sz w:val="13"/>
          <w:szCs w:val="13"/>
          <w:color w:val="auto"/>
        </w:rPr>
        <w:t>outstanding: Dr. Bassler: 18,479; Dr. Brown: 7,042; Dr. Coles: 9,749; Dr. Goldstein: 7,042; Dr. Guarini: 5,653; Ms. Poon: 36,776; Mr. Ryan: 9,749;</w:t>
      </w:r>
    </w:p>
    <w:p>
      <w:pPr>
        <w:spacing w:after="0" w:line="4" w:lineRule="exact"/>
        <w:rPr>
          <w:rFonts w:ascii="Arial" w:cs="Arial" w:eastAsia="Arial" w:hAnsi="Arial"/>
          <w:sz w:val="16"/>
          <w:szCs w:val="16"/>
          <w:color w:val="auto"/>
          <w:vertAlign w:val="superscript"/>
        </w:rPr>
      </w:pPr>
    </w:p>
    <w:p>
      <w:pPr>
        <w:ind w:left="320"/>
        <w:spacing w:after="0"/>
        <w:rPr>
          <w:rFonts w:ascii="Arial" w:cs="Arial" w:eastAsia="Arial" w:hAnsi="Arial"/>
          <w:sz w:val="16"/>
          <w:szCs w:val="16"/>
          <w:color w:val="auto"/>
          <w:vertAlign w:val="superscript"/>
        </w:rPr>
      </w:pPr>
      <w:r>
        <w:rPr>
          <w:rFonts w:ascii="Arial" w:cs="Arial" w:eastAsia="Arial" w:hAnsi="Arial"/>
          <w:sz w:val="13"/>
          <w:szCs w:val="13"/>
          <w:color w:val="auto"/>
        </w:rPr>
        <w:t>Dr. Schenkein: 5,653; Mr. Sing: 36,776; Dr. Thompson: 7,878; and Dr. Zoghbi: 31,384. At December 31, 2025, these individuals had the following</w:t>
      </w:r>
    </w:p>
    <w:p>
      <w:pPr>
        <w:spacing w:after="0" w:line="12" w:lineRule="exact"/>
        <w:rPr>
          <w:rFonts w:ascii="Arial" w:cs="Arial" w:eastAsia="Arial" w:hAnsi="Arial"/>
          <w:sz w:val="16"/>
          <w:szCs w:val="16"/>
          <w:color w:val="auto"/>
          <w:vertAlign w:val="superscript"/>
        </w:rPr>
      </w:pPr>
    </w:p>
    <w:p>
      <w:pPr>
        <w:ind w:left="320"/>
        <w:spacing w:after="0"/>
        <w:rPr>
          <w:rFonts w:ascii="Arial" w:cs="Arial" w:eastAsia="Arial" w:hAnsi="Arial"/>
          <w:sz w:val="16"/>
          <w:szCs w:val="16"/>
          <w:color w:val="auto"/>
          <w:vertAlign w:val="superscript"/>
        </w:rPr>
      </w:pPr>
      <w:r>
        <w:rPr>
          <w:rFonts w:ascii="Arial" w:cs="Arial" w:eastAsia="Arial" w:hAnsi="Arial"/>
          <w:sz w:val="13"/>
          <w:szCs w:val="13"/>
          <w:color w:val="auto"/>
        </w:rPr>
        <w:t>aggregate number of RSU awards outstanding: Dr. Bassler: 1,548; Dr. Brown: 1,548; Dr. Coles: 1,548; Dr. Goldstein: 1,548; Dr. Guarini: 448;</w:t>
      </w:r>
    </w:p>
    <w:p>
      <w:pPr>
        <w:spacing w:after="0" w:line="12" w:lineRule="exact"/>
        <w:rPr>
          <w:rFonts w:ascii="Arial" w:cs="Arial" w:eastAsia="Arial" w:hAnsi="Arial"/>
          <w:sz w:val="16"/>
          <w:szCs w:val="16"/>
          <w:color w:val="auto"/>
          <w:vertAlign w:val="superscript"/>
        </w:rPr>
      </w:pPr>
    </w:p>
    <w:p>
      <w:pPr>
        <w:ind w:left="320"/>
        <w:spacing w:after="0"/>
        <w:rPr>
          <w:rFonts w:ascii="Arial" w:cs="Arial" w:eastAsia="Arial" w:hAnsi="Arial"/>
          <w:sz w:val="16"/>
          <w:szCs w:val="16"/>
          <w:color w:val="auto"/>
          <w:vertAlign w:val="superscript"/>
        </w:rPr>
      </w:pPr>
      <w:r>
        <w:rPr>
          <w:rFonts w:ascii="Arial" w:cs="Arial" w:eastAsia="Arial" w:hAnsi="Arial"/>
          <w:sz w:val="13"/>
          <w:szCs w:val="13"/>
          <w:color w:val="auto"/>
        </w:rPr>
        <w:t>Ms. Poon: 1,548; Mr. Ryan: 1,548; Dr. Schenkein: 448; Mr. Sing: 1,548; Dr. Thompson: 620; and Dr. Zoghbi: 1,548.</w:t>
      </w:r>
    </w:p>
    <w:p>
      <w:pPr>
        <w:spacing w:after="0" w:line="49" w:lineRule="exact"/>
        <w:rPr>
          <w:sz w:val="20"/>
          <w:szCs w:val="20"/>
          <w:color w:val="auto"/>
        </w:rPr>
      </w:pPr>
    </w:p>
    <w:p>
      <w:pPr>
        <w:ind w:left="320" w:right="499" w:hanging="190"/>
        <w:spacing w:after="0" w:line="236" w:lineRule="auto"/>
        <w:tabs>
          <w:tab w:leader="none" w:pos="320" w:val="left"/>
        </w:tabs>
        <w:numPr>
          <w:ilvl w:val="0"/>
          <w:numId w:val="53"/>
        </w:numPr>
        <w:rPr>
          <w:rFonts w:ascii="Arial" w:cs="Arial" w:eastAsia="Arial" w:hAnsi="Arial"/>
          <w:sz w:val="16"/>
          <w:szCs w:val="16"/>
          <w:color w:val="auto"/>
          <w:vertAlign w:val="superscript"/>
        </w:rPr>
      </w:pPr>
      <w:r>
        <w:rPr>
          <w:rFonts w:ascii="Arial" w:cs="Arial" w:eastAsia="Arial" w:hAnsi="Arial"/>
          <w:sz w:val="13"/>
          <w:szCs w:val="13"/>
          <w:color w:val="auto"/>
        </w:rPr>
        <w:t>See the subsection “Compensation-Related Matters—Compensation Dashboard—Additional Compensation Information—Perquisites and Personal Benefits” for information regarding director air transportation in accordance with guidelines approved by our board of directors.</w:t>
      </w:r>
    </w:p>
    <w:p>
      <w:pPr>
        <w:spacing w:after="0" w:line="5" w:lineRule="exact"/>
        <w:rPr>
          <w:sz w:val="20"/>
          <w:szCs w:val="20"/>
          <w:color w:val="auto"/>
        </w:rPr>
      </w:pPr>
    </w:p>
    <w:p>
      <w:pPr>
        <w:ind w:left="320" w:hanging="190"/>
        <w:spacing w:after="0"/>
        <w:tabs>
          <w:tab w:leader="none" w:pos="320" w:val="left"/>
        </w:tabs>
        <w:numPr>
          <w:ilvl w:val="0"/>
          <w:numId w:val="54"/>
        </w:numPr>
        <w:rPr>
          <w:rFonts w:ascii="Arial" w:cs="Arial" w:eastAsia="Arial" w:hAnsi="Arial"/>
          <w:sz w:val="16"/>
          <w:szCs w:val="16"/>
          <w:color w:val="auto"/>
          <w:vertAlign w:val="superscript"/>
        </w:rPr>
      </w:pPr>
      <w:r>
        <w:rPr>
          <w:rFonts w:ascii="Arial" w:cs="Arial" w:eastAsia="Arial" w:hAnsi="Arial"/>
          <w:sz w:val="13"/>
          <w:szCs w:val="13"/>
          <w:color w:val="auto"/>
        </w:rPr>
        <w:t>Consists of dividends accrued and/or paid in 2025 in respect of outstanding RSU awards.</w:t>
      </w:r>
    </w:p>
    <w:p>
      <w:pPr>
        <w:spacing w:after="0" w:line="48" w:lineRule="exact"/>
        <w:rPr>
          <w:sz w:val="20"/>
          <w:szCs w:val="20"/>
          <w:color w:val="auto"/>
        </w:rPr>
      </w:pPr>
    </w:p>
    <w:p>
      <w:pPr>
        <w:ind w:left="320" w:right="239" w:hanging="190"/>
        <w:spacing w:after="0" w:line="227" w:lineRule="auto"/>
        <w:tabs>
          <w:tab w:leader="none" w:pos="320" w:val="left"/>
        </w:tabs>
        <w:numPr>
          <w:ilvl w:val="0"/>
          <w:numId w:val="55"/>
        </w:numPr>
        <w:rPr>
          <w:rFonts w:ascii="Arial" w:cs="Arial" w:eastAsia="Arial" w:hAnsi="Arial"/>
          <w:sz w:val="16"/>
          <w:szCs w:val="16"/>
          <w:color w:val="auto"/>
          <w:vertAlign w:val="superscript"/>
        </w:rPr>
      </w:pPr>
      <w:r>
        <w:rPr>
          <w:rFonts w:ascii="Arial" w:cs="Arial" w:eastAsia="Arial" w:hAnsi="Arial"/>
          <w:sz w:val="13"/>
          <w:szCs w:val="13"/>
          <w:color w:val="auto"/>
        </w:rPr>
        <w:t>Consists of (i) $5,449 of dividends accrued and/or paid in 2025 in respect of outstanding RSU awards and (ii) $5,000 for a Company contribution paid or payable on or before April 14, 2026 under the Regeneron Matching Gift Program in respect of charitable gifts made in 2025.</w:t>
      </w:r>
    </w:p>
    <w:p>
      <w:pPr>
        <w:spacing w:after="0" w:line="38" w:lineRule="exact"/>
        <w:rPr>
          <w:sz w:val="20"/>
          <w:szCs w:val="20"/>
          <w:color w:val="auto"/>
        </w:rPr>
      </w:pPr>
    </w:p>
    <w:p>
      <w:pPr>
        <w:ind w:left="320" w:right="199" w:hanging="190"/>
        <w:spacing w:after="0" w:line="245" w:lineRule="auto"/>
        <w:tabs>
          <w:tab w:leader="none" w:pos="320" w:val="left"/>
        </w:tabs>
        <w:numPr>
          <w:ilvl w:val="0"/>
          <w:numId w:val="56"/>
        </w:numPr>
        <w:rPr>
          <w:rFonts w:ascii="Arial" w:cs="Arial" w:eastAsia="Arial" w:hAnsi="Arial"/>
          <w:sz w:val="16"/>
          <w:szCs w:val="16"/>
          <w:color w:val="auto"/>
          <w:vertAlign w:val="superscript"/>
        </w:rPr>
      </w:pPr>
      <w:r>
        <w:rPr>
          <w:rFonts w:ascii="Arial" w:cs="Arial" w:eastAsia="Arial" w:hAnsi="Arial"/>
          <w:sz w:val="13"/>
          <w:szCs w:val="13"/>
          <w:color w:val="auto"/>
        </w:rPr>
        <w:t>During 2025, Drs. Coles and Schenkein were appointed as members of the Compensation Committee and Dr. Thompson was appointed as a member of the Corporate Governance and Compliance Committee. Accordingly, each of Drs. Coles, Schenkein, and Thompson received a prorated annual committee retainer for his service on the relevant committee in 2025 based on the applicable date of election to such committee.</w:t>
      </w:r>
    </w:p>
    <w:p>
      <w:pPr>
        <w:spacing w:after="0" w:line="200" w:lineRule="exact"/>
        <w:rPr>
          <w:sz w:val="20"/>
          <w:szCs w:val="20"/>
          <w:color w:val="auto"/>
        </w:rPr>
      </w:pPr>
    </w:p>
    <w:p>
      <w:pPr>
        <w:spacing w:after="0" w:line="358"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065BAA"/>
        </w:rPr>
        <w:t>Proposal No. 1</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25"/>
          <w:szCs w:val="25"/>
          <w:b w:val="1"/>
          <w:bCs w:val="1"/>
          <w:color w:val="auto"/>
        </w:rPr>
        <w:t>Election of Directors</w:t>
      </w:r>
    </w:p>
    <w:p>
      <w:pPr>
        <w:spacing w:after="0" w:line="141" w:lineRule="exact"/>
        <w:rPr>
          <w:sz w:val="20"/>
          <w:szCs w:val="20"/>
          <w:color w:val="auto"/>
        </w:rPr>
      </w:pPr>
    </w:p>
    <w:p>
      <w:pPr>
        <w:ind w:left="400" w:right="839"/>
        <w:spacing w:after="0" w:line="295" w:lineRule="auto"/>
        <w:rPr>
          <w:sz w:val="20"/>
          <w:szCs w:val="20"/>
          <w:color w:val="auto"/>
        </w:rPr>
      </w:pPr>
      <w:r>
        <w:rPr>
          <w:rFonts w:ascii="Arial" w:cs="Arial" w:eastAsia="Arial" w:hAnsi="Arial"/>
          <w:sz w:val="16"/>
          <w:szCs w:val="16"/>
          <w:color w:val="auto"/>
        </w:rPr>
        <w:t>The board of directors, upon the recommendation of the Corporate Governance and Compliance Committee, has nominated for election at the 2026 Annual Meeting Joseph L. Goldstein, M.D., Christine A. Poon, David P. Schenkein, M.D., Craig B. Thompson, M.D., and Huda Y. Zoghbi, M.D. for a one-year term expiring at the 2027 Annual Meeting.</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The board of directors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these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29</w:t>
            </w:r>
          </w:p>
        </w:tc>
      </w:tr>
    </w:tbl>
    <w:p>
      <w:pPr>
        <w:sectPr>
          <w:pgSz w:w="11900" w:h="16838" w:orient="portrait"/>
          <w:cols w:equalWidth="0" w:num="1">
            <w:col w:w="9019"/>
          </w:cols>
          <w:pgMar w:left="1440" w:top="657" w:right="1440" w:bottom="1440" w:gutter="0" w:footer="0" w:header="0"/>
        </w:sectPr>
      </w:pPr>
    </w:p>
    <w:bookmarkStart w:id="38" w:name="page39"/>
    <w:bookmarkEnd w:id="38"/>
    <w:p>
      <w:pPr>
        <w:jc w:val="center"/>
        <w:ind w:right="-20"/>
        <w:spacing w:after="0"/>
        <w:tabs>
          <w:tab w:leader="none" w:pos="260" w:val="left"/>
          <w:tab w:leader="none" w:pos="260" w:val="left"/>
          <w:tab w:leader="none" w:pos="30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r>
      <w:r>
        <w:rPr>
          <w:sz w:val="20"/>
          <w:szCs w:val="20"/>
          <w:color w:val="auto"/>
        </w:rPr>
        <w:tab/>
      </w:r>
      <w:r>
        <w:rPr>
          <w:rFonts w:ascii="Arial" w:cs="Arial" w:eastAsia="Arial" w:hAnsi="Arial"/>
          <w:sz w:val="14"/>
          <w:szCs w:val="14"/>
          <w:b w:val="1"/>
          <w:bCs w:val="1"/>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321" w:lineRule="exact"/>
        <w:rPr>
          <w:sz w:val="20"/>
          <w:szCs w:val="20"/>
          <w:color w:val="auto"/>
        </w:rPr>
      </w:pPr>
    </w:p>
    <w:p>
      <w:pPr>
        <w:ind w:left="60"/>
        <w:spacing w:after="0"/>
        <w:rPr>
          <w:sz w:val="20"/>
          <w:szCs w:val="20"/>
          <w:color w:val="auto"/>
        </w:rPr>
      </w:pPr>
      <w:r>
        <w:rPr>
          <w:rFonts w:ascii="Arial" w:cs="Arial" w:eastAsia="Arial" w:hAnsi="Arial"/>
          <w:sz w:val="52"/>
          <w:szCs w:val="52"/>
          <w:b w:val="1"/>
          <w:bCs w:val="1"/>
          <w:color w:val="auto"/>
        </w:rPr>
        <w:t>Corporate Governance</w:t>
      </w:r>
    </w:p>
    <w:p>
      <w:pPr>
        <w:spacing w:after="0" w:line="200" w:lineRule="exact"/>
        <w:rPr>
          <w:sz w:val="20"/>
          <w:szCs w:val="20"/>
          <w:color w:val="auto"/>
        </w:rPr>
      </w:pPr>
    </w:p>
    <w:p>
      <w:pPr>
        <w:spacing w:after="0" w:line="208"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Governance Overview</w:t>
      </w:r>
    </w:p>
    <w:p>
      <w:pPr>
        <w:spacing w:after="0" w:line="181" w:lineRule="exact"/>
        <w:rPr>
          <w:sz w:val="20"/>
          <w:szCs w:val="20"/>
          <w:color w:val="auto"/>
        </w:rPr>
      </w:pPr>
    </w:p>
    <w:p>
      <w:pPr>
        <w:ind w:left="140" w:right="679"/>
        <w:spacing w:after="0" w:line="301" w:lineRule="auto"/>
        <w:rPr>
          <w:sz w:val="20"/>
          <w:szCs w:val="20"/>
          <w:color w:val="auto"/>
        </w:rPr>
      </w:pPr>
      <w:r>
        <w:rPr>
          <w:rFonts w:ascii="Arial" w:cs="Arial" w:eastAsia="Arial" w:hAnsi="Arial"/>
          <w:sz w:val="16"/>
          <w:szCs w:val="16"/>
          <w:color w:val="auto"/>
        </w:rPr>
        <w:t>Regeneron is committed to good corporate governance, which we believe promotes the long-term interests of shareholders, strengthens the accountability of the board of directors and management, and helps build trust in the Company. The following chart summarizes key information regarding our corporate governance.</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60" w:type="dxa"/>
            <w:vAlign w:val="bottom"/>
            <w:tcBorders>
              <w:bottom w:val="single" w:sz="8" w:color="065BAA"/>
            </w:tcBorders>
          </w:tcPr>
          <w:p>
            <w:pPr>
              <w:ind w:left="80"/>
              <w:spacing w:after="0"/>
              <w:rPr>
                <w:sz w:val="20"/>
                <w:szCs w:val="20"/>
                <w:color w:val="auto"/>
              </w:rPr>
            </w:pPr>
            <w:r>
              <w:rPr>
                <w:rFonts w:ascii="Arial" w:cs="Arial" w:eastAsia="Arial" w:hAnsi="Arial"/>
                <w:sz w:val="14"/>
                <w:szCs w:val="14"/>
                <w:b w:val="1"/>
                <w:bCs w:val="1"/>
                <w:color w:val="065BAA"/>
              </w:rPr>
              <w:t>Board and Other Governance Information</w:t>
            </w:r>
          </w:p>
        </w:tc>
        <w:tc>
          <w:tcPr>
            <w:tcW w:w="1300" w:type="dxa"/>
            <w:vAlign w:val="bottom"/>
            <w:tcBorders>
              <w:bottom w:val="single" w:sz="8" w:color="065BAA"/>
            </w:tcBorders>
          </w:tcPr>
          <w:p>
            <w:pPr>
              <w:jc w:val="right"/>
              <w:spacing w:after="0"/>
              <w:rPr>
                <w:sz w:val="20"/>
                <w:szCs w:val="20"/>
                <w:color w:val="auto"/>
              </w:rPr>
            </w:pPr>
            <w:r>
              <w:rPr>
                <w:rFonts w:ascii="Arial" w:cs="Arial" w:eastAsia="Arial" w:hAnsi="Arial"/>
                <w:sz w:val="14"/>
                <w:szCs w:val="14"/>
                <w:b w:val="1"/>
                <w:bCs w:val="1"/>
                <w:color w:val="065BAA"/>
              </w:rPr>
              <w:t>2026</w:t>
            </w:r>
          </w:p>
        </w:tc>
      </w:tr>
      <w:tr>
        <w:trPr>
          <w:trHeight w:val="209"/>
        </w:trPr>
        <w:tc>
          <w:tcPr>
            <w:tcW w:w="7460" w:type="dxa"/>
            <w:vAlign w:val="bottom"/>
          </w:tcPr>
          <w:p>
            <w:pPr>
              <w:ind w:left="80"/>
              <w:spacing w:after="0"/>
              <w:rPr>
                <w:sz w:val="20"/>
                <w:szCs w:val="20"/>
                <w:color w:val="auto"/>
              </w:rPr>
            </w:pPr>
            <w:r>
              <w:rPr>
                <w:rFonts w:ascii="Arial" w:cs="Arial" w:eastAsia="Arial" w:hAnsi="Arial"/>
                <w:sz w:val="16"/>
                <w:szCs w:val="16"/>
                <w:color w:val="auto"/>
              </w:rPr>
              <w:t>Size of Board</w:t>
            </w:r>
          </w:p>
        </w:tc>
        <w:tc>
          <w:tcPr>
            <w:tcW w:w="13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30"/>
        </w:trPr>
        <w:tc>
          <w:tcPr>
            <w:tcW w:w="7460" w:type="dxa"/>
            <w:vAlign w:val="bottom"/>
            <w:shd w:val="clear" w:color="auto" w:fill="DAEBF8"/>
          </w:tcPr>
          <w:p>
            <w:pPr>
              <w:ind w:left="80"/>
              <w:spacing w:after="0"/>
              <w:rPr>
                <w:sz w:val="20"/>
                <w:szCs w:val="20"/>
                <w:color w:val="auto"/>
              </w:rPr>
            </w:pPr>
            <w:r>
              <w:rPr>
                <w:rFonts w:ascii="Arial" w:cs="Arial" w:eastAsia="Arial" w:hAnsi="Arial"/>
                <w:sz w:val="16"/>
                <w:szCs w:val="16"/>
                <w:color w:val="auto"/>
              </w:rPr>
              <w:t>Number of Independent Directors</w:t>
            </w:r>
          </w:p>
        </w:tc>
        <w:tc>
          <w:tcPr>
            <w:tcW w:w="13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11</w:t>
            </w:r>
          </w:p>
        </w:tc>
      </w:tr>
      <w:tr>
        <w:trPr>
          <w:trHeight w:val="229"/>
        </w:trPr>
        <w:tc>
          <w:tcPr>
            <w:tcW w:w="7460" w:type="dxa"/>
            <w:vAlign w:val="bottom"/>
          </w:tcPr>
          <w:p>
            <w:pPr>
              <w:ind w:left="80"/>
              <w:spacing w:after="0"/>
              <w:rPr>
                <w:sz w:val="20"/>
                <w:szCs w:val="20"/>
                <w:color w:val="auto"/>
              </w:rPr>
            </w:pPr>
            <w:r>
              <w:rPr>
                <w:rFonts w:ascii="Arial" w:cs="Arial" w:eastAsia="Arial" w:hAnsi="Arial"/>
                <w:sz w:val="16"/>
                <w:szCs w:val="16"/>
                <w:color w:val="auto"/>
              </w:rPr>
              <w:t>Lead Independent Director</w:t>
            </w:r>
          </w:p>
        </w:tc>
        <w:tc>
          <w:tcPr>
            <w:tcW w:w="1300" w:type="dxa"/>
            <w:vAlign w:val="bottom"/>
          </w:tcPr>
          <w:p>
            <w:pPr>
              <w:spacing w:after="0"/>
              <w:rPr>
                <w:sz w:val="19"/>
                <w:szCs w:val="19"/>
                <w:color w:val="auto"/>
              </w:rPr>
            </w:pPr>
          </w:p>
        </w:tc>
      </w:tr>
      <w:tr>
        <w:trPr>
          <w:trHeight w:val="229"/>
        </w:trPr>
        <w:tc>
          <w:tcPr>
            <w:tcW w:w="7460" w:type="dxa"/>
            <w:vAlign w:val="bottom"/>
            <w:shd w:val="clear" w:color="auto" w:fill="DAEBF8"/>
          </w:tcPr>
          <w:p>
            <w:pPr>
              <w:ind w:left="80"/>
              <w:spacing w:after="0"/>
              <w:rPr>
                <w:sz w:val="20"/>
                <w:szCs w:val="20"/>
                <w:color w:val="auto"/>
              </w:rPr>
            </w:pPr>
            <w:r>
              <w:rPr>
                <w:rFonts w:ascii="Arial" w:cs="Arial" w:eastAsia="Arial" w:hAnsi="Arial"/>
                <w:sz w:val="16"/>
                <w:szCs w:val="16"/>
                <w:color w:val="auto"/>
              </w:rPr>
              <w:t>Annual Election of Directors*</w:t>
            </w:r>
          </w:p>
        </w:tc>
        <w:tc>
          <w:tcPr>
            <w:tcW w:w="1300" w:type="dxa"/>
            <w:vAlign w:val="bottom"/>
            <w:shd w:val="clear" w:color="auto" w:fill="DAEBF8"/>
          </w:tcPr>
          <w:p>
            <w:pPr>
              <w:spacing w:after="0"/>
              <w:rPr>
                <w:sz w:val="19"/>
                <w:szCs w:val="19"/>
                <w:color w:val="auto"/>
              </w:rPr>
            </w:pPr>
          </w:p>
        </w:tc>
      </w:tr>
      <w:tr>
        <w:trPr>
          <w:trHeight w:val="249"/>
        </w:trPr>
        <w:tc>
          <w:tcPr>
            <w:tcW w:w="7460" w:type="dxa"/>
            <w:vAlign w:val="bottom"/>
          </w:tcPr>
          <w:p>
            <w:pPr>
              <w:ind w:left="80"/>
              <w:spacing w:after="0"/>
              <w:rPr>
                <w:sz w:val="20"/>
                <w:szCs w:val="20"/>
                <w:color w:val="auto"/>
              </w:rPr>
            </w:pPr>
            <w:r>
              <w:rPr>
                <w:rFonts w:ascii="Arial" w:cs="Arial" w:eastAsia="Arial" w:hAnsi="Arial"/>
                <w:sz w:val="16"/>
                <w:szCs w:val="16"/>
                <w:color w:val="auto"/>
              </w:rPr>
              <w:t>Majority Voting in the Election of Directors</w:t>
            </w:r>
          </w:p>
        </w:tc>
        <w:tc>
          <w:tcPr>
            <w:tcW w:w="1300" w:type="dxa"/>
            <w:vAlign w:val="bottom"/>
          </w:tcPr>
          <w:p>
            <w:pPr>
              <w:spacing w:after="0"/>
              <w:rPr>
                <w:sz w:val="21"/>
                <w:szCs w:val="21"/>
                <w:color w:val="auto"/>
              </w:rPr>
            </w:pPr>
          </w:p>
        </w:tc>
      </w:tr>
      <w:tr>
        <w:trPr>
          <w:trHeight w:val="237"/>
        </w:trPr>
        <w:tc>
          <w:tcPr>
            <w:tcW w:w="7460" w:type="dxa"/>
            <w:vAlign w:val="bottom"/>
            <w:shd w:val="clear" w:color="auto" w:fill="DAEBF8"/>
          </w:tcPr>
          <w:p>
            <w:pPr>
              <w:ind w:left="80"/>
              <w:spacing w:after="0"/>
              <w:rPr>
                <w:sz w:val="20"/>
                <w:szCs w:val="20"/>
                <w:color w:val="auto"/>
              </w:rPr>
            </w:pPr>
            <w:r>
              <w:rPr>
                <w:rFonts w:ascii="Arial" w:cs="Arial" w:eastAsia="Arial" w:hAnsi="Arial"/>
                <w:sz w:val="16"/>
                <w:szCs w:val="16"/>
                <w:color w:val="auto"/>
              </w:rPr>
              <w:t>Director Resignation Policy</w:t>
            </w:r>
          </w:p>
        </w:tc>
        <w:tc>
          <w:tcPr>
            <w:tcW w:w="1300" w:type="dxa"/>
            <w:vAlign w:val="bottom"/>
            <w:shd w:val="clear" w:color="auto" w:fill="DAEBF8"/>
          </w:tcPr>
          <w:p>
            <w:pPr>
              <w:spacing w:after="0"/>
              <w:rPr>
                <w:sz w:val="20"/>
                <w:szCs w:val="20"/>
                <w:color w:val="auto"/>
              </w:rPr>
            </w:pPr>
          </w:p>
        </w:tc>
      </w:tr>
      <w:tr>
        <w:trPr>
          <w:trHeight w:val="230"/>
        </w:trPr>
        <w:tc>
          <w:tcPr>
            <w:tcW w:w="7460" w:type="dxa"/>
            <w:vAlign w:val="bottom"/>
          </w:tcPr>
          <w:p>
            <w:pPr>
              <w:ind w:left="80"/>
              <w:spacing w:after="0"/>
              <w:rPr>
                <w:sz w:val="20"/>
                <w:szCs w:val="20"/>
                <w:color w:val="auto"/>
              </w:rPr>
            </w:pPr>
            <w:r>
              <w:rPr>
                <w:rFonts w:ascii="Arial" w:cs="Arial" w:eastAsia="Arial" w:hAnsi="Arial"/>
                <w:sz w:val="16"/>
                <w:szCs w:val="16"/>
                <w:color w:val="auto"/>
              </w:rPr>
              <w:t>Director Time Commitment Policy</w:t>
            </w:r>
          </w:p>
        </w:tc>
        <w:tc>
          <w:tcPr>
            <w:tcW w:w="1300" w:type="dxa"/>
            <w:vAlign w:val="bottom"/>
          </w:tcPr>
          <w:p>
            <w:pPr>
              <w:spacing w:after="0"/>
              <w:rPr>
                <w:sz w:val="19"/>
                <w:szCs w:val="19"/>
                <w:color w:val="auto"/>
              </w:rPr>
            </w:pPr>
          </w:p>
        </w:tc>
      </w:tr>
      <w:tr>
        <w:trPr>
          <w:trHeight w:val="229"/>
        </w:trPr>
        <w:tc>
          <w:tcPr>
            <w:tcW w:w="7460" w:type="dxa"/>
            <w:vAlign w:val="bottom"/>
            <w:shd w:val="clear" w:color="auto" w:fill="DAEBF8"/>
          </w:tcPr>
          <w:p>
            <w:pPr>
              <w:ind w:left="80"/>
              <w:spacing w:after="0"/>
              <w:rPr>
                <w:sz w:val="20"/>
                <w:szCs w:val="20"/>
                <w:color w:val="auto"/>
              </w:rPr>
            </w:pPr>
            <w:r>
              <w:rPr>
                <w:rFonts w:ascii="Arial" w:cs="Arial" w:eastAsia="Arial" w:hAnsi="Arial"/>
                <w:sz w:val="16"/>
                <w:szCs w:val="16"/>
                <w:color w:val="auto"/>
              </w:rPr>
              <w:t>Number of Meetings of the Board of Directors Held in 2025</w:t>
            </w:r>
          </w:p>
        </w:tc>
        <w:tc>
          <w:tcPr>
            <w:tcW w:w="13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15</w:t>
            </w:r>
          </w:p>
        </w:tc>
      </w:tr>
      <w:tr>
        <w:trPr>
          <w:trHeight w:val="230"/>
        </w:trPr>
        <w:tc>
          <w:tcPr>
            <w:tcW w:w="7460" w:type="dxa"/>
            <w:vAlign w:val="bottom"/>
          </w:tcPr>
          <w:p>
            <w:pPr>
              <w:ind w:left="80"/>
              <w:spacing w:after="0"/>
              <w:rPr>
                <w:sz w:val="20"/>
                <w:szCs w:val="20"/>
                <w:color w:val="auto"/>
              </w:rPr>
            </w:pPr>
            <w:r>
              <w:rPr>
                <w:rFonts w:ascii="Arial" w:cs="Arial" w:eastAsia="Arial" w:hAnsi="Arial"/>
                <w:sz w:val="16"/>
                <w:szCs w:val="16"/>
                <w:color w:val="auto"/>
              </w:rPr>
              <w:t>Executive Sessions of Independent Directors without Management Present</w:t>
            </w:r>
          </w:p>
        </w:tc>
        <w:tc>
          <w:tcPr>
            <w:tcW w:w="1300" w:type="dxa"/>
            <w:vAlign w:val="bottom"/>
          </w:tcPr>
          <w:p>
            <w:pPr>
              <w:spacing w:after="0"/>
              <w:rPr>
                <w:sz w:val="19"/>
                <w:szCs w:val="19"/>
                <w:color w:val="auto"/>
              </w:rPr>
            </w:pPr>
          </w:p>
        </w:tc>
      </w:tr>
      <w:tr>
        <w:trPr>
          <w:trHeight w:val="229"/>
        </w:trPr>
        <w:tc>
          <w:tcPr>
            <w:tcW w:w="7460" w:type="dxa"/>
            <w:vAlign w:val="bottom"/>
            <w:shd w:val="clear" w:color="auto" w:fill="DAEBF8"/>
          </w:tcPr>
          <w:p>
            <w:pPr>
              <w:ind w:left="80"/>
              <w:spacing w:after="0"/>
              <w:rPr>
                <w:sz w:val="20"/>
                <w:szCs w:val="20"/>
                <w:color w:val="auto"/>
              </w:rPr>
            </w:pPr>
            <w:r>
              <w:rPr>
                <w:rFonts w:ascii="Arial" w:cs="Arial" w:eastAsia="Arial" w:hAnsi="Arial"/>
                <w:sz w:val="16"/>
                <w:szCs w:val="16"/>
                <w:color w:val="auto"/>
              </w:rPr>
              <w:t>Code of Business Conduct and Ethics Applicable to All Employees, Officers, and Directors</w:t>
            </w:r>
          </w:p>
        </w:tc>
        <w:tc>
          <w:tcPr>
            <w:tcW w:w="1300" w:type="dxa"/>
            <w:vAlign w:val="bottom"/>
            <w:shd w:val="clear" w:color="auto" w:fill="DAEBF8"/>
          </w:tcPr>
          <w:p>
            <w:pPr>
              <w:spacing w:after="0"/>
              <w:rPr>
                <w:sz w:val="19"/>
                <w:szCs w:val="19"/>
                <w:color w:val="auto"/>
              </w:rPr>
            </w:pPr>
          </w:p>
        </w:tc>
      </w:tr>
    </w:tbl>
    <w:p>
      <w:pPr>
        <w:spacing w:after="0" w:line="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Annual Board and Committee Self-Evaluations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Stock Ownership Guidelines for Directors and Senior Executives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Annual Say-on-Pay Vote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Active Shareholder Engagement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Shareholder Right to Call Special Shareholder Meeting</w:t>
      </w:r>
    </w:p>
    <w:p>
      <w:pPr>
        <w:spacing w:after="0" w:line="150" w:lineRule="exact"/>
        <w:rPr>
          <w:sz w:val="20"/>
          <w:szCs w:val="20"/>
          <w:color w:val="auto"/>
        </w:rPr>
      </w:pPr>
    </w:p>
    <w:p>
      <w:pPr>
        <w:ind w:left="320" w:hanging="190"/>
        <w:spacing w:after="0"/>
        <w:tabs>
          <w:tab w:leader="none" w:pos="3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 the process of being phased in, with all directors to be elected annually commencing in 2028.</w:t>
      </w:r>
    </w:p>
    <w:p>
      <w:pPr>
        <w:spacing w:after="0" w:line="232" w:lineRule="exact"/>
        <w:rPr>
          <w:sz w:val="20"/>
          <w:szCs w:val="20"/>
          <w:color w:val="auto"/>
        </w:rPr>
      </w:pPr>
    </w:p>
    <w:p>
      <w:pPr>
        <w:ind w:left="140" w:right="319"/>
        <w:spacing w:after="0" w:line="291" w:lineRule="auto"/>
        <w:rPr>
          <w:sz w:val="20"/>
          <w:szCs w:val="20"/>
          <w:color w:val="auto"/>
        </w:rPr>
      </w:pPr>
      <w:r>
        <w:rPr>
          <w:rFonts w:ascii="Arial" w:cs="Arial" w:eastAsia="Arial" w:hAnsi="Arial"/>
          <w:sz w:val="16"/>
          <w:szCs w:val="16"/>
          <w:color w:val="auto"/>
        </w:rPr>
        <w:t>Our corporate governance has been enhanced based on shareholder feedback over the last 10+ years, including by the changes to governance policies and practices shown below. See “Compensation-Related Matters—Compensation Discussion and Analysis—Compensation Processes—Shareholder Input and Outreach and the 2025 Say-on-Pay Vote Result” for more information regarding recent changes to Regeneron’s compensation program adopted in response to shareholder input.</w:t>
      </w:r>
    </w:p>
    <w:p>
      <w:pPr>
        <w:spacing w:after="0" w:line="247" w:lineRule="exact"/>
        <w:rPr>
          <w:sz w:val="20"/>
          <w:szCs w:val="20"/>
          <w:color w:val="auto"/>
        </w:rPr>
      </w:pPr>
    </w:p>
    <w:tbl>
      <w:tblPr>
        <w:tblLayout w:type="fixed"/>
        <w:tblInd w:w="280" w:type="dxa"/>
        <w:tblCellMar>
          <w:top w:w="0" w:type="dxa"/>
          <w:left w:w="0" w:type="dxa"/>
          <w:bottom w:w="0" w:type="dxa"/>
          <w:right w:w="0" w:type="dxa"/>
        </w:tblCellMar>
      </w:tblPr>
      <w:tr>
        <w:trPr>
          <w:trHeight w:val="297"/>
        </w:trPr>
        <w:tc>
          <w:tcPr>
            <w:tcW w:w="1600" w:type="dxa"/>
            <w:vAlign w:val="bottom"/>
          </w:tcPr>
          <w:p>
            <w:pPr>
              <w:spacing w:after="0"/>
              <w:rPr>
                <w:sz w:val="20"/>
                <w:szCs w:val="20"/>
                <w:color w:val="auto"/>
              </w:rPr>
            </w:pPr>
            <w:r>
              <w:rPr>
                <w:rFonts w:ascii="Arial" w:cs="Arial" w:eastAsia="Arial" w:hAnsi="Arial"/>
                <w:sz w:val="22"/>
                <w:szCs w:val="22"/>
                <w:b w:val="1"/>
                <w:bCs w:val="1"/>
                <w:color w:val="auto"/>
              </w:rPr>
              <w:t>2014</w:t>
            </w:r>
          </w:p>
        </w:tc>
        <w:tc>
          <w:tcPr>
            <w:tcW w:w="1740" w:type="dxa"/>
            <w:vAlign w:val="bottom"/>
            <w:gridSpan w:val="2"/>
          </w:tcPr>
          <w:p>
            <w:pPr>
              <w:jc w:val="right"/>
              <w:ind w:right="917"/>
              <w:spacing w:after="0"/>
              <w:rPr>
                <w:sz w:val="20"/>
                <w:szCs w:val="20"/>
                <w:color w:val="auto"/>
              </w:rPr>
            </w:pPr>
            <w:r>
              <w:rPr>
                <w:rFonts w:ascii="Arial" w:cs="Arial" w:eastAsia="Arial" w:hAnsi="Arial"/>
                <w:sz w:val="22"/>
                <w:szCs w:val="22"/>
                <w:b w:val="1"/>
                <w:bCs w:val="1"/>
                <w:color w:val="auto"/>
              </w:rPr>
              <w:t>2016</w:t>
            </w:r>
          </w:p>
        </w:tc>
        <w:tc>
          <w:tcPr>
            <w:tcW w:w="1740" w:type="dxa"/>
            <w:vAlign w:val="bottom"/>
            <w:gridSpan w:val="2"/>
          </w:tcPr>
          <w:p>
            <w:pPr>
              <w:jc w:val="right"/>
              <w:ind w:right="916"/>
              <w:spacing w:after="0"/>
              <w:rPr>
                <w:sz w:val="20"/>
                <w:szCs w:val="20"/>
                <w:color w:val="auto"/>
              </w:rPr>
            </w:pPr>
            <w:r>
              <w:rPr>
                <w:rFonts w:ascii="Arial" w:cs="Arial" w:eastAsia="Arial" w:hAnsi="Arial"/>
                <w:sz w:val="22"/>
                <w:szCs w:val="22"/>
                <w:b w:val="1"/>
                <w:bCs w:val="1"/>
                <w:color w:val="auto"/>
              </w:rPr>
              <w:t>2022</w:t>
            </w:r>
          </w:p>
        </w:tc>
        <w:tc>
          <w:tcPr>
            <w:tcW w:w="1700" w:type="dxa"/>
            <w:vAlign w:val="bottom"/>
            <w:gridSpan w:val="2"/>
          </w:tcPr>
          <w:p>
            <w:pPr>
              <w:jc w:val="right"/>
              <w:ind w:right="876"/>
              <w:spacing w:after="0"/>
              <w:rPr>
                <w:sz w:val="20"/>
                <w:szCs w:val="20"/>
                <w:color w:val="auto"/>
              </w:rPr>
            </w:pPr>
            <w:r>
              <w:rPr>
                <w:rFonts w:ascii="Arial" w:cs="Arial" w:eastAsia="Arial" w:hAnsi="Arial"/>
                <w:sz w:val="22"/>
                <w:szCs w:val="22"/>
                <w:b w:val="1"/>
                <w:bCs w:val="1"/>
                <w:color w:val="auto"/>
              </w:rPr>
              <w:t>2023</w:t>
            </w:r>
          </w:p>
        </w:tc>
        <w:tc>
          <w:tcPr>
            <w:tcW w:w="1580" w:type="dxa"/>
            <w:vAlign w:val="bottom"/>
            <w:gridSpan w:val="2"/>
          </w:tcPr>
          <w:p>
            <w:pPr>
              <w:jc w:val="right"/>
              <w:ind w:right="737"/>
              <w:spacing w:after="0"/>
              <w:rPr>
                <w:sz w:val="20"/>
                <w:szCs w:val="20"/>
                <w:color w:val="auto"/>
              </w:rPr>
            </w:pPr>
            <w:r>
              <w:rPr>
                <w:rFonts w:ascii="Arial" w:cs="Arial" w:eastAsia="Arial" w:hAnsi="Arial"/>
                <w:sz w:val="22"/>
                <w:szCs w:val="22"/>
                <w:b w:val="1"/>
                <w:bCs w:val="1"/>
                <w:color w:val="auto"/>
              </w:rPr>
              <w:t>2025</w:t>
            </w:r>
          </w:p>
        </w:tc>
        <w:tc>
          <w:tcPr>
            <w:tcW w:w="0" w:type="dxa"/>
            <w:vAlign w:val="bottom"/>
          </w:tcPr>
          <w:p>
            <w:pPr>
              <w:spacing w:after="0"/>
              <w:rPr>
                <w:sz w:val="1"/>
                <w:szCs w:val="1"/>
                <w:color w:val="auto"/>
              </w:rPr>
            </w:pPr>
          </w:p>
        </w:tc>
      </w:tr>
      <w:tr>
        <w:trPr>
          <w:trHeight w:val="69"/>
        </w:trPr>
        <w:tc>
          <w:tcPr>
            <w:tcW w:w="1600" w:type="dxa"/>
            <w:vAlign w:val="bottom"/>
            <w:vMerge w:val="restart"/>
          </w:tcPr>
          <w:p>
            <w:pPr>
              <w:spacing w:after="0"/>
              <w:rPr>
                <w:sz w:val="20"/>
                <w:szCs w:val="20"/>
                <w:color w:val="auto"/>
              </w:rPr>
            </w:pPr>
            <w:r>
              <w:rPr>
                <w:rFonts w:ascii="Arial" w:cs="Arial" w:eastAsia="Arial" w:hAnsi="Arial"/>
                <w:sz w:val="18"/>
                <w:szCs w:val="18"/>
                <w:b w:val="1"/>
                <w:bCs w:val="1"/>
                <w:color w:val="065BAA"/>
              </w:rPr>
              <w:t>January</w:t>
            </w:r>
          </w:p>
        </w:tc>
        <w:tc>
          <w:tcPr>
            <w:tcW w:w="20" w:type="dxa"/>
            <w:vAlign w:val="bottom"/>
          </w:tcPr>
          <w:p>
            <w:pPr>
              <w:spacing w:after="0"/>
              <w:rPr>
                <w:sz w:val="5"/>
                <w:szCs w:val="5"/>
                <w:color w:val="auto"/>
              </w:rPr>
            </w:pPr>
          </w:p>
        </w:tc>
        <w:tc>
          <w:tcPr>
            <w:tcW w:w="1720" w:type="dxa"/>
            <w:vAlign w:val="bottom"/>
            <w:vMerge w:val="restart"/>
          </w:tcPr>
          <w:p>
            <w:pPr>
              <w:ind w:left="120"/>
              <w:spacing w:after="0"/>
              <w:rPr>
                <w:sz w:val="20"/>
                <w:szCs w:val="20"/>
                <w:color w:val="auto"/>
              </w:rPr>
            </w:pPr>
            <w:r>
              <w:rPr>
                <w:rFonts w:ascii="Arial" w:cs="Arial" w:eastAsia="Arial" w:hAnsi="Arial"/>
                <w:sz w:val="18"/>
                <w:szCs w:val="18"/>
                <w:b w:val="1"/>
                <w:bCs w:val="1"/>
                <w:color w:val="065BAA"/>
              </w:rPr>
              <w:t>January</w:t>
            </w:r>
          </w:p>
        </w:tc>
        <w:tc>
          <w:tcPr>
            <w:tcW w:w="20" w:type="dxa"/>
            <w:vAlign w:val="bottom"/>
          </w:tcPr>
          <w:p>
            <w:pPr>
              <w:spacing w:after="0"/>
              <w:rPr>
                <w:sz w:val="5"/>
                <w:szCs w:val="5"/>
                <w:color w:val="auto"/>
              </w:rPr>
            </w:pPr>
          </w:p>
        </w:tc>
        <w:tc>
          <w:tcPr>
            <w:tcW w:w="1720" w:type="dxa"/>
            <w:vAlign w:val="bottom"/>
            <w:vMerge w:val="restart"/>
          </w:tcPr>
          <w:p>
            <w:pPr>
              <w:ind w:left="120"/>
              <w:spacing w:after="0"/>
              <w:rPr>
                <w:sz w:val="20"/>
                <w:szCs w:val="20"/>
                <w:color w:val="auto"/>
              </w:rPr>
            </w:pPr>
            <w:r>
              <w:rPr>
                <w:rFonts w:ascii="Arial" w:cs="Arial" w:eastAsia="Arial" w:hAnsi="Arial"/>
                <w:sz w:val="18"/>
                <w:szCs w:val="18"/>
                <w:b w:val="1"/>
                <w:bCs w:val="1"/>
                <w:color w:val="065BAA"/>
              </w:rPr>
              <w:t>June</w:t>
            </w:r>
          </w:p>
        </w:tc>
        <w:tc>
          <w:tcPr>
            <w:tcW w:w="20" w:type="dxa"/>
            <w:vAlign w:val="bottom"/>
          </w:tcPr>
          <w:p>
            <w:pPr>
              <w:spacing w:after="0"/>
              <w:rPr>
                <w:sz w:val="5"/>
                <w:szCs w:val="5"/>
                <w:color w:val="auto"/>
              </w:rPr>
            </w:pPr>
          </w:p>
        </w:tc>
        <w:tc>
          <w:tcPr>
            <w:tcW w:w="1680" w:type="dxa"/>
            <w:vAlign w:val="bottom"/>
            <w:vMerge w:val="restart"/>
          </w:tcPr>
          <w:p>
            <w:pPr>
              <w:ind w:left="120"/>
              <w:spacing w:after="0"/>
              <w:rPr>
                <w:sz w:val="20"/>
                <w:szCs w:val="20"/>
                <w:color w:val="auto"/>
              </w:rPr>
            </w:pPr>
            <w:r>
              <w:rPr>
                <w:rFonts w:ascii="Arial" w:cs="Arial" w:eastAsia="Arial" w:hAnsi="Arial"/>
                <w:sz w:val="18"/>
                <w:szCs w:val="18"/>
                <w:b w:val="1"/>
                <w:bCs w:val="1"/>
                <w:color w:val="065BAA"/>
              </w:rPr>
              <w:t>June</w:t>
            </w:r>
          </w:p>
        </w:tc>
        <w:tc>
          <w:tcPr>
            <w:tcW w:w="20" w:type="dxa"/>
            <w:vAlign w:val="bottom"/>
          </w:tcPr>
          <w:p>
            <w:pPr>
              <w:spacing w:after="0"/>
              <w:rPr>
                <w:sz w:val="5"/>
                <w:szCs w:val="5"/>
                <w:color w:val="auto"/>
              </w:rPr>
            </w:pPr>
          </w:p>
        </w:tc>
        <w:tc>
          <w:tcPr>
            <w:tcW w:w="1560" w:type="dxa"/>
            <w:vAlign w:val="bottom"/>
            <w:vMerge w:val="restart"/>
          </w:tcPr>
          <w:p>
            <w:pPr>
              <w:ind w:left="140"/>
              <w:spacing w:after="0"/>
              <w:rPr>
                <w:sz w:val="20"/>
                <w:szCs w:val="20"/>
                <w:color w:val="auto"/>
              </w:rPr>
            </w:pPr>
            <w:r>
              <w:rPr>
                <w:rFonts w:ascii="Arial" w:cs="Arial" w:eastAsia="Arial" w:hAnsi="Arial"/>
                <w:sz w:val="18"/>
                <w:szCs w:val="18"/>
                <w:b w:val="1"/>
                <w:bCs w:val="1"/>
                <w:color w:val="065BAA"/>
              </w:rPr>
              <w:t>June</w:t>
            </w:r>
          </w:p>
        </w:tc>
        <w:tc>
          <w:tcPr>
            <w:tcW w:w="0" w:type="dxa"/>
            <w:vAlign w:val="bottom"/>
          </w:tcPr>
          <w:p>
            <w:pPr>
              <w:spacing w:after="0"/>
              <w:rPr>
                <w:sz w:val="1"/>
                <w:szCs w:val="1"/>
                <w:color w:val="auto"/>
              </w:rPr>
            </w:pPr>
          </w:p>
        </w:tc>
      </w:tr>
      <w:tr>
        <w:trPr>
          <w:trHeight w:val="430"/>
        </w:trPr>
        <w:tc>
          <w:tcPr>
            <w:tcW w:w="1600" w:type="dxa"/>
            <w:vAlign w:val="bottom"/>
            <w:vMerge w:val="continue"/>
          </w:tcPr>
          <w:p>
            <w:pPr>
              <w:spacing w:after="0"/>
              <w:rPr>
                <w:sz w:val="24"/>
                <w:szCs w:val="24"/>
                <w:color w:val="auto"/>
              </w:rPr>
            </w:pPr>
          </w:p>
        </w:tc>
        <w:tc>
          <w:tcPr>
            <w:tcW w:w="20" w:type="dxa"/>
            <w:vAlign w:val="bottom"/>
            <w:shd w:val="clear" w:color="auto" w:fill="065BAA"/>
          </w:tcPr>
          <w:p>
            <w:pPr>
              <w:spacing w:after="0"/>
              <w:rPr>
                <w:sz w:val="24"/>
                <w:szCs w:val="24"/>
                <w:color w:val="auto"/>
              </w:rPr>
            </w:pPr>
          </w:p>
        </w:tc>
        <w:tc>
          <w:tcPr>
            <w:tcW w:w="1720" w:type="dxa"/>
            <w:vAlign w:val="bottom"/>
            <w:vMerge w:val="continue"/>
          </w:tcPr>
          <w:p>
            <w:pPr>
              <w:spacing w:after="0"/>
              <w:rPr>
                <w:sz w:val="24"/>
                <w:szCs w:val="24"/>
                <w:color w:val="auto"/>
              </w:rPr>
            </w:pPr>
          </w:p>
        </w:tc>
        <w:tc>
          <w:tcPr>
            <w:tcW w:w="20" w:type="dxa"/>
            <w:vAlign w:val="bottom"/>
            <w:shd w:val="clear" w:color="auto" w:fill="065BAA"/>
          </w:tcPr>
          <w:p>
            <w:pPr>
              <w:spacing w:after="0"/>
              <w:rPr>
                <w:sz w:val="24"/>
                <w:szCs w:val="24"/>
                <w:color w:val="auto"/>
              </w:rPr>
            </w:pPr>
          </w:p>
        </w:tc>
        <w:tc>
          <w:tcPr>
            <w:tcW w:w="1720" w:type="dxa"/>
            <w:vAlign w:val="bottom"/>
            <w:vMerge w:val="continue"/>
          </w:tcPr>
          <w:p>
            <w:pPr>
              <w:spacing w:after="0"/>
              <w:rPr>
                <w:sz w:val="24"/>
                <w:szCs w:val="24"/>
                <w:color w:val="auto"/>
              </w:rPr>
            </w:pPr>
          </w:p>
        </w:tc>
        <w:tc>
          <w:tcPr>
            <w:tcW w:w="20" w:type="dxa"/>
            <w:vAlign w:val="bottom"/>
            <w:shd w:val="clear" w:color="auto" w:fill="065BAA"/>
          </w:tcPr>
          <w:p>
            <w:pPr>
              <w:spacing w:after="0"/>
              <w:rPr>
                <w:sz w:val="24"/>
                <w:szCs w:val="24"/>
                <w:color w:val="auto"/>
              </w:rPr>
            </w:pPr>
          </w:p>
        </w:tc>
        <w:tc>
          <w:tcPr>
            <w:tcW w:w="1680" w:type="dxa"/>
            <w:vAlign w:val="bottom"/>
            <w:vMerge w:val="continue"/>
          </w:tcPr>
          <w:p>
            <w:pPr>
              <w:spacing w:after="0"/>
              <w:rPr>
                <w:sz w:val="24"/>
                <w:szCs w:val="24"/>
                <w:color w:val="auto"/>
              </w:rPr>
            </w:pPr>
          </w:p>
        </w:tc>
        <w:tc>
          <w:tcPr>
            <w:tcW w:w="20" w:type="dxa"/>
            <w:vAlign w:val="bottom"/>
            <w:shd w:val="clear" w:color="auto" w:fill="065BAA"/>
          </w:tcPr>
          <w:p>
            <w:pPr>
              <w:spacing w:after="0"/>
              <w:rPr>
                <w:sz w:val="24"/>
                <w:szCs w:val="24"/>
                <w:color w:val="auto"/>
              </w:rPr>
            </w:pPr>
          </w:p>
        </w:tc>
        <w:tc>
          <w:tcPr>
            <w:tcW w:w="1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6"/>
                <w:szCs w:val="16"/>
                <w:color w:val="auto"/>
              </w:rPr>
              <w:t>Director</w:t>
            </w:r>
          </w:p>
        </w:tc>
        <w:tc>
          <w:tcPr>
            <w:tcW w:w="20" w:type="dxa"/>
            <w:vAlign w:val="bottom"/>
            <w:shd w:val="clear" w:color="auto" w:fill="065BAA"/>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6"/>
                <w:szCs w:val="16"/>
                <w:color w:val="auto"/>
              </w:rPr>
              <w:t>Majority Voting</w:t>
            </w:r>
          </w:p>
        </w:tc>
        <w:tc>
          <w:tcPr>
            <w:tcW w:w="20" w:type="dxa"/>
            <w:vAlign w:val="bottom"/>
            <w:shd w:val="clear" w:color="auto" w:fill="065BAA"/>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6"/>
                <w:szCs w:val="16"/>
                <w:color w:val="auto"/>
              </w:rPr>
              <w:t>Annual</w:t>
            </w:r>
          </w:p>
        </w:tc>
        <w:tc>
          <w:tcPr>
            <w:tcW w:w="20" w:type="dxa"/>
            <w:vAlign w:val="bottom"/>
            <w:shd w:val="clear" w:color="auto" w:fill="065BAA"/>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6"/>
                <w:szCs w:val="16"/>
                <w:color w:val="auto"/>
              </w:rPr>
              <w:t>Lead Independent</w:t>
            </w:r>
          </w:p>
        </w:tc>
        <w:tc>
          <w:tcPr>
            <w:tcW w:w="20" w:type="dxa"/>
            <w:vAlign w:val="bottom"/>
            <w:shd w:val="clear" w:color="auto" w:fill="065BAA"/>
          </w:tcPr>
          <w:p>
            <w:pPr>
              <w:spacing w:after="0"/>
              <w:rPr>
                <w:sz w:val="18"/>
                <w:szCs w:val="18"/>
                <w:color w:val="auto"/>
              </w:rPr>
            </w:pPr>
          </w:p>
        </w:tc>
        <w:tc>
          <w:tcPr>
            <w:tcW w:w="1560" w:type="dxa"/>
            <w:vAlign w:val="bottom"/>
          </w:tcPr>
          <w:p>
            <w:pPr>
              <w:ind w:left="140"/>
              <w:spacing w:after="0"/>
              <w:rPr>
                <w:sz w:val="20"/>
                <w:szCs w:val="20"/>
                <w:color w:val="auto"/>
              </w:rPr>
            </w:pPr>
            <w:r>
              <w:rPr>
                <w:rFonts w:ascii="Arial" w:cs="Arial" w:eastAsia="Arial" w:hAnsi="Arial"/>
                <w:sz w:val="16"/>
                <w:szCs w:val="16"/>
                <w:color w:val="auto"/>
              </w:rPr>
              <w:t>Declassified Board</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6"/>
                <w:szCs w:val="16"/>
                <w:color w:val="auto"/>
              </w:rPr>
              <w:t>Resignation Policy</w:t>
            </w:r>
          </w:p>
        </w:tc>
        <w:tc>
          <w:tcPr>
            <w:tcW w:w="20" w:type="dxa"/>
            <w:vAlign w:val="bottom"/>
            <w:shd w:val="clear" w:color="auto" w:fill="065BAA"/>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6"/>
                <w:szCs w:val="16"/>
                <w:color w:val="auto"/>
              </w:rPr>
              <w:t>in the Election</w:t>
            </w:r>
          </w:p>
        </w:tc>
        <w:tc>
          <w:tcPr>
            <w:tcW w:w="20" w:type="dxa"/>
            <w:vAlign w:val="bottom"/>
            <w:shd w:val="clear" w:color="auto" w:fill="065BAA"/>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6"/>
                <w:szCs w:val="16"/>
                <w:color w:val="auto"/>
              </w:rPr>
              <w:t>Say-on-Pay</w:t>
            </w:r>
          </w:p>
        </w:tc>
        <w:tc>
          <w:tcPr>
            <w:tcW w:w="20" w:type="dxa"/>
            <w:vAlign w:val="bottom"/>
            <w:shd w:val="clear" w:color="auto" w:fill="065BAA"/>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6"/>
                <w:szCs w:val="16"/>
                <w:color w:val="auto"/>
              </w:rPr>
              <w:t>Director</w:t>
            </w:r>
          </w:p>
        </w:tc>
        <w:tc>
          <w:tcPr>
            <w:tcW w:w="20" w:type="dxa"/>
            <w:vAlign w:val="bottom"/>
            <w:shd w:val="clear" w:color="auto" w:fill="065BAA"/>
          </w:tcPr>
          <w:p>
            <w:pPr>
              <w:spacing w:after="0"/>
              <w:rPr>
                <w:sz w:val="18"/>
                <w:szCs w:val="18"/>
                <w:color w:val="auto"/>
              </w:rPr>
            </w:pPr>
          </w:p>
        </w:tc>
        <w:tc>
          <w:tcPr>
            <w:tcW w:w="1560" w:type="dxa"/>
            <w:vAlign w:val="bottom"/>
          </w:tcPr>
          <w:p>
            <w:pPr>
              <w:ind w:left="140"/>
              <w:spacing w:after="0"/>
              <w:rPr>
                <w:sz w:val="20"/>
                <w:szCs w:val="20"/>
                <w:color w:val="auto"/>
              </w:rPr>
            </w:pPr>
            <w:r>
              <w:rPr>
                <w:rFonts w:ascii="Arial" w:cs="Arial" w:eastAsia="Arial" w:hAnsi="Arial"/>
                <w:sz w:val="16"/>
                <w:szCs w:val="16"/>
                <w:color w:val="auto"/>
              </w:rPr>
              <w:t>(annual election of</w:t>
            </w:r>
          </w:p>
        </w:tc>
        <w:tc>
          <w:tcPr>
            <w:tcW w:w="0" w:type="dxa"/>
            <w:vAlign w:val="bottom"/>
          </w:tcPr>
          <w:p>
            <w:pPr>
              <w:spacing w:after="0"/>
              <w:rPr>
                <w:sz w:val="1"/>
                <w:szCs w:val="1"/>
                <w:color w:val="auto"/>
              </w:rPr>
            </w:pPr>
          </w:p>
        </w:tc>
      </w:tr>
      <w:tr>
        <w:trPr>
          <w:trHeight w:val="216"/>
        </w:trPr>
        <w:tc>
          <w:tcPr>
            <w:tcW w:w="1600" w:type="dxa"/>
            <w:vAlign w:val="bottom"/>
            <w:vMerge w:val="restart"/>
          </w:tcPr>
          <w:p>
            <w:pPr>
              <w:spacing w:after="0"/>
              <w:rPr>
                <w:sz w:val="20"/>
                <w:szCs w:val="20"/>
                <w:color w:val="auto"/>
              </w:rPr>
            </w:pPr>
            <w:r>
              <w:rPr>
                <w:rFonts w:ascii="Arial" w:cs="Arial" w:eastAsia="Arial" w:hAnsi="Arial"/>
                <w:sz w:val="16"/>
                <w:szCs w:val="16"/>
                <w:color w:val="auto"/>
              </w:rPr>
              <w:t>Recoupment</w:t>
            </w:r>
          </w:p>
        </w:tc>
        <w:tc>
          <w:tcPr>
            <w:tcW w:w="20" w:type="dxa"/>
            <w:vAlign w:val="bottom"/>
            <w:shd w:val="clear" w:color="auto" w:fill="065BAA"/>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6"/>
                <w:szCs w:val="16"/>
                <w:color w:val="auto"/>
              </w:rPr>
              <w:t>of Directors</w:t>
            </w:r>
          </w:p>
        </w:tc>
        <w:tc>
          <w:tcPr>
            <w:tcW w:w="20" w:type="dxa"/>
            <w:vAlign w:val="bottom"/>
            <w:shd w:val="clear" w:color="auto" w:fill="065BAA"/>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shd w:val="clear" w:color="auto" w:fill="065BAA"/>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shd w:val="clear" w:color="auto" w:fill="065BAA"/>
          </w:tcPr>
          <w:p>
            <w:pPr>
              <w:spacing w:after="0"/>
              <w:rPr>
                <w:sz w:val="18"/>
                <w:szCs w:val="18"/>
                <w:color w:val="auto"/>
              </w:rPr>
            </w:pPr>
          </w:p>
        </w:tc>
        <w:tc>
          <w:tcPr>
            <w:tcW w:w="1560" w:type="dxa"/>
            <w:vAlign w:val="bottom"/>
          </w:tcPr>
          <w:p>
            <w:pPr>
              <w:ind w:left="140"/>
              <w:spacing w:after="0"/>
              <w:rPr>
                <w:sz w:val="20"/>
                <w:szCs w:val="20"/>
                <w:color w:val="auto"/>
              </w:rPr>
            </w:pPr>
            <w:r>
              <w:rPr>
                <w:rFonts w:ascii="Arial" w:cs="Arial" w:eastAsia="Arial" w:hAnsi="Arial"/>
                <w:sz w:val="16"/>
                <w:szCs w:val="16"/>
                <w:color w:val="auto"/>
              </w:rPr>
              <w:t>all directors to</w:t>
            </w:r>
          </w:p>
        </w:tc>
        <w:tc>
          <w:tcPr>
            <w:tcW w:w="0" w:type="dxa"/>
            <w:vAlign w:val="bottom"/>
          </w:tcPr>
          <w:p>
            <w:pPr>
              <w:spacing w:after="0"/>
              <w:rPr>
                <w:sz w:val="1"/>
                <w:szCs w:val="1"/>
                <w:color w:val="auto"/>
              </w:rPr>
            </w:pPr>
          </w:p>
        </w:tc>
      </w:tr>
      <w:tr>
        <w:trPr>
          <w:trHeight w:val="135"/>
        </w:trPr>
        <w:tc>
          <w:tcPr>
            <w:tcW w:w="1600" w:type="dxa"/>
            <w:vAlign w:val="bottom"/>
            <w:vMerge w:val="continue"/>
          </w:tcPr>
          <w:p>
            <w:pPr>
              <w:spacing w:after="0"/>
              <w:rPr>
                <w:sz w:val="11"/>
                <w:szCs w:val="11"/>
                <w:color w:val="auto"/>
              </w:rPr>
            </w:pPr>
          </w:p>
        </w:tc>
        <w:tc>
          <w:tcPr>
            <w:tcW w:w="20" w:type="dxa"/>
            <w:vAlign w:val="bottom"/>
            <w:shd w:val="clear" w:color="auto" w:fill="065BAA"/>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shd w:val="clear" w:color="auto" w:fill="065BAA"/>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shd w:val="clear" w:color="auto" w:fill="065BAA"/>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shd w:val="clear" w:color="auto" w:fill="065BAA"/>
          </w:tcPr>
          <w:p>
            <w:pPr>
              <w:spacing w:after="0"/>
              <w:rPr>
                <w:sz w:val="11"/>
                <w:szCs w:val="11"/>
                <w:color w:val="auto"/>
              </w:rPr>
            </w:pPr>
          </w:p>
        </w:tc>
        <w:tc>
          <w:tcPr>
            <w:tcW w:w="1560" w:type="dxa"/>
            <w:vAlign w:val="bottom"/>
            <w:vMerge w:val="restart"/>
          </w:tcPr>
          <w:p>
            <w:pPr>
              <w:ind w:left="140"/>
              <w:spacing w:after="0"/>
              <w:rPr>
                <w:sz w:val="20"/>
                <w:szCs w:val="20"/>
                <w:color w:val="auto"/>
              </w:rPr>
            </w:pPr>
            <w:r>
              <w:rPr>
                <w:rFonts w:ascii="Arial" w:cs="Arial" w:eastAsia="Arial" w:hAnsi="Arial"/>
                <w:sz w:val="16"/>
                <w:szCs w:val="16"/>
                <w:color w:val="auto"/>
                <w:w w:val="99"/>
              </w:rPr>
              <w:t>commence in 2028)</w:t>
            </w:r>
          </w:p>
        </w:tc>
        <w:tc>
          <w:tcPr>
            <w:tcW w:w="0" w:type="dxa"/>
            <w:vAlign w:val="bottom"/>
          </w:tcPr>
          <w:p>
            <w:pPr>
              <w:spacing w:after="0"/>
              <w:rPr>
                <w:sz w:val="1"/>
                <w:szCs w:val="1"/>
                <w:color w:val="auto"/>
              </w:rPr>
            </w:pPr>
          </w:p>
        </w:tc>
      </w:tr>
      <w:tr>
        <w:trPr>
          <w:trHeight w:val="81"/>
        </w:trPr>
        <w:tc>
          <w:tcPr>
            <w:tcW w:w="1600" w:type="dxa"/>
            <w:vAlign w:val="bottom"/>
            <w:vMerge w:val="restart"/>
          </w:tcPr>
          <w:p>
            <w:pPr>
              <w:spacing w:after="0"/>
              <w:rPr>
                <w:sz w:val="20"/>
                <w:szCs w:val="20"/>
                <w:color w:val="auto"/>
              </w:rPr>
            </w:pPr>
            <w:r>
              <w:rPr>
                <w:rFonts w:ascii="Arial" w:cs="Arial" w:eastAsia="Arial" w:hAnsi="Arial"/>
                <w:sz w:val="16"/>
                <w:szCs w:val="16"/>
                <w:color w:val="auto"/>
              </w:rPr>
              <w:t>(Clawback) Policy</w:t>
            </w:r>
          </w:p>
        </w:tc>
        <w:tc>
          <w:tcPr>
            <w:tcW w:w="20" w:type="dxa"/>
            <w:vAlign w:val="bottom"/>
            <w:shd w:val="clear" w:color="auto" w:fill="065BAA"/>
          </w:tcPr>
          <w:p>
            <w:pPr>
              <w:spacing w:after="0"/>
              <w:rPr>
                <w:sz w:val="7"/>
                <w:szCs w:val="7"/>
                <w:color w:val="auto"/>
              </w:rPr>
            </w:pPr>
          </w:p>
        </w:tc>
        <w:tc>
          <w:tcPr>
            <w:tcW w:w="1720" w:type="dxa"/>
            <w:vAlign w:val="bottom"/>
          </w:tcPr>
          <w:p>
            <w:pPr>
              <w:spacing w:after="0"/>
              <w:rPr>
                <w:sz w:val="7"/>
                <w:szCs w:val="7"/>
                <w:color w:val="auto"/>
              </w:rPr>
            </w:pPr>
          </w:p>
        </w:tc>
        <w:tc>
          <w:tcPr>
            <w:tcW w:w="20" w:type="dxa"/>
            <w:vAlign w:val="bottom"/>
            <w:shd w:val="clear" w:color="auto" w:fill="065BAA"/>
          </w:tcPr>
          <w:p>
            <w:pPr>
              <w:spacing w:after="0"/>
              <w:rPr>
                <w:sz w:val="7"/>
                <w:szCs w:val="7"/>
                <w:color w:val="auto"/>
              </w:rPr>
            </w:pPr>
          </w:p>
        </w:tc>
        <w:tc>
          <w:tcPr>
            <w:tcW w:w="1720" w:type="dxa"/>
            <w:vAlign w:val="bottom"/>
          </w:tcPr>
          <w:p>
            <w:pPr>
              <w:spacing w:after="0"/>
              <w:rPr>
                <w:sz w:val="7"/>
                <w:szCs w:val="7"/>
                <w:color w:val="auto"/>
              </w:rPr>
            </w:pPr>
          </w:p>
        </w:tc>
        <w:tc>
          <w:tcPr>
            <w:tcW w:w="20" w:type="dxa"/>
            <w:vAlign w:val="bottom"/>
            <w:shd w:val="clear" w:color="auto" w:fill="065BAA"/>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shd w:val="clear" w:color="auto" w:fill="065BAA"/>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00" w:type="dxa"/>
            <w:vAlign w:val="bottom"/>
            <w:vMerge w:val="continue"/>
          </w:tcPr>
          <w:p>
            <w:pPr>
              <w:spacing w:after="0"/>
              <w:rPr>
                <w:sz w:val="11"/>
                <w:szCs w:val="11"/>
                <w:color w:val="auto"/>
              </w:rPr>
            </w:pPr>
          </w:p>
        </w:tc>
        <w:tc>
          <w:tcPr>
            <w:tcW w:w="20" w:type="dxa"/>
            <w:vAlign w:val="bottom"/>
            <w:shd w:val="clear" w:color="auto" w:fill="065BAA"/>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shd w:val="clear" w:color="auto" w:fill="065BAA"/>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shd w:val="clear" w:color="auto" w:fill="065BAA"/>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shd w:val="clear" w:color="auto" w:fill="065BAA"/>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9"/>
        </w:trPr>
        <w:tc>
          <w:tcPr>
            <w:tcW w:w="1600" w:type="dxa"/>
            <w:vAlign w:val="bottom"/>
          </w:tcPr>
          <w:p>
            <w:pPr>
              <w:spacing w:after="0"/>
              <w:rPr>
                <w:sz w:val="20"/>
                <w:szCs w:val="20"/>
                <w:color w:val="auto"/>
              </w:rPr>
            </w:pPr>
            <w:r>
              <w:rPr>
                <w:rFonts w:ascii="Arial" w:cs="Arial" w:eastAsia="Arial" w:hAnsi="Arial"/>
                <w:sz w:val="18"/>
                <w:szCs w:val="18"/>
                <w:b w:val="1"/>
                <w:bCs w:val="1"/>
                <w:color w:val="065BAA"/>
              </w:rPr>
              <w:t>April</w:t>
            </w:r>
          </w:p>
        </w:tc>
        <w:tc>
          <w:tcPr>
            <w:tcW w:w="20" w:type="dxa"/>
            <w:vAlign w:val="bottom"/>
            <w:shd w:val="clear" w:color="auto" w:fill="065BAA"/>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shd w:val="clear" w:color="auto" w:fill="065BAA"/>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shd w:val="clear" w:color="auto" w:fill="065BAA"/>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shd w:val="clear" w:color="auto" w:fill="065BAA"/>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6"/>
                <w:szCs w:val="16"/>
                <w:color w:val="auto"/>
              </w:rPr>
              <w:t>Prohibition on</w:t>
            </w:r>
          </w:p>
        </w:tc>
        <w:tc>
          <w:tcPr>
            <w:tcW w:w="20" w:type="dxa"/>
            <w:vAlign w:val="bottom"/>
            <w:shd w:val="clear" w:color="auto" w:fill="065BAA"/>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shd w:val="clear" w:color="auto" w:fill="065BAA"/>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shd w:val="clear" w:color="auto" w:fill="065BAA"/>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shd w:val="clear" w:color="auto" w:fill="065BAA"/>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6"/>
                <w:szCs w:val="16"/>
                <w:color w:val="auto"/>
              </w:rPr>
              <w:t>Hedging &amp;</w:t>
            </w:r>
          </w:p>
        </w:tc>
        <w:tc>
          <w:tcPr>
            <w:tcW w:w="20" w:type="dxa"/>
            <w:vAlign w:val="bottom"/>
            <w:shd w:val="clear" w:color="auto" w:fill="065BAA"/>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shd w:val="clear" w:color="auto" w:fill="065BAA"/>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shd w:val="clear" w:color="auto" w:fill="065BAA"/>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shd w:val="clear" w:color="auto" w:fill="065BAA"/>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6"/>
                <w:szCs w:val="16"/>
                <w:color w:val="auto"/>
              </w:rPr>
              <w:t>Pledging</w:t>
            </w:r>
          </w:p>
        </w:tc>
        <w:tc>
          <w:tcPr>
            <w:tcW w:w="20" w:type="dxa"/>
            <w:vAlign w:val="bottom"/>
            <w:shd w:val="clear" w:color="auto" w:fill="065BAA"/>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shd w:val="clear" w:color="auto" w:fill="065BAA"/>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shd w:val="clear" w:color="auto" w:fill="065BAA"/>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shd w:val="clear" w:color="auto" w:fill="065BAA"/>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600" w:type="dxa"/>
            <w:vAlign w:val="bottom"/>
          </w:tcPr>
          <w:p>
            <w:pPr>
              <w:spacing w:after="0"/>
              <w:rPr>
                <w:sz w:val="2"/>
                <w:szCs w:val="2"/>
                <w:color w:val="auto"/>
              </w:rPr>
            </w:pPr>
          </w:p>
        </w:tc>
        <w:tc>
          <w:tcPr>
            <w:tcW w:w="20" w:type="dxa"/>
            <w:vAlign w:val="bottom"/>
            <w:shd w:val="clear" w:color="auto" w:fill="065BAA"/>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shd w:val="clear" w:color="auto" w:fill="065BAA"/>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shd w:val="clear" w:color="auto" w:fill="065BAA"/>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shd w:val="clear" w:color="auto" w:fill="065BAA"/>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30</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39" w:name="page40"/>
    <w:bookmarkEnd w:id="39"/>
    <w:p>
      <w:pPr>
        <w:jc w:val="center"/>
        <w:ind w:right="-20"/>
        <w:spacing w:after="0"/>
        <w:tabs>
          <w:tab w:leader="none" w:pos="260" w:val="left"/>
          <w:tab w:leader="none" w:pos="260" w:val="left"/>
          <w:tab w:leader="none" w:pos="30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r>
      <w:r>
        <w:rPr>
          <w:sz w:val="20"/>
          <w:szCs w:val="20"/>
          <w:color w:val="auto"/>
        </w:rPr>
        <w:tab/>
      </w:r>
      <w:r>
        <w:rPr>
          <w:rFonts w:ascii="Arial" w:cs="Arial" w:eastAsia="Arial" w:hAnsi="Arial"/>
          <w:sz w:val="14"/>
          <w:szCs w:val="14"/>
          <w:b w:val="1"/>
          <w:bCs w:val="1"/>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Board Governance</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Declassification of the Board of Directors</w:t>
      </w:r>
    </w:p>
    <w:p>
      <w:pPr>
        <w:spacing w:after="0" w:line="132" w:lineRule="exact"/>
        <w:rPr>
          <w:sz w:val="20"/>
          <w:szCs w:val="20"/>
          <w:color w:val="auto"/>
        </w:rPr>
      </w:pPr>
    </w:p>
    <w:p>
      <w:pPr>
        <w:ind w:left="140" w:right="199"/>
        <w:spacing w:after="0" w:line="286" w:lineRule="auto"/>
        <w:rPr>
          <w:sz w:val="20"/>
          <w:szCs w:val="20"/>
          <w:color w:val="auto"/>
        </w:rPr>
      </w:pPr>
      <w:r>
        <w:rPr>
          <w:rFonts w:ascii="Arial" w:cs="Arial" w:eastAsia="Arial" w:hAnsi="Arial"/>
          <w:sz w:val="16"/>
          <w:szCs w:val="16"/>
          <w:color w:val="auto"/>
        </w:rPr>
        <w:t>Historically, our board of directors was divided into three classes, with members of each class holding office for staggered three-year terms. At our 2025 annual meeting, our board proposed, and shareholders approved, an amendment to the Company’s Certificate of Incorporation to declassify the board. As a result, we have amended our Certificate of Incorporation to eliminate the classification of our board over a three-year period. This important step in eliminating a legacy feature of our governance structure illustrates our responsiveness to shareholder concerns and adherence to best practices in corporate governance.</w:t>
      </w:r>
    </w:p>
    <w:p>
      <w:pPr>
        <w:spacing w:after="0" w:line="116" w:lineRule="exact"/>
        <w:rPr>
          <w:sz w:val="20"/>
          <w:szCs w:val="20"/>
          <w:color w:val="auto"/>
        </w:rPr>
      </w:pPr>
    </w:p>
    <w:p>
      <w:pPr>
        <w:ind w:left="140" w:right="199"/>
        <w:spacing w:after="0" w:line="295" w:lineRule="auto"/>
        <w:rPr>
          <w:sz w:val="20"/>
          <w:szCs w:val="20"/>
          <w:color w:val="auto"/>
        </w:rPr>
      </w:pPr>
      <w:r>
        <w:rPr>
          <w:rFonts w:ascii="Arial" w:cs="Arial" w:eastAsia="Arial" w:hAnsi="Arial"/>
          <w:sz w:val="16"/>
          <w:szCs w:val="16"/>
          <w:color w:val="auto"/>
        </w:rPr>
        <w:t>Beginning with the 2026 Annual Meeting, directors standing for election will be elected for new terms of one year, expiring at the next annual meeting of shareholders. Each director elected prior to the 2026 Annual Meeting will continue to serve for the remainder of the original term for which he or she was elected. The declassification will be complete, with all directors standing for election annually for a one-year term, at the annual meeting of shareholders to be held in 2028.</w:t>
      </w:r>
    </w:p>
    <w:p>
      <w:pPr>
        <w:spacing w:after="0" w:line="209"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Board Meetings and Attendance of Directors</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Board Meetings</w:t>
      </w:r>
    </w:p>
    <w:p>
      <w:pPr>
        <w:spacing w:after="0" w:line="180" w:lineRule="exact"/>
        <w:rPr>
          <w:sz w:val="20"/>
          <w:szCs w:val="20"/>
          <w:color w:val="auto"/>
        </w:rPr>
      </w:pPr>
    </w:p>
    <w:p>
      <w:pPr>
        <w:ind w:left="140" w:right="239"/>
        <w:spacing w:after="0" w:line="295" w:lineRule="auto"/>
        <w:rPr>
          <w:sz w:val="20"/>
          <w:szCs w:val="20"/>
          <w:color w:val="auto"/>
        </w:rPr>
      </w:pPr>
      <w:r>
        <w:rPr>
          <w:rFonts w:ascii="Arial" w:cs="Arial" w:eastAsia="Arial" w:hAnsi="Arial"/>
          <w:sz w:val="16"/>
          <w:szCs w:val="16"/>
          <w:color w:val="auto"/>
        </w:rPr>
        <w:t>The board held 15 meetings in 2025, of which five were regular meetings and ten were special meetings. Our Corporate Governance Guidelines provide that directors are expected to attend all or substantially all meetings of the board and the committees on which they serve. All directors attended at least 75% of the total number of meetings of the board and committees of the board on which they served in 2025.</w:t>
      </w:r>
    </w:p>
    <w:p>
      <w:pPr>
        <w:spacing w:after="0" w:line="298" w:lineRule="exact"/>
        <w:rPr>
          <w:sz w:val="20"/>
          <w:szCs w:val="20"/>
          <w:color w:val="auto"/>
        </w:rPr>
      </w:pPr>
    </w:p>
    <w:tbl>
      <w:tblPr>
        <w:tblLayout w:type="fixed"/>
        <w:tblInd w:w="1160" w:type="dxa"/>
        <w:tblCellMar>
          <w:top w:w="0" w:type="dxa"/>
          <w:left w:w="0" w:type="dxa"/>
          <w:bottom w:w="0" w:type="dxa"/>
          <w:right w:w="0" w:type="dxa"/>
        </w:tblCellMar>
      </w:tblPr>
      <w:tr>
        <w:trPr>
          <w:trHeight w:val="539"/>
        </w:trPr>
        <w:tc>
          <w:tcPr>
            <w:tcW w:w="1840" w:type="dxa"/>
            <w:vAlign w:val="bottom"/>
            <w:tcBorders>
              <w:right w:val="single" w:sz="8" w:color="auto"/>
            </w:tcBorders>
          </w:tcPr>
          <w:p>
            <w:pPr>
              <w:jc w:val="center"/>
              <w:ind w:right="1034"/>
              <w:spacing w:after="0"/>
              <w:rPr>
                <w:sz w:val="20"/>
                <w:szCs w:val="20"/>
                <w:color w:val="auto"/>
              </w:rPr>
            </w:pPr>
            <w:r>
              <w:rPr>
                <w:rFonts w:ascii="Arial" w:cs="Arial" w:eastAsia="Arial" w:hAnsi="Arial"/>
                <w:sz w:val="43"/>
                <w:szCs w:val="43"/>
                <w:b w:val="1"/>
                <w:bCs w:val="1"/>
                <w:color w:val="auto"/>
              </w:rPr>
              <w:t>15</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43"/>
                <w:szCs w:val="43"/>
                <w:b w:val="1"/>
                <w:bCs w:val="1"/>
                <w:color w:val="auto"/>
              </w:rPr>
              <w:t>27</w:t>
            </w:r>
          </w:p>
        </w:tc>
        <w:tc>
          <w:tcPr>
            <w:tcW w:w="2400" w:type="dxa"/>
            <w:vAlign w:val="bottom"/>
          </w:tcPr>
          <w:p>
            <w:pPr>
              <w:jc w:val="center"/>
              <w:ind w:left="414"/>
              <w:spacing w:after="0"/>
              <w:rPr>
                <w:sz w:val="20"/>
                <w:szCs w:val="20"/>
                <w:color w:val="auto"/>
              </w:rPr>
            </w:pPr>
            <w:r>
              <w:rPr>
                <w:rFonts w:ascii="Arial" w:cs="Arial" w:eastAsia="Arial" w:hAnsi="Arial"/>
                <w:sz w:val="43"/>
                <w:szCs w:val="43"/>
                <w:b w:val="1"/>
                <w:bCs w:val="1"/>
                <w:color w:val="auto"/>
                <w:w w:val="99"/>
              </w:rPr>
              <w:t>97%</w:t>
            </w:r>
          </w:p>
        </w:tc>
      </w:tr>
      <w:tr>
        <w:trPr>
          <w:trHeight w:val="215"/>
        </w:trPr>
        <w:tc>
          <w:tcPr>
            <w:tcW w:w="1840" w:type="dxa"/>
            <w:vAlign w:val="bottom"/>
            <w:tcBorders>
              <w:right w:val="single" w:sz="8" w:color="auto"/>
            </w:tcBorders>
          </w:tcPr>
          <w:p>
            <w:pPr>
              <w:jc w:val="center"/>
              <w:ind w:right="1054"/>
              <w:spacing w:after="0"/>
              <w:rPr>
                <w:sz w:val="20"/>
                <w:szCs w:val="20"/>
                <w:color w:val="auto"/>
              </w:rPr>
            </w:pPr>
            <w:r>
              <w:rPr>
                <w:rFonts w:ascii="Arial" w:cs="Arial" w:eastAsia="Arial" w:hAnsi="Arial"/>
                <w:sz w:val="16"/>
                <w:szCs w:val="16"/>
                <w:color w:val="auto"/>
                <w:w w:val="98"/>
              </w:rPr>
              <w:t>Board</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Committee</w:t>
            </w:r>
          </w:p>
        </w:tc>
        <w:tc>
          <w:tcPr>
            <w:tcW w:w="2400" w:type="dxa"/>
            <w:vAlign w:val="bottom"/>
          </w:tcPr>
          <w:p>
            <w:pPr>
              <w:jc w:val="center"/>
              <w:ind w:left="434"/>
              <w:spacing w:after="0"/>
              <w:rPr>
                <w:sz w:val="20"/>
                <w:szCs w:val="20"/>
                <w:color w:val="auto"/>
              </w:rPr>
            </w:pPr>
            <w:r>
              <w:rPr>
                <w:rFonts w:ascii="Arial" w:cs="Arial" w:eastAsia="Arial" w:hAnsi="Arial"/>
                <w:sz w:val="16"/>
                <w:szCs w:val="16"/>
                <w:color w:val="auto"/>
              </w:rPr>
              <w:t>Average Attendance Rate</w:t>
            </w:r>
          </w:p>
        </w:tc>
      </w:tr>
      <w:tr>
        <w:trPr>
          <w:trHeight w:val="204"/>
        </w:trPr>
        <w:tc>
          <w:tcPr>
            <w:tcW w:w="1840" w:type="dxa"/>
            <w:vAlign w:val="bottom"/>
            <w:tcBorders>
              <w:right w:val="single" w:sz="8" w:color="auto"/>
            </w:tcBorders>
          </w:tcPr>
          <w:p>
            <w:pPr>
              <w:jc w:val="center"/>
              <w:ind w:right="1054"/>
              <w:spacing w:after="0"/>
              <w:rPr>
                <w:sz w:val="20"/>
                <w:szCs w:val="20"/>
                <w:color w:val="auto"/>
              </w:rPr>
            </w:pPr>
            <w:r>
              <w:rPr>
                <w:rFonts w:ascii="Arial" w:cs="Arial" w:eastAsia="Arial" w:hAnsi="Arial"/>
                <w:sz w:val="16"/>
                <w:szCs w:val="16"/>
                <w:color w:val="auto"/>
              </w:rPr>
              <w:t>Meetings</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Meetings</w:t>
            </w:r>
          </w:p>
        </w:tc>
        <w:tc>
          <w:tcPr>
            <w:tcW w:w="2400" w:type="dxa"/>
            <w:vAlign w:val="bottom"/>
          </w:tcPr>
          <w:p>
            <w:pPr>
              <w:jc w:val="center"/>
              <w:ind w:left="434"/>
              <w:spacing w:after="0"/>
              <w:rPr>
                <w:sz w:val="20"/>
                <w:szCs w:val="20"/>
                <w:color w:val="auto"/>
              </w:rPr>
            </w:pPr>
            <w:r>
              <w:rPr>
                <w:rFonts w:ascii="Arial" w:cs="Arial" w:eastAsia="Arial" w:hAnsi="Arial"/>
                <w:sz w:val="16"/>
                <w:szCs w:val="16"/>
                <w:color w:val="auto"/>
              </w:rPr>
              <w:t>for All Directors</w:t>
            </w:r>
          </w:p>
        </w:tc>
      </w:tr>
    </w:tbl>
    <w:p>
      <w:pPr>
        <w:spacing w:after="0" w:line="200" w:lineRule="exact"/>
        <w:rPr>
          <w:sz w:val="20"/>
          <w:szCs w:val="20"/>
          <w:color w:val="auto"/>
        </w:rPr>
      </w:pPr>
    </w:p>
    <w:p>
      <w:pPr>
        <w:spacing w:after="0" w:line="23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Annual Shareholder Meetings</w:t>
      </w:r>
    </w:p>
    <w:p>
      <w:pPr>
        <w:spacing w:after="0" w:line="180" w:lineRule="exact"/>
        <w:rPr>
          <w:sz w:val="20"/>
          <w:szCs w:val="20"/>
          <w:color w:val="auto"/>
        </w:rPr>
      </w:pPr>
    </w:p>
    <w:p>
      <w:pPr>
        <w:ind w:left="140" w:right="659"/>
        <w:spacing w:after="0" w:line="321" w:lineRule="auto"/>
        <w:rPr>
          <w:sz w:val="20"/>
          <w:szCs w:val="20"/>
          <w:color w:val="auto"/>
        </w:rPr>
      </w:pPr>
      <w:r>
        <w:rPr>
          <w:rFonts w:ascii="Arial" w:cs="Arial" w:eastAsia="Arial" w:hAnsi="Arial"/>
          <w:sz w:val="16"/>
          <w:szCs w:val="16"/>
          <w:color w:val="auto"/>
        </w:rPr>
        <w:t>According to our Corporate Governance Guidelines, board members are expected to attend the Company’s Annual Meeting of Shareholders. All directors attended our 2025 Annual Meeting of Shareholders.</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Director Refreshment Philosophy</w:t>
      </w:r>
    </w:p>
    <w:p>
      <w:pPr>
        <w:spacing w:after="0" w:line="132" w:lineRule="exact"/>
        <w:rPr>
          <w:sz w:val="20"/>
          <w:szCs w:val="20"/>
          <w:color w:val="auto"/>
        </w:rPr>
      </w:pPr>
    </w:p>
    <w:p>
      <w:pPr>
        <w:ind w:left="140" w:right="159"/>
        <w:spacing w:after="0" w:line="286" w:lineRule="auto"/>
        <w:rPr>
          <w:sz w:val="20"/>
          <w:szCs w:val="20"/>
          <w:color w:val="auto"/>
        </w:rPr>
      </w:pPr>
      <w:r>
        <w:rPr>
          <w:rFonts w:ascii="Arial" w:cs="Arial" w:eastAsia="Arial" w:hAnsi="Arial"/>
          <w:sz w:val="16"/>
          <w:szCs w:val="16"/>
          <w:color w:val="auto"/>
        </w:rPr>
        <w:t>The board and the Corporate Governance and Compliance Committee strive to ensure that our board is comprised of highly qualified directors with a range of skillsets and backgrounds who will serve as stewards of investor capital and drive the Company’s scientific focus to ensure the continued creation of long-term shareholder value. The objective of the Committee’s continued assessment of the composition of our board is to have a board that as a whole possesses the mix of skills and experiences to provide effective oversight and guidance to management to execute on the Company’s long-term strategy. The Committee’s refreshment philosophy prioritizes skills that it considers important and desirable based on the Company’s current needs and business priorities, while recognizing that our board members must have predominantly science-based backgrounds to effectively provide robust, independent oversight of management. The Committee also works to ensure that various members of the board bring substantial governance, financial, policy, and management expertise gained from their professional backgrounds and their service on other 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31</w:t>
            </w:r>
          </w:p>
        </w:tc>
      </w:tr>
    </w:tbl>
    <w:p>
      <w:pPr>
        <w:sectPr>
          <w:pgSz w:w="11900" w:h="16838" w:orient="portrait"/>
          <w:cols w:equalWidth="0" w:num="1">
            <w:col w:w="9019"/>
          </w:cols>
          <w:pgMar w:left="1440" w:top="657" w:right="1440" w:bottom="1440" w:gutter="0" w:footer="0" w:header="0"/>
        </w:sectPr>
      </w:pPr>
    </w:p>
    <w:bookmarkStart w:id="40" w:name="page41"/>
    <w:bookmarkEnd w:id="40"/>
    <w:p>
      <w:pPr>
        <w:jc w:val="center"/>
        <w:ind w:right="-20"/>
        <w:spacing w:after="0"/>
        <w:tabs>
          <w:tab w:leader="none" w:pos="260" w:val="left"/>
          <w:tab w:leader="none" w:pos="260" w:val="left"/>
          <w:tab w:leader="none" w:pos="30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r>
      <w:r>
        <w:rPr>
          <w:sz w:val="20"/>
          <w:szCs w:val="20"/>
          <w:color w:val="auto"/>
        </w:rPr>
        <w:tab/>
      </w:r>
      <w:r>
        <w:rPr>
          <w:rFonts w:ascii="Arial" w:cs="Arial" w:eastAsia="Arial" w:hAnsi="Arial"/>
          <w:sz w:val="14"/>
          <w:szCs w:val="14"/>
          <w:b w:val="1"/>
          <w:bCs w:val="1"/>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0" w:right="159"/>
        <w:spacing w:after="0" w:line="286" w:lineRule="auto"/>
        <w:rPr>
          <w:sz w:val="20"/>
          <w:szCs w:val="20"/>
          <w:color w:val="auto"/>
        </w:rPr>
      </w:pPr>
      <w:r>
        <w:rPr>
          <w:rFonts w:ascii="Arial" w:cs="Arial" w:eastAsia="Arial" w:hAnsi="Arial"/>
          <w:sz w:val="16"/>
          <w:szCs w:val="16"/>
          <w:color w:val="auto"/>
        </w:rPr>
        <w:t>The Committee believes it is desirable to maintain a mix of longer-tenured, experienced directors who have developed enhanced knowledge and understanding of, and valuable insight into, the Company and its operations and newer directors with fresh perspectives. As a result, we do not impose director tenure limits or a mandatory retirement age. The Committee has considered the perspectives of some shareholders regarding longer-tenured directors but believes that longer-serving directors with experience and institutional knowledge bring critical skills to the boardroom. In particular, the Committee believes that continuity on the board allows for longer-tenured directors to make meaningful contributions and provide effective oversight of management during the complete drug discovery and development cycle. Accordingly, while director tenure is taken into consideration when evaluating the board’s composition, the Committee believes that imposing arbitrary limits on director tenure would deprive the board of the valuable contributions of its most experienced members.</w:t>
      </w:r>
    </w:p>
    <w:p>
      <w:pPr>
        <w:sectPr>
          <w:pgSz w:w="11900" w:h="16838" w:orient="portrait"/>
          <w:cols w:equalWidth="0" w:num="1">
            <w:col w:w="9019"/>
          </w:cols>
          <w:pgMar w:left="1440" w:top="657" w:right="1440" w:bottom="1440" w:gutter="0" w:footer="0" w:header="0"/>
        </w:sectPr>
      </w:pPr>
    </w:p>
    <w:p>
      <w:pPr>
        <w:spacing w:after="0" w:line="322"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FFFFFF"/>
        </w:rPr>
        <w:t>Board Composition Fundamentals</w:t>
      </w:r>
    </w:p>
    <w:p>
      <w:pPr>
        <w:spacing w:after="0" w:line="200" w:lineRule="exact"/>
        <w:rPr>
          <w:sz w:val="20"/>
          <w:szCs w:val="20"/>
          <w:color w:val="auto"/>
        </w:rPr>
      </w:pPr>
    </w:p>
    <w:p>
      <w:pPr>
        <w:spacing w:after="0" w:line="210" w:lineRule="exact"/>
        <w:rPr>
          <w:sz w:val="20"/>
          <w:szCs w:val="20"/>
          <w:color w:val="auto"/>
        </w:rPr>
      </w:pPr>
    </w:p>
    <w:p>
      <w:pPr>
        <w:ind w:left="380" w:right="620"/>
        <w:spacing w:after="0" w:line="301" w:lineRule="auto"/>
        <w:rPr>
          <w:sz w:val="20"/>
          <w:szCs w:val="20"/>
          <w:color w:val="auto"/>
        </w:rPr>
      </w:pPr>
      <w:r>
        <w:rPr>
          <w:rFonts w:ascii="Arial" w:cs="Arial" w:eastAsia="Arial" w:hAnsi="Arial"/>
          <w:sz w:val="16"/>
          <w:szCs w:val="16"/>
          <w:color w:val="auto"/>
        </w:rPr>
        <w:t>Predominantly science-based backgrounds to effectively provide robust, independent oversight of management</w:t>
      </w:r>
    </w:p>
    <w:p>
      <w:pPr>
        <w:spacing w:after="0" w:line="200" w:lineRule="exact"/>
        <w:rPr>
          <w:sz w:val="20"/>
          <w:szCs w:val="20"/>
          <w:color w:val="auto"/>
        </w:rPr>
      </w:pPr>
    </w:p>
    <w:p>
      <w:pPr>
        <w:spacing w:after="0" w:line="201" w:lineRule="exact"/>
        <w:rPr>
          <w:sz w:val="20"/>
          <w:szCs w:val="20"/>
          <w:color w:val="auto"/>
        </w:rPr>
      </w:pPr>
    </w:p>
    <w:p>
      <w:pPr>
        <w:ind w:left="380" w:right="760"/>
        <w:spacing w:after="0" w:line="301" w:lineRule="auto"/>
        <w:rPr>
          <w:sz w:val="20"/>
          <w:szCs w:val="20"/>
          <w:color w:val="auto"/>
        </w:rPr>
      </w:pPr>
      <w:r>
        <w:rPr>
          <w:rFonts w:ascii="Arial" w:cs="Arial" w:eastAsia="Arial" w:hAnsi="Arial"/>
          <w:sz w:val="16"/>
          <w:szCs w:val="16"/>
          <w:color w:val="auto"/>
        </w:rPr>
        <w:t>Other skills and experiences to provide effective oversight, including governance, financial, policy, and management expertise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left="80" w:right="779"/>
        <w:spacing w:after="0" w:line="301" w:lineRule="auto"/>
        <w:rPr>
          <w:sz w:val="20"/>
          <w:szCs w:val="20"/>
          <w:color w:val="auto"/>
        </w:rPr>
      </w:pPr>
      <w:r>
        <w:rPr>
          <w:rFonts w:ascii="Arial" w:cs="Arial" w:eastAsia="Arial" w:hAnsi="Arial"/>
          <w:sz w:val="16"/>
          <w:szCs w:val="16"/>
          <w:color w:val="auto"/>
        </w:rPr>
        <w:t>Mix of longer-tenured, experienced directors with enhanced knowledge of the Company and newer directors with fresh perspectives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Wide range of backgrounds and perspectives</w:t>
      </w:r>
    </w:p>
    <w:p>
      <w:pPr>
        <w:spacing w:after="0" w:line="492" w:lineRule="exact"/>
        <w:rPr>
          <w:sz w:val="20"/>
          <w:szCs w:val="20"/>
          <w:color w:val="auto"/>
        </w:rPr>
      </w:pPr>
    </w:p>
    <w:p>
      <w:pPr>
        <w:sectPr>
          <w:pgSz w:w="11900" w:h="16838" w:orient="portrait"/>
          <w:cols w:equalWidth="0" w:num="2">
            <w:col w:w="4280" w:space="720"/>
            <w:col w:w="4019"/>
          </w:cols>
          <w:pgMar w:left="1440" w:top="657" w:right="1440" w:bottom="1440" w:gutter="0" w:footer="0" w:header="0"/>
          <w:type w:val="continuous"/>
        </w:sectPr>
      </w:pPr>
    </w:p>
    <w:p>
      <w:pPr>
        <w:spacing w:after="0" w:line="215" w:lineRule="exact"/>
        <w:rPr>
          <w:sz w:val="20"/>
          <w:szCs w:val="20"/>
          <w:color w:val="auto"/>
        </w:rPr>
      </w:pPr>
    </w:p>
    <w:p>
      <w:pPr>
        <w:ind w:left="140" w:right="279"/>
        <w:spacing w:after="0" w:line="321" w:lineRule="auto"/>
        <w:rPr>
          <w:sz w:val="20"/>
          <w:szCs w:val="20"/>
          <w:color w:val="auto"/>
        </w:rPr>
      </w:pPr>
      <w:r>
        <w:rPr>
          <w:rFonts w:ascii="Arial" w:cs="Arial" w:eastAsia="Arial" w:hAnsi="Arial"/>
          <w:sz w:val="16"/>
          <w:szCs w:val="16"/>
          <w:color w:val="auto"/>
        </w:rPr>
        <w:t>To ensure a robust approach to director suitability, evaluation, and refreshment, the Committee has adopted refreshment mechanisms that include the following:</w:t>
      </w:r>
    </w:p>
    <w:p>
      <w:pPr>
        <w:spacing w:after="0" w:line="75" w:lineRule="exact"/>
        <w:rPr>
          <w:sz w:val="20"/>
          <w:szCs w:val="20"/>
          <w:color w:val="auto"/>
        </w:rPr>
      </w:pPr>
    </w:p>
    <w:p>
      <w:pPr>
        <w:ind w:left="320" w:hanging="190"/>
        <w:spacing w:after="0"/>
        <w:tabs>
          <w:tab w:leader="none" w:pos="320" w:val="left"/>
        </w:tabs>
        <w:numPr>
          <w:ilvl w:val="0"/>
          <w:numId w:val="58"/>
        </w:numPr>
        <w:rPr>
          <w:rFonts w:ascii="Arial" w:cs="Arial" w:eastAsia="Arial" w:hAnsi="Arial"/>
          <w:sz w:val="16"/>
          <w:szCs w:val="16"/>
          <w:color w:val="065BAA"/>
        </w:rPr>
      </w:pPr>
      <w:r>
        <w:rPr>
          <w:rFonts w:ascii="Arial" w:cs="Arial" w:eastAsia="Arial" w:hAnsi="Arial"/>
          <w:sz w:val="16"/>
          <w:szCs w:val="16"/>
          <w:color w:val="auto"/>
        </w:rPr>
        <w:t>A formal annual board and committee self-evaluation, as discussed further below;</w:t>
      </w:r>
    </w:p>
    <w:p>
      <w:pPr>
        <w:spacing w:after="0" w:line="113" w:lineRule="exact"/>
        <w:rPr>
          <w:rFonts w:ascii="Arial" w:cs="Arial" w:eastAsia="Arial" w:hAnsi="Arial"/>
          <w:sz w:val="16"/>
          <w:szCs w:val="16"/>
          <w:color w:val="065BAA"/>
        </w:rPr>
      </w:pPr>
    </w:p>
    <w:p>
      <w:pPr>
        <w:ind w:left="320" w:hanging="190"/>
        <w:spacing w:after="0"/>
        <w:tabs>
          <w:tab w:leader="none" w:pos="320" w:val="left"/>
        </w:tabs>
        <w:numPr>
          <w:ilvl w:val="0"/>
          <w:numId w:val="58"/>
        </w:numPr>
        <w:rPr>
          <w:rFonts w:ascii="Arial" w:cs="Arial" w:eastAsia="Arial" w:hAnsi="Arial"/>
          <w:sz w:val="16"/>
          <w:szCs w:val="16"/>
          <w:color w:val="065BAA"/>
        </w:rPr>
      </w:pPr>
      <w:r>
        <w:rPr>
          <w:rFonts w:ascii="Arial" w:cs="Arial" w:eastAsia="Arial" w:hAnsi="Arial"/>
          <w:sz w:val="16"/>
          <w:szCs w:val="16"/>
          <w:color w:val="auto"/>
        </w:rPr>
        <w:t>A requirement to offer resignation upon a material change in principal employment; and</w:t>
      </w:r>
    </w:p>
    <w:p>
      <w:pPr>
        <w:spacing w:after="0" w:line="99" w:lineRule="exact"/>
        <w:rPr>
          <w:rFonts w:ascii="Arial" w:cs="Arial" w:eastAsia="Arial" w:hAnsi="Arial"/>
          <w:sz w:val="16"/>
          <w:szCs w:val="16"/>
          <w:color w:val="065BAA"/>
        </w:rPr>
      </w:pPr>
    </w:p>
    <w:p>
      <w:pPr>
        <w:ind w:left="320" w:right="239" w:hanging="190"/>
        <w:spacing w:after="0" w:line="301" w:lineRule="auto"/>
        <w:tabs>
          <w:tab w:leader="none" w:pos="320" w:val="left"/>
        </w:tabs>
        <w:numPr>
          <w:ilvl w:val="0"/>
          <w:numId w:val="58"/>
        </w:numPr>
        <w:rPr>
          <w:rFonts w:ascii="Arial" w:cs="Arial" w:eastAsia="Arial" w:hAnsi="Arial"/>
          <w:sz w:val="16"/>
          <w:szCs w:val="16"/>
          <w:color w:val="065BAA"/>
        </w:rPr>
      </w:pPr>
      <w:r>
        <w:rPr>
          <w:rFonts w:ascii="Arial" w:cs="Arial" w:eastAsia="Arial" w:hAnsi="Arial"/>
          <w:sz w:val="16"/>
          <w:szCs w:val="16"/>
          <w:color w:val="auto"/>
        </w:rPr>
        <w:t>A policy formalized in our Corporate Governance Guidelines (reviewed annually) that limits director service to no more than four public boards (including Regeneron) and requires notification prior to appointment to another public or for-profit company board (the “director time commitment policy”).</w:t>
      </w:r>
    </w:p>
    <w:p>
      <w:pPr>
        <w:spacing w:after="0" w:line="91" w:lineRule="exact"/>
        <w:rPr>
          <w:sz w:val="20"/>
          <w:szCs w:val="20"/>
          <w:color w:val="auto"/>
        </w:rPr>
      </w:pPr>
    </w:p>
    <w:p>
      <w:pPr>
        <w:ind w:left="140" w:right="139"/>
        <w:spacing w:after="0" w:line="321" w:lineRule="auto"/>
        <w:rPr>
          <w:sz w:val="20"/>
          <w:szCs w:val="20"/>
          <w:color w:val="auto"/>
        </w:rPr>
      </w:pPr>
      <w:r>
        <w:rPr>
          <w:rFonts w:ascii="Arial" w:cs="Arial" w:eastAsia="Arial" w:hAnsi="Arial"/>
          <w:sz w:val="16"/>
          <w:szCs w:val="16"/>
          <w:color w:val="auto"/>
        </w:rPr>
        <w:t>Since 2022, three new directors, Drs. Thompson, Guarini, and Schenkein, have joined Regeneron’s board of directors and two directors have retired, resulting in significant board refreshment in the last few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32</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41" w:name="page42"/>
    <w:bookmarkEnd w:id="41"/>
    <w:p>
      <w:pPr>
        <w:jc w:val="center"/>
        <w:ind w:right="-20"/>
        <w:spacing w:after="0"/>
        <w:tabs>
          <w:tab w:leader="none" w:pos="260" w:val="left"/>
          <w:tab w:leader="none" w:pos="260" w:val="left"/>
          <w:tab w:leader="none" w:pos="30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r>
      <w:r>
        <w:rPr>
          <w:sz w:val="20"/>
          <w:szCs w:val="20"/>
          <w:color w:val="auto"/>
        </w:rPr>
        <w:tab/>
      </w:r>
      <w:r>
        <w:rPr>
          <w:rFonts w:ascii="Arial" w:cs="Arial" w:eastAsia="Arial" w:hAnsi="Arial"/>
          <w:sz w:val="14"/>
          <w:szCs w:val="14"/>
          <w:b w:val="1"/>
          <w:bCs w:val="1"/>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Procedures Relating to Nominees; Board Succession Planning</w:t>
      </w:r>
    </w:p>
    <w:p>
      <w:pPr>
        <w:spacing w:after="0" w:line="132" w:lineRule="exact"/>
        <w:rPr>
          <w:sz w:val="20"/>
          <w:szCs w:val="20"/>
          <w:color w:val="auto"/>
        </w:rPr>
      </w:pPr>
    </w:p>
    <w:p>
      <w:pPr>
        <w:ind w:left="140" w:right="159"/>
        <w:spacing w:after="0" w:line="284" w:lineRule="auto"/>
        <w:rPr>
          <w:sz w:val="20"/>
          <w:szCs w:val="20"/>
          <w:color w:val="auto"/>
        </w:rPr>
      </w:pPr>
      <w:r>
        <w:rPr>
          <w:rFonts w:ascii="Arial" w:cs="Arial" w:eastAsia="Arial" w:hAnsi="Arial"/>
          <w:sz w:val="16"/>
          <w:szCs w:val="16"/>
          <w:color w:val="auto"/>
        </w:rPr>
        <w:t>In considering potential candidates for the board of directors, the Corporate Governance and Compliance Committee considers all relevant factors, such as whether or not a potential candidate: (1) possesses relevant expertise; (2) brings skills and experience complementary to those of the other members of the board; (3) has sufficient time to devote to the affairs of the Company (including whether such candidate complies with the director time commitment policy); (4) has demonstrated excellence in his or her field; (5) has the ability to exercise sound business judgment; (6) has the commitment to rigorously represent the long-term interests of the Company’s shareholders; (7) would contribute to the mix of backgrounds and experiences represented on the board; (8) would be eligible to be considered independent (as discussed further below); and (9) should be recommended in light of such other factors as the Corporate Governance and Compliance Committee may determine from time to time.</w:t>
      </w:r>
    </w:p>
    <w:p>
      <w:pPr>
        <w:spacing w:after="0" w:line="120" w:lineRule="exact"/>
        <w:rPr>
          <w:sz w:val="20"/>
          <w:szCs w:val="20"/>
          <w:color w:val="auto"/>
        </w:rPr>
      </w:pPr>
    </w:p>
    <w:p>
      <w:pPr>
        <w:ind w:left="140" w:right="159"/>
        <w:spacing w:after="0" w:line="289" w:lineRule="auto"/>
        <w:rPr>
          <w:sz w:val="20"/>
          <w:szCs w:val="20"/>
          <w:color w:val="auto"/>
        </w:rPr>
      </w:pPr>
      <w:r>
        <w:rPr>
          <w:rFonts w:ascii="Arial" w:cs="Arial" w:eastAsia="Arial" w:hAnsi="Arial"/>
          <w:sz w:val="16"/>
          <w:szCs w:val="16"/>
          <w:color w:val="auto"/>
        </w:rPr>
        <w:t>Candidates for director are reviewed in the context of the current composition of the board of directors, the operating requirements of the Company, and the long-term interests of shareholders. In conducting the assessment, the Committee considers the factors outlined above in light of the current needs of the board and the Company. When recommending a slate of director nominees each year, the Corporate Governance and Compliance Committee reviews the current composition of the board of directors to ensure that the board will continue to possess the requisite mix of skills, expertise, experience, and viewpoints necessary to effectively fulfill its duties and responsibilities.</w:t>
      </w:r>
    </w:p>
    <w:p>
      <w:pPr>
        <w:spacing w:after="0" w:line="102" w:lineRule="exact"/>
        <w:rPr>
          <w:sz w:val="20"/>
          <w:szCs w:val="20"/>
          <w:color w:val="auto"/>
        </w:rPr>
      </w:pPr>
    </w:p>
    <w:p>
      <w:pPr>
        <w:ind w:left="140" w:right="419"/>
        <w:spacing w:after="0" w:line="289" w:lineRule="auto"/>
        <w:rPr>
          <w:sz w:val="20"/>
          <w:szCs w:val="20"/>
          <w:color w:val="auto"/>
        </w:rPr>
      </w:pPr>
      <w:r>
        <w:rPr>
          <w:rFonts w:ascii="Arial" w:cs="Arial" w:eastAsia="Arial" w:hAnsi="Arial"/>
          <w:sz w:val="16"/>
          <w:szCs w:val="16"/>
          <w:color w:val="auto"/>
        </w:rPr>
        <w:t>In the case of an incumbent director whose term of office is set to expire, the Corporate Governance and Compliance Committee reviews such director’s overall service to the Company during the director’s term and also considers the director’s interest in continuing as a member of the board. In the case of a new director candidate, the Corporate Governance and Compliance Committee also reviews whether the nominee is eligible to be considered “independent,” based on our Corporate Governance Guidelines, applicable listing standards of the Nasdaq Stock Market LLC, and applicable SEC and other relevant rules and regulations, if necessary.</w:t>
      </w:r>
    </w:p>
    <w:p>
      <w:pPr>
        <w:spacing w:after="0" w:line="115" w:lineRule="exact"/>
        <w:rPr>
          <w:sz w:val="20"/>
          <w:szCs w:val="20"/>
          <w:color w:val="auto"/>
        </w:rPr>
      </w:pPr>
    </w:p>
    <w:p>
      <w:pPr>
        <w:ind w:left="140" w:right="179"/>
        <w:spacing w:after="0" w:line="287" w:lineRule="auto"/>
        <w:rPr>
          <w:sz w:val="20"/>
          <w:szCs w:val="20"/>
          <w:color w:val="auto"/>
        </w:rPr>
      </w:pPr>
      <w:r>
        <w:rPr>
          <w:rFonts w:ascii="Arial" w:cs="Arial" w:eastAsia="Arial" w:hAnsi="Arial"/>
          <w:sz w:val="16"/>
          <w:szCs w:val="16"/>
          <w:color w:val="auto"/>
        </w:rPr>
        <w:t xml:space="preserve">The Corporate Governance and Compliance Committee may employ a variety of methods for identifying and evaluating nominees for the board of directors. Candidates recommended by other directors, management, search firms, or other sources may also be considered. With respect to director candidates recommended by shareholders, the Corporate Governance and Compliance Committee will consider the candidate if the shareholder submits the recommendation in compliance with the requirements of our Guidelines Regarding Director Nominations, which are available on our website at </w:t>
      </w:r>
      <w:r>
        <w:rPr>
          <w:rFonts w:ascii="Arial" w:cs="Arial" w:eastAsia="Arial" w:hAnsi="Arial"/>
          <w:sz w:val="16"/>
          <w:szCs w:val="16"/>
          <w:b w:val="1"/>
          <w:bCs w:val="1"/>
          <w:color w:val="2069E7"/>
        </w:rPr>
        <w:t>www.regeneron.com</w:t>
      </w:r>
      <w:r>
        <w:rPr>
          <w:rFonts w:ascii="Arial" w:cs="Arial" w:eastAsia="Arial" w:hAnsi="Arial"/>
          <w:sz w:val="16"/>
          <w:szCs w:val="16"/>
          <w:color w:val="auto"/>
        </w:rPr>
        <w:t xml:space="preserve"> under the “Governance” heading on the “Investors &amp; Media” page. Candidates recommended by shareholders will be evaluated on the same basis as candidates recommended by our directors or management or by third-party search firms or other sources.</w:t>
      </w:r>
    </w:p>
    <w:p>
      <w:pPr>
        <w:spacing w:after="0" w:line="103" w:lineRule="exact"/>
        <w:rPr>
          <w:sz w:val="20"/>
          <w:szCs w:val="20"/>
          <w:color w:val="auto"/>
        </w:rPr>
      </w:pPr>
    </w:p>
    <w:p>
      <w:pPr>
        <w:ind w:left="140" w:right="339"/>
        <w:spacing w:after="0" w:line="301" w:lineRule="auto"/>
        <w:rPr>
          <w:sz w:val="20"/>
          <w:szCs w:val="20"/>
          <w:color w:val="auto"/>
        </w:rPr>
      </w:pPr>
      <w:r>
        <w:rPr>
          <w:rFonts w:ascii="Arial" w:cs="Arial" w:eastAsia="Arial" w:hAnsi="Arial"/>
          <w:sz w:val="16"/>
          <w:szCs w:val="16"/>
          <w:color w:val="auto"/>
        </w:rPr>
        <w:t>Candidates may be evaluated at regular or special meetings of the Corporate Governance and Compliance Committee. The Committee also considers succession planning for board and committee chairs for purposes of continuity and to maintain relevant expertise and depth of experience.</w:t>
      </w:r>
    </w:p>
    <w:p>
      <w:pPr>
        <w:spacing w:after="0" w:line="307" w:lineRule="exact"/>
        <w:rPr>
          <w:sz w:val="20"/>
          <w:szCs w:val="20"/>
          <w:color w:val="auto"/>
        </w:rPr>
      </w:pPr>
    </w:p>
    <w:tbl>
      <w:tblPr>
        <w:tblLayout w:type="fixed"/>
        <w:tblInd w:w="360" w:type="dxa"/>
        <w:tblCellMar>
          <w:top w:w="0" w:type="dxa"/>
          <w:left w:w="0" w:type="dxa"/>
          <w:bottom w:w="0" w:type="dxa"/>
          <w:right w:w="0" w:type="dxa"/>
        </w:tblCellMar>
      </w:tblPr>
      <w:tr>
        <w:trPr>
          <w:trHeight w:val="495"/>
        </w:trPr>
        <w:tc>
          <w:tcPr>
            <w:tcW w:w="1980" w:type="dxa"/>
            <w:vAlign w:val="bottom"/>
            <w:tcBorders>
              <w:right w:val="single" w:sz="8" w:color="auto"/>
            </w:tcBorders>
          </w:tcPr>
          <w:p>
            <w:pPr>
              <w:spacing w:after="0"/>
              <w:rPr>
                <w:sz w:val="20"/>
                <w:szCs w:val="20"/>
                <w:color w:val="auto"/>
              </w:rPr>
            </w:pPr>
            <w:r>
              <w:rPr>
                <w:rFonts w:ascii="Arial" w:cs="Arial" w:eastAsia="Arial" w:hAnsi="Arial"/>
                <w:sz w:val="43"/>
                <w:szCs w:val="43"/>
                <w:b w:val="1"/>
                <w:bCs w:val="1"/>
                <w:color w:val="auto"/>
              </w:rPr>
              <w:t>1</w:t>
            </w:r>
          </w:p>
        </w:tc>
        <w:tc>
          <w:tcPr>
            <w:tcW w:w="2180" w:type="dxa"/>
            <w:vAlign w:val="bottom"/>
            <w:tcBorders>
              <w:right w:val="single" w:sz="8" w:color="auto"/>
            </w:tcBorders>
          </w:tcPr>
          <w:p>
            <w:pPr>
              <w:ind w:left="200"/>
              <w:spacing w:after="0"/>
              <w:rPr>
                <w:sz w:val="20"/>
                <w:szCs w:val="20"/>
                <w:color w:val="auto"/>
              </w:rPr>
            </w:pPr>
            <w:r>
              <w:rPr>
                <w:rFonts w:ascii="Arial" w:cs="Arial" w:eastAsia="Arial" w:hAnsi="Arial"/>
                <w:sz w:val="43"/>
                <w:szCs w:val="43"/>
                <w:b w:val="1"/>
                <w:bCs w:val="1"/>
                <w:color w:val="auto"/>
              </w:rPr>
              <w:t>2</w:t>
            </w:r>
          </w:p>
        </w:tc>
        <w:tc>
          <w:tcPr>
            <w:tcW w:w="2200" w:type="dxa"/>
            <w:vAlign w:val="bottom"/>
            <w:tcBorders>
              <w:right w:val="single" w:sz="8" w:color="auto"/>
            </w:tcBorders>
          </w:tcPr>
          <w:p>
            <w:pPr>
              <w:ind w:left="200"/>
              <w:spacing w:after="0"/>
              <w:rPr>
                <w:sz w:val="20"/>
                <w:szCs w:val="20"/>
                <w:color w:val="auto"/>
              </w:rPr>
            </w:pPr>
            <w:r>
              <w:rPr>
                <w:rFonts w:ascii="Arial" w:cs="Arial" w:eastAsia="Arial" w:hAnsi="Arial"/>
                <w:sz w:val="43"/>
                <w:szCs w:val="43"/>
                <w:b w:val="1"/>
                <w:bCs w:val="1"/>
                <w:color w:val="auto"/>
              </w:rPr>
              <w:t>3</w:t>
            </w:r>
          </w:p>
        </w:tc>
        <w:tc>
          <w:tcPr>
            <w:tcW w:w="1600" w:type="dxa"/>
            <w:vAlign w:val="bottom"/>
          </w:tcPr>
          <w:p>
            <w:pPr>
              <w:ind w:left="200"/>
              <w:spacing w:after="0"/>
              <w:rPr>
                <w:sz w:val="20"/>
                <w:szCs w:val="20"/>
                <w:color w:val="auto"/>
              </w:rPr>
            </w:pPr>
            <w:r>
              <w:rPr>
                <w:rFonts w:ascii="Arial" w:cs="Arial" w:eastAsia="Arial" w:hAnsi="Arial"/>
                <w:sz w:val="43"/>
                <w:szCs w:val="43"/>
                <w:b w:val="1"/>
                <w:bCs w:val="1"/>
                <w:color w:val="auto"/>
              </w:rPr>
              <w:t>4</w:t>
            </w:r>
          </w:p>
        </w:tc>
      </w:tr>
      <w:tr>
        <w:trPr>
          <w:trHeight w:val="270"/>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Identify Potential</w:t>
            </w:r>
          </w:p>
        </w:tc>
        <w:tc>
          <w:tcPr>
            <w:tcW w:w="2180" w:type="dxa"/>
            <w:vAlign w:val="bottom"/>
            <w:tcBorders>
              <w:right w:val="single" w:sz="8" w:color="auto"/>
            </w:tcBorders>
          </w:tcPr>
          <w:p>
            <w:pPr>
              <w:ind w:left="200"/>
              <w:spacing w:after="0" w:line="207" w:lineRule="exact"/>
              <w:rPr>
                <w:sz w:val="20"/>
                <w:szCs w:val="20"/>
                <w:color w:val="auto"/>
              </w:rPr>
            </w:pPr>
            <w:r>
              <w:rPr>
                <w:rFonts w:ascii="Arial" w:cs="Arial" w:eastAsia="Arial" w:hAnsi="Arial"/>
                <w:sz w:val="18"/>
                <w:szCs w:val="18"/>
                <w:b w:val="1"/>
                <w:bCs w:val="1"/>
                <w:color w:val="auto"/>
              </w:rPr>
              <w:t>Conduct In</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Depth</w:t>
            </w:r>
          </w:p>
        </w:tc>
        <w:tc>
          <w:tcPr>
            <w:tcW w:w="220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Make a</w:t>
            </w:r>
          </w:p>
        </w:tc>
        <w:tc>
          <w:tcPr>
            <w:tcW w:w="1600" w:type="dxa"/>
            <w:vAlign w:val="bottom"/>
          </w:tcPr>
          <w:p>
            <w:pPr>
              <w:ind w:left="200"/>
              <w:spacing w:after="0"/>
              <w:rPr>
                <w:sz w:val="20"/>
                <w:szCs w:val="20"/>
                <w:color w:val="auto"/>
              </w:rPr>
            </w:pPr>
            <w:r>
              <w:rPr>
                <w:rFonts w:ascii="Arial" w:cs="Arial" w:eastAsia="Arial" w:hAnsi="Arial"/>
                <w:sz w:val="18"/>
                <w:szCs w:val="18"/>
                <w:b w:val="1"/>
                <w:bCs w:val="1"/>
                <w:color w:val="auto"/>
                <w:w w:val="97"/>
              </w:rPr>
              <w:t>Outcome: Board</w:t>
            </w:r>
          </w:p>
        </w:tc>
      </w:tr>
      <w:tr>
        <w:trPr>
          <w:trHeight w:val="243"/>
        </w:trPr>
        <w:tc>
          <w:tcPr>
            <w:tcW w:w="1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Nominees</w:t>
            </w:r>
          </w:p>
        </w:tc>
        <w:tc>
          <w:tcPr>
            <w:tcW w:w="218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Review</w:t>
            </w:r>
          </w:p>
        </w:tc>
        <w:tc>
          <w:tcPr>
            <w:tcW w:w="220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Recommendation to</w:t>
            </w:r>
          </w:p>
        </w:tc>
        <w:tc>
          <w:tcPr>
            <w:tcW w:w="1600" w:type="dxa"/>
            <w:vAlign w:val="bottom"/>
          </w:tcPr>
          <w:p>
            <w:pPr>
              <w:ind w:left="200"/>
              <w:spacing w:after="0"/>
              <w:rPr>
                <w:sz w:val="20"/>
                <w:szCs w:val="20"/>
                <w:color w:val="auto"/>
              </w:rPr>
            </w:pPr>
            <w:r>
              <w:rPr>
                <w:rFonts w:ascii="Arial" w:cs="Arial" w:eastAsia="Arial" w:hAnsi="Arial"/>
                <w:sz w:val="18"/>
                <w:szCs w:val="18"/>
                <w:b w:val="1"/>
                <w:bCs w:val="1"/>
                <w:color w:val="auto"/>
              </w:rPr>
              <w:t>Decision</w:t>
            </w:r>
          </w:p>
        </w:tc>
      </w:tr>
      <w:tr>
        <w:trPr>
          <w:trHeight w:val="226"/>
        </w:trPr>
        <w:tc>
          <w:tcPr>
            <w:tcW w:w="19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from variety of sources</w:t>
            </w:r>
          </w:p>
        </w:tc>
        <w:tc>
          <w:tcPr>
            <w:tcW w:w="218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&amp; consider a range of</w:t>
            </w:r>
          </w:p>
        </w:tc>
        <w:tc>
          <w:tcPr>
            <w:tcW w:w="220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the Board</w:t>
            </w:r>
          </w:p>
        </w:tc>
        <w:tc>
          <w:tcPr>
            <w:tcW w:w="1600" w:type="dxa"/>
            <w:vAlign w:val="bottom"/>
          </w:tcPr>
          <w:p>
            <w:pPr>
              <w:spacing w:after="0"/>
              <w:rPr>
                <w:sz w:val="19"/>
                <w:szCs w:val="19"/>
                <w:color w:val="auto"/>
              </w:rPr>
            </w:pPr>
          </w:p>
        </w:tc>
      </w:tr>
      <w:tr>
        <w:trPr>
          <w:trHeight w:val="189"/>
        </w:trPr>
        <w:tc>
          <w:tcPr>
            <w:tcW w:w="1980" w:type="dxa"/>
            <w:vAlign w:val="bottom"/>
            <w:tcBorders>
              <w:right w:val="single" w:sz="8" w:color="auto"/>
            </w:tcBorders>
          </w:tcPr>
          <w:p>
            <w:pPr>
              <w:spacing w:after="0"/>
              <w:rPr>
                <w:sz w:val="16"/>
                <w:szCs w:val="16"/>
                <w:color w:val="auto"/>
              </w:rPr>
            </w:pPr>
          </w:p>
        </w:tc>
        <w:tc>
          <w:tcPr>
            <w:tcW w:w="218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factors in the context of</w:t>
            </w:r>
          </w:p>
        </w:tc>
        <w:tc>
          <w:tcPr>
            <w:tcW w:w="2200" w:type="dxa"/>
            <w:vAlign w:val="bottom"/>
            <w:tcBorders>
              <w:right w:val="single" w:sz="8" w:color="auto"/>
            </w:tcBorders>
          </w:tcPr>
          <w:p>
            <w:pPr>
              <w:spacing w:after="0"/>
              <w:rPr>
                <w:sz w:val="16"/>
                <w:szCs w:val="16"/>
                <w:color w:val="auto"/>
              </w:rPr>
            </w:pPr>
          </w:p>
        </w:tc>
        <w:tc>
          <w:tcPr>
            <w:tcW w:w="1600" w:type="dxa"/>
            <w:vAlign w:val="bottom"/>
          </w:tcPr>
          <w:p>
            <w:pPr>
              <w:spacing w:after="0"/>
              <w:rPr>
                <w:sz w:val="16"/>
                <w:szCs w:val="16"/>
                <w:color w:val="auto"/>
              </w:rPr>
            </w:pPr>
          </w:p>
        </w:tc>
      </w:tr>
      <w:tr>
        <w:trPr>
          <w:trHeight w:val="198"/>
        </w:trPr>
        <w:tc>
          <w:tcPr>
            <w:tcW w:w="198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current board composition</w:t>
            </w:r>
          </w:p>
        </w:tc>
        <w:tc>
          <w:tcPr>
            <w:tcW w:w="2200" w:type="dxa"/>
            <w:vAlign w:val="bottom"/>
            <w:tcBorders>
              <w:right w:val="single" w:sz="8" w:color="auto"/>
            </w:tcBorders>
          </w:tcPr>
          <w:p>
            <w:pPr>
              <w:spacing w:after="0"/>
              <w:rPr>
                <w:sz w:val="17"/>
                <w:szCs w:val="17"/>
                <w:color w:val="auto"/>
              </w:rPr>
            </w:pPr>
          </w:p>
        </w:tc>
        <w:tc>
          <w:tcPr>
            <w:tcW w:w="16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33</w:t>
            </w:r>
          </w:p>
        </w:tc>
      </w:tr>
    </w:tbl>
    <w:p>
      <w:pPr>
        <w:sectPr>
          <w:pgSz w:w="11900" w:h="16838" w:orient="portrait"/>
          <w:cols w:equalWidth="0" w:num="1">
            <w:col w:w="9019"/>
          </w:cols>
          <w:pgMar w:left="1440" w:top="657" w:right="1440" w:bottom="1440" w:gutter="0" w:footer="0" w:header="0"/>
        </w:sectPr>
      </w:pPr>
    </w:p>
    <w:bookmarkStart w:id="42" w:name="page43"/>
    <w:bookmarkEnd w:id="42"/>
    <w:p>
      <w:pPr>
        <w:jc w:val="center"/>
        <w:ind w:right="-20"/>
        <w:spacing w:after="0"/>
        <w:tabs>
          <w:tab w:leader="none" w:pos="260" w:val="left"/>
          <w:tab w:leader="none" w:pos="260" w:val="left"/>
          <w:tab w:leader="none" w:pos="30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r>
      <w:r>
        <w:rPr>
          <w:sz w:val="20"/>
          <w:szCs w:val="20"/>
          <w:color w:val="auto"/>
        </w:rPr>
        <w:tab/>
      </w:r>
      <w:r>
        <w:rPr>
          <w:rFonts w:ascii="Arial" w:cs="Arial" w:eastAsia="Arial" w:hAnsi="Arial"/>
          <w:sz w:val="14"/>
          <w:szCs w:val="14"/>
          <w:b w:val="1"/>
          <w:bCs w:val="1"/>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Director Onboarding</w:t>
      </w:r>
    </w:p>
    <w:p>
      <w:pPr>
        <w:spacing w:after="0" w:line="132" w:lineRule="exact"/>
        <w:rPr>
          <w:sz w:val="20"/>
          <w:szCs w:val="20"/>
          <w:color w:val="auto"/>
        </w:rPr>
      </w:pPr>
    </w:p>
    <w:p>
      <w:pPr>
        <w:ind w:left="140" w:right="159"/>
        <w:spacing w:after="0" w:line="286" w:lineRule="auto"/>
        <w:rPr>
          <w:sz w:val="20"/>
          <w:szCs w:val="20"/>
          <w:color w:val="auto"/>
        </w:rPr>
      </w:pPr>
      <w:r>
        <w:rPr>
          <w:rFonts w:ascii="Arial" w:cs="Arial" w:eastAsia="Arial" w:hAnsi="Arial"/>
          <w:sz w:val="16"/>
          <w:szCs w:val="16"/>
          <w:color w:val="auto"/>
        </w:rPr>
        <w:t>All new directors participate in a robust director orientation and onboarding process to ensure a strong working knowledge of our industry, business, strategies, and policies and a successful integration into boardroom discussions as soon as possible. The initial, typically multi-day orientation program includes in-person meetings at our corporate headquarters with senior executives across our key corporate functions. New directors also meet with the executives and staff supporting the board committees on which they serve. The onboarding process continues after the initial orientation and includes meetings with each committee chair and the Lead Independent Director.</w:t>
      </w:r>
    </w:p>
    <w:p>
      <w:pPr>
        <w:spacing w:after="0" w:line="231"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Board and Committee Self-Assessments</w:t>
      </w:r>
    </w:p>
    <w:p>
      <w:pPr>
        <w:spacing w:after="0" w:line="119" w:lineRule="exact"/>
        <w:rPr>
          <w:sz w:val="20"/>
          <w:szCs w:val="20"/>
          <w:color w:val="auto"/>
        </w:rPr>
      </w:pPr>
    </w:p>
    <w:p>
      <w:pPr>
        <w:ind w:left="140" w:right="279"/>
        <w:spacing w:after="0" w:line="285" w:lineRule="auto"/>
        <w:rPr>
          <w:sz w:val="20"/>
          <w:szCs w:val="20"/>
          <w:color w:val="auto"/>
        </w:rPr>
      </w:pPr>
      <w:r>
        <w:rPr>
          <w:rFonts w:ascii="Arial" w:cs="Arial" w:eastAsia="Arial" w:hAnsi="Arial"/>
          <w:sz w:val="16"/>
          <w:szCs w:val="16"/>
          <w:color w:val="auto"/>
        </w:rPr>
        <w:t>On an annual basis, the board of directors and each of the board’s committees comprised of independent directors conducts a self-assessment to ensure effective performance and to identify opportunities for improvement. As the first step in the self-assessment process, for the board as a whole and each committee on which they serve, the directors complete a comprehensive questionnaire, which asks them to consider various topics related to board and committee composition, structure, effectiveness, and responsibilities, as well as satisfaction with the schedule, materials, and discussion topics. Each committee, as well as the board as a whole, then reviews and assesses the responses and presents the findings and recommendations to such committee or the board of directors (as applicable) in executive session. The Lead Independent Director, in consultation with the Corporate Governance and Compliance Committee or the Committee’s Chair, reviews and reports on the results of the board and, if applicable, committee assessments, which are discussed by the board of directors in executive session with a view toward taking action to address any issues presented. Results requiring additional consideration are addressed at subsequent board and committee meetings, where appropriate.</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Annual Self-Assessment Process</w:t>
      </w:r>
    </w:p>
    <w:p>
      <w:pPr>
        <w:spacing w:after="0" w:line="200" w:lineRule="exact"/>
        <w:rPr>
          <w:sz w:val="20"/>
          <w:szCs w:val="20"/>
          <w:color w:val="auto"/>
        </w:rPr>
      </w:pPr>
    </w:p>
    <w:p>
      <w:pPr>
        <w:spacing w:after="0" w:line="356"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Arial" w:cs="Arial" w:eastAsia="Arial" w:hAnsi="Arial"/>
                <w:sz w:val="16"/>
                <w:szCs w:val="16"/>
                <w:b w:val="1"/>
                <w:bCs w:val="1"/>
                <w:color w:val="auto"/>
              </w:rPr>
              <w:t>Complete</w:t>
            </w:r>
          </w:p>
        </w:tc>
        <w:tc>
          <w:tcPr>
            <w:tcW w:w="2060" w:type="dxa"/>
            <w:vAlign w:val="bottom"/>
          </w:tcPr>
          <w:p>
            <w:pPr>
              <w:ind w:left="380"/>
              <w:spacing w:after="0"/>
              <w:rPr>
                <w:sz w:val="20"/>
                <w:szCs w:val="20"/>
                <w:color w:val="auto"/>
              </w:rPr>
            </w:pPr>
            <w:r>
              <w:rPr>
                <w:rFonts w:ascii="Arial" w:cs="Arial" w:eastAsia="Arial" w:hAnsi="Arial"/>
                <w:sz w:val="16"/>
                <w:szCs w:val="16"/>
                <w:b w:val="1"/>
                <w:bCs w:val="1"/>
                <w:color w:val="auto"/>
              </w:rPr>
              <w:t>Review and</w:t>
            </w:r>
          </w:p>
        </w:tc>
        <w:tc>
          <w:tcPr>
            <w:tcW w:w="172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Discuss Results</w:t>
            </w:r>
          </w:p>
        </w:tc>
        <w:tc>
          <w:tcPr>
            <w:tcW w:w="1580" w:type="dxa"/>
            <w:vAlign w:val="bottom"/>
          </w:tcPr>
          <w:p>
            <w:pPr>
              <w:ind w:left="260"/>
              <w:spacing w:after="0"/>
              <w:rPr>
                <w:sz w:val="20"/>
                <w:szCs w:val="20"/>
                <w:color w:val="auto"/>
              </w:rPr>
            </w:pPr>
            <w:r>
              <w:rPr>
                <w:rFonts w:ascii="Arial" w:cs="Arial" w:eastAsia="Arial" w:hAnsi="Arial"/>
                <w:sz w:val="16"/>
                <w:szCs w:val="16"/>
                <w:b w:val="1"/>
                <w:bCs w:val="1"/>
                <w:color w:val="auto"/>
              </w:rPr>
              <w:t>Formulate</w:t>
            </w:r>
          </w:p>
        </w:tc>
        <w:tc>
          <w:tcPr>
            <w:tcW w:w="1200" w:type="dxa"/>
            <w:vAlign w:val="bottom"/>
            <w:vMerge w:val="restart"/>
          </w:tcPr>
          <w:p>
            <w:pPr>
              <w:ind w:left="420"/>
              <w:spacing w:after="0"/>
              <w:rPr>
                <w:sz w:val="20"/>
                <w:szCs w:val="20"/>
                <w:color w:val="auto"/>
              </w:rPr>
            </w:pPr>
            <w:r>
              <w:rPr>
                <w:rFonts w:ascii="Arial" w:cs="Arial" w:eastAsia="Arial" w:hAnsi="Arial"/>
                <w:sz w:val="16"/>
                <w:szCs w:val="16"/>
                <w:b w:val="1"/>
                <w:bCs w:val="1"/>
                <w:color w:val="auto"/>
                <w:w w:val="99"/>
              </w:rPr>
              <w:t>Follow Up</w:t>
            </w:r>
          </w:p>
        </w:tc>
        <w:tc>
          <w:tcPr>
            <w:tcW w:w="0" w:type="dxa"/>
            <w:vAlign w:val="bottom"/>
          </w:tcPr>
          <w:p>
            <w:pPr>
              <w:spacing w:after="0"/>
              <w:rPr>
                <w:sz w:val="1"/>
                <w:szCs w:val="1"/>
                <w:color w:val="auto"/>
              </w:rPr>
            </w:pPr>
          </w:p>
        </w:tc>
      </w:tr>
      <w:tr>
        <w:trPr>
          <w:trHeight w:val="115"/>
        </w:trPr>
        <w:tc>
          <w:tcPr>
            <w:tcW w:w="1480" w:type="dxa"/>
            <w:vAlign w:val="bottom"/>
            <w:vMerge w:val="restart"/>
          </w:tcPr>
          <w:p>
            <w:pPr>
              <w:spacing w:after="0"/>
              <w:rPr>
                <w:sz w:val="20"/>
                <w:szCs w:val="20"/>
                <w:color w:val="auto"/>
              </w:rPr>
            </w:pPr>
            <w:r>
              <w:rPr>
                <w:rFonts w:ascii="Arial" w:cs="Arial" w:eastAsia="Arial" w:hAnsi="Arial"/>
                <w:sz w:val="16"/>
                <w:szCs w:val="16"/>
                <w:b w:val="1"/>
                <w:bCs w:val="1"/>
                <w:color w:val="auto"/>
              </w:rPr>
              <w:t>Questionnaire</w:t>
            </w:r>
          </w:p>
        </w:tc>
        <w:tc>
          <w:tcPr>
            <w:tcW w:w="206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Assess Responses</w:t>
            </w:r>
          </w:p>
        </w:tc>
        <w:tc>
          <w:tcPr>
            <w:tcW w:w="1720" w:type="dxa"/>
            <w:vAlign w:val="bottom"/>
            <w:vMerge w:val="continue"/>
          </w:tcPr>
          <w:p>
            <w:pPr>
              <w:spacing w:after="0"/>
              <w:rPr>
                <w:sz w:val="9"/>
                <w:szCs w:val="9"/>
                <w:color w:val="auto"/>
              </w:rPr>
            </w:pPr>
          </w:p>
        </w:tc>
        <w:tc>
          <w:tcPr>
            <w:tcW w:w="158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Action Plan</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80" w:type="dxa"/>
            <w:vAlign w:val="bottom"/>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140" w:right="899"/>
        <w:spacing w:after="0" w:line="321" w:lineRule="auto"/>
        <w:rPr>
          <w:sz w:val="20"/>
          <w:szCs w:val="20"/>
          <w:color w:val="auto"/>
        </w:rPr>
      </w:pPr>
      <w:r>
        <w:rPr>
          <w:rFonts w:ascii="Arial" w:cs="Arial" w:eastAsia="Arial" w:hAnsi="Arial"/>
          <w:sz w:val="16"/>
          <w:szCs w:val="16"/>
          <w:color w:val="auto"/>
        </w:rPr>
        <w:t>While this formal self-assessment is conducted on an annual basis, directors share perspectives, feedback, and suggestions year round, both inside and outside the boardroom.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34</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43" w:name="page44"/>
    <w:bookmarkEnd w:id="43"/>
    <w:p>
      <w:pPr>
        <w:jc w:val="center"/>
        <w:ind w:right="-20"/>
        <w:spacing w:after="0"/>
        <w:tabs>
          <w:tab w:leader="none" w:pos="260" w:val="left"/>
          <w:tab w:leader="none" w:pos="260" w:val="left"/>
          <w:tab w:leader="none" w:pos="30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r>
      <w:r>
        <w:rPr>
          <w:sz w:val="20"/>
          <w:szCs w:val="20"/>
          <w:color w:val="auto"/>
        </w:rPr>
        <w:tab/>
      </w:r>
      <w:r>
        <w:rPr>
          <w:rFonts w:ascii="Arial" w:cs="Arial" w:eastAsia="Arial" w:hAnsi="Arial"/>
          <w:sz w:val="14"/>
          <w:szCs w:val="14"/>
          <w:b w:val="1"/>
          <w:bCs w:val="1"/>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Board Leadership</w:t>
      </w:r>
    </w:p>
    <w:p>
      <w:pPr>
        <w:spacing w:after="0" w:line="132" w:lineRule="exact"/>
        <w:rPr>
          <w:sz w:val="20"/>
          <w:szCs w:val="20"/>
          <w:color w:val="auto"/>
        </w:rPr>
      </w:pPr>
    </w:p>
    <w:p>
      <w:pPr>
        <w:ind w:left="140" w:right="179"/>
        <w:spacing w:after="0" w:line="291" w:lineRule="auto"/>
        <w:rPr>
          <w:sz w:val="20"/>
          <w:szCs w:val="20"/>
          <w:color w:val="auto"/>
        </w:rPr>
      </w:pPr>
      <w:r>
        <w:rPr>
          <w:rFonts w:ascii="Arial" w:cs="Arial" w:eastAsia="Arial" w:hAnsi="Arial"/>
          <w:sz w:val="16"/>
          <w:szCs w:val="16"/>
          <w:color w:val="auto"/>
        </w:rPr>
        <w:t>The board of directors recognizes that one of its key responsibilities is to establish and evaluate an appropriate leadership structure for the board so as to provide effective oversight of management. The board of directors believes that a company’s board leadership structure should take into account relevant corporate governance and strategic considerations (such as board size and composition, director tenure, and experience of the management team) and that the board should maintain flexibility and adjust the leadership structure as appropriate.</w:t>
      </w:r>
    </w:p>
    <w:p>
      <w:pPr>
        <w:spacing w:after="0" w:line="226"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Board Leadership Structure</w:t>
      </w:r>
    </w:p>
    <w:p>
      <w:pPr>
        <w:spacing w:after="0" w:line="180" w:lineRule="exact"/>
        <w:rPr>
          <w:sz w:val="20"/>
          <w:szCs w:val="20"/>
          <w:color w:val="auto"/>
        </w:rPr>
      </w:pPr>
    </w:p>
    <w:p>
      <w:pPr>
        <w:ind w:left="140" w:right="239"/>
        <w:spacing w:after="0" w:line="287" w:lineRule="auto"/>
        <w:rPr>
          <w:sz w:val="20"/>
          <w:szCs w:val="20"/>
          <w:color w:val="auto"/>
        </w:rPr>
      </w:pPr>
      <w:r>
        <w:rPr>
          <w:rFonts w:ascii="Arial" w:cs="Arial" w:eastAsia="Arial" w:hAnsi="Arial"/>
          <w:sz w:val="16"/>
          <w:szCs w:val="16"/>
          <w:color w:val="auto"/>
        </w:rPr>
        <w:t>Regeneron’s current board leadership structure has been in effect since 2023, when the board elected Drs. Schleifer and Yancopoulos as co-Chairs of the Board and the independent directors designated Ms. Poon as the board’s Lead Independent Director. Under our Corporate Governance Guidelines, if the Chair of the Board is not an independent director (or, in the case of co-Chairs, neither is an independent director), the Company’s independent directors shall designate one of the independent directors to serve as a Lead Independent Director. The Lead Independent Director coordinates the activities of the independent directors and has the duties and responsibilities described in Regeneron’s Lead Independent Director Charter, which are summarized below under the subsection “Responsibilities of Lead Independent Director.”</w:t>
      </w:r>
    </w:p>
    <w:p>
      <w:pPr>
        <w:spacing w:after="0" w:line="103" w:lineRule="exact"/>
        <w:rPr>
          <w:sz w:val="20"/>
          <w:szCs w:val="20"/>
          <w:color w:val="auto"/>
        </w:rPr>
      </w:pPr>
    </w:p>
    <w:p>
      <w:pPr>
        <w:ind w:left="140" w:right="179"/>
        <w:spacing w:after="0" w:line="287" w:lineRule="auto"/>
        <w:rPr>
          <w:sz w:val="20"/>
          <w:szCs w:val="20"/>
          <w:color w:val="auto"/>
        </w:rPr>
      </w:pPr>
      <w:r>
        <w:rPr>
          <w:rFonts w:ascii="Arial" w:cs="Arial" w:eastAsia="Arial" w:hAnsi="Arial"/>
          <w:sz w:val="16"/>
          <w:szCs w:val="16"/>
          <w:color w:val="auto"/>
        </w:rPr>
        <w:t>In electing Drs. Schleifer and Yancopoulos as co-Chairs, the board of directors considered their incomparable knowledge and demonstrated leadership of the Company for nearly four decades. The board’s decision also took into account Dr. Schleifer’s previous service as Chair of the Board from 1990 through 1994 and the importance, both from an external and internal perspective, of Dr. Yancopoulos’s scientific leadership. The board further believes that the ability of Drs. Schleifer and Yancopoulos to speak as co-Chairs of the Board as well as Presidents of the Company provides strong unified leadership for the Company. In the board’s view, electing Drs. Schleifer and Yancopoulos as co-Chairs, combined with a strong Lead Independent Director appointed by the independent directors, provides balanced leadership and effective oversight of management and is in the best interest of the Company and its shareholders.</w:t>
      </w:r>
    </w:p>
    <w:p>
      <w:pPr>
        <w:spacing w:after="0" w:line="116" w:lineRule="exact"/>
        <w:rPr>
          <w:sz w:val="20"/>
          <w:szCs w:val="20"/>
          <w:color w:val="auto"/>
        </w:rPr>
      </w:pPr>
    </w:p>
    <w:p>
      <w:pPr>
        <w:ind w:left="140" w:right="179"/>
        <w:spacing w:after="0" w:line="285" w:lineRule="auto"/>
        <w:rPr>
          <w:sz w:val="20"/>
          <w:szCs w:val="20"/>
          <w:color w:val="auto"/>
        </w:rPr>
      </w:pPr>
      <w:r>
        <w:rPr>
          <w:rFonts w:ascii="Arial" w:cs="Arial" w:eastAsia="Arial" w:hAnsi="Arial"/>
          <w:sz w:val="16"/>
          <w:szCs w:val="16"/>
          <w:color w:val="auto"/>
        </w:rPr>
        <w:t>In designating Ms. Poon as the board’s Lead Independent Director, the independent directors of the board considered her deep strategic and operational knowledge of the Company’s business and industry; broad experience serving as a public company director, including in the role of lead independent director of another S&amp;P 500 company; productive working relationship with Drs. Schleifer and Yancopoulos; history of demonstrating independent judgment to support management when appropriate and fortitude to challenge management when deemed in the best interest of the Company and its shareholders; strong interpersonal skills and ability to build consensus; and demonstrated influence on the board’s culture and insistence on a high standard of ethics, candor, and transparency.</w:t>
      </w:r>
    </w:p>
    <w:p>
      <w:pPr>
        <w:spacing w:after="0" w:line="118" w:lineRule="exact"/>
        <w:rPr>
          <w:sz w:val="20"/>
          <w:szCs w:val="20"/>
          <w:color w:val="auto"/>
        </w:rPr>
      </w:pPr>
    </w:p>
    <w:p>
      <w:pPr>
        <w:ind w:left="140" w:right="479"/>
        <w:spacing w:after="0" w:line="321" w:lineRule="auto"/>
        <w:rPr>
          <w:sz w:val="20"/>
          <w:szCs w:val="20"/>
          <w:color w:val="auto"/>
        </w:rPr>
      </w:pPr>
      <w:r>
        <w:rPr>
          <w:rFonts w:ascii="Arial" w:cs="Arial" w:eastAsia="Arial" w:hAnsi="Arial"/>
          <w:sz w:val="16"/>
          <w:szCs w:val="16"/>
          <w:color w:val="auto"/>
        </w:rPr>
        <w:t>The board continues to periodically evaluate and determine, with input from the independent directors, an appropriate leadership structure for the board so as to provide effective oversight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35</w:t>
            </w:r>
          </w:p>
        </w:tc>
      </w:tr>
    </w:tbl>
    <w:p>
      <w:pPr>
        <w:sectPr>
          <w:pgSz w:w="11900" w:h="16838" w:orient="portrait"/>
          <w:cols w:equalWidth="0" w:num="1">
            <w:col w:w="9019"/>
          </w:cols>
          <w:pgMar w:left="1440" w:top="657" w:right="1440" w:bottom="1440" w:gutter="0" w:footer="0" w:header="0"/>
        </w:sectPr>
      </w:pPr>
    </w:p>
    <w:bookmarkStart w:id="44" w:name="page45"/>
    <w:bookmarkEnd w:id="44"/>
    <w:p>
      <w:pPr>
        <w:jc w:val="center"/>
        <w:ind w:right="-20"/>
        <w:spacing w:after="0"/>
        <w:tabs>
          <w:tab w:leader="none" w:pos="260" w:val="left"/>
          <w:tab w:leader="none" w:pos="260" w:val="left"/>
          <w:tab w:leader="none" w:pos="30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r>
      <w:r>
        <w:rPr>
          <w:sz w:val="20"/>
          <w:szCs w:val="20"/>
          <w:color w:val="auto"/>
        </w:rPr>
        <w:tab/>
      </w:r>
      <w:r>
        <w:rPr>
          <w:rFonts w:ascii="Arial" w:cs="Arial" w:eastAsia="Arial" w:hAnsi="Arial"/>
          <w:sz w:val="14"/>
          <w:szCs w:val="14"/>
          <w:b w:val="1"/>
          <w:bCs w:val="1"/>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Responsibilities of Lead Independent Director</w:t>
      </w:r>
    </w:p>
    <w:p>
      <w:pPr>
        <w:spacing w:after="0" w:line="180" w:lineRule="exact"/>
        <w:rPr>
          <w:sz w:val="20"/>
          <w:szCs w:val="20"/>
          <w:color w:val="auto"/>
        </w:rPr>
      </w:pPr>
    </w:p>
    <w:p>
      <w:pPr>
        <w:ind w:left="140" w:right="279"/>
        <w:spacing w:after="0" w:line="295" w:lineRule="auto"/>
        <w:rPr>
          <w:sz w:val="20"/>
          <w:szCs w:val="20"/>
          <w:color w:val="auto"/>
        </w:rPr>
      </w:pPr>
      <w:r>
        <w:rPr>
          <w:rFonts w:ascii="Arial" w:cs="Arial" w:eastAsia="Arial" w:hAnsi="Arial"/>
          <w:sz w:val="16"/>
          <w:szCs w:val="16"/>
          <w:color w:val="auto"/>
        </w:rPr>
        <w:t>Under Regeneron’s Lead Independent Director Charter, the Lead Independent Director is appointed annually by the independent directors of the board. Although appointed annually, the Lead Independent Director is generally expected to serve for more than one year. The Lead Independent Director Charter sets forth a robust set of specific duties and responsibilities of the Lead Independent Director, which are summarized below.</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Key Duties and Responsibilities of Lead Independent Director</w:t>
      </w:r>
    </w:p>
    <w:p>
      <w:pPr>
        <w:sectPr>
          <w:pgSz w:w="11900" w:h="16838" w:orient="portrait"/>
          <w:cols w:equalWidth="0" w:num="1">
            <w:col w:w="9019"/>
          </w:cols>
          <w:pgMar w:left="1440" w:top="657" w:right="1440" w:bottom="1440" w:gutter="0" w:footer="0" w:header="0"/>
        </w:sectPr>
      </w:pPr>
    </w:p>
    <w:p>
      <w:pPr>
        <w:spacing w:after="0" w:line="303"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065BAA"/>
        </w:rPr>
        <w:t>Meetings and Executive Sessions</w:t>
      </w:r>
    </w:p>
    <w:p>
      <w:pPr>
        <w:spacing w:after="0" w:line="50" w:lineRule="exact"/>
        <w:rPr>
          <w:sz w:val="20"/>
          <w:szCs w:val="20"/>
          <w:color w:val="auto"/>
        </w:rPr>
      </w:pPr>
    </w:p>
    <w:p>
      <w:pPr>
        <w:jc w:val="both"/>
        <w:ind w:left="540" w:right="100" w:hanging="187"/>
        <w:spacing w:after="0" w:line="301" w:lineRule="auto"/>
        <w:tabs>
          <w:tab w:leader="none" w:pos="540" w:val="left"/>
        </w:tabs>
        <w:numPr>
          <w:ilvl w:val="0"/>
          <w:numId w:val="59"/>
        </w:numPr>
        <w:rPr>
          <w:rFonts w:ascii="Arial" w:cs="Arial" w:eastAsia="Arial" w:hAnsi="Arial"/>
          <w:sz w:val="16"/>
          <w:szCs w:val="16"/>
          <w:color w:val="065BAA"/>
        </w:rPr>
      </w:pPr>
      <w:r>
        <w:rPr>
          <w:rFonts w:ascii="Arial" w:cs="Arial" w:eastAsia="Arial" w:hAnsi="Arial"/>
          <w:sz w:val="16"/>
          <w:szCs w:val="16"/>
          <w:color w:val="auto"/>
        </w:rPr>
        <w:t>Presides at all meetings of the board at which the Chair* is not present, including executive sessions of the independent directors</w:t>
      </w:r>
    </w:p>
    <w:p>
      <w:pPr>
        <w:spacing w:after="0" w:line="23" w:lineRule="exact"/>
        <w:rPr>
          <w:rFonts w:ascii="Arial" w:cs="Arial" w:eastAsia="Arial" w:hAnsi="Arial"/>
          <w:sz w:val="16"/>
          <w:szCs w:val="16"/>
          <w:color w:val="065BAA"/>
        </w:rPr>
      </w:pPr>
    </w:p>
    <w:p>
      <w:pPr>
        <w:ind w:left="540" w:right="1040" w:hanging="187"/>
        <w:spacing w:after="0" w:line="321" w:lineRule="auto"/>
        <w:tabs>
          <w:tab w:leader="none" w:pos="540" w:val="left"/>
        </w:tabs>
        <w:numPr>
          <w:ilvl w:val="0"/>
          <w:numId w:val="59"/>
        </w:numPr>
        <w:rPr>
          <w:rFonts w:ascii="Arial" w:cs="Arial" w:eastAsia="Arial" w:hAnsi="Arial"/>
          <w:sz w:val="16"/>
          <w:szCs w:val="16"/>
          <w:color w:val="065BAA"/>
        </w:rPr>
      </w:pPr>
      <w:r>
        <w:rPr>
          <w:rFonts w:ascii="Arial" w:cs="Arial" w:eastAsia="Arial" w:hAnsi="Arial"/>
          <w:sz w:val="16"/>
          <w:szCs w:val="16"/>
          <w:color w:val="auto"/>
        </w:rPr>
        <w:t>Has discretion to call meetings of the independent directors</w:t>
      </w:r>
    </w:p>
    <w:p>
      <w:pPr>
        <w:spacing w:after="0" w:line="20" w:lineRule="exact"/>
        <w:rPr>
          <w:rFonts w:ascii="Arial" w:cs="Arial" w:eastAsia="Arial" w:hAnsi="Arial"/>
          <w:sz w:val="16"/>
          <w:szCs w:val="16"/>
          <w:color w:val="065BAA"/>
        </w:rPr>
      </w:pPr>
    </w:p>
    <w:p>
      <w:pPr>
        <w:ind w:left="540" w:right="240" w:hanging="187"/>
        <w:spacing w:after="0" w:line="295" w:lineRule="auto"/>
        <w:tabs>
          <w:tab w:leader="none" w:pos="540" w:val="left"/>
        </w:tabs>
        <w:numPr>
          <w:ilvl w:val="0"/>
          <w:numId w:val="59"/>
        </w:numPr>
        <w:rPr>
          <w:rFonts w:ascii="Arial" w:cs="Arial" w:eastAsia="Arial" w:hAnsi="Arial"/>
          <w:sz w:val="16"/>
          <w:szCs w:val="16"/>
          <w:color w:val="065BAA"/>
        </w:rPr>
      </w:pPr>
      <w:r>
        <w:rPr>
          <w:rFonts w:ascii="Arial" w:cs="Arial" w:eastAsia="Arial" w:hAnsi="Arial"/>
          <w:sz w:val="16"/>
          <w:szCs w:val="16"/>
          <w:color w:val="auto"/>
        </w:rPr>
        <w:t>Facilitates discussion and open dialogue among the independent directors during board meetings, executive sessions, and outside board meetings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065BAA"/>
        </w:rPr>
        <w:t>Liaison with the Chair and Management</w:t>
      </w:r>
    </w:p>
    <w:p>
      <w:pPr>
        <w:spacing w:after="0" w:line="50" w:lineRule="exact"/>
        <w:rPr>
          <w:sz w:val="20"/>
          <w:szCs w:val="20"/>
          <w:color w:val="auto"/>
        </w:rPr>
      </w:pPr>
    </w:p>
    <w:p>
      <w:pPr>
        <w:ind w:left="540" w:hanging="187"/>
        <w:spacing w:after="0"/>
        <w:tabs>
          <w:tab w:leader="none" w:pos="540" w:val="left"/>
        </w:tabs>
        <w:numPr>
          <w:ilvl w:val="0"/>
          <w:numId w:val="60"/>
        </w:numPr>
        <w:rPr>
          <w:rFonts w:ascii="Arial" w:cs="Arial" w:eastAsia="Arial" w:hAnsi="Arial"/>
          <w:sz w:val="16"/>
          <w:szCs w:val="16"/>
          <w:color w:val="065BAA"/>
        </w:rPr>
      </w:pPr>
      <w:r>
        <w:rPr>
          <w:rFonts w:ascii="Arial" w:cs="Arial" w:eastAsia="Arial" w:hAnsi="Arial"/>
          <w:sz w:val="16"/>
          <w:szCs w:val="16"/>
          <w:color w:val="auto"/>
        </w:rPr>
        <w:t>Serves as the principal liaison between</w:t>
      </w:r>
    </w:p>
    <w:p>
      <w:pPr>
        <w:spacing w:after="0" w:line="32" w:lineRule="exact"/>
        <w:rPr>
          <w:rFonts w:ascii="Arial" w:cs="Arial" w:eastAsia="Arial" w:hAnsi="Arial"/>
          <w:sz w:val="16"/>
          <w:szCs w:val="16"/>
          <w:color w:val="065BAA"/>
        </w:rPr>
      </w:pPr>
    </w:p>
    <w:p>
      <w:pPr>
        <w:ind w:left="540" w:right="260"/>
        <w:spacing w:after="0" w:line="321" w:lineRule="auto"/>
        <w:rPr>
          <w:rFonts w:ascii="Arial" w:cs="Arial" w:eastAsia="Arial" w:hAnsi="Arial"/>
          <w:sz w:val="16"/>
          <w:szCs w:val="16"/>
          <w:color w:val="065BAA"/>
        </w:rPr>
      </w:pPr>
      <w:r>
        <w:rPr>
          <w:rFonts w:ascii="Arial" w:cs="Arial" w:eastAsia="Arial" w:hAnsi="Arial"/>
          <w:sz w:val="16"/>
          <w:szCs w:val="16"/>
          <w:color w:val="auto"/>
        </w:rPr>
        <w:t>the independent directors and the Chair, without inhibiting direct communication between them</w:t>
      </w:r>
    </w:p>
    <w:p>
      <w:pPr>
        <w:spacing w:after="0" w:line="7" w:lineRule="exact"/>
        <w:rPr>
          <w:rFonts w:ascii="Arial" w:cs="Arial" w:eastAsia="Arial" w:hAnsi="Arial"/>
          <w:sz w:val="16"/>
          <w:szCs w:val="16"/>
          <w:color w:val="065BAA"/>
        </w:rPr>
      </w:pPr>
    </w:p>
    <w:p>
      <w:pPr>
        <w:ind w:left="540" w:hanging="187"/>
        <w:spacing w:after="0"/>
        <w:tabs>
          <w:tab w:leader="none" w:pos="540" w:val="left"/>
        </w:tabs>
        <w:numPr>
          <w:ilvl w:val="0"/>
          <w:numId w:val="60"/>
        </w:numPr>
        <w:rPr>
          <w:rFonts w:ascii="Arial" w:cs="Arial" w:eastAsia="Arial" w:hAnsi="Arial"/>
          <w:sz w:val="16"/>
          <w:szCs w:val="16"/>
          <w:color w:val="065BAA"/>
        </w:rPr>
      </w:pPr>
      <w:r>
        <w:rPr>
          <w:rFonts w:ascii="Arial" w:cs="Arial" w:eastAsia="Arial" w:hAnsi="Arial"/>
          <w:sz w:val="16"/>
          <w:szCs w:val="16"/>
          <w:color w:val="auto"/>
        </w:rPr>
        <w:t>Communicates to the Chair and management,</w:t>
      </w:r>
    </w:p>
    <w:p>
      <w:pPr>
        <w:spacing w:after="0" w:line="32" w:lineRule="exact"/>
        <w:rPr>
          <w:rFonts w:ascii="Arial" w:cs="Arial" w:eastAsia="Arial" w:hAnsi="Arial"/>
          <w:sz w:val="16"/>
          <w:szCs w:val="16"/>
          <w:color w:val="065BAA"/>
        </w:rPr>
      </w:pPr>
    </w:p>
    <w:p>
      <w:pPr>
        <w:ind w:left="540"/>
        <w:spacing w:after="0" w:line="295" w:lineRule="auto"/>
        <w:rPr>
          <w:rFonts w:ascii="Arial" w:cs="Arial" w:eastAsia="Arial" w:hAnsi="Arial"/>
          <w:sz w:val="16"/>
          <w:szCs w:val="16"/>
          <w:color w:val="065BAA"/>
        </w:rPr>
      </w:pPr>
      <w:r>
        <w:rPr>
          <w:rFonts w:ascii="Arial" w:cs="Arial" w:eastAsia="Arial" w:hAnsi="Arial"/>
          <w:sz w:val="16"/>
          <w:szCs w:val="16"/>
          <w:color w:val="auto"/>
        </w:rPr>
        <w:t>as appropriate, any decisions reached, suggestions made, or views or concerns expressed by independent directors in executive sessions or outside of board meetings</w:t>
      </w:r>
    </w:p>
    <w:p>
      <w:pPr>
        <w:spacing w:after="0" w:line="40" w:lineRule="exact"/>
        <w:rPr>
          <w:rFonts w:ascii="Arial" w:cs="Arial" w:eastAsia="Arial" w:hAnsi="Arial"/>
          <w:sz w:val="16"/>
          <w:szCs w:val="16"/>
          <w:color w:val="065BAA"/>
        </w:rPr>
      </w:pPr>
    </w:p>
    <w:p>
      <w:pPr>
        <w:ind w:left="540" w:right="140" w:hanging="187"/>
        <w:spacing w:after="0" w:line="321" w:lineRule="auto"/>
        <w:tabs>
          <w:tab w:leader="none" w:pos="540" w:val="left"/>
        </w:tabs>
        <w:numPr>
          <w:ilvl w:val="0"/>
          <w:numId w:val="60"/>
        </w:numPr>
        <w:rPr>
          <w:rFonts w:ascii="Arial" w:cs="Arial" w:eastAsia="Arial" w:hAnsi="Arial"/>
          <w:sz w:val="16"/>
          <w:szCs w:val="16"/>
          <w:color w:val="065BAA"/>
        </w:rPr>
      </w:pPr>
      <w:r>
        <w:rPr>
          <w:rFonts w:ascii="Arial" w:cs="Arial" w:eastAsia="Arial" w:hAnsi="Arial"/>
          <w:sz w:val="16"/>
          <w:szCs w:val="16"/>
          <w:color w:val="auto"/>
        </w:rPr>
        <w:t>Provides the Chair with feedback and counsel concerning the Chair’s interactions with the board</w:t>
      </w:r>
    </w:p>
    <w:p>
      <w:pPr>
        <w:spacing w:after="0" w:line="7" w:lineRule="exact"/>
        <w:rPr>
          <w:rFonts w:ascii="Arial" w:cs="Arial" w:eastAsia="Arial" w:hAnsi="Arial"/>
          <w:sz w:val="16"/>
          <w:szCs w:val="16"/>
          <w:color w:val="065BAA"/>
        </w:rPr>
      </w:pPr>
    </w:p>
    <w:p>
      <w:pPr>
        <w:ind w:left="540" w:right="260" w:hanging="187"/>
        <w:spacing w:after="0" w:line="295" w:lineRule="auto"/>
        <w:tabs>
          <w:tab w:leader="none" w:pos="540" w:val="left"/>
        </w:tabs>
        <w:numPr>
          <w:ilvl w:val="0"/>
          <w:numId w:val="60"/>
        </w:numPr>
        <w:rPr>
          <w:rFonts w:ascii="Arial" w:cs="Arial" w:eastAsia="Arial" w:hAnsi="Arial"/>
          <w:sz w:val="16"/>
          <w:szCs w:val="16"/>
          <w:color w:val="065BAA"/>
        </w:rPr>
      </w:pPr>
      <w:r>
        <w:rPr>
          <w:rFonts w:ascii="Arial" w:cs="Arial" w:eastAsia="Arial" w:hAnsi="Arial"/>
          <w:sz w:val="16"/>
          <w:szCs w:val="16"/>
          <w:color w:val="auto"/>
        </w:rPr>
        <w:t>In the case of co-Chairs, resolves any disagreement between the co-Chairs in their performance of the duties and responsibilities of the Chair</w:t>
      </w:r>
    </w:p>
    <w:p>
      <w:pPr>
        <w:spacing w:after="0" w:line="31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065BAA"/>
        </w:rPr>
        <w:t>CEO Succession</w:t>
      </w:r>
    </w:p>
    <w:p>
      <w:pPr>
        <w:spacing w:after="0" w:line="50" w:lineRule="exact"/>
        <w:rPr>
          <w:sz w:val="20"/>
          <w:szCs w:val="20"/>
          <w:color w:val="auto"/>
        </w:rPr>
      </w:pPr>
    </w:p>
    <w:p>
      <w:pPr>
        <w:ind w:left="540" w:right="740" w:hanging="187"/>
        <w:spacing w:after="0" w:line="321" w:lineRule="auto"/>
        <w:tabs>
          <w:tab w:leader="none" w:pos="540" w:val="left"/>
        </w:tabs>
        <w:numPr>
          <w:ilvl w:val="0"/>
          <w:numId w:val="61"/>
        </w:numPr>
        <w:rPr>
          <w:rFonts w:ascii="Arial" w:cs="Arial" w:eastAsia="Arial" w:hAnsi="Arial"/>
          <w:sz w:val="16"/>
          <w:szCs w:val="16"/>
          <w:color w:val="065BAA"/>
        </w:rPr>
      </w:pPr>
      <w:r>
        <w:rPr>
          <w:rFonts w:ascii="Arial" w:cs="Arial" w:eastAsia="Arial" w:hAnsi="Arial"/>
          <w:sz w:val="16"/>
          <w:szCs w:val="16"/>
          <w:color w:val="auto"/>
        </w:rPr>
        <w:t>Coordinates the board’s CEO succession planning process</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7" w:right="859"/>
        <w:spacing w:after="0" w:line="272" w:lineRule="auto"/>
        <w:rPr>
          <w:sz w:val="20"/>
          <w:szCs w:val="20"/>
          <w:color w:val="auto"/>
        </w:rPr>
      </w:pPr>
      <w:r>
        <w:rPr>
          <w:rFonts w:ascii="Arial" w:cs="Arial" w:eastAsia="Arial" w:hAnsi="Arial"/>
          <w:sz w:val="20"/>
          <w:szCs w:val="20"/>
          <w:b w:val="1"/>
          <w:bCs w:val="1"/>
          <w:color w:val="065BAA"/>
        </w:rPr>
        <w:t>Oversight of Information Provided to the Board</w:t>
      </w:r>
    </w:p>
    <w:p>
      <w:pPr>
        <w:spacing w:after="0" w:line="1" w:lineRule="exact"/>
        <w:rPr>
          <w:sz w:val="20"/>
          <w:szCs w:val="20"/>
          <w:color w:val="auto"/>
        </w:rPr>
      </w:pPr>
    </w:p>
    <w:p>
      <w:pPr>
        <w:ind w:left="187" w:right="599" w:hanging="187"/>
        <w:spacing w:after="0" w:line="295" w:lineRule="auto"/>
        <w:tabs>
          <w:tab w:leader="none" w:pos="187" w:val="left"/>
        </w:tabs>
        <w:numPr>
          <w:ilvl w:val="0"/>
          <w:numId w:val="62"/>
        </w:numPr>
        <w:rPr>
          <w:rFonts w:ascii="Arial" w:cs="Arial" w:eastAsia="Arial" w:hAnsi="Arial"/>
          <w:sz w:val="16"/>
          <w:szCs w:val="16"/>
          <w:color w:val="065BAA"/>
        </w:rPr>
      </w:pPr>
      <w:r>
        <w:rPr>
          <w:rFonts w:ascii="Arial" w:cs="Arial" w:eastAsia="Arial" w:hAnsi="Arial"/>
          <w:sz w:val="16"/>
          <w:szCs w:val="16"/>
          <w:color w:val="auto"/>
        </w:rPr>
        <w:t>Works with the Chair to develop and approve board meeting agendas and meeting schedules, including to ensure that there is sufficient time for discussion of all agenda items</w:t>
      </w:r>
    </w:p>
    <w:p>
      <w:pPr>
        <w:spacing w:after="0" w:line="26" w:lineRule="exact"/>
        <w:rPr>
          <w:rFonts w:ascii="Arial" w:cs="Arial" w:eastAsia="Arial" w:hAnsi="Arial"/>
          <w:sz w:val="16"/>
          <w:szCs w:val="16"/>
          <w:color w:val="065BAA"/>
        </w:rPr>
      </w:pPr>
    </w:p>
    <w:p>
      <w:pPr>
        <w:ind w:left="187" w:right="659" w:hanging="187"/>
        <w:spacing w:after="0" w:line="301" w:lineRule="auto"/>
        <w:tabs>
          <w:tab w:leader="none" w:pos="187" w:val="left"/>
        </w:tabs>
        <w:numPr>
          <w:ilvl w:val="0"/>
          <w:numId w:val="62"/>
        </w:numPr>
        <w:rPr>
          <w:rFonts w:ascii="Arial" w:cs="Arial" w:eastAsia="Arial" w:hAnsi="Arial"/>
          <w:sz w:val="16"/>
          <w:szCs w:val="16"/>
          <w:color w:val="065BAA"/>
        </w:rPr>
      </w:pPr>
      <w:r>
        <w:rPr>
          <w:rFonts w:ascii="Arial" w:cs="Arial" w:eastAsia="Arial" w:hAnsi="Arial"/>
          <w:sz w:val="16"/>
          <w:szCs w:val="16"/>
          <w:color w:val="auto"/>
        </w:rPr>
        <w:t>Works with the Chair on the appropriateness (including quality and quantity) and timeliness of the information provided to the board</w:t>
      </w:r>
    </w:p>
    <w:p>
      <w:pPr>
        <w:spacing w:after="0" w:line="23" w:lineRule="exact"/>
        <w:rPr>
          <w:rFonts w:ascii="Arial" w:cs="Arial" w:eastAsia="Arial" w:hAnsi="Arial"/>
          <w:sz w:val="16"/>
          <w:szCs w:val="16"/>
          <w:color w:val="065BAA"/>
        </w:rPr>
      </w:pPr>
    </w:p>
    <w:p>
      <w:pPr>
        <w:ind w:left="187" w:right="559" w:hanging="187"/>
        <w:spacing w:after="0" w:line="301" w:lineRule="auto"/>
        <w:tabs>
          <w:tab w:leader="none" w:pos="187" w:val="left"/>
        </w:tabs>
        <w:numPr>
          <w:ilvl w:val="0"/>
          <w:numId w:val="62"/>
        </w:numPr>
        <w:rPr>
          <w:rFonts w:ascii="Arial" w:cs="Arial" w:eastAsia="Arial" w:hAnsi="Arial"/>
          <w:sz w:val="16"/>
          <w:szCs w:val="16"/>
          <w:color w:val="065BAA"/>
        </w:rPr>
      </w:pPr>
      <w:r>
        <w:rPr>
          <w:rFonts w:ascii="Arial" w:cs="Arial" w:eastAsia="Arial" w:hAnsi="Arial"/>
          <w:sz w:val="16"/>
          <w:szCs w:val="16"/>
          <w:color w:val="auto"/>
        </w:rPr>
        <w:t>Authorizes the retention of advisors and consultants who report directly to the board or the independent directors when appropriate</w:t>
      </w:r>
    </w:p>
    <w:p>
      <w:pPr>
        <w:spacing w:after="0" w:line="311"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65BAA"/>
        </w:rPr>
        <w:t>Board and Leadership Evaluation</w:t>
      </w:r>
    </w:p>
    <w:p>
      <w:pPr>
        <w:spacing w:after="0" w:line="50" w:lineRule="exact"/>
        <w:rPr>
          <w:sz w:val="20"/>
          <w:szCs w:val="20"/>
          <w:color w:val="auto"/>
        </w:rPr>
      </w:pPr>
    </w:p>
    <w:p>
      <w:pPr>
        <w:ind w:left="187" w:right="459" w:hanging="187"/>
        <w:spacing w:after="0" w:line="295" w:lineRule="auto"/>
        <w:tabs>
          <w:tab w:leader="none" w:pos="187" w:val="left"/>
        </w:tabs>
        <w:numPr>
          <w:ilvl w:val="0"/>
          <w:numId w:val="63"/>
        </w:numPr>
        <w:rPr>
          <w:rFonts w:ascii="Arial" w:cs="Arial" w:eastAsia="Arial" w:hAnsi="Arial"/>
          <w:sz w:val="16"/>
          <w:szCs w:val="16"/>
          <w:color w:val="065BAA"/>
        </w:rPr>
      </w:pPr>
      <w:r>
        <w:rPr>
          <w:rFonts w:ascii="Arial" w:cs="Arial" w:eastAsia="Arial" w:hAnsi="Arial"/>
          <w:sz w:val="16"/>
          <w:szCs w:val="16"/>
          <w:color w:val="auto"/>
        </w:rPr>
        <w:t>In consultation with the Corporate Governance and Compliance Committee of the board (or the Chair thereof), reviews and reports on the results of the board and committee performance self-evaluations</w:t>
      </w:r>
    </w:p>
    <w:p>
      <w:pPr>
        <w:spacing w:after="0" w:line="26" w:lineRule="exact"/>
        <w:rPr>
          <w:rFonts w:ascii="Arial" w:cs="Arial" w:eastAsia="Arial" w:hAnsi="Arial"/>
          <w:sz w:val="16"/>
          <w:szCs w:val="16"/>
          <w:color w:val="065BAA"/>
        </w:rPr>
      </w:pPr>
    </w:p>
    <w:p>
      <w:pPr>
        <w:ind w:left="187" w:right="359" w:hanging="187"/>
        <w:spacing w:after="0" w:line="295" w:lineRule="auto"/>
        <w:tabs>
          <w:tab w:leader="none" w:pos="187" w:val="left"/>
        </w:tabs>
        <w:numPr>
          <w:ilvl w:val="0"/>
          <w:numId w:val="63"/>
        </w:numPr>
        <w:rPr>
          <w:rFonts w:ascii="Arial" w:cs="Arial" w:eastAsia="Arial" w:hAnsi="Arial"/>
          <w:sz w:val="16"/>
          <w:szCs w:val="16"/>
          <w:color w:val="065BAA"/>
        </w:rPr>
      </w:pPr>
      <w:r>
        <w:rPr>
          <w:rFonts w:ascii="Arial" w:cs="Arial" w:eastAsia="Arial" w:hAnsi="Arial"/>
          <w:sz w:val="16"/>
          <w:szCs w:val="16"/>
          <w:color w:val="auto"/>
        </w:rPr>
        <w:t>Periodically meets on an individual basis with the independent directors to discuss performance, effectiveness, and composition of the board and any committees thereof</w:t>
      </w:r>
    </w:p>
    <w:p>
      <w:pPr>
        <w:spacing w:after="0" w:line="40" w:lineRule="exact"/>
        <w:rPr>
          <w:rFonts w:ascii="Arial" w:cs="Arial" w:eastAsia="Arial" w:hAnsi="Arial"/>
          <w:sz w:val="16"/>
          <w:szCs w:val="16"/>
          <w:color w:val="065BAA"/>
        </w:rPr>
      </w:pPr>
    </w:p>
    <w:p>
      <w:pPr>
        <w:ind w:left="187" w:right="519" w:hanging="187"/>
        <w:spacing w:after="0" w:line="289" w:lineRule="auto"/>
        <w:tabs>
          <w:tab w:leader="none" w:pos="187" w:val="left"/>
        </w:tabs>
        <w:numPr>
          <w:ilvl w:val="0"/>
          <w:numId w:val="63"/>
        </w:numPr>
        <w:rPr>
          <w:rFonts w:ascii="Arial" w:cs="Arial" w:eastAsia="Arial" w:hAnsi="Arial"/>
          <w:sz w:val="16"/>
          <w:szCs w:val="16"/>
          <w:color w:val="065BAA"/>
        </w:rPr>
      </w:pPr>
      <w:r>
        <w:rPr>
          <w:rFonts w:ascii="Arial" w:cs="Arial" w:eastAsia="Arial" w:hAnsi="Arial"/>
          <w:sz w:val="16"/>
          <w:szCs w:val="16"/>
          <w:color w:val="auto"/>
        </w:rPr>
        <w:t>Leads the independent directors’ evaluation of the effectiveness of the Chair, including his or her interactions with directors and ability to provide leadership and direction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65BAA"/>
        </w:rPr>
        <w:t>Shareholder Communication</w:t>
      </w:r>
    </w:p>
    <w:p>
      <w:pPr>
        <w:spacing w:after="0" w:line="50" w:lineRule="exact"/>
        <w:rPr>
          <w:sz w:val="20"/>
          <w:szCs w:val="20"/>
          <w:color w:val="auto"/>
        </w:rPr>
      </w:pPr>
    </w:p>
    <w:p>
      <w:pPr>
        <w:ind w:left="187" w:right="379" w:hanging="187"/>
        <w:spacing w:after="0" w:line="301" w:lineRule="auto"/>
        <w:tabs>
          <w:tab w:leader="none" w:pos="187" w:val="left"/>
        </w:tabs>
        <w:numPr>
          <w:ilvl w:val="0"/>
          <w:numId w:val="64"/>
        </w:numPr>
        <w:rPr>
          <w:rFonts w:ascii="Arial" w:cs="Arial" w:eastAsia="Arial" w:hAnsi="Arial"/>
          <w:sz w:val="16"/>
          <w:szCs w:val="16"/>
          <w:color w:val="065BAA"/>
        </w:rPr>
      </w:pPr>
      <w:r>
        <w:rPr>
          <w:rFonts w:ascii="Arial" w:cs="Arial" w:eastAsia="Arial" w:hAnsi="Arial"/>
          <w:sz w:val="16"/>
          <w:szCs w:val="16"/>
          <w:color w:val="auto"/>
        </w:rPr>
        <w:t>If requested, and in coordination with executive management, is available for consultation and direct communication with shareholders</w:t>
      </w:r>
    </w:p>
    <w:p>
      <w:pPr>
        <w:spacing w:after="0" w:line="200" w:lineRule="exact"/>
        <w:rPr>
          <w:sz w:val="20"/>
          <w:szCs w:val="20"/>
          <w:color w:val="auto"/>
        </w:rPr>
      </w:pPr>
    </w:p>
    <w:p>
      <w:pPr>
        <w:sectPr>
          <w:pgSz w:w="11900" w:h="16838" w:orient="portrait"/>
          <w:cols w:equalWidth="0" w:num="2">
            <w:col w:w="4240" w:space="473"/>
            <w:col w:w="4306"/>
          </w:cols>
          <w:pgMar w:left="1440" w:top="657" w:right="1440" w:bottom="1440" w:gutter="0" w:footer="0" w:header="0"/>
          <w:type w:val="continuous"/>
        </w:sectPr>
      </w:pPr>
    </w:p>
    <w:p>
      <w:pPr>
        <w:spacing w:after="0" w:line="49" w:lineRule="exact"/>
        <w:rPr>
          <w:sz w:val="20"/>
          <w:szCs w:val="20"/>
          <w:color w:val="auto"/>
        </w:rPr>
      </w:pPr>
    </w:p>
    <w:p>
      <w:pPr>
        <w:ind w:left="320" w:hanging="190"/>
        <w:spacing w:after="0"/>
        <w:tabs>
          <w:tab w:leader="none" w:pos="3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All references to the Chair are, in the case of co-Chairs, deemed to mean either co-Chair.</w:t>
      </w:r>
    </w:p>
    <w:p>
      <w:pPr>
        <w:spacing w:after="0" w:line="165" w:lineRule="exact"/>
        <w:rPr>
          <w:sz w:val="20"/>
          <w:szCs w:val="20"/>
          <w:color w:val="auto"/>
        </w:rPr>
      </w:pPr>
    </w:p>
    <w:p>
      <w:pPr>
        <w:ind w:left="140" w:right="259"/>
        <w:spacing w:after="0" w:line="301" w:lineRule="auto"/>
        <w:rPr>
          <w:sz w:val="20"/>
          <w:szCs w:val="20"/>
          <w:color w:val="auto"/>
        </w:rPr>
      </w:pPr>
      <w:r>
        <w:rPr>
          <w:rFonts w:ascii="Arial" w:cs="Arial" w:eastAsia="Arial" w:hAnsi="Arial"/>
          <w:sz w:val="16"/>
          <w:szCs w:val="16"/>
          <w:color w:val="auto"/>
        </w:rPr>
        <w:t>On an annual basis, the Lead Independent Director, in consultation with the Corporate Governance and Compliance Committee or the Chair thereof, reviews the adequacy of the Lead Independent Director Charter and recommends to the board any modifications or changes for approval by the board.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36</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45" w:name="page46"/>
    <w:bookmarkEnd w:id="45"/>
    <w:p>
      <w:pPr>
        <w:jc w:val="center"/>
        <w:ind w:right="-20"/>
        <w:spacing w:after="0"/>
        <w:tabs>
          <w:tab w:leader="none" w:pos="260" w:val="left"/>
          <w:tab w:leader="none" w:pos="260" w:val="left"/>
          <w:tab w:leader="none" w:pos="30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r>
      <w:r>
        <w:rPr>
          <w:sz w:val="20"/>
          <w:szCs w:val="20"/>
          <w:color w:val="auto"/>
        </w:rPr>
        <w:tab/>
      </w:r>
      <w:r>
        <w:rPr>
          <w:rFonts w:ascii="Arial" w:cs="Arial" w:eastAsia="Arial" w:hAnsi="Arial"/>
          <w:sz w:val="14"/>
          <w:szCs w:val="14"/>
          <w:b w:val="1"/>
          <w:bCs w:val="1"/>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right="2659"/>
        <w:spacing w:after="0" w:line="278" w:lineRule="auto"/>
        <w:rPr>
          <w:sz w:val="20"/>
          <w:szCs w:val="20"/>
          <w:color w:val="auto"/>
        </w:rPr>
      </w:pPr>
      <w:r>
        <w:rPr>
          <w:rFonts w:ascii="Arial" w:cs="Arial" w:eastAsia="Arial" w:hAnsi="Arial"/>
          <w:sz w:val="29"/>
          <w:szCs w:val="29"/>
          <w:b w:val="1"/>
          <w:bCs w:val="1"/>
          <w:color w:val="065BAA"/>
        </w:rPr>
        <w:t>Management Succession Planning and Talent Development Process</w:t>
      </w:r>
    </w:p>
    <w:p>
      <w:pPr>
        <w:spacing w:after="0" w:line="3" w:lineRule="exact"/>
        <w:rPr>
          <w:sz w:val="20"/>
          <w:szCs w:val="20"/>
          <w:color w:val="auto"/>
        </w:rPr>
      </w:pPr>
    </w:p>
    <w:p>
      <w:pPr>
        <w:ind w:left="140" w:right="139"/>
        <w:spacing w:after="0" w:line="286" w:lineRule="auto"/>
        <w:rPr>
          <w:sz w:val="20"/>
          <w:szCs w:val="20"/>
          <w:color w:val="auto"/>
        </w:rPr>
      </w:pPr>
      <w:r>
        <w:rPr>
          <w:rFonts w:ascii="Arial" w:cs="Arial" w:eastAsia="Arial" w:hAnsi="Arial"/>
          <w:sz w:val="16"/>
          <w:szCs w:val="16"/>
          <w:color w:val="auto"/>
        </w:rPr>
        <w:t>Under our Corporate Governance Guidelines, the board of directors is required to periodically review with our CEO Regeneron’s plan for succession to the offices of the CEO and other senior executive positions. In recent years, the board and its committees conducted a multi-year formal succession planning and talent review, which included succession planning for the CEO and other senior management positions. The applicable committees of the board of directors advanced this formal review by focusing on certain assigned functions and roles within the Company. As part of this process, the Audit Committee reviewed functions and roles within the Company’s finance, information technology, and real estate &amp; facilities management organizations, while the Compensation Committee and the Technology Committee reviewed functions and roles within the Company’s commercial and certain other general and administrative organizations and the Company’s research &amp; development and global development organizations, respectively. Succession planning and talent review efforts overseen by the board and/or its committees continued in 2025 and 2026 to date.</w:t>
      </w:r>
    </w:p>
    <w:p>
      <w:pPr>
        <w:spacing w:after="0" w:line="116" w:lineRule="exact"/>
        <w:rPr>
          <w:sz w:val="20"/>
          <w:szCs w:val="20"/>
          <w:color w:val="auto"/>
        </w:rPr>
      </w:pPr>
    </w:p>
    <w:p>
      <w:pPr>
        <w:ind w:left="140" w:right="139"/>
        <w:spacing w:after="0" w:line="287" w:lineRule="auto"/>
        <w:rPr>
          <w:sz w:val="20"/>
          <w:szCs w:val="20"/>
          <w:color w:val="auto"/>
        </w:rPr>
      </w:pPr>
      <w:r>
        <w:rPr>
          <w:rFonts w:ascii="Arial" w:cs="Arial" w:eastAsia="Arial" w:hAnsi="Arial"/>
          <w:sz w:val="16"/>
          <w:szCs w:val="16"/>
          <w:color w:val="auto"/>
        </w:rPr>
        <w:t>An example of our succession planning and talent review program in action was the Chief Financial Officer transition in 2024. Effective February 2024, the board appointed Christopher Fenimore to succeed Robert E. Landry as the Company’s Chief Financial Officer upon Mr. Landry’s retirement. Mr. Fenimore, who joined the Company in 2003 and had been the Company’s Controller since March 2017, was identified and developed over several years as an internal candidate for the office of the CFO, which enabled his seamless transition into this role.</w:t>
      </w:r>
    </w:p>
    <w:p>
      <w:pPr>
        <w:spacing w:after="0" w:line="115" w:lineRule="exact"/>
        <w:rPr>
          <w:sz w:val="20"/>
          <w:szCs w:val="20"/>
          <w:color w:val="auto"/>
        </w:rPr>
      </w:pPr>
    </w:p>
    <w:p>
      <w:pPr>
        <w:ind w:left="140" w:right="199"/>
        <w:spacing w:after="0" w:line="301" w:lineRule="auto"/>
        <w:rPr>
          <w:sz w:val="20"/>
          <w:szCs w:val="20"/>
          <w:color w:val="auto"/>
        </w:rPr>
      </w:pPr>
      <w:r>
        <w:rPr>
          <w:rFonts w:ascii="Arial" w:cs="Arial" w:eastAsia="Arial" w:hAnsi="Arial"/>
          <w:sz w:val="16"/>
          <w:szCs w:val="16"/>
          <w:color w:val="auto"/>
        </w:rPr>
        <w:t>In addition to formal succession planning, directors also have exposure to Regeneron leaders through board and committee presentations and discussions and informal events and interactions with key talent throughout the year, both in small-group and one-on-one settings.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37</w:t>
            </w:r>
          </w:p>
        </w:tc>
      </w:tr>
    </w:tbl>
    <w:p>
      <w:pPr>
        <w:sectPr>
          <w:pgSz w:w="11900" w:h="16838" w:orient="portrait"/>
          <w:cols w:equalWidth="0" w:num="1">
            <w:col w:w="9019"/>
          </w:cols>
          <w:pgMar w:left="1440" w:top="657" w:right="1440" w:bottom="1440" w:gutter="0" w:footer="0" w:header="0"/>
        </w:sectPr>
      </w:pPr>
    </w:p>
    <w:bookmarkStart w:id="46" w:name="page47"/>
    <w:bookmarkEnd w:id="46"/>
    <w:p>
      <w:pPr>
        <w:jc w:val="center"/>
        <w:ind w:right="-20"/>
        <w:spacing w:after="0"/>
        <w:tabs>
          <w:tab w:leader="none" w:pos="260" w:val="left"/>
          <w:tab w:leader="none" w:pos="260" w:val="left"/>
          <w:tab w:leader="none" w:pos="30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r>
      <w:r>
        <w:rPr>
          <w:sz w:val="20"/>
          <w:szCs w:val="20"/>
          <w:color w:val="auto"/>
        </w:rPr>
        <w:tab/>
      </w:r>
      <w:r>
        <w:rPr>
          <w:rFonts w:ascii="Arial" w:cs="Arial" w:eastAsia="Arial" w:hAnsi="Arial"/>
          <w:sz w:val="14"/>
          <w:szCs w:val="14"/>
          <w:b w:val="1"/>
          <w:bCs w:val="1"/>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Board Oversight of Risk</w:t>
      </w:r>
    </w:p>
    <w:p>
      <w:pPr>
        <w:spacing w:after="0" w:line="7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board executes its oversight responsibility for risk management directly and through its committees, as shown below.</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065BAA"/>
        </w:rPr>
        <w:t>Board-Level Risk Oversight</w:t>
      </w:r>
    </w:p>
    <w:p>
      <w:pPr>
        <w:spacing w:after="0" w:line="114" w:lineRule="exact"/>
        <w:rPr>
          <w:sz w:val="20"/>
          <w:szCs w:val="20"/>
          <w:color w:val="auto"/>
        </w:rPr>
      </w:pPr>
    </w:p>
    <w:p>
      <w:pPr>
        <w:ind w:left="540" w:right="619" w:hanging="187"/>
        <w:spacing w:after="0" w:line="252" w:lineRule="auto"/>
        <w:tabs>
          <w:tab w:leader="none" w:pos="540" w:val="left"/>
        </w:tabs>
        <w:numPr>
          <w:ilvl w:val="0"/>
          <w:numId w:val="66"/>
        </w:numPr>
        <w:rPr>
          <w:rFonts w:ascii="Arial" w:cs="Arial" w:eastAsia="Arial" w:hAnsi="Arial"/>
          <w:sz w:val="16"/>
          <w:szCs w:val="16"/>
          <w:color w:val="065BAA"/>
        </w:rPr>
      </w:pPr>
      <w:r>
        <w:rPr>
          <w:rFonts w:ascii="Arial" w:cs="Arial" w:eastAsia="Arial" w:hAnsi="Arial"/>
          <w:sz w:val="13"/>
          <w:szCs w:val="13"/>
          <w:color w:val="auto"/>
        </w:rPr>
        <w:t>The board receives detailed regular reports from members of our senior management that include discussions of the risks and exposures involved in their respective areas of responsibility. Further, the board is routinely informed by the appropriate members of senior management of developments internal and external to the Company that could affect our risk profile.</w:t>
      </w:r>
    </w:p>
    <w:p>
      <w:pPr>
        <w:spacing w:after="0" w:line="59" w:lineRule="exact"/>
        <w:rPr>
          <w:rFonts w:ascii="Arial" w:cs="Arial" w:eastAsia="Arial" w:hAnsi="Arial"/>
          <w:sz w:val="16"/>
          <w:szCs w:val="16"/>
          <w:color w:val="065BAA"/>
        </w:rPr>
      </w:pPr>
    </w:p>
    <w:p>
      <w:pPr>
        <w:ind w:left="540" w:right="459" w:hanging="187"/>
        <w:spacing w:after="0" w:line="252" w:lineRule="auto"/>
        <w:tabs>
          <w:tab w:leader="none" w:pos="540" w:val="left"/>
        </w:tabs>
        <w:numPr>
          <w:ilvl w:val="0"/>
          <w:numId w:val="66"/>
        </w:numPr>
        <w:rPr>
          <w:rFonts w:ascii="Arial" w:cs="Arial" w:eastAsia="Arial" w:hAnsi="Arial"/>
          <w:sz w:val="16"/>
          <w:szCs w:val="16"/>
          <w:color w:val="065BAA"/>
        </w:rPr>
      </w:pPr>
      <w:r>
        <w:rPr>
          <w:rFonts w:ascii="Arial" w:cs="Arial" w:eastAsia="Arial" w:hAnsi="Arial"/>
          <w:sz w:val="13"/>
          <w:szCs w:val="13"/>
          <w:color w:val="auto"/>
        </w:rPr>
        <w:t>The board considers specific risk topics, including risks associated with our strategic plan, drug access and pricing (discussed further below), our finances, and our development activities. Specific risk topics may also be considered at executive sessions of independent directors, which are chaired by our Lead Independent Director.</w:t>
      </w:r>
    </w:p>
    <w:p>
      <w:pPr>
        <w:spacing w:after="0" w:line="46" w:lineRule="exact"/>
        <w:rPr>
          <w:rFonts w:ascii="Arial" w:cs="Arial" w:eastAsia="Arial" w:hAnsi="Arial"/>
          <w:sz w:val="16"/>
          <w:szCs w:val="16"/>
          <w:color w:val="065BAA"/>
        </w:rPr>
      </w:pPr>
    </w:p>
    <w:p>
      <w:pPr>
        <w:ind w:left="740" w:right="719" w:hanging="193"/>
        <w:spacing w:after="0" w:line="179" w:lineRule="exact"/>
        <w:tabs>
          <w:tab w:leader="none" w:pos="740" w:val="left"/>
        </w:tabs>
        <w:numPr>
          <w:ilvl w:val="1"/>
          <w:numId w:val="66"/>
        </w:numPr>
        <w:rPr>
          <w:rFonts w:ascii="Arial" w:cs="Arial" w:eastAsia="Arial" w:hAnsi="Arial"/>
          <w:sz w:val="14"/>
          <w:szCs w:val="14"/>
          <w:color w:val="3B5AA4"/>
        </w:rPr>
      </w:pPr>
      <w:r>
        <w:rPr>
          <w:rFonts w:ascii="Arial" w:cs="Arial" w:eastAsia="Arial" w:hAnsi="Arial"/>
          <w:sz w:val="13"/>
          <w:szCs w:val="13"/>
          <w:color w:val="auto"/>
        </w:rPr>
        <w:t>The board is closely involved in and provides oversight of all key pricing determinations for our products, which we endeavor to make in a thoughtful and well</w:t>
      </w:r>
      <w:r>
        <w:rPr>
          <w:rFonts w:ascii="MS PGothic" w:cs="MS PGothic" w:eastAsia="MS PGothic" w:hAnsi="MS PGothic"/>
          <w:sz w:val="13"/>
          <w:szCs w:val="13"/>
          <w:color w:val="auto"/>
        </w:rPr>
        <w:t>‑</w:t>
      </w:r>
      <w:r>
        <w:rPr>
          <w:rFonts w:ascii="Arial" w:cs="Arial" w:eastAsia="Arial" w:hAnsi="Arial"/>
          <w:sz w:val="13"/>
          <w:szCs w:val="13"/>
          <w:color w:val="auto"/>
        </w:rPr>
        <w:t>informed manner with fairness and affordability in mind.</w:t>
      </w:r>
    </w:p>
    <w:p>
      <w:pPr>
        <w:spacing w:after="0" w:line="34" w:lineRule="exact"/>
        <w:rPr>
          <w:rFonts w:ascii="Arial" w:cs="Arial" w:eastAsia="Arial" w:hAnsi="Arial"/>
          <w:sz w:val="14"/>
          <w:szCs w:val="14"/>
          <w:color w:val="3B5AA4"/>
        </w:rPr>
      </w:pPr>
    </w:p>
    <w:p>
      <w:pPr>
        <w:ind w:left="740" w:right="559" w:hanging="193"/>
        <w:spacing w:after="0" w:line="281" w:lineRule="auto"/>
        <w:tabs>
          <w:tab w:leader="none" w:pos="740" w:val="left"/>
        </w:tabs>
        <w:numPr>
          <w:ilvl w:val="1"/>
          <w:numId w:val="66"/>
        </w:numPr>
        <w:rPr>
          <w:rFonts w:ascii="Arial" w:cs="Arial" w:eastAsia="Arial" w:hAnsi="Arial"/>
          <w:sz w:val="14"/>
          <w:szCs w:val="14"/>
          <w:color w:val="3B5AA4"/>
        </w:rPr>
      </w:pPr>
      <w:r>
        <w:rPr>
          <w:rFonts w:ascii="Arial" w:cs="Arial" w:eastAsia="Arial" w:hAnsi="Arial"/>
          <w:sz w:val="13"/>
          <w:szCs w:val="13"/>
          <w:color w:val="auto"/>
        </w:rPr>
        <w:t>We believe we have the appropriate governance mechanisms and internal processes in place to ensure that pricing decisions are thoroughly and appropriately vetted prior to implementation and are made in line with our values and commitments. This includes routine presentations to our board of directors or the appropriate committees thereof on drug pricing strategies, practices, and trends. See “Corporate Governance—Corporate Responsibility” for more information.</w:t>
      </w:r>
    </w:p>
    <w:p>
      <w:pPr>
        <w:spacing w:after="0" w:line="42" w:lineRule="exact"/>
        <w:rPr>
          <w:rFonts w:ascii="Arial" w:cs="Arial" w:eastAsia="Arial" w:hAnsi="Arial"/>
          <w:sz w:val="14"/>
          <w:szCs w:val="14"/>
          <w:color w:val="3B5AA4"/>
        </w:rPr>
      </w:pPr>
    </w:p>
    <w:p>
      <w:pPr>
        <w:ind w:left="540" w:right="799" w:hanging="187"/>
        <w:spacing w:after="0" w:line="233" w:lineRule="auto"/>
        <w:tabs>
          <w:tab w:leader="none" w:pos="540" w:val="left"/>
        </w:tabs>
        <w:numPr>
          <w:ilvl w:val="0"/>
          <w:numId w:val="66"/>
        </w:numPr>
        <w:rPr>
          <w:rFonts w:ascii="Arial" w:cs="Arial" w:eastAsia="Arial" w:hAnsi="Arial"/>
          <w:sz w:val="16"/>
          <w:szCs w:val="16"/>
          <w:color w:val="065BAA"/>
        </w:rPr>
      </w:pPr>
      <w:r>
        <w:rPr>
          <w:rFonts w:ascii="Arial" w:cs="Arial" w:eastAsia="Arial" w:hAnsi="Arial"/>
          <w:sz w:val="13"/>
          <w:szCs w:val="13"/>
          <w:color w:val="auto"/>
        </w:rPr>
        <w:t>As shown below, the board has delegated certain risk oversight responsibilities to its committees. The board is kept abreast of its committees’ risk oversight and other activities via reports of the committee chairs to the full board at regular board meetings.</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Committee-Level Risk Oversight</w:t>
      </w:r>
    </w:p>
    <w:p>
      <w:pPr>
        <w:sectPr>
          <w:pgSz w:w="11900" w:h="16838" w:orient="portrait"/>
          <w:cols w:equalWidth="0" w:num="1">
            <w:col w:w="9019"/>
          </w:cols>
          <w:pgMar w:left="1440" w:top="657" w:right="1440" w:bottom="1440" w:gutter="0" w:footer="0" w:header="0"/>
        </w:sectPr>
      </w:pPr>
    </w:p>
    <w:p>
      <w:pPr>
        <w:spacing w:after="0" w:line="206"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065BAA"/>
        </w:rPr>
        <w:t>Audit Committee</w:t>
      </w:r>
    </w:p>
    <w:p>
      <w:pPr>
        <w:spacing w:after="0" w:line="298" w:lineRule="exact"/>
        <w:rPr>
          <w:sz w:val="20"/>
          <w:szCs w:val="20"/>
          <w:color w:val="auto"/>
        </w:rPr>
      </w:pPr>
    </w:p>
    <w:p>
      <w:pPr>
        <w:ind w:left="480" w:right="20" w:hanging="195"/>
        <w:spacing w:after="0" w:line="173" w:lineRule="exact"/>
        <w:tabs>
          <w:tab w:leader="none" w:pos="480" w:val="left"/>
        </w:tabs>
        <w:numPr>
          <w:ilvl w:val="0"/>
          <w:numId w:val="67"/>
        </w:numPr>
        <w:rPr>
          <w:rFonts w:ascii="Arial" w:cs="Arial" w:eastAsia="Arial" w:hAnsi="Arial"/>
          <w:sz w:val="13"/>
          <w:szCs w:val="13"/>
          <w:color w:val="065BAA"/>
        </w:rPr>
      </w:pPr>
      <w:r>
        <w:rPr>
          <w:rFonts w:ascii="Arial" w:cs="Arial" w:eastAsia="Arial" w:hAnsi="Arial"/>
          <w:sz w:val="13"/>
          <w:szCs w:val="13"/>
          <w:color w:val="auto"/>
        </w:rPr>
        <w:t>Oversees the Company’s risk management program, which focuses on the most significant risks the Company faces in the short-, intermediate-, and long</w:t>
      </w:r>
      <w:r>
        <w:rPr>
          <w:rFonts w:ascii="MS PGothic" w:cs="MS PGothic" w:eastAsia="MS PGothic" w:hAnsi="MS PGothic"/>
          <w:sz w:val="13"/>
          <w:szCs w:val="13"/>
          <w:color w:val="auto"/>
        </w:rPr>
        <w:t>‑</w:t>
      </w:r>
      <w:r>
        <w:rPr>
          <w:rFonts w:ascii="Arial" w:cs="Arial" w:eastAsia="Arial" w:hAnsi="Arial"/>
          <w:sz w:val="13"/>
          <w:szCs w:val="13"/>
          <w:color w:val="auto"/>
        </w:rPr>
        <w:t>term timeframes.</w:t>
      </w:r>
    </w:p>
    <w:p>
      <w:pPr>
        <w:spacing w:after="0" w:line="70" w:lineRule="exact"/>
        <w:rPr>
          <w:rFonts w:ascii="Arial" w:cs="Arial" w:eastAsia="Arial" w:hAnsi="Arial"/>
          <w:sz w:val="13"/>
          <w:szCs w:val="13"/>
          <w:color w:val="065BAA"/>
        </w:rPr>
      </w:pPr>
    </w:p>
    <w:p>
      <w:pPr>
        <w:ind w:left="480" w:hanging="195"/>
        <w:spacing w:after="0" w:line="281" w:lineRule="auto"/>
        <w:tabs>
          <w:tab w:leader="none" w:pos="480" w:val="left"/>
        </w:tabs>
        <w:numPr>
          <w:ilvl w:val="0"/>
          <w:numId w:val="67"/>
        </w:numPr>
        <w:rPr>
          <w:rFonts w:ascii="Arial" w:cs="Arial" w:eastAsia="Arial" w:hAnsi="Arial"/>
          <w:sz w:val="13"/>
          <w:szCs w:val="13"/>
          <w:color w:val="065BAA"/>
        </w:rPr>
      </w:pPr>
      <w:r>
        <w:rPr>
          <w:rFonts w:ascii="Arial" w:cs="Arial" w:eastAsia="Arial" w:hAnsi="Arial"/>
          <w:sz w:val="13"/>
          <w:szCs w:val="13"/>
          <w:color w:val="auto"/>
        </w:rPr>
        <w:t>Regularly discusses specific risk areas and annually reviews a report on the Company’s enterprise risk profile prepared by the Company’s Chief Audit Executive, who reports independently to the Committee and facilitates the risk management program.</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140"/>
        <w:spacing w:after="0" w:line="297" w:lineRule="auto"/>
        <w:rPr>
          <w:sz w:val="20"/>
          <w:szCs w:val="20"/>
          <w:color w:val="auto"/>
        </w:rPr>
      </w:pPr>
      <w:r>
        <w:rPr>
          <w:rFonts w:ascii="Arial" w:cs="Arial" w:eastAsia="Arial" w:hAnsi="Arial"/>
          <w:sz w:val="13"/>
          <w:szCs w:val="13"/>
          <w:b w:val="1"/>
          <w:bCs w:val="1"/>
          <w:color w:val="065BAA"/>
        </w:rPr>
        <w:t>Corporate Governance and Compliance Committee</w:t>
      </w:r>
    </w:p>
    <w:p>
      <w:pPr>
        <w:spacing w:after="0" w:line="78" w:lineRule="exact"/>
        <w:rPr>
          <w:sz w:val="20"/>
          <w:szCs w:val="20"/>
          <w:color w:val="auto"/>
        </w:rPr>
      </w:pPr>
    </w:p>
    <w:p>
      <w:pPr>
        <w:ind w:left="200" w:hanging="200"/>
        <w:spacing w:after="0" w:line="286" w:lineRule="auto"/>
        <w:tabs>
          <w:tab w:leader="none" w:pos="200" w:val="left"/>
        </w:tabs>
        <w:numPr>
          <w:ilvl w:val="0"/>
          <w:numId w:val="68"/>
        </w:numPr>
        <w:rPr>
          <w:rFonts w:ascii="Arial" w:cs="Arial" w:eastAsia="Arial" w:hAnsi="Arial"/>
          <w:sz w:val="13"/>
          <w:szCs w:val="13"/>
          <w:color w:val="065BAA"/>
        </w:rPr>
      </w:pPr>
      <w:r>
        <w:rPr>
          <w:rFonts w:ascii="Arial" w:cs="Arial" w:eastAsia="Arial" w:hAnsi="Arial"/>
          <w:sz w:val="13"/>
          <w:szCs w:val="13"/>
          <w:color w:val="auto"/>
        </w:rPr>
        <w:t>Oversees risks associated with corporate governance matters, including board structure, board and committee composition, and director succession planning.</w:t>
      </w:r>
    </w:p>
    <w:p>
      <w:pPr>
        <w:spacing w:after="0" w:line="213" w:lineRule="exact"/>
        <w:rPr>
          <w:rFonts w:ascii="Arial" w:cs="Arial" w:eastAsia="Arial" w:hAnsi="Arial"/>
          <w:sz w:val="13"/>
          <w:szCs w:val="13"/>
          <w:color w:val="065BAA"/>
        </w:rPr>
      </w:pPr>
    </w:p>
    <w:p>
      <w:pPr>
        <w:ind w:left="200" w:right="60" w:hanging="200"/>
        <w:spacing w:after="0" w:line="281" w:lineRule="auto"/>
        <w:tabs>
          <w:tab w:leader="none" w:pos="200" w:val="left"/>
        </w:tabs>
        <w:numPr>
          <w:ilvl w:val="0"/>
          <w:numId w:val="68"/>
        </w:numPr>
        <w:rPr>
          <w:rFonts w:ascii="Arial" w:cs="Arial" w:eastAsia="Arial" w:hAnsi="Arial"/>
          <w:sz w:val="13"/>
          <w:szCs w:val="13"/>
          <w:color w:val="065BAA"/>
        </w:rPr>
      </w:pPr>
      <w:r>
        <w:rPr>
          <w:rFonts w:ascii="Arial" w:cs="Arial" w:eastAsia="Arial" w:hAnsi="Arial"/>
          <w:sz w:val="13"/>
          <w:szCs w:val="13"/>
          <w:color w:val="auto"/>
        </w:rPr>
        <w:t>Oversees the Company’s comprehensive compliance program (including healthcare law compliance, good manufacturing practices, good clinical practices, and good laboratory practices), other than specific areas overseen by other committees of the board.</w:t>
      </w:r>
    </w:p>
    <w:p>
      <w:pPr>
        <w:spacing w:after="0" w:line="45" w:lineRule="exact"/>
        <w:rPr>
          <w:rFonts w:ascii="Arial" w:cs="Arial" w:eastAsia="Arial" w:hAnsi="Arial"/>
          <w:sz w:val="13"/>
          <w:szCs w:val="13"/>
          <w:color w:val="065BAA"/>
        </w:rPr>
      </w:pPr>
    </w:p>
    <w:p>
      <w:pPr>
        <w:ind w:left="200" w:right="40" w:hanging="200"/>
        <w:spacing w:after="0" w:line="281" w:lineRule="auto"/>
        <w:tabs>
          <w:tab w:leader="none" w:pos="200" w:val="left"/>
        </w:tabs>
        <w:numPr>
          <w:ilvl w:val="0"/>
          <w:numId w:val="68"/>
        </w:numPr>
        <w:rPr>
          <w:rFonts w:ascii="Arial" w:cs="Arial" w:eastAsia="Arial" w:hAnsi="Arial"/>
          <w:sz w:val="13"/>
          <w:szCs w:val="13"/>
          <w:color w:val="065BAA"/>
        </w:rPr>
      </w:pPr>
      <w:r>
        <w:rPr>
          <w:rFonts w:ascii="Arial" w:cs="Arial" w:eastAsia="Arial" w:hAnsi="Arial"/>
          <w:sz w:val="13"/>
          <w:szCs w:val="13"/>
          <w:color w:val="auto"/>
        </w:rPr>
        <w:t>Considers legal and regulatory compliance risks as well as corporate responsibility initiatives that are expected to have a significant impact on the Company’s ability to deliver sustained growth.</w:t>
      </w:r>
    </w:p>
    <w:p>
      <w:pPr>
        <w:spacing w:after="0" w:line="57" w:lineRule="exact"/>
        <w:rPr>
          <w:rFonts w:ascii="Arial" w:cs="Arial" w:eastAsia="Arial" w:hAnsi="Arial"/>
          <w:sz w:val="13"/>
          <w:szCs w:val="13"/>
          <w:color w:val="065BAA"/>
        </w:rPr>
      </w:pPr>
    </w:p>
    <w:p>
      <w:pPr>
        <w:ind w:left="200" w:right="40" w:hanging="200"/>
        <w:spacing w:after="0" w:line="285" w:lineRule="auto"/>
        <w:tabs>
          <w:tab w:leader="none" w:pos="200" w:val="left"/>
        </w:tabs>
        <w:numPr>
          <w:ilvl w:val="0"/>
          <w:numId w:val="68"/>
        </w:numPr>
        <w:rPr>
          <w:rFonts w:ascii="Arial" w:cs="Arial" w:eastAsia="Arial" w:hAnsi="Arial"/>
          <w:sz w:val="13"/>
          <w:szCs w:val="13"/>
          <w:color w:val="065BAA"/>
        </w:rPr>
      </w:pPr>
      <w:r>
        <w:rPr>
          <w:rFonts w:ascii="Arial" w:cs="Arial" w:eastAsia="Arial" w:hAnsi="Arial"/>
          <w:sz w:val="13"/>
          <w:szCs w:val="13"/>
          <w:color w:val="auto"/>
        </w:rPr>
        <w:t>Regularly reviews updates from the Company’s Chief Compliance Officer, who reports to the Chair of the Corporate Governance and Compliance Committee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20" w:type="dxa"/>
            <w:vAlign w:val="bottom"/>
            <w:gridSpan w:val="2"/>
          </w:tcPr>
          <w:p>
            <w:pPr>
              <w:spacing w:after="0"/>
              <w:rPr>
                <w:sz w:val="20"/>
                <w:szCs w:val="20"/>
                <w:color w:val="auto"/>
              </w:rPr>
            </w:pPr>
            <w:r>
              <w:rPr>
                <w:rFonts w:ascii="Arial" w:cs="Arial" w:eastAsia="Arial" w:hAnsi="Arial"/>
                <w:sz w:val="13"/>
                <w:szCs w:val="13"/>
                <w:b w:val="1"/>
                <w:bCs w:val="1"/>
                <w:color w:val="065BAA"/>
              </w:rPr>
              <w:t>Compensation</w:t>
            </w:r>
          </w:p>
        </w:tc>
        <w:tc>
          <w:tcPr>
            <w:tcW w:w="1620" w:type="dxa"/>
            <w:vAlign w:val="bottom"/>
            <w:gridSpan w:val="2"/>
          </w:tcPr>
          <w:p>
            <w:pPr>
              <w:ind w:left="140"/>
              <w:spacing w:after="0"/>
              <w:rPr>
                <w:sz w:val="20"/>
                <w:szCs w:val="20"/>
                <w:color w:val="auto"/>
              </w:rPr>
            </w:pPr>
            <w:r>
              <w:rPr>
                <w:rFonts w:ascii="Arial" w:cs="Arial" w:eastAsia="Arial" w:hAnsi="Arial"/>
                <w:sz w:val="13"/>
                <w:szCs w:val="13"/>
                <w:b w:val="1"/>
                <w:bCs w:val="1"/>
                <w:color w:val="065BAA"/>
              </w:rPr>
              <w:t>Digital Technology</w:t>
            </w:r>
          </w:p>
        </w:tc>
        <w:tc>
          <w:tcPr>
            <w:tcW w:w="1320" w:type="dxa"/>
            <w:vAlign w:val="bottom"/>
          </w:tcPr>
          <w:p>
            <w:pPr>
              <w:ind w:left="100"/>
              <w:spacing w:after="0"/>
              <w:rPr>
                <w:sz w:val="20"/>
                <w:szCs w:val="20"/>
                <w:color w:val="auto"/>
              </w:rPr>
            </w:pPr>
            <w:r>
              <w:rPr>
                <w:rFonts w:ascii="Arial" w:cs="Arial" w:eastAsia="Arial" w:hAnsi="Arial"/>
                <w:sz w:val="13"/>
                <w:szCs w:val="13"/>
                <w:b w:val="1"/>
                <w:bCs w:val="1"/>
                <w:color w:val="065BAA"/>
              </w:rPr>
              <w:t>Technology</w:t>
            </w:r>
          </w:p>
        </w:tc>
        <w:tc>
          <w:tcPr>
            <w:tcW w:w="0" w:type="dxa"/>
            <w:vAlign w:val="bottom"/>
          </w:tcPr>
          <w:p>
            <w:pPr>
              <w:spacing w:after="0"/>
              <w:rPr>
                <w:sz w:val="1"/>
                <w:szCs w:val="1"/>
                <w:color w:val="auto"/>
              </w:rPr>
            </w:pPr>
          </w:p>
        </w:tc>
      </w:tr>
      <w:tr>
        <w:trPr>
          <w:trHeight w:val="200"/>
        </w:trPr>
        <w:tc>
          <w:tcPr>
            <w:tcW w:w="1520" w:type="dxa"/>
            <w:vAlign w:val="bottom"/>
            <w:gridSpan w:val="2"/>
          </w:tcPr>
          <w:p>
            <w:pPr>
              <w:spacing w:after="0"/>
              <w:rPr>
                <w:sz w:val="20"/>
                <w:szCs w:val="20"/>
                <w:color w:val="auto"/>
              </w:rPr>
            </w:pPr>
            <w:r>
              <w:rPr>
                <w:rFonts w:ascii="Arial" w:cs="Arial" w:eastAsia="Arial" w:hAnsi="Arial"/>
                <w:sz w:val="13"/>
                <w:szCs w:val="13"/>
                <w:b w:val="1"/>
                <w:bCs w:val="1"/>
                <w:color w:val="065BAA"/>
              </w:rPr>
              <w:t>Committee</w:t>
            </w:r>
          </w:p>
        </w:tc>
        <w:tc>
          <w:tcPr>
            <w:tcW w:w="1620" w:type="dxa"/>
            <w:vAlign w:val="bottom"/>
            <w:gridSpan w:val="2"/>
          </w:tcPr>
          <w:p>
            <w:pPr>
              <w:ind w:left="140"/>
              <w:spacing w:after="0"/>
              <w:rPr>
                <w:sz w:val="20"/>
                <w:szCs w:val="20"/>
                <w:color w:val="auto"/>
              </w:rPr>
            </w:pPr>
            <w:r>
              <w:rPr>
                <w:rFonts w:ascii="Arial" w:cs="Arial" w:eastAsia="Arial" w:hAnsi="Arial"/>
                <w:sz w:val="13"/>
                <w:szCs w:val="13"/>
                <w:b w:val="1"/>
                <w:bCs w:val="1"/>
                <w:color w:val="065BAA"/>
              </w:rPr>
              <w:t>Committee*</w:t>
            </w:r>
          </w:p>
        </w:tc>
        <w:tc>
          <w:tcPr>
            <w:tcW w:w="1320" w:type="dxa"/>
            <w:vAlign w:val="bottom"/>
          </w:tcPr>
          <w:p>
            <w:pPr>
              <w:ind w:left="100"/>
              <w:spacing w:after="0"/>
              <w:rPr>
                <w:sz w:val="20"/>
                <w:szCs w:val="20"/>
                <w:color w:val="auto"/>
              </w:rPr>
            </w:pPr>
            <w:r>
              <w:rPr>
                <w:rFonts w:ascii="Arial" w:cs="Arial" w:eastAsia="Arial" w:hAnsi="Arial"/>
                <w:sz w:val="13"/>
                <w:szCs w:val="13"/>
                <w:b w:val="1"/>
                <w:bCs w:val="1"/>
                <w:color w:val="065BAA"/>
              </w:rPr>
              <w:t>Committee</w:t>
            </w:r>
          </w:p>
        </w:tc>
        <w:tc>
          <w:tcPr>
            <w:tcW w:w="0" w:type="dxa"/>
            <w:vAlign w:val="bottom"/>
          </w:tcPr>
          <w:p>
            <w:pPr>
              <w:spacing w:after="0"/>
              <w:rPr>
                <w:sz w:val="1"/>
                <w:szCs w:val="1"/>
                <w:color w:val="auto"/>
              </w:rPr>
            </w:pPr>
          </w:p>
        </w:tc>
      </w:tr>
      <w:tr>
        <w:trPr>
          <w:trHeight w:val="275"/>
        </w:trPr>
        <w:tc>
          <w:tcPr>
            <w:tcW w:w="120" w:type="dxa"/>
            <w:vAlign w:val="bottom"/>
          </w:tcPr>
          <w:p>
            <w:pPr>
              <w:spacing w:after="0"/>
              <w:rPr>
                <w:sz w:val="20"/>
                <w:szCs w:val="20"/>
                <w:color w:val="auto"/>
              </w:rPr>
            </w:pPr>
            <w:r>
              <w:rPr>
                <w:rFonts w:ascii="Arial" w:cs="Arial" w:eastAsia="Arial" w:hAnsi="Arial"/>
                <w:sz w:val="13"/>
                <w:szCs w:val="13"/>
                <w:color w:val="065BAA"/>
              </w:rPr>
              <w:t>•</w:t>
            </w:r>
          </w:p>
        </w:tc>
        <w:tc>
          <w:tcPr>
            <w:tcW w:w="1400" w:type="dxa"/>
            <w:vAlign w:val="bottom"/>
          </w:tcPr>
          <w:p>
            <w:pPr>
              <w:ind w:left="60"/>
              <w:spacing w:after="0"/>
              <w:rPr>
                <w:sz w:val="20"/>
                <w:szCs w:val="20"/>
                <w:color w:val="auto"/>
              </w:rPr>
            </w:pPr>
            <w:r>
              <w:rPr>
                <w:rFonts w:ascii="Arial" w:cs="Arial" w:eastAsia="Arial" w:hAnsi="Arial"/>
                <w:sz w:val="13"/>
                <w:szCs w:val="13"/>
                <w:color w:val="auto"/>
              </w:rPr>
              <w:t>Assesses risks</w:t>
            </w:r>
          </w:p>
        </w:tc>
        <w:tc>
          <w:tcPr>
            <w:tcW w:w="260" w:type="dxa"/>
            <w:vAlign w:val="bottom"/>
          </w:tcPr>
          <w:p>
            <w:pPr>
              <w:ind w:left="140"/>
              <w:spacing w:after="0"/>
              <w:rPr>
                <w:sz w:val="20"/>
                <w:szCs w:val="20"/>
                <w:color w:val="auto"/>
              </w:rPr>
            </w:pPr>
            <w:r>
              <w:rPr>
                <w:rFonts w:ascii="Arial" w:cs="Arial" w:eastAsia="Arial" w:hAnsi="Arial"/>
                <w:sz w:val="13"/>
                <w:szCs w:val="13"/>
                <w:color w:val="065BAA"/>
              </w:rPr>
              <w:t>•</w:t>
            </w:r>
          </w:p>
        </w:tc>
        <w:tc>
          <w:tcPr>
            <w:tcW w:w="1360" w:type="dxa"/>
            <w:vAlign w:val="bottom"/>
          </w:tcPr>
          <w:p>
            <w:pPr>
              <w:ind w:left="60"/>
              <w:spacing w:after="0"/>
              <w:rPr>
                <w:sz w:val="20"/>
                <w:szCs w:val="20"/>
                <w:color w:val="auto"/>
              </w:rPr>
            </w:pPr>
            <w:r>
              <w:rPr>
                <w:rFonts w:ascii="Arial" w:cs="Arial" w:eastAsia="Arial" w:hAnsi="Arial"/>
                <w:sz w:val="13"/>
                <w:szCs w:val="13"/>
                <w:color w:val="auto"/>
              </w:rPr>
              <w:t>Oversees risks,</w:t>
            </w:r>
          </w:p>
        </w:tc>
        <w:tc>
          <w:tcPr>
            <w:tcW w:w="1320" w:type="dxa"/>
            <w:vAlign w:val="bottom"/>
          </w:tcPr>
          <w:p>
            <w:pPr>
              <w:ind w:left="100"/>
              <w:spacing w:after="0"/>
              <w:rPr>
                <w:sz w:val="20"/>
                <w:szCs w:val="20"/>
                <w:color w:val="auto"/>
              </w:rPr>
            </w:pPr>
            <w:r>
              <w:rPr>
                <w:rFonts w:ascii="Arial" w:cs="Arial" w:eastAsia="Arial" w:hAnsi="Arial"/>
                <w:sz w:val="13"/>
                <w:szCs w:val="13"/>
                <w:color w:val="065BAA"/>
              </w:rPr>
              <w:t xml:space="preserve">•  </w:t>
            </w:r>
            <w:r>
              <w:rPr>
                <w:rFonts w:ascii="Arial" w:cs="Arial" w:eastAsia="Arial" w:hAnsi="Arial"/>
                <w:sz w:val="13"/>
                <w:szCs w:val="13"/>
                <w:color w:val="000000"/>
              </w:rPr>
              <w:t>Considers risks</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3"/>
                <w:szCs w:val="13"/>
                <w:color w:val="auto"/>
              </w:rPr>
              <w:t>associated with the</w:t>
            </w:r>
          </w:p>
        </w:tc>
        <w:tc>
          <w:tcPr>
            <w:tcW w:w="26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3"/>
                <w:szCs w:val="13"/>
                <w:color w:val="auto"/>
              </w:rPr>
              <w:t>controls, and</w:t>
            </w:r>
          </w:p>
        </w:tc>
        <w:tc>
          <w:tcPr>
            <w:tcW w:w="1320" w:type="dxa"/>
            <w:vAlign w:val="bottom"/>
          </w:tcPr>
          <w:p>
            <w:pPr>
              <w:ind w:left="300"/>
              <w:spacing w:after="0"/>
              <w:rPr>
                <w:sz w:val="20"/>
                <w:szCs w:val="20"/>
                <w:color w:val="auto"/>
              </w:rPr>
            </w:pPr>
            <w:r>
              <w:rPr>
                <w:rFonts w:ascii="Arial" w:cs="Arial" w:eastAsia="Arial" w:hAnsi="Arial"/>
                <w:sz w:val="13"/>
                <w:szCs w:val="13"/>
                <w:color w:val="auto"/>
              </w:rPr>
              <w:t>associated with</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3"/>
                <w:szCs w:val="13"/>
                <w:color w:val="auto"/>
              </w:rPr>
              <w:t>Company’s</w:t>
            </w:r>
          </w:p>
        </w:tc>
        <w:tc>
          <w:tcPr>
            <w:tcW w:w="260" w:type="dxa"/>
            <w:vAlign w:val="bottom"/>
          </w:tcPr>
          <w:p>
            <w:pPr>
              <w:spacing w:after="0"/>
              <w:rPr>
                <w:sz w:val="15"/>
                <w:szCs w:val="15"/>
                <w:color w:val="auto"/>
              </w:rPr>
            </w:pPr>
          </w:p>
        </w:tc>
        <w:tc>
          <w:tcPr>
            <w:tcW w:w="1360" w:type="dxa"/>
            <w:vAlign w:val="bottom"/>
          </w:tcPr>
          <w:p>
            <w:pPr>
              <w:ind w:left="60"/>
              <w:spacing w:after="0"/>
              <w:rPr>
                <w:sz w:val="20"/>
                <w:szCs w:val="20"/>
                <w:color w:val="auto"/>
              </w:rPr>
            </w:pPr>
            <w:r>
              <w:rPr>
                <w:rFonts w:ascii="Arial" w:cs="Arial" w:eastAsia="Arial" w:hAnsi="Arial"/>
                <w:sz w:val="13"/>
                <w:szCs w:val="13"/>
                <w:color w:val="auto"/>
              </w:rPr>
              <w:t>procedures related</w:t>
            </w:r>
          </w:p>
        </w:tc>
        <w:tc>
          <w:tcPr>
            <w:tcW w:w="1320" w:type="dxa"/>
            <w:vAlign w:val="bottom"/>
          </w:tcPr>
          <w:p>
            <w:pPr>
              <w:ind w:left="300"/>
              <w:spacing w:after="0"/>
              <w:rPr>
                <w:sz w:val="20"/>
                <w:szCs w:val="20"/>
                <w:color w:val="auto"/>
              </w:rPr>
            </w:pPr>
            <w:r>
              <w:rPr>
                <w:rFonts w:ascii="Arial" w:cs="Arial" w:eastAsia="Arial" w:hAnsi="Arial"/>
                <w:sz w:val="13"/>
                <w:szCs w:val="13"/>
                <w:color w:val="auto"/>
              </w:rPr>
              <w:t>our research and</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3"/>
                <w:szCs w:val="13"/>
                <w:color w:val="auto"/>
              </w:rPr>
              <w:t>compensation</w:t>
            </w:r>
          </w:p>
        </w:tc>
        <w:tc>
          <w:tcPr>
            <w:tcW w:w="260" w:type="dxa"/>
            <w:vAlign w:val="bottom"/>
          </w:tcPr>
          <w:p>
            <w:pPr>
              <w:spacing w:after="0"/>
              <w:rPr>
                <w:sz w:val="15"/>
                <w:szCs w:val="15"/>
                <w:color w:val="auto"/>
              </w:rPr>
            </w:pPr>
          </w:p>
        </w:tc>
        <w:tc>
          <w:tcPr>
            <w:tcW w:w="1360" w:type="dxa"/>
            <w:vAlign w:val="bottom"/>
          </w:tcPr>
          <w:p>
            <w:pPr>
              <w:ind w:left="60"/>
              <w:spacing w:after="0"/>
              <w:rPr>
                <w:sz w:val="20"/>
                <w:szCs w:val="20"/>
                <w:color w:val="auto"/>
              </w:rPr>
            </w:pPr>
            <w:r>
              <w:rPr>
                <w:rFonts w:ascii="Arial" w:cs="Arial" w:eastAsia="Arial" w:hAnsi="Arial"/>
                <w:sz w:val="13"/>
                <w:szCs w:val="13"/>
                <w:color w:val="auto"/>
              </w:rPr>
              <w:t>to the Company’s</w:t>
            </w:r>
          </w:p>
        </w:tc>
        <w:tc>
          <w:tcPr>
            <w:tcW w:w="1320" w:type="dxa"/>
            <w:vAlign w:val="bottom"/>
          </w:tcPr>
          <w:p>
            <w:pPr>
              <w:ind w:left="300"/>
              <w:spacing w:after="0"/>
              <w:rPr>
                <w:sz w:val="20"/>
                <w:szCs w:val="20"/>
                <w:color w:val="auto"/>
              </w:rPr>
            </w:pPr>
            <w:r>
              <w:rPr>
                <w:rFonts w:ascii="Arial" w:cs="Arial" w:eastAsia="Arial" w:hAnsi="Arial"/>
                <w:sz w:val="13"/>
                <w:szCs w:val="13"/>
                <w:color w:val="auto"/>
              </w:rPr>
              <w:t>development</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3"/>
                <w:szCs w:val="13"/>
                <w:color w:val="auto"/>
              </w:rPr>
              <w:t>policies and</w:t>
            </w:r>
          </w:p>
        </w:tc>
        <w:tc>
          <w:tcPr>
            <w:tcW w:w="260" w:type="dxa"/>
            <w:vAlign w:val="bottom"/>
          </w:tcPr>
          <w:p>
            <w:pPr>
              <w:spacing w:after="0"/>
              <w:rPr>
                <w:sz w:val="15"/>
                <w:szCs w:val="15"/>
                <w:color w:val="auto"/>
              </w:rPr>
            </w:pPr>
          </w:p>
        </w:tc>
        <w:tc>
          <w:tcPr>
            <w:tcW w:w="1360" w:type="dxa"/>
            <w:vAlign w:val="bottom"/>
          </w:tcPr>
          <w:p>
            <w:pPr>
              <w:ind w:left="60"/>
              <w:spacing w:after="0"/>
              <w:rPr>
                <w:sz w:val="20"/>
                <w:szCs w:val="20"/>
                <w:color w:val="auto"/>
              </w:rPr>
            </w:pPr>
            <w:r>
              <w:rPr>
                <w:rFonts w:ascii="Arial" w:cs="Arial" w:eastAsia="Arial" w:hAnsi="Arial"/>
                <w:sz w:val="13"/>
                <w:szCs w:val="13"/>
                <w:color w:val="auto"/>
              </w:rPr>
              <w:t>use of digital</w:t>
            </w:r>
          </w:p>
        </w:tc>
        <w:tc>
          <w:tcPr>
            <w:tcW w:w="1320" w:type="dxa"/>
            <w:vAlign w:val="bottom"/>
          </w:tcPr>
          <w:p>
            <w:pPr>
              <w:ind w:left="300"/>
              <w:spacing w:after="0"/>
              <w:rPr>
                <w:sz w:val="20"/>
                <w:szCs w:val="20"/>
                <w:color w:val="auto"/>
              </w:rPr>
            </w:pPr>
            <w:r>
              <w:rPr>
                <w:rFonts w:ascii="Arial" w:cs="Arial" w:eastAsia="Arial" w:hAnsi="Arial"/>
                <w:sz w:val="13"/>
                <w:szCs w:val="13"/>
                <w:color w:val="auto"/>
              </w:rPr>
              <w:t>programs.</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3"/>
                <w:szCs w:val="13"/>
                <w:color w:val="auto"/>
              </w:rPr>
              <w:t>practices while</w:t>
            </w:r>
          </w:p>
        </w:tc>
        <w:tc>
          <w:tcPr>
            <w:tcW w:w="260" w:type="dxa"/>
            <w:vAlign w:val="bottom"/>
          </w:tcPr>
          <w:p>
            <w:pPr>
              <w:spacing w:after="0"/>
              <w:rPr>
                <w:sz w:val="15"/>
                <w:szCs w:val="15"/>
                <w:color w:val="auto"/>
              </w:rPr>
            </w:pPr>
          </w:p>
        </w:tc>
        <w:tc>
          <w:tcPr>
            <w:tcW w:w="1360" w:type="dxa"/>
            <w:vAlign w:val="bottom"/>
          </w:tcPr>
          <w:p>
            <w:pPr>
              <w:ind w:left="60"/>
              <w:spacing w:after="0"/>
              <w:rPr>
                <w:sz w:val="20"/>
                <w:szCs w:val="20"/>
                <w:color w:val="auto"/>
              </w:rPr>
            </w:pPr>
            <w:r>
              <w:rPr>
                <w:rFonts w:ascii="Arial" w:cs="Arial" w:eastAsia="Arial" w:hAnsi="Arial"/>
                <w:sz w:val="13"/>
                <w:szCs w:val="13"/>
                <w:color w:val="auto"/>
              </w:rPr>
              <w:t>technology</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3"/>
                <w:szCs w:val="13"/>
                <w:color w:val="auto"/>
              </w:rPr>
              <w:t>designing</w:t>
            </w:r>
          </w:p>
        </w:tc>
        <w:tc>
          <w:tcPr>
            <w:tcW w:w="260" w:type="dxa"/>
            <w:vAlign w:val="bottom"/>
            <w:vMerge w:val="restart"/>
          </w:tcPr>
          <w:p>
            <w:pPr>
              <w:ind w:left="140"/>
              <w:spacing w:after="0"/>
              <w:rPr>
                <w:sz w:val="20"/>
                <w:szCs w:val="20"/>
                <w:color w:val="auto"/>
              </w:rPr>
            </w:pPr>
            <w:r>
              <w:rPr>
                <w:rFonts w:ascii="Arial" w:cs="Arial" w:eastAsia="Arial" w:hAnsi="Arial"/>
                <w:sz w:val="13"/>
                <w:szCs w:val="13"/>
                <w:color w:val="065BAA"/>
              </w:rPr>
              <w:t>•</w:t>
            </w:r>
          </w:p>
        </w:tc>
        <w:tc>
          <w:tcPr>
            <w:tcW w:w="1360" w:type="dxa"/>
            <w:vAlign w:val="bottom"/>
            <w:vMerge w:val="restart"/>
          </w:tcPr>
          <w:p>
            <w:pPr>
              <w:ind w:left="60"/>
              <w:spacing w:after="0"/>
              <w:rPr>
                <w:sz w:val="20"/>
                <w:szCs w:val="20"/>
                <w:color w:val="auto"/>
              </w:rPr>
            </w:pPr>
            <w:r>
              <w:rPr>
                <w:rFonts w:ascii="Arial" w:cs="Arial" w:eastAsia="Arial" w:hAnsi="Arial"/>
                <w:sz w:val="13"/>
                <w:szCs w:val="13"/>
                <w:color w:val="auto"/>
              </w:rPr>
              <w:t>Oversees the</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1400" w:type="dxa"/>
            <w:vAlign w:val="bottom"/>
            <w:vMerge w:val="restart"/>
          </w:tcPr>
          <w:p>
            <w:pPr>
              <w:ind w:left="60"/>
              <w:spacing w:after="0"/>
              <w:rPr>
                <w:sz w:val="20"/>
                <w:szCs w:val="20"/>
                <w:color w:val="auto"/>
              </w:rPr>
            </w:pPr>
            <w:r>
              <w:rPr>
                <w:rFonts w:ascii="Arial" w:cs="Arial" w:eastAsia="Arial" w:hAnsi="Arial"/>
                <w:sz w:val="13"/>
                <w:szCs w:val="13"/>
                <w:color w:val="auto"/>
              </w:rPr>
              <w:t>performance</w:t>
            </w:r>
          </w:p>
        </w:tc>
        <w:tc>
          <w:tcPr>
            <w:tcW w:w="26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Arial" w:cs="Arial" w:eastAsia="Arial" w:hAnsi="Arial"/>
                <w:sz w:val="13"/>
                <w:szCs w:val="13"/>
                <w:color w:val="auto"/>
              </w:rPr>
              <w:t>Company’s</w:t>
            </w: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1400" w:type="dxa"/>
            <w:vAlign w:val="bottom"/>
            <w:vMerge w:val="restart"/>
          </w:tcPr>
          <w:p>
            <w:pPr>
              <w:ind w:left="60"/>
              <w:spacing w:after="0"/>
              <w:rPr>
                <w:sz w:val="20"/>
                <w:szCs w:val="20"/>
                <w:color w:val="auto"/>
              </w:rPr>
            </w:pPr>
            <w:r>
              <w:rPr>
                <w:rFonts w:ascii="Arial" w:cs="Arial" w:eastAsia="Arial" w:hAnsi="Arial"/>
                <w:sz w:val="13"/>
                <w:szCs w:val="13"/>
                <w:color w:val="auto"/>
              </w:rPr>
              <w:t>incentives that align</w:t>
            </w:r>
          </w:p>
        </w:tc>
        <w:tc>
          <w:tcPr>
            <w:tcW w:w="26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Arial" w:cs="Arial" w:eastAsia="Arial" w:hAnsi="Arial"/>
                <w:sz w:val="13"/>
                <w:szCs w:val="13"/>
                <w:color w:val="auto"/>
              </w:rPr>
              <w:t>information security</w:t>
            </w: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1400" w:type="dxa"/>
            <w:vAlign w:val="bottom"/>
            <w:vMerge w:val="restart"/>
          </w:tcPr>
          <w:p>
            <w:pPr>
              <w:ind w:left="60"/>
              <w:spacing w:after="0"/>
              <w:rPr>
                <w:sz w:val="20"/>
                <w:szCs w:val="20"/>
                <w:color w:val="auto"/>
              </w:rPr>
            </w:pPr>
            <w:r>
              <w:rPr>
                <w:rFonts w:ascii="Arial" w:cs="Arial" w:eastAsia="Arial" w:hAnsi="Arial"/>
                <w:sz w:val="13"/>
                <w:szCs w:val="13"/>
                <w:color w:val="auto"/>
              </w:rPr>
              <w:t>executives’ interests</w:t>
            </w:r>
          </w:p>
        </w:tc>
        <w:tc>
          <w:tcPr>
            <w:tcW w:w="26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13"/>
                <w:szCs w:val="13"/>
                <w:color w:val="auto"/>
              </w:rPr>
              <w:t>(including</w:t>
            </w: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1400" w:type="dxa"/>
            <w:vAlign w:val="bottom"/>
            <w:vMerge w:val="restart"/>
          </w:tcPr>
          <w:p>
            <w:pPr>
              <w:ind w:left="60"/>
              <w:spacing w:after="0" w:line="144" w:lineRule="exact"/>
              <w:rPr>
                <w:sz w:val="20"/>
                <w:szCs w:val="20"/>
                <w:color w:val="auto"/>
              </w:rPr>
            </w:pPr>
            <w:r>
              <w:rPr>
                <w:rFonts w:ascii="Arial" w:cs="Arial" w:eastAsia="Arial" w:hAnsi="Arial"/>
                <w:sz w:val="13"/>
                <w:szCs w:val="13"/>
                <w:color w:val="auto"/>
              </w:rPr>
              <w:t>with those of</w:t>
            </w:r>
          </w:p>
        </w:tc>
        <w:tc>
          <w:tcPr>
            <w:tcW w:w="26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restart"/>
          </w:tcPr>
          <w:p>
            <w:pPr>
              <w:ind w:left="60"/>
              <w:spacing w:after="0"/>
              <w:rPr>
                <w:sz w:val="20"/>
                <w:szCs w:val="20"/>
                <w:color w:val="auto"/>
              </w:rPr>
            </w:pPr>
            <w:r>
              <w:rPr>
                <w:rFonts w:ascii="Arial" w:cs="Arial" w:eastAsia="Arial" w:hAnsi="Arial"/>
                <w:sz w:val="13"/>
                <w:szCs w:val="13"/>
                <w:color w:val="auto"/>
              </w:rPr>
              <w:t>cybersecurity) and</w:t>
            </w: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1400" w:type="dxa"/>
            <w:vAlign w:val="bottom"/>
            <w:vMerge w:val="restart"/>
          </w:tcPr>
          <w:p>
            <w:pPr>
              <w:ind w:left="60"/>
              <w:spacing w:after="0" w:line="150" w:lineRule="exact"/>
              <w:rPr>
                <w:sz w:val="20"/>
                <w:szCs w:val="20"/>
                <w:color w:val="auto"/>
              </w:rPr>
            </w:pPr>
            <w:r>
              <w:rPr>
                <w:rFonts w:ascii="Arial" w:cs="Arial" w:eastAsia="Arial" w:hAnsi="Arial"/>
                <w:sz w:val="13"/>
                <w:szCs w:val="13"/>
                <w:color w:val="auto"/>
              </w:rPr>
              <w:t>long</w:t>
            </w:r>
            <w:r>
              <w:rPr>
                <w:rFonts w:ascii="MS PGothic" w:cs="MS PGothic" w:eastAsia="MS PGothic" w:hAnsi="MS PGothic"/>
                <w:sz w:val="13"/>
                <w:szCs w:val="13"/>
                <w:color w:val="auto"/>
              </w:rPr>
              <w:t>‑</w:t>
            </w:r>
            <w:r>
              <w:rPr>
                <w:rFonts w:ascii="Arial" w:cs="Arial" w:eastAsia="Arial" w:hAnsi="Arial"/>
                <w:sz w:val="13"/>
                <w:szCs w:val="13"/>
                <w:color w:val="auto"/>
              </w:rPr>
              <w:t>term</w:t>
            </w:r>
          </w:p>
        </w:tc>
        <w:tc>
          <w:tcPr>
            <w:tcW w:w="2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Arial" w:cs="Arial" w:eastAsia="Arial" w:hAnsi="Arial"/>
                <w:sz w:val="13"/>
                <w:szCs w:val="13"/>
                <w:color w:val="auto"/>
              </w:rPr>
              <w:t>related digital</w:t>
            </w: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1400" w:type="dxa"/>
            <w:vAlign w:val="bottom"/>
            <w:vMerge w:val="restart"/>
          </w:tcPr>
          <w:p>
            <w:pPr>
              <w:ind w:left="60"/>
              <w:spacing w:after="0"/>
              <w:rPr>
                <w:sz w:val="20"/>
                <w:szCs w:val="20"/>
                <w:color w:val="auto"/>
              </w:rPr>
            </w:pPr>
            <w:r>
              <w:rPr>
                <w:rFonts w:ascii="Arial" w:cs="Arial" w:eastAsia="Arial" w:hAnsi="Arial"/>
                <w:sz w:val="13"/>
                <w:szCs w:val="13"/>
                <w:color w:val="auto"/>
              </w:rPr>
              <w:t>shareholders.</w:t>
            </w:r>
          </w:p>
        </w:tc>
        <w:tc>
          <w:tcPr>
            <w:tcW w:w="26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Arial" w:cs="Arial" w:eastAsia="Arial" w:hAnsi="Arial"/>
                <w:sz w:val="13"/>
                <w:szCs w:val="13"/>
                <w:color w:val="auto"/>
              </w:rPr>
              <w:t>technology risks,</w:t>
            </w: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20"/>
                <w:szCs w:val="20"/>
                <w:color w:val="auto"/>
              </w:rPr>
            </w:pPr>
            <w:r>
              <w:rPr>
                <w:rFonts w:ascii="Arial" w:cs="Arial" w:eastAsia="Arial" w:hAnsi="Arial"/>
                <w:sz w:val="13"/>
                <w:szCs w:val="13"/>
                <w:color w:val="065BAA"/>
              </w:rPr>
              <w:t>•</w:t>
            </w:r>
          </w:p>
        </w:tc>
        <w:tc>
          <w:tcPr>
            <w:tcW w:w="1400" w:type="dxa"/>
            <w:vAlign w:val="bottom"/>
          </w:tcPr>
          <w:p>
            <w:pPr>
              <w:ind w:left="60"/>
              <w:spacing w:after="0"/>
              <w:rPr>
                <w:sz w:val="20"/>
                <w:szCs w:val="20"/>
                <w:color w:val="auto"/>
              </w:rPr>
            </w:pPr>
            <w:r>
              <w:rPr>
                <w:rFonts w:ascii="Arial" w:cs="Arial" w:eastAsia="Arial" w:hAnsi="Arial"/>
                <w:sz w:val="13"/>
                <w:szCs w:val="13"/>
                <w:color w:val="auto"/>
              </w:rPr>
              <w:t>At least annually,</w:t>
            </w:r>
          </w:p>
        </w:tc>
        <w:tc>
          <w:tcPr>
            <w:tcW w:w="26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3"/>
                <w:szCs w:val="13"/>
                <w:color w:val="auto"/>
              </w:rPr>
              <w:t>controls, and</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3"/>
                <w:szCs w:val="13"/>
                <w:color w:val="auto"/>
              </w:rPr>
              <w:t>reviews and</w:t>
            </w:r>
          </w:p>
        </w:tc>
        <w:tc>
          <w:tcPr>
            <w:tcW w:w="260" w:type="dxa"/>
            <w:vAlign w:val="bottom"/>
          </w:tcPr>
          <w:p>
            <w:pPr>
              <w:spacing w:after="0"/>
              <w:rPr>
                <w:sz w:val="15"/>
                <w:szCs w:val="15"/>
                <w:color w:val="auto"/>
              </w:rPr>
            </w:pPr>
          </w:p>
        </w:tc>
        <w:tc>
          <w:tcPr>
            <w:tcW w:w="1360" w:type="dxa"/>
            <w:vAlign w:val="bottom"/>
          </w:tcPr>
          <w:p>
            <w:pPr>
              <w:ind w:left="60"/>
              <w:spacing w:after="0"/>
              <w:rPr>
                <w:sz w:val="20"/>
                <w:szCs w:val="20"/>
                <w:color w:val="auto"/>
              </w:rPr>
            </w:pPr>
            <w:r>
              <w:rPr>
                <w:rFonts w:ascii="Arial" w:cs="Arial" w:eastAsia="Arial" w:hAnsi="Arial"/>
                <w:sz w:val="13"/>
                <w:szCs w:val="13"/>
                <w:color w:val="auto"/>
              </w:rPr>
              <w:t>procedures</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3"/>
                <w:szCs w:val="13"/>
                <w:color w:val="auto"/>
              </w:rPr>
              <w:t>considers a</w:t>
            </w:r>
          </w:p>
        </w:tc>
        <w:tc>
          <w:tcPr>
            <w:tcW w:w="260" w:type="dxa"/>
            <w:vAlign w:val="bottom"/>
            <w:vMerge w:val="restart"/>
          </w:tcPr>
          <w:p>
            <w:pPr>
              <w:ind w:left="140"/>
              <w:spacing w:after="0"/>
              <w:rPr>
                <w:sz w:val="20"/>
                <w:szCs w:val="20"/>
                <w:color w:val="auto"/>
              </w:rPr>
            </w:pPr>
            <w:r>
              <w:rPr>
                <w:rFonts w:ascii="Arial" w:cs="Arial" w:eastAsia="Arial" w:hAnsi="Arial"/>
                <w:sz w:val="13"/>
                <w:szCs w:val="13"/>
                <w:color w:val="065BAA"/>
              </w:rPr>
              <w:t>•</w:t>
            </w:r>
          </w:p>
        </w:tc>
        <w:tc>
          <w:tcPr>
            <w:tcW w:w="1360" w:type="dxa"/>
            <w:vAlign w:val="bottom"/>
            <w:vMerge w:val="restart"/>
          </w:tcPr>
          <w:p>
            <w:pPr>
              <w:ind w:left="60"/>
              <w:spacing w:after="0"/>
              <w:rPr>
                <w:sz w:val="20"/>
                <w:szCs w:val="20"/>
                <w:color w:val="auto"/>
              </w:rPr>
            </w:pPr>
            <w:r>
              <w:rPr>
                <w:rFonts w:ascii="Arial" w:cs="Arial" w:eastAsia="Arial" w:hAnsi="Arial"/>
                <w:sz w:val="13"/>
                <w:szCs w:val="13"/>
                <w:color w:val="auto"/>
              </w:rPr>
              <w:t>Oversees the</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1400" w:type="dxa"/>
            <w:vAlign w:val="bottom"/>
            <w:vMerge w:val="restart"/>
          </w:tcPr>
          <w:p>
            <w:pPr>
              <w:ind w:left="60"/>
              <w:spacing w:after="0"/>
              <w:rPr>
                <w:sz w:val="20"/>
                <w:szCs w:val="20"/>
                <w:color w:val="auto"/>
              </w:rPr>
            </w:pPr>
            <w:r>
              <w:rPr>
                <w:rFonts w:ascii="Arial" w:cs="Arial" w:eastAsia="Arial" w:hAnsi="Arial"/>
                <w:sz w:val="13"/>
                <w:szCs w:val="13"/>
                <w:color w:val="auto"/>
              </w:rPr>
              <w:t>compensation</w:t>
            </w:r>
          </w:p>
        </w:tc>
        <w:tc>
          <w:tcPr>
            <w:tcW w:w="26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2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tcPr>
          <w:p>
            <w:pPr>
              <w:ind w:left="60"/>
              <w:spacing w:after="0" w:line="120" w:lineRule="exact"/>
              <w:rPr>
                <w:sz w:val="20"/>
                <w:szCs w:val="20"/>
                <w:color w:val="auto"/>
              </w:rPr>
            </w:pPr>
            <w:r>
              <w:rPr>
                <w:rFonts w:ascii="Arial" w:cs="Arial" w:eastAsia="Arial" w:hAnsi="Arial"/>
                <w:sz w:val="13"/>
                <w:szCs w:val="13"/>
                <w:color w:val="auto"/>
              </w:rPr>
              <w:t>Company’s data</w:t>
            </w: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3"/>
        </w:trPr>
        <w:tc>
          <w:tcPr>
            <w:tcW w:w="1320" w:type="dxa"/>
            <w:vAlign w:val="bottom"/>
          </w:tcPr>
          <w:p>
            <w:pPr>
              <w:spacing w:after="0"/>
              <w:rPr>
                <w:sz w:val="20"/>
                <w:szCs w:val="20"/>
                <w:color w:val="auto"/>
              </w:rPr>
            </w:pPr>
            <w:r>
              <w:rPr>
                <w:rFonts w:ascii="Arial" w:cs="Arial" w:eastAsia="Arial" w:hAnsi="Arial"/>
                <w:sz w:val="13"/>
                <w:szCs w:val="13"/>
                <w:color w:val="auto"/>
              </w:rPr>
              <w:t>program risk</w:t>
            </w:r>
          </w:p>
        </w:tc>
        <w:tc>
          <w:tcPr>
            <w:tcW w:w="1060" w:type="dxa"/>
            <w:vAlign w:val="bottom"/>
            <w:vMerge w:val="restart"/>
          </w:tcPr>
          <w:p>
            <w:pPr>
              <w:ind w:left="340"/>
              <w:spacing w:after="0"/>
              <w:rPr>
                <w:sz w:val="20"/>
                <w:szCs w:val="20"/>
                <w:color w:val="auto"/>
              </w:rPr>
            </w:pPr>
            <w:r>
              <w:rPr>
                <w:rFonts w:ascii="Arial" w:cs="Arial" w:eastAsia="Arial" w:hAnsi="Arial"/>
                <w:sz w:val="13"/>
                <w:szCs w:val="13"/>
                <w:color w:val="auto"/>
              </w:rPr>
              <w:t>governance</w:t>
            </w:r>
          </w:p>
        </w:tc>
        <w:tc>
          <w:tcPr>
            <w:tcW w:w="0" w:type="dxa"/>
            <w:vAlign w:val="bottom"/>
          </w:tcPr>
          <w:p>
            <w:pPr>
              <w:spacing w:after="0"/>
              <w:rPr>
                <w:sz w:val="1"/>
                <w:szCs w:val="1"/>
                <w:color w:val="auto"/>
              </w:rPr>
            </w:pPr>
          </w:p>
        </w:tc>
      </w:tr>
      <w:tr>
        <w:trPr>
          <w:trHeight w:val="68"/>
        </w:trPr>
        <w:tc>
          <w:tcPr>
            <w:tcW w:w="1320" w:type="dxa"/>
            <w:vAlign w:val="bottom"/>
            <w:vMerge w:val="restart"/>
          </w:tcPr>
          <w:p>
            <w:pPr>
              <w:spacing w:after="0"/>
              <w:rPr>
                <w:sz w:val="20"/>
                <w:szCs w:val="20"/>
                <w:color w:val="auto"/>
              </w:rPr>
            </w:pPr>
            <w:r>
              <w:rPr>
                <w:rFonts w:ascii="Arial" w:cs="Arial" w:eastAsia="Arial" w:hAnsi="Arial"/>
                <w:sz w:val="13"/>
                <w:szCs w:val="13"/>
                <w:color w:val="auto"/>
              </w:rPr>
              <w:t>assessment</w:t>
            </w: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320" w:type="dxa"/>
            <w:vAlign w:val="bottom"/>
            <w:vMerge w:val="continue"/>
          </w:tcPr>
          <w:p>
            <w:pPr>
              <w:spacing w:after="0"/>
              <w:rPr>
                <w:sz w:val="8"/>
                <w:szCs w:val="8"/>
                <w:color w:val="auto"/>
              </w:rPr>
            </w:pPr>
          </w:p>
        </w:tc>
        <w:tc>
          <w:tcPr>
            <w:tcW w:w="1060" w:type="dxa"/>
            <w:vAlign w:val="bottom"/>
            <w:vMerge w:val="restart"/>
          </w:tcPr>
          <w:p>
            <w:pPr>
              <w:ind w:left="340"/>
              <w:spacing w:after="0"/>
              <w:rPr>
                <w:sz w:val="20"/>
                <w:szCs w:val="20"/>
                <w:color w:val="auto"/>
              </w:rPr>
            </w:pPr>
            <w:r>
              <w:rPr>
                <w:rFonts w:ascii="Arial" w:cs="Arial" w:eastAsia="Arial" w:hAnsi="Arial"/>
                <w:sz w:val="13"/>
                <w:szCs w:val="13"/>
                <w:color w:val="auto"/>
              </w:rPr>
              <w:t>framework</w:t>
            </w:r>
          </w:p>
        </w:tc>
        <w:tc>
          <w:tcPr>
            <w:tcW w:w="0" w:type="dxa"/>
            <w:vAlign w:val="bottom"/>
          </w:tcPr>
          <w:p>
            <w:pPr>
              <w:spacing w:after="0"/>
              <w:rPr>
                <w:sz w:val="1"/>
                <w:szCs w:val="1"/>
                <w:color w:val="auto"/>
              </w:rPr>
            </w:pPr>
          </w:p>
        </w:tc>
      </w:tr>
      <w:tr>
        <w:trPr>
          <w:trHeight w:val="82"/>
        </w:trPr>
        <w:tc>
          <w:tcPr>
            <w:tcW w:w="1320" w:type="dxa"/>
            <w:vAlign w:val="bottom"/>
            <w:vMerge w:val="restart"/>
          </w:tcPr>
          <w:p>
            <w:pPr>
              <w:spacing w:after="0"/>
              <w:rPr>
                <w:sz w:val="20"/>
                <w:szCs w:val="20"/>
                <w:color w:val="auto"/>
              </w:rPr>
            </w:pPr>
            <w:r>
              <w:rPr>
                <w:rFonts w:ascii="Arial" w:cs="Arial" w:eastAsia="Arial" w:hAnsi="Arial"/>
                <w:sz w:val="13"/>
                <w:szCs w:val="13"/>
                <w:color w:val="auto"/>
              </w:rPr>
              <w:t>performed by its</w:t>
            </w: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32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320" w:type="dxa"/>
            <w:vAlign w:val="bottom"/>
          </w:tcPr>
          <w:p>
            <w:pPr>
              <w:spacing w:after="0"/>
              <w:rPr>
                <w:sz w:val="20"/>
                <w:szCs w:val="20"/>
                <w:color w:val="auto"/>
              </w:rPr>
            </w:pPr>
            <w:r>
              <w:rPr>
                <w:rFonts w:ascii="Arial" w:cs="Arial" w:eastAsia="Arial" w:hAnsi="Arial"/>
                <w:sz w:val="13"/>
                <w:szCs w:val="13"/>
                <w:color w:val="auto"/>
              </w:rPr>
              <w:t>independent</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20" w:type="dxa"/>
            <w:vAlign w:val="bottom"/>
          </w:tcPr>
          <w:p>
            <w:pPr>
              <w:spacing w:after="0"/>
              <w:rPr>
                <w:sz w:val="20"/>
                <w:szCs w:val="20"/>
                <w:color w:val="auto"/>
              </w:rPr>
            </w:pPr>
            <w:r>
              <w:rPr>
                <w:rFonts w:ascii="Arial" w:cs="Arial" w:eastAsia="Arial" w:hAnsi="Arial"/>
                <w:sz w:val="13"/>
                <w:szCs w:val="13"/>
                <w:color w:val="auto"/>
              </w:rPr>
              <w:t>compensation</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20" w:type="dxa"/>
            <w:vAlign w:val="bottom"/>
          </w:tcPr>
          <w:p>
            <w:pPr>
              <w:spacing w:after="0"/>
              <w:rPr>
                <w:sz w:val="20"/>
                <w:szCs w:val="20"/>
                <w:color w:val="auto"/>
              </w:rPr>
            </w:pPr>
            <w:r>
              <w:rPr>
                <w:rFonts w:ascii="Arial" w:cs="Arial" w:eastAsia="Arial" w:hAnsi="Arial"/>
                <w:sz w:val="13"/>
                <w:szCs w:val="13"/>
                <w:color w:val="auto"/>
              </w:rPr>
              <w:t>consultant.</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25" w:lineRule="exact"/>
        <w:rPr>
          <w:sz w:val="20"/>
          <w:szCs w:val="20"/>
          <w:color w:val="auto"/>
        </w:rPr>
      </w:pPr>
    </w:p>
    <w:p>
      <w:pPr>
        <w:sectPr>
          <w:pgSz w:w="11900" w:h="16838" w:orient="portrait"/>
          <w:cols w:equalWidth="0" w:num="3">
            <w:col w:w="1800" w:space="200"/>
            <w:col w:w="1880" w:space="220"/>
            <w:col w:w="4919"/>
          </w:cols>
          <w:pgMar w:left="1440" w:top="657" w:right="1440" w:bottom="1440" w:gutter="0" w:footer="0" w:header="0"/>
          <w:type w:val="continuous"/>
        </w:sectPr>
      </w:pPr>
    </w:p>
    <w:p>
      <w:pPr>
        <w:spacing w:after="0" w:line="39" w:lineRule="exact"/>
        <w:rPr>
          <w:sz w:val="20"/>
          <w:szCs w:val="20"/>
          <w:color w:val="auto"/>
        </w:rPr>
      </w:pPr>
    </w:p>
    <w:p>
      <w:pPr>
        <w:ind w:left="320" w:right="319" w:hanging="190"/>
        <w:spacing w:after="0" w:line="286" w:lineRule="auto"/>
        <w:tabs>
          <w:tab w:leader="none" w:pos="3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Prior to the establishment of the Digital Technology Committee in April 2026, its risk oversight responsibilities were fulfilled by the Audit Committee and the Corporate Governance and Compliance Committee, as applicable.</w:t>
      </w:r>
    </w:p>
    <w:p>
      <w:pPr>
        <w:spacing w:after="0" w:line="39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38</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47" w:name="page48"/>
    <w:bookmarkEnd w:id="47"/>
    <w:p>
      <w:pPr>
        <w:jc w:val="center"/>
        <w:ind w:right="-20"/>
        <w:spacing w:after="0"/>
        <w:tabs>
          <w:tab w:leader="none" w:pos="260" w:val="left"/>
          <w:tab w:leader="none" w:pos="260" w:val="left"/>
          <w:tab w:leader="none" w:pos="30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r>
      <w:r>
        <w:rPr>
          <w:sz w:val="20"/>
          <w:szCs w:val="20"/>
          <w:color w:val="auto"/>
        </w:rPr>
        <w:tab/>
      </w:r>
      <w:r>
        <w:rPr>
          <w:rFonts w:ascii="Arial" w:cs="Arial" w:eastAsia="Arial" w:hAnsi="Arial"/>
          <w:sz w:val="14"/>
          <w:szCs w:val="14"/>
          <w:b w:val="1"/>
          <w:bCs w:val="1"/>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Communicating with the Board</w:t>
      </w:r>
    </w:p>
    <w:p>
      <w:pPr>
        <w:spacing w:after="0" w:line="132" w:lineRule="exact"/>
        <w:rPr>
          <w:sz w:val="20"/>
          <w:szCs w:val="20"/>
          <w:color w:val="auto"/>
        </w:rPr>
      </w:pPr>
    </w:p>
    <w:p>
      <w:pPr>
        <w:ind w:left="140" w:right="199"/>
        <w:spacing w:after="0" w:line="278" w:lineRule="auto"/>
        <w:rPr>
          <w:sz w:val="20"/>
          <w:szCs w:val="20"/>
          <w:color w:val="auto"/>
        </w:rPr>
      </w:pPr>
      <w:r>
        <w:rPr>
          <w:rFonts w:ascii="Arial" w:cs="Arial" w:eastAsia="Arial" w:hAnsi="Arial"/>
          <w:sz w:val="16"/>
          <w:szCs w:val="16"/>
          <w:color w:val="auto"/>
        </w:rPr>
        <w:t>The Company has established a process for shareholders to send communications to the members of the board of directors. Shareholders may send such communications by mail addressed to the full board, a specific member or members of the board, or a particular committee of the board, at 777 Old Saw Mill River Road, Tarrytown, New York 10591-6707, Attention: Corporate Secretary. All such communications will be opened by our Corporate Secretary for the sole purpose of determining whether the contents represent a message to our directors. Any contents that legitimately relate to our business and operations or governance and that are not in the nature of advertising, promotions of a product or service, or patently offensive material will be forwarded promptly to 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communication is addressed.</w:t>
      </w:r>
    </w:p>
    <w:p>
      <w:pPr>
        <w:spacing w:after="0" w:line="226" w:lineRule="exact"/>
        <w:rPr>
          <w:sz w:val="20"/>
          <w:szCs w:val="20"/>
          <w:color w:val="auto"/>
        </w:rPr>
      </w:pPr>
    </w:p>
    <w:p>
      <w:pPr>
        <w:ind w:left="140"/>
        <w:spacing w:after="0"/>
        <w:rPr>
          <w:sz w:val="20"/>
          <w:szCs w:val="20"/>
          <w:color w:val="auto"/>
        </w:rPr>
      </w:pPr>
      <w:r>
        <w:rPr>
          <w:rFonts w:ascii="Arial" w:cs="Arial" w:eastAsia="Arial" w:hAnsi="Arial"/>
          <w:sz w:val="32"/>
          <w:szCs w:val="32"/>
          <w:b w:val="1"/>
          <w:bCs w:val="1"/>
          <w:color w:val="002273"/>
        </w:rPr>
        <w:t>Longstanding Commitment to Shareholder Engagement</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Overview of Our Engagement Program</w:t>
      </w:r>
    </w:p>
    <w:p>
      <w:pPr>
        <w:spacing w:after="0" w:line="132" w:lineRule="exact"/>
        <w:rPr>
          <w:sz w:val="20"/>
          <w:szCs w:val="20"/>
          <w:color w:val="auto"/>
        </w:rPr>
      </w:pPr>
    </w:p>
    <w:p>
      <w:pPr>
        <w:ind w:left="140" w:right="279"/>
        <w:spacing w:after="0" w:line="282" w:lineRule="auto"/>
        <w:rPr>
          <w:sz w:val="20"/>
          <w:szCs w:val="20"/>
          <w:color w:val="auto"/>
        </w:rPr>
      </w:pPr>
      <w:r>
        <w:rPr>
          <w:rFonts w:ascii="Arial" w:cs="Arial" w:eastAsia="Arial" w:hAnsi="Arial"/>
          <w:sz w:val="16"/>
          <w:szCs w:val="16"/>
          <w:color w:val="auto"/>
        </w:rPr>
        <w:t>Fostering long-term relationships and maintaining trust with our shareholders is a key priority for us. For over a decade, the board and management have conducted regular and extensive investor outreach. We seek shareholder feedback through our annual say-on-pay votes as well as through discussions with our shareholders in connection with our annual shareholder meetings and in the “off-season.” This outreach complements the many touchpoints our investor relations team has with shareholders throughout the year. In addition, on a more informal basis, we engage with our shareholders through industry and corporate governance conferences and informal exchanges in other settings.</w:t>
      </w:r>
    </w:p>
    <w:p>
      <w:pPr>
        <w:spacing w:after="0" w:line="107" w:lineRule="exact"/>
        <w:rPr>
          <w:sz w:val="20"/>
          <w:szCs w:val="20"/>
          <w:color w:val="auto"/>
        </w:rPr>
      </w:pPr>
    </w:p>
    <w:p>
      <w:pPr>
        <w:ind w:left="140" w:right="179"/>
        <w:spacing w:after="0" w:line="282" w:lineRule="auto"/>
        <w:rPr>
          <w:sz w:val="20"/>
          <w:szCs w:val="20"/>
          <w:color w:val="auto"/>
        </w:rPr>
      </w:pPr>
      <w:r>
        <w:rPr>
          <w:rFonts w:ascii="Arial" w:cs="Arial" w:eastAsia="Arial" w:hAnsi="Arial"/>
          <w:sz w:val="16"/>
          <w:szCs w:val="16"/>
          <w:color w:val="auto"/>
        </w:rPr>
        <w:t>Annually, we seek to engage in direct one-on-one discussions with shareholders collectively representing in excess of 50% of the shares of common stock outstanding (excluding shares held by our directors and executive officers), which we refer to as “public shares.” We encourage director participation in our outreach, and our Lead Independent Director (who is also the Chair of our Compensation Committee) has led many of these discussions as a representative of the board in recent years.</w:t>
      </w:r>
    </w:p>
    <w:p>
      <w:pPr>
        <w:spacing w:after="0" w:line="121" w:lineRule="exact"/>
        <w:rPr>
          <w:sz w:val="20"/>
          <w:szCs w:val="20"/>
          <w:color w:val="auto"/>
        </w:rPr>
      </w:pPr>
    </w:p>
    <w:p>
      <w:pPr>
        <w:ind w:left="140" w:right="179"/>
        <w:spacing w:after="0" w:line="283" w:lineRule="auto"/>
        <w:rPr>
          <w:sz w:val="20"/>
          <w:szCs w:val="20"/>
          <w:color w:val="auto"/>
        </w:rPr>
      </w:pPr>
      <w:r>
        <w:rPr>
          <w:rFonts w:ascii="Arial" w:cs="Arial" w:eastAsia="Arial" w:hAnsi="Arial"/>
          <w:sz w:val="16"/>
          <w:szCs w:val="16"/>
          <w:color w:val="auto"/>
        </w:rPr>
        <w:t>Our active investor outreach program solicits and gathers feedback on a broad range of matters, including board structure and composition, executive compensation, shareholder rights, and corporate responsibility topics. The feedback received is a key input in board, relevant committee, and management discussions, and has consistently been a significant driver of actions taken over the last several years.</w:t>
      </w:r>
    </w:p>
    <w:p>
      <w:pPr>
        <w:sectPr>
          <w:pgSz w:w="11900" w:h="16838" w:orient="portrait"/>
          <w:cols w:equalWidth="0" w:num="1">
            <w:col w:w="9019"/>
          </w:cols>
          <w:pgMar w:left="1440" w:top="657" w:right="1440" w:bottom="1440" w:gutter="0" w:footer="0" w:header="0"/>
        </w:sectPr>
      </w:pPr>
    </w:p>
    <w:p>
      <w:pPr>
        <w:spacing w:after="0" w:line="26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Engagement</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Model</w:t>
      </w:r>
    </w:p>
    <w:p>
      <w:pPr>
        <w:spacing w:after="0" w:line="237" w:lineRule="exact"/>
        <w:rPr>
          <w:sz w:val="20"/>
          <w:szCs w:val="20"/>
          <w:color w:val="auto"/>
        </w:rPr>
      </w:pPr>
    </w:p>
    <w:p>
      <w:pPr>
        <w:ind w:left="320" w:right="240"/>
        <w:spacing w:after="0" w:line="287" w:lineRule="auto"/>
        <w:rPr>
          <w:sz w:val="20"/>
          <w:szCs w:val="20"/>
          <w:color w:val="auto"/>
        </w:rPr>
      </w:pPr>
      <w:r>
        <w:rPr>
          <w:rFonts w:ascii="Arial" w:cs="Arial" w:eastAsia="Arial" w:hAnsi="Arial"/>
          <w:sz w:val="14"/>
          <w:szCs w:val="14"/>
          <w:b w:val="1"/>
          <w:bCs w:val="1"/>
          <w:color w:val="auto"/>
        </w:rPr>
        <w:t>Regular outreach to investors using multiple channels</w:t>
      </w:r>
    </w:p>
    <w:p>
      <w:pPr>
        <w:spacing w:after="0" w:line="43" w:lineRule="exact"/>
        <w:rPr>
          <w:sz w:val="20"/>
          <w:szCs w:val="20"/>
          <w:color w:val="auto"/>
        </w:rPr>
      </w:pPr>
    </w:p>
    <w:p>
      <w:pPr>
        <w:ind w:left="520" w:right="60" w:hanging="194"/>
        <w:spacing w:after="0" w:line="234" w:lineRule="exact"/>
        <w:tabs>
          <w:tab w:leader="none" w:pos="520" w:val="left"/>
        </w:tabs>
        <w:numPr>
          <w:ilvl w:val="0"/>
          <w:numId w:val="70"/>
        </w:numPr>
        <w:rPr>
          <w:rFonts w:ascii="Arial" w:cs="Arial" w:eastAsia="Arial" w:hAnsi="Arial"/>
          <w:sz w:val="16"/>
          <w:szCs w:val="16"/>
          <w:color w:val="065BAA"/>
        </w:rPr>
      </w:pPr>
      <w:r>
        <w:rPr>
          <w:rFonts w:ascii="Arial" w:cs="Arial" w:eastAsia="Arial" w:hAnsi="Arial"/>
          <w:sz w:val="16"/>
          <w:szCs w:val="16"/>
          <w:color w:val="auto"/>
        </w:rPr>
        <w:t>one</w:t>
      </w:r>
      <w:r>
        <w:rPr>
          <w:rFonts w:ascii="MS PGothic" w:cs="MS PGothic" w:eastAsia="MS PGothic" w:hAnsi="MS PGothic"/>
          <w:sz w:val="16"/>
          <w:szCs w:val="16"/>
          <w:color w:val="auto"/>
        </w:rPr>
        <w:t>‑</w:t>
      </w:r>
      <w:r>
        <w:rPr>
          <w:rFonts w:ascii="Arial" w:cs="Arial" w:eastAsia="Arial" w:hAnsi="Arial"/>
          <w:sz w:val="16"/>
          <w:szCs w:val="16"/>
          <w:color w:val="auto"/>
        </w:rPr>
        <w:t>on</w:t>
      </w:r>
      <w:r>
        <w:rPr>
          <w:rFonts w:ascii="MS PGothic" w:cs="MS PGothic" w:eastAsia="MS PGothic" w:hAnsi="MS PGothic"/>
          <w:sz w:val="16"/>
          <w:szCs w:val="16"/>
          <w:color w:val="auto"/>
        </w:rPr>
        <w:t>‑</w:t>
      </w:r>
      <w:r>
        <w:rPr>
          <w:rFonts w:ascii="Arial" w:cs="Arial" w:eastAsia="Arial" w:hAnsi="Arial"/>
          <w:sz w:val="16"/>
          <w:szCs w:val="16"/>
          <w:color w:val="auto"/>
        </w:rPr>
        <w:t>one meetings and calls</w:t>
      </w:r>
    </w:p>
    <w:p>
      <w:pPr>
        <w:spacing w:after="0" w:line="33" w:lineRule="exact"/>
        <w:rPr>
          <w:rFonts w:ascii="Arial" w:cs="Arial" w:eastAsia="Arial" w:hAnsi="Arial"/>
          <w:sz w:val="16"/>
          <w:szCs w:val="16"/>
          <w:color w:val="065BAA"/>
        </w:rPr>
      </w:pPr>
    </w:p>
    <w:p>
      <w:pPr>
        <w:ind w:left="520" w:right="500" w:hanging="194"/>
        <w:spacing w:after="0" w:line="342" w:lineRule="exact"/>
        <w:tabs>
          <w:tab w:leader="none" w:pos="520" w:val="left"/>
        </w:tabs>
        <w:numPr>
          <w:ilvl w:val="0"/>
          <w:numId w:val="70"/>
        </w:numPr>
        <w:rPr>
          <w:rFonts w:ascii="Arial" w:cs="Arial" w:eastAsia="Arial" w:hAnsi="Arial"/>
          <w:sz w:val="9"/>
          <w:szCs w:val="9"/>
          <w:color w:val="065BAA"/>
        </w:rPr>
      </w:pPr>
      <w:r>
        <w:rPr>
          <w:rFonts w:ascii="Arial" w:cs="Arial" w:eastAsia="Arial" w:hAnsi="Arial"/>
          <w:sz w:val="9"/>
          <w:szCs w:val="9"/>
          <w:color w:val="auto"/>
        </w:rPr>
        <w:t>governance</w:t>
      </w:r>
      <w:r>
        <w:rPr>
          <w:rFonts w:ascii="MS PGothic" w:cs="MS PGothic" w:eastAsia="MS PGothic" w:hAnsi="MS PGothic"/>
          <w:sz w:val="9"/>
          <w:szCs w:val="9"/>
          <w:color w:val="auto"/>
        </w:rPr>
        <w:t>‑</w:t>
      </w:r>
      <w:r>
        <w:rPr>
          <w:rFonts w:ascii="Arial" w:cs="Arial" w:eastAsia="Arial" w:hAnsi="Arial"/>
          <w:sz w:val="9"/>
          <w:szCs w:val="9"/>
          <w:color w:val="auto"/>
        </w:rPr>
        <w:t>focused conferences</w:t>
      </w:r>
    </w:p>
    <w:p>
      <w:pPr>
        <w:spacing w:after="0" w:line="82" w:lineRule="exact"/>
        <w:rPr>
          <w:rFonts w:ascii="Arial" w:cs="Arial" w:eastAsia="Arial" w:hAnsi="Arial"/>
          <w:sz w:val="9"/>
          <w:szCs w:val="9"/>
          <w:color w:val="065BAA"/>
        </w:rPr>
      </w:pPr>
    </w:p>
    <w:p>
      <w:pPr>
        <w:ind w:left="520" w:right="520" w:hanging="194"/>
        <w:spacing w:after="0" w:line="321" w:lineRule="auto"/>
        <w:tabs>
          <w:tab w:leader="none" w:pos="520" w:val="left"/>
        </w:tabs>
        <w:numPr>
          <w:ilvl w:val="0"/>
          <w:numId w:val="70"/>
        </w:numPr>
        <w:rPr>
          <w:rFonts w:ascii="Arial" w:cs="Arial" w:eastAsia="Arial" w:hAnsi="Arial"/>
          <w:sz w:val="16"/>
          <w:szCs w:val="16"/>
          <w:color w:val="065BAA"/>
        </w:rPr>
      </w:pPr>
      <w:r>
        <w:rPr>
          <w:rFonts w:ascii="Arial" w:cs="Arial" w:eastAsia="Arial" w:hAnsi="Arial"/>
          <w:sz w:val="16"/>
          <w:szCs w:val="16"/>
          <w:color w:val="auto"/>
        </w:rPr>
        <w:t>industry conferences</w:t>
      </w:r>
    </w:p>
    <w:p>
      <w:pPr>
        <w:spacing w:after="0" w:line="7" w:lineRule="exact"/>
        <w:rPr>
          <w:rFonts w:ascii="Arial" w:cs="Arial" w:eastAsia="Arial" w:hAnsi="Arial"/>
          <w:sz w:val="16"/>
          <w:szCs w:val="16"/>
          <w:color w:val="065BAA"/>
        </w:rPr>
      </w:pPr>
    </w:p>
    <w:p>
      <w:pPr>
        <w:ind w:left="520" w:hanging="194"/>
        <w:spacing w:after="0"/>
        <w:tabs>
          <w:tab w:leader="none" w:pos="520" w:val="left"/>
        </w:tabs>
        <w:numPr>
          <w:ilvl w:val="0"/>
          <w:numId w:val="70"/>
        </w:numPr>
        <w:rPr>
          <w:rFonts w:ascii="Arial" w:cs="Arial" w:eastAsia="Arial" w:hAnsi="Arial"/>
          <w:sz w:val="16"/>
          <w:szCs w:val="16"/>
          <w:color w:val="065BAA"/>
        </w:rPr>
      </w:pPr>
      <w:r>
        <w:rPr>
          <w:rFonts w:ascii="Arial" w:cs="Arial" w:eastAsia="Arial" w:hAnsi="Arial"/>
          <w:sz w:val="16"/>
          <w:szCs w:val="16"/>
          <w:color w:val="auto"/>
        </w:rPr>
        <w:t>regular IR channels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900" w:type="dxa"/>
            <w:vAlign w:val="bottom"/>
            <w:gridSpan w:val="2"/>
          </w:tcPr>
          <w:p>
            <w:pPr>
              <w:spacing w:after="0"/>
              <w:rPr>
                <w:sz w:val="20"/>
                <w:szCs w:val="20"/>
                <w:color w:val="auto"/>
              </w:rPr>
            </w:pPr>
            <w:r>
              <w:rPr>
                <w:rFonts w:ascii="Arial" w:cs="Arial" w:eastAsia="Arial" w:hAnsi="Arial"/>
                <w:sz w:val="16"/>
                <w:szCs w:val="16"/>
                <w:b w:val="1"/>
                <w:bCs w:val="1"/>
                <w:color w:val="auto"/>
              </w:rPr>
              <w:t>Engagement Design</w:t>
            </w:r>
          </w:p>
        </w:tc>
        <w:tc>
          <w:tcPr>
            <w:tcW w:w="2280" w:type="dxa"/>
            <w:vAlign w:val="bottom"/>
          </w:tcPr>
          <w:p>
            <w:pPr>
              <w:ind w:left="340"/>
              <w:spacing w:after="0"/>
              <w:rPr>
                <w:sz w:val="20"/>
                <w:szCs w:val="20"/>
                <w:color w:val="auto"/>
              </w:rPr>
            </w:pPr>
            <w:r>
              <w:rPr>
                <w:rFonts w:ascii="Arial" w:cs="Arial" w:eastAsia="Arial" w:hAnsi="Arial"/>
                <w:sz w:val="16"/>
                <w:szCs w:val="16"/>
                <w:b w:val="1"/>
                <w:bCs w:val="1"/>
                <w:color w:val="auto"/>
              </w:rPr>
              <w:t>Board and</w:t>
            </w:r>
          </w:p>
        </w:tc>
        <w:tc>
          <w:tcPr>
            <w:tcW w:w="1900" w:type="dxa"/>
            <w:vAlign w:val="bottom"/>
          </w:tcPr>
          <w:p>
            <w:pPr>
              <w:ind w:left="320"/>
              <w:spacing w:after="0"/>
              <w:rPr>
                <w:sz w:val="20"/>
                <w:szCs w:val="20"/>
                <w:color w:val="auto"/>
              </w:rPr>
            </w:pPr>
            <w:r>
              <w:rPr>
                <w:rFonts w:ascii="Arial" w:cs="Arial" w:eastAsia="Arial" w:hAnsi="Arial"/>
                <w:sz w:val="16"/>
                <w:szCs w:val="16"/>
                <w:b w:val="1"/>
                <w:bCs w:val="1"/>
                <w:color w:val="auto"/>
              </w:rPr>
              <w:t>Response and</w:t>
            </w: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80" w:type="dxa"/>
            <w:vAlign w:val="bottom"/>
          </w:tcPr>
          <w:p>
            <w:pPr>
              <w:ind w:left="340"/>
              <w:spacing w:after="0"/>
              <w:rPr>
                <w:sz w:val="20"/>
                <w:szCs w:val="20"/>
                <w:color w:val="auto"/>
              </w:rPr>
            </w:pPr>
            <w:r>
              <w:rPr>
                <w:rFonts w:ascii="Arial" w:cs="Arial" w:eastAsia="Arial" w:hAnsi="Arial"/>
                <w:sz w:val="16"/>
                <w:szCs w:val="16"/>
                <w:b w:val="1"/>
                <w:bCs w:val="1"/>
                <w:color w:val="auto"/>
              </w:rPr>
              <w:t>Committee Review</w:t>
            </w:r>
          </w:p>
        </w:tc>
        <w:tc>
          <w:tcPr>
            <w:tcW w:w="1900" w:type="dxa"/>
            <w:vAlign w:val="bottom"/>
          </w:tcPr>
          <w:p>
            <w:pPr>
              <w:ind w:left="320"/>
              <w:spacing w:after="0"/>
              <w:rPr>
                <w:sz w:val="20"/>
                <w:szCs w:val="20"/>
                <w:color w:val="auto"/>
              </w:rPr>
            </w:pPr>
            <w:r>
              <w:rPr>
                <w:rFonts w:ascii="Arial" w:cs="Arial" w:eastAsia="Arial" w:hAnsi="Arial"/>
                <w:sz w:val="16"/>
                <w:szCs w:val="16"/>
                <w:b w:val="1"/>
                <w:bCs w:val="1"/>
                <w:color w:val="auto"/>
              </w:rPr>
              <w:t>Feedback Loop</w:t>
            </w:r>
          </w:p>
        </w:tc>
        <w:tc>
          <w:tcPr>
            <w:tcW w:w="0" w:type="dxa"/>
            <w:vAlign w:val="bottom"/>
          </w:tcPr>
          <w:p>
            <w:pPr>
              <w:spacing w:after="0"/>
              <w:rPr>
                <w:sz w:val="1"/>
                <w:szCs w:val="1"/>
                <w:color w:val="auto"/>
              </w:rPr>
            </w:pPr>
          </w:p>
        </w:tc>
      </w:tr>
      <w:tr>
        <w:trPr>
          <w:trHeight w:val="376"/>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Outreach to investors</w:t>
            </w:r>
          </w:p>
        </w:tc>
        <w:tc>
          <w:tcPr>
            <w:tcW w:w="2280" w:type="dxa"/>
            <w:vAlign w:val="bottom"/>
          </w:tcPr>
          <w:p>
            <w:pPr>
              <w:ind w:left="340"/>
              <w:spacing w:after="0"/>
              <w:rPr>
                <w:sz w:val="20"/>
                <w:szCs w:val="20"/>
                <w:color w:val="auto"/>
              </w:rPr>
            </w:pPr>
            <w:r>
              <w:rPr>
                <w:rFonts w:ascii="Arial" w:cs="Arial" w:eastAsia="Arial" w:hAnsi="Arial"/>
                <w:sz w:val="14"/>
                <w:szCs w:val="14"/>
                <w:b w:val="1"/>
                <w:bCs w:val="1"/>
                <w:color w:val="auto"/>
              </w:rPr>
              <w:t>Feedback received is</w:t>
            </w:r>
          </w:p>
        </w:tc>
        <w:tc>
          <w:tcPr>
            <w:tcW w:w="1900" w:type="dxa"/>
            <w:vAlign w:val="bottom"/>
          </w:tcPr>
          <w:p>
            <w:pPr>
              <w:ind w:left="320"/>
              <w:spacing w:after="0"/>
              <w:rPr>
                <w:sz w:val="20"/>
                <w:szCs w:val="20"/>
                <w:color w:val="auto"/>
              </w:rPr>
            </w:pPr>
            <w:r>
              <w:rPr>
                <w:rFonts w:ascii="Arial" w:cs="Arial" w:eastAsia="Arial" w:hAnsi="Arial"/>
                <w:sz w:val="14"/>
                <w:szCs w:val="14"/>
                <w:b w:val="1"/>
                <w:bCs w:val="1"/>
                <w:color w:val="auto"/>
              </w:rPr>
              <w:t>Committees/board</w:t>
            </w:r>
          </w:p>
        </w:tc>
        <w:tc>
          <w:tcPr>
            <w:tcW w:w="0" w:type="dxa"/>
            <w:vAlign w:val="bottom"/>
          </w:tcPr>
          <w:p>
            <w:pPr>
              <w:spacing w:after="0"/>
              <w:rPr>
                <w:sz w:val="1"/>
                <w:szCs w:val="1"/>
                <w:color w:val="auto"/>
              </w:rPr>
            </w:pPr>
          </w:p>
        </w:tc>
      </w:tr>
      <w:tr>
        <w:trPr>
          <w:trHeight w:val="176"/>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that hold &gt;50% of our</w:t>
            </w:r>
          </w:p>
        </w:tc>
        <w:tc>
          <w:tcPr>
            <w:tcW w:w="2280" w:type="dxa"/>
            <w:vAlign w:val="bottom"/>
          </w:tcPr>
          <w:p>
            <w:pPr>
              <w:ind w:left="340"/>
              <w:spacing w:after="0"/>
              <w:rPr>
                <w:sz w:val="20"/>
                <w:szCs w:val="20"/>
                <w:color w:val="auto"/>
              </w:rPr>
            </w:pPr>
            <w:r>
              <w:rPr>
                <w:rFonts w:ascii="Arial" w:cs="Arial" w:eastAsia="Arial" w:hAnsi="Arial"/>
                <w:sz w:val="14"/>
                <w:szCs w:val="14"/>
                <w:b w:val="1"/>
                <w:bCs w:val="1"/>
                <w:color w:val="auto"/>
              </w:rPr>
              <w:t>communicated to the</w:t>
            </w:r>
          </w:p>
        </w:tc>
        <w:tc>
          <w:tcPr>
            <w:tcW w:w="1900" w:type="dxa"/>
            <w:vAlign w:val="bottom"/>
          </w:tcPr>
          <w:p>
            <w:pPr>
              <w:ind w:left="320"/>
              <w:spacing w:after="0"/>
              <w:rPr>
                <w:sz w:val="20"/>
                <w:szCs w:val="20"/>
                <w:color w:val="auto"/>
              </w:rPr>
            </w:pPr>
            <w:r>
              <w:rPr>
                <w:rFonts w:ascii="Arial" w:cs="Arial" w:eastAsia="Arial" w:hAnsi="Arial"/>
                <w:sz w:val="14"/>
                <w:szCs w:val="14"/>
                <w:b w:val="1"/>
                <w:bCs w:val="1"/>
                <w:color w:val="auto"/>
              </w:rPr>
              <w:t>implement changes</w:t>
            </w:r>
          </w:p>
        </w:tc>
        <w:tc>
          <w:tcPr>
            <w:tcW w:w="0" w:type="dxa"/>
            <w:vAlign w:val="bottom"/>
          </w:tcPr>
          <w:p>
            <w:pPr>
              <w:spacing w:after="0"/>
              <w:rPr>
                <w:sz w:val="1"/>
                <w:szCs w:val="1"/>
                <w:color w:val="auto"/>
              </w:rPr>
            </w:pPr>
          </w:p>
        </w:tc>
      </w:tr>
      <w:tr>
        <w:trPr>
          <w:trHeight w:val="196"/>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public shares</w:t>
            </w:r>
          </w:p>
        </w:tc>
        <w:tc>
          <w:tcPr>
            <w:tcW w:w="2280" w:type="dxa"/>
            <w:vAlign w:val="bottom"/>
          </w:tcPr>
          <w:p>
            <w:pPr>
              <w:ind w:left="340"/>
              <w:spacing w:after="0"/>
              <w:rPr>
                <w:sz w:val="20"/>
                <w:szCs w:val="20"/>
                <w:color w:val="auto"/>
              </w:rPr>
            </w:pPr>
            <w:r>
              <w:rPr>
                <w:rFonts w:ascii="Arial" w:cs="Arial" w:eastAsia="Arial" w:hAnsi="Arial"/>
                <w:sz w:val="14"/>
                <w:szCs w:val="14"/>
                <w:b w:val="1"/>
                <w:bCs w:val="1"/>
                <w:color w:val="auto"/>
              </w:rPr>
              <w:t>committees/board</w:t>
            </w:r>
          </w:p>
        </w:tc>
        <w:tc>
          <w:tcPr>
            <w:tcW w:w="1900" w:type="dxa"/>
            <w:vAlign w:val="bottom"/>
          </w:tcPr>
          <w:p>
            <w:pPr>
              <w:ind w:left="320"/>
              <w:spacing w:after="0"/>
              <w:rPr>
                <w:sz w:val="20"/>
                <w:szCs w:val="20"/>
                <w:color w:val="auto"/>
              </w:rPr>
            </w:pPr>
            <w:r>
              <w:rPr>
                <w:rFonts w:ascii="Arial" w:cs="Arial" w:eastAsia="Arial" w:hAnsi="Arial"/>
                <w:sz w:val="14"/>
                <w:szCs w:val="14"/>
                <w:b w:val="1"/>
                <w:bCs w:val="1"/>
                <w:color w:val="auto"/>
              </w:rPr>
              <w:t>as appropriate</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0"/>
                <w:szCs w:val="20"/>
                <w:color w:val="auto"/>
              </w:rPr>
            </w:pPr>
            <w:r>
              <w:rPr>
                <w:rFonts w:ascii="Arial" w:cs="Arial" w:eastAsia="Arial" w:hAnsi="Arial"/>
                <w:sz w:val="16"/>
                <w:szCs w:val="16"/>
                <w:color w:val="065BAA"/>
              </w:rPr>
              <w:t>•</w:t>
            </w:r>
          </w:p>
        </w:tc>
        <w:tc>
          <w:tcPr>
            <w:tcW w:w="1760" w:type="dxa"/>
            <w:vAlign w:val="bottom"/>
          </w:tcPr>
          <w:p>
            <w:pPr>
              <w:ind w:left="60"/>
              <w:spacing w:after="0"/>
              <w:rPr>
                <w:sz w:val="20"/>
                <w:szCs w:val="20"/>
                <w:color w:val="auto"/>
              </w:rPr>
            </w:pPr>
            <w:r>
              <w:rPr>
                <w:rFonts w:ascii="Arial" w:cs="Arial" w:eastAsia="Arial" w:hAnsi="Arial"/>
                <w:sz w:val="16"/>
                <w:szCs w:val="16"/>
                <w:color w:val="auto"/>
              </w:rPr>
              <w:t>board actively</w:t>
            </w:r>
          </w:p>
        </w:tc>
        <w:tc>
          <w:tcPr>
            <w:tcW w:w="2280" w:type="dxa"/>
            <w:vAlign w:val="bottom"/>
          </w:tcPr>
          <w:p>
            <w:pPr>
              <w:ind w:left="34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feedback evaluated</w:t>
            </w:r>
          </w:p>
        </w:tc>
        <w:tc>
          <w:tcPr>
            <w:tcW w:w="1900" w:type="dxa"/>
            <w:vAlign w:val="bottom"/>
          </w:tcPr>
          <w:p>
            <w:pPr>
              <w:ind w:left="32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committee/board</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760" w:type="dxa"/>
            <w:vAlign w:val="bottom"/>
          </w:tcPr>
          <w:p>
            <w:pPr>
              <w:ind w:left="60"/>
              <w:spacing w:after="0"/>
              <w:rPr>
                <w:sz w:val="20"/>
                <w:szCs w:val="20"/>
                <w:color w:val="auto"/>
              </w:rPr>
            </w:pPr>
            <w:r>
              <w:rPr>
                <w:rFonts w:ascii="Arial" w:cs="Arial" w:eastAsia="Arial" w:hAnsi="Arial"/>
                <w:sz w:val="16"/>
                <w:szCs w:val="16"/>
                <w:color w:val="auto"/>
              </w:rPr>
              <w:t>solicits investor</w:t>
            </w:r>
          </w:p>
        </w:tc>
        <w:tc>
          <w:tcPr>
            <w:tcW w:w="2280" w:type="dxa"/>
            <w:vAlign w:val="bottom"/>
          </w:tcPr>
          <w:p>
            <w:pPr>
              <w:ind w:left="540"/>
              <w:spacing w:after="0"/>
              <w:rPr>
                <w:sz w:val="20"/>
                <w:szCs w:val="20"/>
                <w:color w:val="auto"/>
              </w:rPr>
            </w:pPr>
            <w:r>
              <w:rPr>
                <w:rFonts w:ascii="Arial" w:cs="Arial" w:eastAsia="Arial" w:hAnsi="Arial"/>
                <w:sz w:val="16"/>
                <w:szCs w:val="16"/>
                <w:color w:val="auto"/>
              </w:rPr>
              <w:t>at relevant</w:t>
            </w:r>
          </w:p>
        </w:tc>
        <w:tc>
          <w:tcPr>
            <w:tcW w:w="1900" w:type="dxa"/>
            <w:vAlign w:val="bottom"/>
          </w:tcPr>
          <w:p>
            <w:pPr>
              <w:ind w:left="520"/>
              <w:spacing w:after="0"/>
              <w:rPr>
                <w:sz w:val="20"/>
                <w:szCs w:val="20"/>
                <w:color w:val="auto"/>
              </w:rPr>
            </w:pPr>
            <w:r>
              <w:rPr>
                <w:rFonts w:ascii="Arial" w:cs="Arial" w:eastAsia="Arial" w:hAnsi="Arial"/>
                <w:sz w:val="16"/>
                <w:szCs w:val="16"/>
                <w:color w:val="auto"/>
                <w:w w:val="99"/>
              </w:rPr>
              <w:t>actions shared with</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760" w:type="dxa"/>
            <w:vAlign w:val="bottom"/>
          </w:tcPr>
          <w:p>
            <w:pPr>
              <w:ind w:left="60"/>
              <w:spacing w:after="0"/>
              <w:rPr>
                <w:sz w:val="20"/>
                <w:szCs w:val="20"/>
                <w:color w:val="auto"/>
              </w:rPr>
            </w:pPr>
            <w:r>
              <w:rPr>
                <w:rFonts w:ascii="Arial" w:cs="Arial" w:eastAsia="Arial" w:hAnsi="Arial"/>
                <w:sz w:val="16"/>
                <w:szCs w:val="16"/>
                <w:color w:val="auto"/>
              </w:rPr>
              <w:t>input on broad</w:t>
            </w:r>
          </w:p>
        </w:tc>
        <w:tc>
          <w:tcPr>
            <w:tcW w:w="2280" w:type="dxa"/>
            <w:vAlign w:val="bottom"/>
          </w:tcPr>
          <w:p>
            <w:pPr>
              <w:ind w:left="540"/>
              <w:spacing w:after="0"/>
              <w:rPr>
                <w:sz w:val="20"/>
                <w:szCs w:val="20"/>
                <w:color w:val="auto"/>
              </w:rPr>
            </w:pPr>
            <w:r>
              <w:rPr>
                <w:rFonts w:ascii="Arial" w:cs="Arial" w:eastAsia="Arial" w:hAnsi="Arial"/>
                <w:sz w:val="16"/>
                <w:szCs w:val="16"/>
                <w:color w:val="auto"/>
              </w:rPr>
              <w:t>committee</w:t>
            </w:r>
          </w:p>
        </w:tc>
        <w:tc>
          <w:tcPr>
            <w:tcW w:w="1900" w:type="dxa"/>
            <w:vAlign w:val="bottom"/>
          </w:tcPr>
          <w:p>
            <w:pPr>
              <w:ind w:left="520"/>
              <w:spacing w:after="0"/>
              <w:rPr>
                <w:sz w:val="20"/>
                <w:szCs w:val="20"/>
                <w:color w:val="auto"/>
              </w:rPr>
            </w:pPr>
            <w:r>
              <w:rPr>
                <w:rFonts w:ascii="Arial" w:cs="Arial" w:eastAsia="Arial" w:hAnsi="Arial"/>
                <w:sz w:val="16"/>
                <w:szCs w:val="16"/>
                <w:color w:val="auto"/>
              </w:rPr>
              <w:t>investors,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760" w:type="dxa"/>
            <w:vAlign w:val="bottom"/>
          </w:tcPr>
          <w:p>
            <w:pPr>
              <w:ind w:left="60"/>
              <w:spacing w:after="0"/>
              <w:rPr>
                <w:sz w:val="20"/>
                <w:szCs w:val="20"/>
                <w:color w:val="auto"/>
              </w:rPr>
            </w:pPr>
            <w:r>
              <w:rPr>
                <w:rFonts w:ascii="Arial" w:cs="Arial" w:eastAsia="Arial" w:hAnsi="Arial"/>
                <w:sz w:val="16"/>
                <w:szCs w:val="16"/>
                <w:color w:val="auto"/>
              </w:rPr>
              <w:t>range of issues</w:t>
            </w:r>
          </w:p>
        </w:tc>
        <w:tc>
          <w:tcPr>
            <w:tcW w:w="2280" w:type="dxa"/>
            <w:vAlign w:val="bottom"/>
          </w:tcPr>
          <w:p>
            <w:pPr>
              <w:ind w:left="540"/>
              <w:spacing w:after="0"/>
              <w:rPr>
                <w:sz w:val="20"/>
                <w:szCs w:val="20"/>
                <w:color w:val="auto"/>
              </w:rPr>
            </w:pPr>
            <w:r>
              <w:rPr>
                <w:rFonts w:ascii="Arial" w:cs="Arial" w:eastAsia="Arial" w:hAnsi="Arial"/>
                <w:sz w:val="16"/>
                <w:szCs w:val="16"/>
                <w:color w:val="auto"/>
              </w:rPr>
              <w:t>meetings, with</w:t>
            </w:r>
          </w:p>
        </w:tc>
        <w:tc>
          <w:tcPr>
            <w:tcW w:w="1900" w:type="dxa"/>
            <w:vAlign w:val="bottom"/>
          </w:tcPr>
          <w:p>
            <w:pPr>
              <w:ind w:left="520"/>
              <w:spacing w:after="0"/>
              <w:rPr>
                <w:sz w:val="20"/>
                <w:szCs w:val="20"/>
                <w:color w:val="auto"/>
              </w:rPr>
            </w:pPr>
            <w:r>
              <w:rPr>
                <w:rFonts w:ascii="Arial" w:cs="Arial" w:eastAsia="Arial" w:hAnsi="Arial"/>
                <w:sz w:val="16"/>
                <w:szCs w:val="16"/>
                <w:color w:val="auto"/>
              </w:rPr>
              <w:t>supporting</w:t>
            </w:r>
          </w:p>
        </w:tc>
        <w:tc>
          <w:tcPr>
            <w:tcW w:w="0" w:type="dxa"/>
            <w:vAlign w:val="bottom"/>
          </w:tcPr>
          <w:p>
            <w:pPr>
              <w:spacing w:after="0"/>
              <w:rPr>
                <w:sz w:val="1"/>
                <w:szCs w:val="1"/>
                <w:color w:val="auto"/>
              </w:rPr>
            </w:pPr>
          </w:p>
        </w:tc>
      </w:tr>
      <w:tr>
        <w:trPr>
          <w:trHeight w:val="216"/>
        </w:trPr>
        <w:tc>
          <w:tcPr>
            <w:tcW w:w="140" w:type="dxa"/>
            <w:vAlign w:val="bottom"/>
            <w:vMerge w:val="restart"/>
          </w:tcPr>
          <w:p>
            <w:pPr>
              <w:spacing w:after="0"/>
              <w:rPr>
                <w:sz w:val="20"/>
                <w:szCs w:val="20"/>
                <w:color w:val="auto"/>
              </w:rPr>
            </w:pPr>
            <w:r>
              <w:rPr>
                <w:rFonts w:ascii="Arial" w:cs="Arial" w:eastAsia="Arial" w:hAnsi="Arial"/>
                <w:sz w:val="16"/>
                <w:szCs w:val="16"/>
                <w:color w:val="065BAA"/>
              </w:rPr>
              <w:t>•</w:t>
            </w:r>
          </w:p>
        </w:tc>
        <w:tc>
          <w:tcPr>
            <w:tcW w:w="1760" w:type="dxa"/>
            <w:vAlign w:val="bottom"/>
            <w:vMerge w:val="restart"/>
          </w:tcPr>
          <w:p>
            <w:pPr>
              <w:ind w:left="60"/>
              <w:spacing w:after="0"/>
              <w:rPr>
                <w:sz w:val="20"/>
                <w:szCs w:val="20"/>
                <w:color w:val="auto"/>
              </w:rPr>
            </w:pPr>
            <w:r>
              <w:rPr>
                <w:rFonts w:ascii="Arial" w:cs="Arial" w:eastAsia="Arial" w:hAnsi="Arial"/>
                <w:sz w:val="16"/>
                <w:szCs w:val="16"/>
                <w:color w:val="auto"/>
              </w:rPr>
              <w:t>executives</w:t>
            </w:r>
          </w:p>
        </w:tc>
        <w:tc>
          <w:tcPr>
            <w:tcW w:w="2280" w:type="dxa"/>
            <w:vAlign w:val="bottom"/>
          </w:tcPr>
          <w:p>
            <w:pPr>
              <w:ind w:left="540"/>
              <w:spacing w:after="0"/>
              <w:rPr>
                <w:sz w:val="20"/>
                <w:szCs w:val="20"/>
                <w:color w:val="auto"/>
              </w:rPr>
            </w:pPr>
            <w:r>
              <w:rPr>
                <w:rFonts w:ascii="Arial" w:cs="Arial" w:eastAsia="Arial" w:hAnsi="Arial"/>
                <w:sz w:val="16"/>
                <w:szCs w:val="16"/>
                <w:color w:val="auto"/>
              </w:rPr>
              <w:t>potential actions</w:t>
            </w:r>
          </w:p>
        </w:tc>
        <w:tc>
          <w:tcPr>
            <w:tcW w:w="1900" w:type="dxa"/>
            <w:vAlign w:val="bottom"/>
          </w:tcPr>
          <w:p>
            <w:pPr>
              <w:ind w:left="520"/>
              <w:spacing w:after="0"/>
              <w:rPr>
                <w:sz w:val="20"/>
                <w:szCs w:val="20"/>
                <w:color w:val="auto"/>
              </w:rPr>
            </w:pPr>
            <w:r>
              <w:rPr>
                <w:rFonts w:ascii="Arial" w:cs="Arial" w:eastAsia="Arial" w:hAnsi="Arial"/>
                <w:sz w:val="16"/>
                <w:szCs w:val="16"/>
                <w:color w:val="auto"/>
              </w:rPr>
              <w:t>continuous</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2280" w:type="dxa"/>
            <w:vAlign w:val="bottom"/>
            <w:vMerge w:val="restart"/>
          </w:tcPr>
          <w:p>
            <w:pPr>
              <w:ind w:left="540"/>
              <w:spacing w:after="0"/>
              <w:rPr>
                <w:sz w:val="20"/>
                <w:szCs w:val="20"/>
                <w:color w:val="auto"/>
              </w:rPr>
            </w:pPr>
            <w:r>
              <w:rPr>
                <w:rFonts w:ascii="Arial" w:cs="Arial" w:eastAsia="Arial" w:hAnsi="Arial"/>
                <w:sz w:val="16"/>
                <w:szCs w:val="16"/>
                <w:color w:val="auto"/>
              </w:rPr>
              <w:t>being discussed</w:t>
            </w:r>
          </w:p>
        </w:tc>
        <w:tc>
          <w:tcPr>
            <w:tcW w:w="1900" w:type="dxa"/>
            <w:vAlign w:val="bottom"/>
            <w:vMerge w:val="restart"/>
          </w:tcPr>
          <w:p>
            <w:pPr>
              <w:ind w:left="520"/>
              <w:spacing w:after="0"/>
              <w:rPr>
                <w:sz w:val="20"/>
                <w:szCs w:val="20"/>
                <w:color w:val="auto"/>
              </w:rPr>
            </w:pPr>
            <w:r>
              <w:rPr>
                <w:rFonts w:ascii="Arial" w:cs="Arial" w:eastAsia="Arial" w:hAnsi="Arial"/>
                <w:sz w:val="16"/>
                <w:szCs w:val="16"/>
                <w:color w:val="auto"/>
              </w:rPr>
              <w:t>feedback and</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760" w:type="dxa"/>
            <w:vAlign w:val="bottom"/>
            <w:vMerge w:val="restart"/>
          </w:tcPr>
          <w:p>
            <w:pPr>
              <w:ind w:left="60"/>
              <w:spacing w:after="0"/>
              <w:rPr>
                <w:sz w:val="20"/>
                <w:szCs w:val="20"/>
                <w:color w:val="auto"/>
              </w:rPr>
            </w:pPr>
            <w:r>
              <w:rPr>
                <w:rFonts w:ascii="Arial" w:cs="Arial" w:eastAsia="Arial" w:hAnsi="Arial"/>
                <w:sz w:val="16"/>
                <w:szCs w:val="16"/>
                <w:color w:val="auto"/>
              </w:rPr>
              <w:t>regularly meet with</w:t>
            </w:r>
          </w:p>
        </w:tc>
        <w:tc>
          <w:tcPr>
            <w:tcW w:w="2280" w:type="dxa"/>
            <w:vAlign w:val="bottom"/>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2280" w:type="dxa"/>
            <w:vAlign w:val="bottom"/>
            <w:vMerge w:val="restart"/>
          </w:tcPr>
          <w:p>
            <w:pPr>
              <w:ind w:left="540"/>
              <w:spacing w:after="0"/>
              <w:rPr>
                <w:sz w:val="20"/>
                <w:szCs w:val="20"/>
                <w:color w:val="auto"/>
              </w:rPr>
            </w:pPr>
            <w:r>
              <w:rPr>
                <w:rFonts w:ascii="Arial" w:cs="Arial" w:eastAsia="Arial" w:hAnsi="Arial"/>
                <w:sz w:val="16"/>
                <w:szCs w:val="16"/>
                <w:color w:val="auto"/>
              </w:rPr>
              <w:t>with the full board</w:t>
            </w:r>
          </w:p>
        </w:tc>
        <w:tc>
          <w:tcPr>
            <w:tcW w:w="1900" w:type="dxa"/>
            <w:vAlign w:val="bottom"/>
            <w:vMerge w:val="restart"/>
          </w:tcPr>
          <w:p>
            <w:pPr>
              <w:ind w:left="520"/>
              <w:spacing w:after="0"/>
              <w:rPr>
                <w:sz w:val="20"/>
                <w:szCs w:val="20"/>
                <w:color w:val="auto"/>
              </w:rPr>
            </w:pPr>
            <w:r>
              <w:rPr>
                <w:rFonts w:ascii="Arial" w:cs="Arial" w:eastAsia="Arial" w:hAnsi="Arial"/>
                <w:sz w:val="16"/>
                <w:szCs w:val="16"/>
                <w:color w:val="auto"/>
              </w:rPr>
              <w:t>progress</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760" w:type="dxa"/>
            <w:vAlign w:val="bottom"/>
            <w:vMerge w:val="restart"/>
          </w:tcPr>
          <w:p>
            <w:pPr>
              <w:ind w:left="60"/>
              <w:spacing w:after="0"/>
              <w:rPr>
                <w:sz w:val="20"/>
                <w:szCs w:val="20"/>
                <w:color w:val="auto"/>
              </w:rPr>
            </w:pPr>
            <w:r>
              <w:rPr>
                <w:rFonts w:ascii="Arial" w:cs="Arial" w:eastAsia="Arial" w:hAnsi="Arial"/>
                <w:sz w:val="16"/>
                <w:szCs w:val="16"/>
                <w:color w:val="auto"/>
              </w:rPr>
              <w:t>investors</w:t>
            </w:r>
          </w:p>
        </w:tc>
        <w:tc>
          <w:tcPr>
            <w:tcW w:w="2280" w:type="dxa"/>
            <w:vAlign w:val="bottom"/>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22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00" w:right="4879" w:hanging="193"/>
        <w:spacing w:after="0" w:line="301" w:lineRule="auto"/>
        <w:tabs>
          <w:tab w:leader="none" w:pos="200" w:val="left"/>
        </w:tabs>
        <w:numPr>
          <w:ilvl w:val="0"/>
          <w:numId w:val="71"/>
        </w:numPr>
        <w:rPr>
          <w:rFonts w:ascii="Arial" w:cs="Arial" w:eastAsia="Arial" w:hAnsi="Arial"/>
          <w:sz w:val="16"/>
          <w:szCs w:val="16"/>
          <w:color w:val="065BAA"/>
        </w:rPr>
      </w:pPr>
      <w:r>
        <w:rPr>
          <w:rFonts w:ascii="Arial" w:cs="Arial" w:eastAsia="Arial" w:hAnsi="Arial"/>
          <w:sz w:val="16"/>
          <w:szCs w:val="16"/>
          <w:color w:val="auto"/>
        </w:rPr>
        <w:t>IR professionals respond to investor queries</w:t>
      </w:r>
    </w:p>
    <w:p>
      <w:pPr>
        <w:spacing w:after="0" w:line="200" w:lineRule="exact"/>
        <w:rPr>
          <w:sz w:val="20"/>
          <w:szCs w:val="20"/>
          <w:color w:val="auto"/>
        </w:rPr>
      </w:pPr>
    </w:p>
    <w:p>
      <w:pPr>
        <w:sectPr>
          <w:pgSz w:w="11900" w:h="16838" w:orient="portrait"/>
          <w:cols w:equalWidth="0" w:num="2">
            <w:col w:w="1920" w:space="640"/>
            <w:col w:w="645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39</w:t>
            </w:r>
          </w:p>
        </w:tc>
      </w:tr>
    </w:tbl>
    <w:p>
      <w:pPr>
        <w:sectPr>
          <w:pgSz w:w="11900" w:h="16838" w:orient="portrait"/>
          <w:cols w:equalWidth="0" w:num="1">
            <w:col w:w="9019"/>
          </w:cols>
          <w:pgMar w:left="1440" w:top="657" w:right="1440" w:bottom="1440" w:gutter="0" w:footer="0" w:header="0"/>
          <w:type w:val="continuous"/>
        </w:sectPr>
      </w:pPr>
    </w:p>
    <w:bookmarkStart w:id="48" w:name="page49"/>
    <w:bookmarkEnd w:id="48"/>
    <w:p>
      <w:pPr>
        <w:jc w:val="center"/>
        <w:ind w:right="-20"/>
        <w:spacing w:after="0"/>
        <w:tabs>
          <w:tab w:leader="none" w:pos="260" w:val="left"/>
          <w:tab w:leader="none" w:pos="260" w:val="left"/>
          <w:tab w:leader="none" w:pos="30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r>
      <w:r>
        <w:rPr>
          <w:sz w:val="20"/>
          <w:szCs w:val="20"/>
          <w:color w:val="auto"/>
        </w:rPr>
        <w:tab/>
      </w:r>
      <w:r>
        <w:rPr>
          <w:rFonts w:ascii="Arial" w:cs="Arial" w:eastAsia="Arial" w:hAnsi="Arial"/>
          <w:sz w:val="14"/>
          <w:szCs w:val="14"/>
          <w:b w:val="1"/>
          <w:bCs w:val="1"/>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2025 Shareholder Engagement</w:t>
      </w:r>
    </w:p>
    <w:p>
      <w:pPr>
        <w:spacing w:after="0" w:line="132" w:lineRule="exact"/>
        <w:rPr>
          <w:sz w:val="20"/>
          <w:szCs w:val="20"/>
          <w:color w:val="auto"/>
        </w:rPr>
      </w:pPr>
    </w:p>
    <w:p>
      <w:pPr>
        <w:jc w:val="both"/>
        <w:ind w:left="140" w:right="379"/>
        <w:spacing w:after="0" w:line="295" w:lineRule="auto"/>
        <w:rPr>
          <w:sz w:val="20"/>
          <w:szCs w:val="20"/>
          <w:color w:val="auto"/>
        </w:rPr>
      </w:pPr>
      <w:r>
        <w:rPr>
          <w:rFonts w:ascii="Arial" w:cs="Arial" w:eastAsia="Arial" w:hAnsi="Arial"/>
          <w:sz w:val="16"/>
          <w:szCs w:val="16"/>
          <w:color w:val="auto"/>
        </w:rPr>
        <w:t>In 2025, we reached out to shareholders collectively representing 51% of the public shares. This outreach resulted in one-on-one discussions with shareholders representing approximately 42% of our public shares. As in prior years, we pursued engagement opportunities throughout the year, which allowed us to engage with several shareholders multiple times in 2025.</w:t>
      </w:r>
    </w:p>
    <w:p>
      <w:pPr>
        <w:spacing w:after="0" w:line="122" w:lineRule="exact"/>
        <w:rPr>
          <w:sz w:val="20"/>
          <w:szCs w:val="20"/>
          <w:color w:val="auto"/>
        </w:rPr>
      </w:pPr>
    </w:p>
    <w:tbl>
      <w:tblPr>
        <w:tblLayout w:type="fixed"/>
        <w:tblInd w:w="400" w:type="dxa"/>
        <w:tblCellMar>
          <w:top w:w="0" w:type="dxa"/>
          <w:left w:w="0" w:type="dxa"/>
          <w:bottom w:w="0" w:type="dxa"/>
          <w:right w:w="0" w:type="dxa"/>
        </w:tblCellMar>
      </w:tblPr>
      <w:tr>
        <w:trPr>
          <w:trHeight w:val="281"/>
        </w:trPr>
        <w:tc>
          <w:tcPr>
            <w:tcW w:w="100" w:type="dxa"/>
            <w:vAlign w:val="bottom"/>
            <w:shd w:val="clear" w:color="auto" w:fill="F2F2F2"/>
          </w:tcPr>
          <w:p>
            <w:pPr>
              <w:spacing w:after="0"/>
              <w:rPr>
                <w:sz w:val="24"/>
                <w:szCs w:val="24"/>
                <w:color w:val="auto"/>
              </w:rPr>
            </w:pPr>
          </w:p>
        </w:tc>
        <w:tc>
          <w:tcPr>
            <w:tcW w:w="2240" w:type="dxa"/>
            <w:vAlign w:val="bottom"/>
            <w:gridSpan w:val="2"/>
            <w:shd w:val="clear" w:color="auto" w:fill="F2F2F2"/>
          </w:tcPr>
          <w:p>
            <w:pPr>
              <w:ind w:left="40"/>
              <w:spacing w:after="0"/>
              <w:rPr>
                <w:sz w:val="20"/>
                <w:szCs w:val="20"/>
                <w:color w:val="auto"/>
              </w:rPr>
            </w:pPr>
            <w:r>
              <w:rPr>
                <w:rFonts w:ascii="Arial" w:cs="Arial" w:eastAsia="Arial" w:hAnsi="Arial"/>
                <w:sz w:val="14"/>
                <w:szCs w:val="14"/>
                <w:b w:val="1"/>
                <w:bCs w:val="1"/>
                <w:color w:val="065BAA"/>
              </w:rPr>
              <w:t>Shareholder Engagement Team</w:t>
            </w: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shd w:val="clear" w:color="auto" w:fill="F2F2F2"/>
          </w:tcPr>
          <w:p>
            <w:pPr>
              <w:spacing w:after="0"/>
              <w:rPr>
                <w:sz w:val="24"/>
                <w:szCs w:val="24"/>
                <w:color w:val="auto"/>
              </w:rPr>
            </w:pPr>
          </w:p>
        </w:tc>
        <w:tc>
          <w:tcPr>
            <w:tcW w:w="2260" w:type="dxa"/>
            <w:vAlign w:val="bottom"/>
            <w:gridSpan w:val="2"/>
            <w:shd w:val="clear" w:color="auto" w:fill="F2F2F2"/>
          </w:tcPr>
          <w:p>
            <w:pPr>
              <w:ind w:left="60"/>
              <w:spacing w:after="0"/>
              <w:rPr>
                <w:sz w:val="20"/>
                <w:szCs w:val="20"/>
                <w:color w:val="auto"/>
              </w:rPr>
            </w:pPr>
            <w:r>
              <w:rPr>
                <w:rFonts w:ascii="Arial" w:cs="Arial" w:eastAsia="Arial" w:hAnsi="Arial"/>
                <w:sz w:val="14"/>
                <w:szCs w:val="14"/>
                <w:b w:val="1"/>
                <w:bCs w:val="1"/>
                <w:color w:val="065BAA"/>
              </w:rPr>
              <w:t>Most-Discussed Topics</w:t>
            </w:r>
          </w:p>
        </w:tc>
        <w:tc>
          <w:tcPr>
            <w:tcW w:w="0" w:type="dxa"/>
            <w:vAlign w:val="bottom"/>
          </w:tcPr>
          <w:p>
            <w:pPr>
              <w:spacing w:after="0"/>
              <w:rPr>
                <w:sz w:val="1"/>
                <w:szCs w:val="1"/>
                <w:color w:val="auto"/>
              </w:rPr>
            </w:pPr>
          </w:p>
        </w:tc>
      </w:tr>
      <w:tr>
        <w:trPr>
          <w:trHeight w:val="257"/>
        </w:trPr>
        <w:tc>
          <w:tcPr>
            <w:tcW w:w="100" w:type="dxa"/>
            <w:vAlign w:val="bottom"/>
            <w:shd w:val="clear" w:color="auto" w:fill="F2F2F2"/>
          </w:tcPr>
          <w:p>
            <w:pPr>
              <w:spacing w:after="0"/>
              <w:rPr>
                <w:sz w:val="22"/>
                <w:szCs w:val="22"/>
                <w:color w:val="auto"/>
              </w:rPr>
            </w:pPr>
          </w:p>
        </w:tc>
        <w:tc>
          <w:tcPr>
            <w:tcW w:w="160" w:type="dxa"/>
            <w:vAlign w:val="bottom"/>
            <w:shd w:val="clear" w:color="auto" w:fill="F2F2F2"/>
          </w:tcPr>
          <w:p>
            <w:pPr>
              <w:ind w:left="40"/>
              <w:spacing w:after="0"/>
              <w:rPr>
                <w:sz w:val="20"/>
                <w:szCs w:val="20"/>
                <w:color w:val="auto"/>
              </w:rPr>
            </w:pPr>
            <w:r>
              <w:rPr>
                <w:rFonts w:ascii="Arial" w:cs="Arial" w:eastAsia="Arial" w:hAnsi="Arial"/>
                <w:sz w:val="16"/>
                <w:szCs w:val="16"/>
                <w:color w:val="065BAA"/>
              </w:rPr>
              <w:t>•</w:t>
            </w:r>
          </w:p>
        </w:tc>
        <w:tc>
          <w:tcPr>
            <w:tcW w:w="2080" w:type="dxa"/>
            <w:vAlign w:val="bottom"/>
            <w:shd w:val="clear" w:color="auto" w:fill="F2F2F2"/>
          </w:tcPr>
          <w:p>
            <w:pPr>
              <w:ind w:left="80"/>
              <w:spacing w:after="0"/>
              <w:rPr>
                <w:sz w:val="20"/>
                <w:szCs w:val="20"/>
                <w:color w:val="auto"/>
              </w:rPr>
            </w:pPr>
            <w:r>
              <w:rPr>
                <w:rFonts w:ascii="Arial" w:cs="Arial" w:eastAsia="Arial" w:hAnsi="Arial"/>
                <w:sz w:val="16"/>
                <w:szCs w:val="16"/>
                <w:color w:val="auto"/>
              </w:rPr>
              <w:t>Lead Independent Director</w:t>
            </w:r>
          </w:p>
        </w:tc>
        <w:tc>
          <w:tcPr>
            <w:tcW w:w="2000" w:type="dxa"/>
            <w:vAlign w:val="bottom"/>
            <w:gridSpan w:val="2"/>
            <w:vMerge w:val="restart"/>
          </w:tcPr>
          <w:p>
            <w:pPr>
              <w:ind w:left="280"/>
              <w:spacing w:after="0"/>
              <w:rPr>
                <w:sz w:val="20"/>
                <w:szCs w:val="20"/>
                <w:color w:val="auto"/>
              </w:rPr>
            </w:pPr>
            <w:r>
              <w:rPr>
                <w:rFonts w:ascii="Arial" w:cs="Arial" w:eastAsia="Arial" w:hAnsi="Arial"/>
                <w:sz w:val="29"/>
                <w:szCs w:val="29"/>
                <w:b w:val="1"/>
                <w:bCs w:val="1"/>
                <w:color w:val="065BAA"/>
              </w:rPr>
              <w:t>42%</w:t>
            </w:r>
          </w:p>
        </w:tc>
        <w:tc>
          <w:tcPr>
            <w:tcW w:w="380" w:type="dxa"/>
            <w:vAlign w:val="bottom"/>
          </w:tcPr>
          <w:p>
            <w:pPr>
              <w:spacing w:after="0"/>
              <w:rPr>
                <w:sz w:val="22"/>
                <w:szCs w:val="22"/>
                <w:color w:val="auto"/>
              </w:rPr>
            </w:pPr>
          </w:p>
        </w:tc>
        <w:tc>
          <w:tcPr>
            <w:tcW w:w="920" w:type="dxa"/>
            <w:vAlign w:val="bottom"/>
            <w:vMerge w:val="restart"/>
          </w:tcPr>
          <w:p>
            <w:pPr>
              <w:jc w:val="right"/>
              <w:spacing w:after="0"/>
              <w:rPr>
                <w:sz w:val="20"/>
                <w:szCs w:val="20"/>
                <w:color w:val="auto"/>
              </w:rPr>
            </w:pPr>
            <w:r>
              <w:rPr>
                <w:rFonts w:ascii="Arial" w:cs="Arial" w:eastAsia="Arial" w:hAnsi="Arial"/>
                <w:sz w:val="29"/>
                <w:szCs w:val="29"/>
                <w:b w:val="1"/>
                <w:bCs w:val="1"/>
                <w:color w:val="065BAA"/>
              </w:rPr>
              <w:t>51%</w:t>
            </w:r>
          </w:p>
        </w:tc>
        <w:tc>
          <w:tcPr>
            <w:tcW w:w="480" w:type="dxa"/>
            <w:vAlign w:val="bottom"/>
          </w:tcPr>
          <w:p>
            <w:pPr>
              <w:spacing w:after="0"/>
              <w:rPr>
                <w:sz w:val="22"/>
                <w:szCs w:val="22"/>
                <w:color w:val="auto"/>
              </w:rPr>
            </w:pPr>
          </w:p>
        </w:tc>
        <w:tc>
          <w:tcPr>
            <w:tcW w:w="100" w:type="dxa"/>
            <w:vAlign w:val="bottom"/>
            <w:shd w:val="clear" w:color="auto" w:fill="F2F2F2"/>
          </w:tcPr>
          <w:p>
            <w:pPr>
              <w:spacing w:after="0"/>
              <w:rPr>
                <w:sz w:val="22"/>
                <w:szCs w:val="22"/>
                <w:color w:val="auto"/>
              </w:rPr>
            </w:pPr>
          </w:p>
        </w:tc>
        <w:tc>
          <w:tcPr>
            <w:tcW w:w="180" w:type="dxa"/>
            <w:vAlign w:val="bottom"/>
            <w:shd w:val="clear" w:color="auto" w:fill="F2F2F2"/>
          </w:tcPr>
          <w:p>
            <w:pPr>
              <w:ind w:left="60"/>
              <w:spacing w:after="0"/>
              <w:rPr>
                <w:sz w:val="20"/>
                <w:szCs w:val="20"/>
                <w:color w:val="auto"/>
              </w:rPr>
            </w:pPr>
            <w:r>
              <w:rPr>
                <w:rFonts w:ascii="Arial" w:cs="Arial" w:eastAsia="Arial" w:hAnsi="Arial"/>
                <w:sz w:val="16"/>
                <w:szCs w:val="16"/>
                <w:color w:val="065BAA"/>
              </w:rPr>
              <w:t>•</w:t>
            </w:r>
          </w:p>
        </w:tc>
        <w:tc>
          <w:tcPr>
            <w:tcW w:w="2080" w:type="dxa"/>
            <w:vAlign w:val="bottom"/>
            <w:shd w:val="clear" w:color="auto" w:fill="F2F2F2"/>
          </w:tcPr>
          <w:p>
            <w:pPr>
              <w:ind w:left="60"/>
              <w:spacing w:after="0"/>
              <w:rPr>
                <w:sz w:val="20"/>
                <w:szCs w:val="20"/>
                <w:color w:val="auto"/>
              </w:rPr>
            </w:pPr>
            <w:r>
              <w:rPr>
                <w:rFonts w:ascii="Arial" w:cs="Arial" w:eastAsia="Arial" w:hAnsi="Arial"/>
                <w:sz w:val="16"/>
                <w:szCs w:val="16"/>
                <w:color w:val="auto"/>
              </w:rPr>
              <w:t>Board Declassification</w:t>
            </w:r>
          </w:p>
        </w:tc>
        <w:tc>
          <w:tcPr>
            <w:tcW w:w="0" w:type="dxa"/>
            <w:vAlign w:val="bottom"/>
          </w:tcPr>
          <w:p>
            <w:pPr>
              <w:spacing w:after="0"/>
              <w:rPr>
                <w:sz w:val="1"/>
                <w:szCs w:val="1"/>
                <w:color w:val="auto"/>
              </w:rPr>
            </w:pPr>
          </w:p>
        </w:tc>
      </w:tr>
      <w:tr>
        <w:trPr>
          <w:trHeight w:val="191"/>
        </w:trPr>
        <w:tc>
          <w:tcPr>
            <w:tcW w:w="100" w:type="dxa"/>
            <w:vAlign w:val="bottom"/>
            <w:shd w:val="clear" w:color="auto" w:fill="F2F2F2"/>
          </w:tcPr>
          <w:p>
            <w:pPr>
              <w:spacing w:after="0"/>
              <w:rPr>
                <w:sz w:val="16"/>
                <w:szCs w:val="16"/>
                <w:color w:val="auto"/>
              </w:rPr>
            </w:pPr>
          </w:p>
        </w:tc>
        <w:tc>
          <w:tcPr>
            <w:tcW w:w="160" w:type="dxa"/>
            <w:vAlign w:val="bottom"/>
            <w:vMerge w:val="restart"/>
            <w:shd w:val="clear" w:color="auto" w:fill="F2F2F2"/>
          </w:tcPr>
          <w:p>
            <w:pPr>
              <w:ind w:left="40"/>
              <w:spacing w:after="0"/>
              <w:rPr>
                <w:sz w:val="20"/>
                <w:szCs w:val="20"/>
                <w:color w:val="auto"/>
              </w:rPr>
            </w:pPr>
            <w:r>
              <w:rPr>
                <w:rFonts w:ascii="Arial" w:cs="Arial" w:eastAsia="Arial" w:hAnsi="Arial"/>
                <w:sz w:val="16"/>
                <w:szCs w:val="16"/>
                <w:color w:val="065BAA"/>
              </w:rPr>
              <w:t>•</w:t>
            </w:r>
          </w:p>
        </w:tc>
        <w:tc>
          <w:tcPr>
            <w:tcW w:w="2080" w:type="dxa"/>
            <w:vAlign w:val="bottom"/>
            <w:vMerge w:val="restart"/>
            <w:shd w:val="clear" w:color="auto" w:fill="F2F2F2"/>
          </w:tcPr>
          <w:p>
            <w:pPr>
              <w:ind w:left="80"/>
              <w:spacing w:after="0"/>
              <w:rPr>
                <w:sz w:val="20"/>
                <w:szCs w:val="20"/>
                <w:color w:val="auto"/>
              </w:rPr>
            </w:pPr>
            <w:r>
              <w:rPr>
                <w:rFonts w:ascii="Arial" w:cs="Arial" w:eastAsia="Arial" w:hAnsi="Arial"/>
                <w:sz w:val="16"/>
                <w:szCs w:val="16"/>
                <w:color w:val="auto"/>
              </w:rPr>
              <w:t>Corporate Governance</w:t>
            </w:r>
          </w:p>
        </w:tc>
        <w:tc>
          <w:tcPr>
            <w:tcW w:w="20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180" w:type="dxa"/>
            <w:vAlign w:val="bottom"/>
            <w:vMerge w:val="restart"/>
            <w:shd w:val="clear" w:color="auto" w:fill="F2F2F2"/>
          </w:tcPr>
          <w:p>
            <w:pPr>
              <w:ind w:left="60"/>
              <w:spacing w:after="0"/>
              <w:rPr>
                <w:sz w:val="20"/>
                <w:szCs w:val="20"/>
                <w:color w:val="auto"/>
              </w:rPr>
            </w:pPr>
            <w:r>
              <w:rPr>
                <w:rFonts w:ascii="Arial" w:cs="Arial" w:eastAsia="Arial" w:hAnsi="Arial"/>
                <w:sz w:val="16"/>
                <w:szCs w:val="16"/>
                <w:color w:val="065BAA"/>
              </w:rPr>
              <w:t>•</w:t>
            </w:r>
          </w:p>
        </w:tc>
        <w:tc>
          <w:tcPr>
            <w:tcW w:w="2080" w:type="dxa"/>
            <w:vAlign w:val="bottom"/>
            <w:vMerge w:val="restart"/>
            <w:shd w:val="clear" w:color="auto" w:fill="F2F2F2"/>
          </w:tcPr>
          <w:p>
            <w:pPr>
              <w:ind w:left="60"/>
              <w:spacing w:after="0"/>
              <w:rPr>
                <w:sz w:val="20"/>
                <w:szCs w:val="20"/>
                <w:color w:val="auto"/>
              </w:rPr>
            </w:pPr>
            <w:r>
              <w:rPr>
                <w:rFonts w:ascii="Arial" w:cs="Arial" w:eastAsia="Arial" w:hAnsi="Arial"/>
                <w:sz w:val="16"/>
                <w:szCs w:val="16"/>
                <w:color w:val="auto"/>
              </w:rPr>
              <w:t>Executive Compensation</w:t>
            </w:r>
          </w:p>
        </w:tc>
        <w:tc>
          <w:tcPr>
            <w:tcW w:w="0" w:type="dxa"/>
            <w:vAlign w:val="bottom"/>
          </w:tcPr>
          <w:p>
            <w:pPr>
              <w:spacing w:after="0"/>
              <w:rPr>
                <w:sz w:val="1"/>
                <w:szCs w:val="1"/>
                <w:color w:val="auto"/>
              </w:rPr>
            </w:pPr>
          </w:p>
        </w:tc>
      </w:tr>
      <w:tr>
        <w:trPr>
          <w:trHeight w:val="52"/>
        </w:trPr>
        <w:tc>
          <w:tcPr>
            <w:tcW w:w="100" w:type="dxa"/>
            <w:vAlign w:val="bottom"/>
            <w:shd w:val="clear" w:color="auto" w:fill="F2F2F2"/>
          </w:tcPr>
          <w:p>
            <w:pPr>
              <w:spacing w:after="0"/>
              <w:rPr>
                <w:sz w:val="4"/>
                <w:szCs w:val="4"/>
                <w:color w:val="auto"/>
              </w:rPr>
            </w:pPr>
          </w:p>
        </w:tc>
        <w:tc>
          <w:tcPr>
            <w:tcW w:w="160" w:type="dxa"/>
            <w:vAlign w:val="bottom"/>
            <w:vMerge w:val="continue"/>
            <w:shd w:val="clear" w:color="auto" w:fill="F2F2F2"/>
          </w:tcPr>
          <w:p>
            <w:pPr>
              <w:spacing w:after="0"/>
              <w:rPr>
                <w:sz w:val="4"/>
                <w:szCs w:val="4"/>
                <w:color w:val="auto"/>
              </w:rPr>
            </w:pPr>
          </w:p>
        </w:tc>
        <w:tc>
          <w:tcPr>
            <w:tcW w:w="2080" w:type="dxa"/>
            <w:vAlign w:val="bottom"/>
            <w:vMerge w:val="continue"/>
            <w:shd w:val="clear" w:color="auto" w:fill="F2F2F2"/>
          </w:tcPr>
          <w:p>
            <w:pPr>
              <w:spacing w:after="0"/>
              <w:rPr>
                <w:sz w:val="4"/>
                <w:szCs w:val="4"/>
                <w:color w:val="auto"/>
              </w:rPr>
            </w:pPr>
          </w:p>
        </w:tc>
        <w:tc>
          <w:tcPr>
            <w:tcW w:w="2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shd w:val="clear" w:color="auto" w:fill="F2F2F2"/>
          </w:tcPr>
          <w:p>
            <w:pPr>
              <w:spacing w:after="0"/>
              <w:rPr>
                <w:sz w:val="4"/>
                <w:szCs w:val="4"/>
                <w:color w:val="auto"/>
              </w:rPr>
            </w:pPr>
          </w:p>
        </w:tc>
        <w:tc>
          <w:tcPr>
            <w:tcW w:w="180" w:type="dxa"/>
            <w:vAlign w:val="bottom"/>
            <w:vMerge w:val="continue"/>
            <w:shd w:val="clear" w:color="auto" w:fill="F2F2F2"/>
          </w:tcPr>
          <w:p>
            <w:pPr>
              <w:spacing w:after="0"/>
              <w:rPr>
                <w:sz w:val="4"/>
                <w:szCs w:val="4"/>
                <w:color w:val="auto"/>
              </w:rPr>
            </w:pPr>
          </w:p>
        </w:tc>
        <w:tc>
          <w:tcPr>
            <w:tcW w:w="2080" w:type="dxa"/>
            <w:vAlign w:val="bottom"/>
            <w:vMerge w:val="continue"/>
            <w:shd w:val="clear" w:color="auto" w:fill="F2F2F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00" w:type="dxa"/>
            <w:vAlign w:val="bottom"/>
            <w:shd w:val="clear" w:color="auto" w:fill="F2F2F2"/>
          </w:tcPr>
          <w:p>
            <w:pPr>
              <w:spacing w:after="0"/>
              <w:rPr>
                <w:sz w:val="22"/>
                <w:szCs w:val="22"/>
                <w:color w:val="auto"/>
              </w:rPr>
            </w:pPr>
          </w:p>
        </w:tc>
        <w:tc>
          <w:tcPr>
            <w:tcW w:w="160" w:type="dxa"/>
            <w:vAlign w:val="bottom"/>
            <w:shd w:val="clear" w:color="auto" w:fill="F2F2F2"/>
          </w:tcPr>
          <w:p>
            <w:pPr>
              <w:spacing w:after="0"/>
              <w:rPr>
                <w:sz w:val="22"/>
                <w:szCs w:val="22"/>
                <w:color w:val="auto"/>
              </w:rPr>
            </w:pPr>
          </w:p>
        </w:tc>
        <w:tc>
          <w:tcPr>
            <w:tcW w:w="2080" w:type="dxa"/>
            <w:vAlign w:val="bottom"/>
            <w:shd w:val="clear" w:color="auto" w:fill="F2F2F2"/>
          </w:tcPr>
          <w:p>
            <w:pPr>
              <w:ind w:left="80"/>
              <w:spacing w:after="0"/>
              <w:rPr>
                <w:sz w:val="20"/>
                <w:szCs w:val="20"/>
                <w:color w:val="auto"/>
              </w:rPr>
            </w:pPr>
            <w:r>
              <w:rPr>
                <w:rFonts w:ascii="Arial" w:cs="Arial" w:eastAsia="Arial" w:hAnsi="Arial"/>
                <w:sz w:val="16"/>
                <w:szCs w:val="16"/>
                <w:color w:val="auto"/>
              </w:rPr>
              <w:t>Team</w:t>
            </w:r>
          </w:p>
        </w:tc>
        <w:tc>
          <w:tcPr>
            <w:tcW w:w="220" w:type="dxa"/>
            <w:vAlign w:val="bottom"/>
          </w:tcPr>
          <w:p>
            <w:pPr>
              <w:spacing w:after="0"/>
              <w:rPr>
                <w:sz w:val="22"/>
                <w:szCs w:val="22"/>
                <w:color w:val="auto"/>
              </w:rPr>
            </w:pPr>
          </w:p>
        </w:tc>
        <w:tc>
          <w:tcPr>
            <w:tcW w:w="2160" w:type="dxa"/>
            <w:vAlign w:val="bottom"/>
            <w:gridSpan w:val="2"/>
            <w:vMerge w:val="restart"/>
          </w:tcPr>
          <w:p>
            <w:pPr>
              <w:ind w:left="60"/>
              <w:spacing w:after="0"/>
              <w:rPr>
                <w:sz w:val="20"/>
                <w:szCs w:val="20"/>
                <w:color w:val="auto"/>
              </w:rPr>
            </w:pPr>
            <w:r>
              <w:rPr>
                <w:rFonts w:ascii="Arial" w:cs="Arial" w:eastAsia="Arial" w:hAnsi="Arial"/>
                <w:sz w:val="16"/>
                <w:szCs w:val="16"/>
                <w:color w:val="auto"/>
              </w:rPr>
              <w:t>engaged</w:t>
            </w:r>
          </w:p>
        </w:tc>
        <w:tc>
          <w:tcPr>
            <w:tcW w:w="1400" w:type="dxa"/>
            <w:vAlign w:val="bottom"/>
            <w:gridSpan w:val="2"/>
            <w:vMerge w:val="restart"/>
          </w:tcPr>
          <w:p>
            <w:pPr>
              <w:jc w:val="right"/>
              <w:ind w:right="520"/>
              <w:spacing w:after="0"/>
              <w:rPr>
                <w:sz w:val="20"/>
                <w:szCs w:val="20"/>
                <w:color w:val="auto"/>
              </w:rPr>
            </w:pPr>
            <w:r>
              <w:rPr>
                <w:rFonts w:ascii="Arial" w:cs="Arial" w:eastAsia="Arial" w:hAnsi="Arial"/>
                <w:sz w:val="16"/>
                <w:szCs w:val="16"/>
                <w:color w:val="auto"/>
              </w:rPr>
              <w:t>contacted</w:t>
            </w:r>
          </w:p>
        </w:tc>
        <w:tc>
          <w:tcPr>
            <w:tcW w:w="100" w:type="dxa"/>
            <w:vAlign w:val="bottom"/>
            <w:shd w:val="clear" w:color="auto" w:fill="F2F2F2"/>
          </w:tcPr>
          <w:p>
            <w:pPr>
              <w:spacing w:after="0"/>
              <w:rPr>
                <w:sz w:val="22"/>
                <w:szCs w:val="22"/>
                <w:color w:val="auto"/>
              </w:rPr>
            </w:pPr>
          </w:p>
        </w:tc>
        <w:tc>
          <w:tcPr>
            <w:tcW w:w="180" w:type="dxa"/>
            <w:vAlign w:val="bottom"/>
            <w:shd w:val="clear" w:color="auto" w:fill="F2F2F2"/>
          </w:tcPr>
          <w:p>
            <w:pPr>
              <w:ind w:left="60"/>
              <w:spacing w:after="0"/>
              <w:rPr>
                <w:sz w:val="20"/>
                <w:szCs w:val="20"/>
                <w:color w:val="auto"/>
              </w:rPr>
            </w:pPr>
            <w:r>
              <w:rPr>
                <w:rFonts w:ascii="Arial" w:cs="Arial" w:eastAsia="Arial" w:hAnsi="Arial"/>
                <w:sz w:val="16"/>
                <w:szCs w:val="16"/>
                <w:color w:val="065BAA"/>
              </w:rPr>
              <w:t>•</w:t>
            </w:r>
          </w:p>
        </w:tc>
        <w:tc>
          <w:tcPr>
            <w:tcW w:w="2080" w:type="dxa"/>
            <w:vAlign w:val="bottom"/>
            <w:shd w:val="clear" w:color="auto" w:fill="F2F2F2"/>
          </w:tcPr>
          <w:p>
            <w:pPr>
              <w:ind w:left="60"/>
              <w:spacing w:after="0"/>
              <w:rPr>
                <w:sz w:val="20"/>
                <w:szCs w:val="20"/>
                <w:color w:val="auto"/>
              </w:rPr>
            </w:pPr>
            <w:r>
              <w:rPr>
                <w:rFonts w:ascii="Arial" w:cs="Arial" w:eastAsia="Arial" w:hAnsi="Arial"/>
                <w:sz w:val="16"/>
                <w:szCs w:val="16"/>
                <w:color w:val="auto"/>
              </w:rPr>
              <w:t>Dual-Class Capital</w:t>
            </w:r>
          </w:p>
        </w:tc>
        <w:tc>
          <w:tcPr>
            <w:tcW w:w="0" w:type="dxa"/>
            <w:vAlign w:val="bottom"/>
          </w:tcPr>
          <w:p>
            <w:pPr>
              <w:spacing w:after="0"/>
              <w:rPr>
                <w:sz w:val="1"/>
                <w:szCs w:val="1"/>
                <w:color w:val="auto"/>
              </w:rPr>
            </w:pPr>
          </w:p>
        </w:tc>
      </w:tr>
      <w:tr>
        <w:trPr>
          <w:trHeight w:val="63"/>
        </w:trPr>
        <w:tc>
          <w:tcPr>
            <w:tcW w:w="100" w:type="dxa"/>
            <w:vAlign w:val="bottom"/>
            <w:shd w:val="clear" w:color="auto" w:fill="F2F2F2"/>
          </w:tcPr>
          <w:p>
            <w:pPr>
              <w:spacing w:after="0"/>
              <w:rPr>
                <w:sz w:val="5"/>
                <w:szCs w:val="5"/>
                <w:color w:val="auto"/>
              </w:rPr>
            </w:pPr>
          </w:p>
        </w:tc>
        <w:tc>
          <w:tcPr>
            <w:tcW w:w="160" w:type="dxa"/>
            <w:vAlign w:val="bottom"/>
            <w:vMerge w:val="restart"/>
            <w:shd w:val="clear" w:color="auto" w:fill="F2F2F2"/>
          </w:tcPr>
          <w:p>
            <w:pPr>
              <w:ind w:left="40"/>
              <w:spacing w:after="0"/>
              <w:rPr>
                <w:sz w:val="20"/>
                <w:szCs w:val="20"/>
                <w:color w:val="auto"/>
              </w:rPr>
            </w:pPr>
            <w:r>
              <w:rPr>
                <w:rFonts w:ascii="Arial" w:cs="Arial" w:eastAsia="Arial" w:hAnsi="Arial"/>
                <w:sz w:val="16"/>
                <w:szCs w:val="16"/>
                <w:color w:val="065BAA"/>
              </w:rPr>
              <w:t>•</w:t>
            </w:r>
          </w:p>
        </w:tc>
        <w:tc>
          <w:tcPr>
            <w:tcW w:w="2080" w:type="dxa"/>
            <w:vAlign w:val="bottom"/>
            <w:vMerge w:val="restart"/>
            <w:shd w:val="clear" w:color="auto" w:fill="F2F2F2"/>
          </w:tcPr>
          <w:p>
            <w:pPr>
              <w:ind w:left="80"/>
              <w:spacing w:after="0"/>
              <w:rPr>
                <w:sz w:val="20"/>
                <w:szCs w:val="20"/>
                <w:color w:val="auto"/>
              </w:rPr>
            </w:pPr>
            <w:r>
              <w:rPr>
                <w:rFonts w:ascii="Arial" w:cs="Arial" w:eastAsia="Arial" w:hAnsi="Arial"/>
                <w:sz w:val="16"/>
                <w:szCs w:val="16"/>
                <w:color w:val="auto"/>
              </w:rPr>
              <w:t>Investor Relations</w:t>
            </w:r>
          </w:p>
        </w:tc>
        <w:tc>
          <w:tcPr>
            <w:tcW w:w="220" w:type="dxa"/>
            <w:vAlign w:val="bottom"/>
          </w:tcPr>
          <w:p>
            <w:pPr>
              <w:spacing w:after="0"/>
              <w:rPr>
                <w:sz w:val="5"/>
                <w:szCs w:val="5"/>
                <w:color w:val="auto"/>
              </w:rPr>
            </w:pPr>
          </w:p>
        </w:tc>
        <w:tc>
          <w:tcPr>
            <w:tcW w:w="2160" w:type="dxa"/>
            <w:vAlign w:val="bottom"/>
            <w:gridSpan w:val="2"/>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180" w:type="dxa"/>
            <w:vAlign w:val="bottom"/>
            <w:shd w:val="clear" w:color="auto" w:fill="F2F2F2"/>
          </w:tcPr>
          <w:p>
            <w:pPr>
              <w:spacing w:after="0"/>
              <w:rPr>
                <w:sz w:val="5"/>
                <w:szCs w:val="5"/>
                <w:color w:val="auto"/>
              </w:rPr>
            </w:pPr>
          </w:p>
        </w:tc>
        <w:tc>
          <w:tcPr>
            <w:tcW w:w="2080" w:type="dxa"/>
            <w:vAlign w:val="bottom"/>
            <w:vMerge w:val="restart"/>
            <w:shd w:val="clear" w:color="auto" w:fill="F2F2F2"/>
          </w:tcPr>
          <w:p>
            <w:pPr>
              <w:ind w:left="60"/>
              <w:spacing w:after="0"/>
              <w:rPr>
                <w:sz w:val="20"/>
                <w:szCs w:val="20"/>
                <w:color w:val="auto"/>
              </w:rPr>
            </w:pPr>
            <w:r>
              <w:rPr>
                <w:rFonts w:ascii="Arial" w:cs="Arial" w:eastAsia="Arial" w:hAnsi="Arial"/>
                <w:sz w:val="16"/>
                <w:szCs w:val="16"/>
                <w:color w:val="auto"/>
              </w:rPr>
              <w:t>Structure</w:t>
            </w:r>
          </w:p>
        </w:tc>
        <w:tc>
          <w:tcPr>
            <w:tcW w:w="0" w:type="dxa"/>
            <w:vAlign w:val="bottom"/>
          </w:tcPr>
          <w:p>
            <w:pPr>
              <w:spacing w:after="0"/>
              <w:rPr>
                <w:sz w:val="1"/>
                <w:szCs w:val="1"/>
                <w:color w:val="auto"/>
              </w:rPr>
            </w:pPr>
          </w:p>
        </w:tc>
      </w:tr>
      <w:tr>
        <w:trPr>
          <w:trHeight w:val="133"/>
        </w:trPr>
        <w:tc>
          <w:tcPr>
            <w:tcW w:w="100" w:type="dxa"/>
            <w:vAlign w:val="bottom"/>
            <w:tcBorders>
              <w:top w:val="single" w:sz="8" w:color="F2F2F2"/>
            </w:tcBorders>
            <w:shd w:val="clear" w:color="auto" w:fill="F2F2F2"/>
          </w:tcPr>
          <w:p>
            <w:pPr>
              <w:spacing w:after="0"/>
              <w:rPr>
                <w:sz w:val="11"/>
                <w:szCs w:val="11"/>
                <w:color w:val="auto"/>
              </w:rPr>
            </w:pPr>
          </w:p>
        </w:tc>
        <w:tc>
          <w:tcPr>
            <w:tcW w:w="160" w:type="dxa"/>
            <w:vAlign w:val="bottom"/>
            <w:tcBorders>
              <w:top w:val="single" w:sz="8" w:color="F2F2F2"/>
            </w:tcBorders>
            <w:vMerge w:val="continue"/>
            <w:shd w:val="clear" w:color="auto" w:fill="F2F2F2"/>
          </w:tcPr>
          <w:p>
            <w:pPr>
              <w:spacing w:after="0"/>
              <w:rPr>
                <w:sz w:val="11"/>
                <w:szCs w:val="11"/>
                <w:color w:val="auto"/>
              </w:rPr>
            </w:pPr>
          </w:p>
        </w:tc>
        <w:tc>
          <w:tcPr>
            <w:tcW w:w="2080" w:type="dxa"/>
            <w:vAlign w:val="bottom"/>
            <w:tcBorders>
              <w:top w:val="single" w:sz="8" w:color="F2F2F2"/>
            </w:tcBorders>
            <w:vMerge w:val="continue"/>
            <w:shd w:val="clear" w:color="auto" w:fill="F2F2F2"/>
          </w:tcPr>
          <w:p>
            <w:pPr>
              <w:spacing w:after="0"/>
              <w:rPr>
                <w:sz w:val="11"/>
                <w:szCs w:val="11"/>
                <w:color w:val="auto"/>
              </w:rPr>
            </w:pPr>
          </w:p>
        </w:tc>
        <w:tc>
          <w:tcPr>
            <w:tcW w:w="220" w:type="dxa"/>
            <w:vAlign w:val="bottom"/>
          </w:tcPr>
          <w:p>
            <w:pPr>
              <w:spacing w:after="0"/>
              <w:rPr>
                <w:sz w:val="11"/>
                <w:szCs w:val="11"/>
                <w:color w:val="auto"/>
              </w:rPr>
            </w:pPr>
          </w:p>
        </w:tc>
        <w:tc>
          <w:tcPr>
            <w:tcW w:w="1780" w:type="dxa"/>
            <w:vAlign w:val="bottom"/>
            <w:tcBorders>
              <w:top w:val="single" w:sz="8" w:color="3B5AA4"/>
            </w:tcBorders>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Borders>
              <w:top w:val="single" w:sz="8" w:color="3B5AA4"/>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F2F2F2"/>
            </w:tcBorders>
            <w:shd w:val="clear" w:color="auto" w:fill="F2F2F2"/>
          </w:tcPr>
          <w:p>
            <w:pPr>
              <w:spacing w:after="0"/>
              <w:rPr>
                <w:sz w:val="11"/>
                <w:szCs w:val="11"/>
                <w:color w:val="auto"/>
              </w:rPr>
            </w:pPr>
          </w:p>
        </w:tc>
        <w:tc>
          <w:tcPr>
            <w:tcW w:w="180" w:type="dxa"/>
            <w:vAlign w:val="bottom"/>
            <w:tcBorders>
              <w:top w:val="single" w:sz="8" w:color="F2F2F2"/>
            </w:tcBorders>
            <w:shd w:val="clear" w:color="auto" w:fill="F2F2F2"/>
          </w:tcPr>
          <w:p>
            <w:pPr>
              <w:spacing w:after="0"/>
              <w:rPr>
                <w:sz w:val="11"/>
                <w:szCs w:val="11"/>
                <w:color w:val="auto"/>
              </w:rPr>
            </w:pPr>
          </w:p>
        </w:tc>
        <w:tc>
          <w:tcPr>
            <w:tcW w:w="2080" w:type="dxa"/>
            <w:vAlign w:val="bottom"/>
            <w:tcBorders>
              <w:top w:val="single" w:sz="8" w:color="F2F2F2"/>
            </w:tcBorders>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100" w:type="dxa"/>
            <w:vAlign w:val="bottom"/>
            <w:shd w:val="clear" w:color="auto" w:fill="F2F2F2"/>
          </w:tcPr>
          <w:p>
            <w:pPr>
              <w:spacing w:after="0"/>
              <w:rPr>
                <w:sz w:val="22"/>
                <w:szCs w:val="22"/>
                <w:color w:val="auto"/>
              </w:rPr>
            </w:pPr>
          </w:p>
        </w:tc>
        <w:tc>
          <w:tcPr>
            <w:tcW w:w="160" w:type="dxa"/>
            <w:vAlign w:val="bottom"/>
            <w:shd w:val="clear" w:color="auto" w:fill="F2F2F2"/>
          </w:tcPr>
          <w:p>
            <w:pPr>
              <w:ind w:left="40"/>
              <w:spacing w:after="0"/>
              <w:rPr>
                <w:sz w:val="20"/>
                <w:szCs w:val="20"/>
                <w:color w:val="auto"/>
              </w:rPr>
            </w:pPr>
            <w:r>
              <w:rPr>
                <w:rFonts w:ascii="Arial" w:cs="Arial" w:eastAsia="Arial" w:hAnsi="Arial"/>
                <w:sz w:val="16"/>
                <w:szCs w:val="16"/>
                <w:color w:val="065BAA"/>
              </w:rPr>
              <w:t>•</w:t>
            </w:r>
          </w:p>
        </w:tc>
        <w:tc>
          <w:tcPr>
            <w:tcW w:w="2080" w:type="dxa"/>
            <w:vAlign w:val="bottom"/>
            <w:shd w:val="clear" w:color="auto" w:fill="F2F2F2"/>
          </w:tcPr>
          <w:p>
            <w:pPr>
              <w:ind w:left="80"/>
              <w:spacing w:after="0"/>
              <w:rPr>
                <w:sz w:val="20"/>
                <w:szCs w:val="20"/>
                <w:color w:val="auto"/>
              </w:rPr>
            </w:pPr>
            <w:r>
              <w:rPr>
                <w:rFonts w:ascii="Arial" w:cs="Arial" w:eastAsia="Arial" w:hAnsi="Arial"/>
                <w:sz w:val="16"/>
                <w:szCs w:val="16"/>
                <w:color w:val="auto"/>
              </w:rPr>
              <w:t>Corporate Responsibility</w:t>
            </w:r>
          </w:p>
        </w:tc>
        <w:tc>
          <w:tcPr>
            <w:tcW w:w="2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shd w:val="clear" w:color="auto" w:fill="F2F2F2"/>
          </w:tcPr>
          <w:p>
            <w:pPr>
              <w:spacing w:after="0"/>
              <w:rPr>
                <w:sz w:val="22"/>
                <w:szCs w:val="22"/>
                <w:color w:val="auto"/>
              </w:rPr>
            </w:pPr>
          </w:p>
        </w:tc>
        <w:tc>
          <w:tcPr>
            <w:tcW w:w="180" w:type="dxa"/>
            <w:vAlign w:val="bottom"/>
            <w:shd w:val="clear" w:color="auto" w:fill="F2F2F2"/>
          </w:tcPr>
          <w:p>
            <w:pPr>
              <w:ind w:left="60"/>
              <w:spacing w:after="0"/>
              <w:rPr>
                <w:sz w:val="20"/>
                <w:szCs w:val="20"/>
                <w:color w:val="auto"/>
              </w:rPr>
            </w:pPr>
            <w:r>
              <w:rPr>
                <w:rFonts w:ascii="Arial" w:cs="Arial" w:eastAsia="Arial" w:hAnsi="Arial"/>
                <w:sz w:val="16"/>
                <w:szCs w:val="16"/>
                <w:color w:val="065BAA"/>
              </w:rPr>
              <w:t>•</w:t>
            </w:r>
          </w:p>
        </w:tc>
        <w:tc>
          <w:tcPr>
            <w:tcW w:w="2080" w:type="dxa"/>
            <w:vAlign w:val="bottom"/>
            <w:shd w:val="clear" w:color="auto" w:fill="F2F2F2"/>
          </w:tcPr>
          <w:p>
            <w:pPr>
              <w:ind w:left="60"/>
              <w:spacing w:after="0"/>
              <w:rPr>
                <w:sz w:val="20"/>
                <w:szCs w:val="20"/>
                <w:color w:val="auto"/>
              </w:rPr>
            </w:pPr>
            <w:r>
              <w:rPr>
                <w:rFonts w:ascii="Arial" w:cs="Arial" w:eastAsia="Arial" w:hAnsi="Arial"/>
                <w:sz w:val="16"/>
                <w:szCs w:val="16"/>
                <w:color w:val="auto"/>
              </w:rPr>
              <w:t>Management Succession</w:t>
            </w:r>
          </w:p>
        </w:tc>
        <w:tc>
          <w:tcPr>
            <w:tcW w:w="0" w:type="dxa"/>
            <w:vAlign w:val="bottom"/>
          </w:tcPr>
          <w:p>
            <w:pPr>
              <w:spacing w:after="0"/>
              <w:rPr>
                <w:sz w:val="1"/>
                <w:szCs w:val="1"/>
                <w:color w:val="auto"/>
              </w:rPr>
            </w:pPr>
          </w:p>
        </w:tc>
      </w:tr>
      <w:tr>
        <w:trPr>
          <w:trHeight w:val="243"/>
        </w:trPr>
        <w:tc>
          <w:tcPr>
            <w:tcW w:w="100" w:type="dxa"/>
            <w:vAlign w:val="bottom"/>
            <w:shd w:val="clear" w:color="auto" w:fill="F2F2F2"/>
          </w:tcPr>
          <w:p>
            <w:pPr>
              <w:spacing w:after="0"/>
              <w:rPr>
                <w:sz w:val="21"/>
                <w:szCs w:val="21"/>
                <w:color w:val="auto"/>
              </w:rPr>
            </w:pPr>
          </w:p>
        </w:tc>
        <w:tc>
          <w:tcPr>
            <w:tcW w:w="160" w:type="dxa"/>
            <w:vAlign w:val="bottom"/>
            <w:shd w:val="clear" w:color="auto" w:fill="F2F2F2"/>
          </w:tcPr>
          <w:p>
            <w:pPr>
              <w:ind w:left="40"/>
              <w:spacing w:after="0"/>
              <w:rPr>
                <w:sz w:val="20"/>
                <w:szCs w:val="20"/>
                <w:color w:val="auto"/>
              </w:rPr>
            </w:pPr>
            <w:r>
              <w:rPr>
                <w:rFonts w:ascii="Arial" w:cs="Arial" w:eastAsia="Arial" w:hAnsi="Arial"/>
                <w:sz w:val="16"/>
                <w:szCs w:val="16"/>
                <w:color w:val="065BAA"/>
              </w:rPr>
              <w:t>•</w:t>
            </w:r>
          </w:p>
        </w:tc>
        <w:tc>
          <w:tcPr>
            <w:tcW w:w="2080" w:type="dxa"/>
            <w:vAlign w:val="bottom"/>
            <w:shd w:val="clear" w:color="auto" w:fill="F2F2F2"/>
          </w:tcPr>
          <w:p>
            <w:pPr>
              <w:ind w:left="80"/>
              <w:spacing w:after="0"/>
              <w:rPr>
                <w:sz w:val="20"/>
                <w:szCs w:val="20"/>
                <w:color w:val="auto"/>
              </w:rPr>
            </w:pPr>
            <w:r>
              <w:rPr>
                <w:rFonts w:ascii="Arial" w:cs="Arial" w:eastAsia="Arial" w:hAnsi="Arial"/>
                <w:sz w:val="16"/>
                <w:szCs w:val="16"/>
                <w:color w:val="auto"/>
              </w:rPr>
              <w:t>Human Resources</w:t>
            </w: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shd w:val="clear" w:color="auto" w:fill="F2F2F2"/>
          </w:tcPr>
          <w:p>
            <w:pPr>
              <w:spacing w:after="0"/>
              <w:rPr>
                <w:sz w:val="21"/>
                <w:szCs w:val="21"/>
                <w:color w:val="auto"/>
              </w:rPr>
            </w:pPr>
          </w:p>
        </w:tc>
        <w:tc>
          <w:tcPr>
            <w:tcW w:w="180" w:type="dxa"/>
            <w:vAlign w:val="bottom"/>
            <w:shd w:val="clear" w:color="auto" w:fill="F2F2F2"/>
          </w:tcPr>
          <w:p>
            <w:pPr>
              <w:spacing w:after="0"/>
              <w:rPr>
                <w:sz w:val="21"/>
                <w:szCs w:val="21"/>
                <w:color w:val="auto"/>
              </w:rPr>
            </w:pPr>
          </w:p>
        </w:tc>
        <w:tc>
          <w:tcPr>
            <w:tcW w:w="2080" w:type="dxa"/>
            <w:vAlign w:val="bottom"/>
            <w:shd w:val="clear" w:color="auto" w:fill="F2F2F2"/>
          </w:tcPr>
          <w:p>
            <w:pPr>
              <w:ind w:left="60"/>
              <w:spacing w:after="0"/>
              <w:rPr>
                <w:sz w:val="20"/>
                <w:szCs w:val="20"/>
                <w:color w:val="auto"/>
              </w:rPr>
            </w:pPr>
            <w:r>
              <w:rPr>
                <w:rFonts w:ascii="Arial" w:cs="Arial" w:eastAsia="Arial" w:hAnsi="Arial"/>
                <w:sz w:val="16"/>
                <w:szCs w:val="16"/>
                <w:color w:val="auto"/>
              </w:rPr>
              <w:t>Planning</w:t>
            </w:r>
          </w:p>
        </w:tc>
        <w:tc>
          <w:tcPr>
            <w:tcW w:w="0" w:type="dxa"/>
            <w:vAlign w:val="bottom"/>
          </w:tcPr>
          <w:p>
            <w:pPr>
              <w:spacing w:after="0"/>
              <w:rPr>
                <w:sz w:val="1"/>
                <w:szCs w:val="1"/>
                <w:color w:val="auto"/>
              </w:rPr>
            </w:pPr>
          </w:p>
        </w:tc>
      </w:tr>
      <w:tr>
        <w:trPr>
          <w:trHeight w:val="232"/>
        </w:trPr>
        <w:tc>
          <w:tcPr>
            <w:tcW w:w="100" w:type="dxa"/>
            <w:vAlign w:val="bottom"/>
            <w:shd w:val="clear" w:color="auto" w:fill="F2F2F2"/>
          </w:tcPr>
          <w:p>
            <w:pPr>
              <w:spacing w:after="0"/>
              <w:rPr>
                <w:sz w:val="20"/>
                <w:szCs w:val="20"/>
                <w:color w:val="auto"/>
              </w:rPr>
            </w:pPr>
          </w:p>
        </w:tc>
        <w:tc>
          <w:tcPr>
            <w:tcW w:w="160" w:type="dxa"/>
            <w:vAlign w:val="bottom"/>
            <w:shd w:val="clear" w:color="auto" w:fill="F2F2F2"/>
          </w:tcPr>
          <w:p>
            <w:pPr>
              <w:spacing w:after="0"/>
              <w:rPr>
                <w:sz w:val="20"/>
                <w:szCs w:val="20"/>
                <w:color w:val="auto"/>
              </w:rPr>
            </w:pPr>
          </w:p>
        </w:tc>
        <w:tc>
          <w:tcPr>
            <w:tcW w:w="2080" w:type="dxa"/>
            <w:vAlign w:val="bottom"/>
            <w:shd w:val="clear" w:color="auto" w:fill="F2F2F2"/>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shd w:val="clear" w:color="auto" w:fill="F2F2F2"/>
          </w:tcPr>
          <w:p>
            <w:pPr>
              <w:spacing w:after="0"/>
              <w:rPr>
                <w:sz w:val="20"/>
                <w:szCs w:val="20"/>
                <w:color w:val="auto"/>
              </w:rPr>
            </w:pPr>
          </w:p>
        </w:tc>
        <w:tc>
          <w:tcPr>
            <w:tcW w:w="180" w:type="dxa"/>
            <w:vAlign w:val="bottom"/>
            <w:shd w:val="clear" w:color="auto" w:fill="F2F2F2"/>
          </w:tcPr>
          <w:p>
            <w:pPr>
              <w:ind w:left="60"/>
              <w:spacing w:after="0"/>
              <w:rPr>
                <w:sz w:val="20"/>
                <w:szCs w:val="20"/>
                <w:color w:val="auto"/>
              </w:rPr>
            </w:pPr>
            <w:r>
              <w:rPr>
                <w:rFonts w:ascii="Arial" w:cs="Arial" w:eastAsia="Arial" w:hAnsi="Arial"/>
                <w:sz w:val="16"/>
                <w:szCs w:val="16"/>
                <w:color w:val="065BAA"/>
              </w:rPr>
              <w:t>•</w:t>
            </w:r>
          </w:p>
        </w:tc>
        <w:tc>
          <w:tcPr>
            <w:tcW w:w="2080" w:type="dxa"/>
            <w:vAlign w:val="bottom"/>
            <w:shd w:val="clear" w:color="auto" w:fill="F2F2F2"/>
          </w:tcPr>
          <w:p>
            <w:pPr>
              <w:ind w:left="60"/>
              <w:spacing w:after="0"/>
              <w:rPr>
                <w:sz w:val="20"/>
                <w:szCs w:val="20"/>
                <w:color w:val="auto"/>
              </w:rPr>
            </w:pPr>
            <w:r>
              <w:rPr>
                <w:rFonts w:ascii="Arial" w:cs="Arial" w:eastAsia="Arial" w:hAnsi="Arial"/>
                <w:sz w:val="16"/>
                <w:szCs w:val="16"/>
                <w:color w:val="auto"/>
              </w:rPr>
              <w:t>Board Tenure/Refreshment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40" w:right="199"/>
        <w:spacing w:after="0" w:line="285" w:lineRule="auto"/>
        <w:rPr>
          <w:sz w:val="20"/>
          <w:szCs w:val="20"/>
          <w:color w:val="auto"/>
        </w:rPr>
      </w:pPr>
      <w:r>
        <w:rPr>
          <w:rFonts w:ascii="Arial" w:cs="Arial" w:eastAsia="Arial" w:hAnsi="Arial"/>
          <w:sz w:val="16"/>
          <w:szCs w:val="16"/>
          <w:color w:val="auto"/>
        </w:rPr>
        <w:t>We had meaningful and candid discussions about the topics listed above as well as other corporate governance topics in 2025, and the feedback received from shareholders was discussed in detail at the board level, including by way of regular updates on specific shareholder comments provided to the applicable committee (such as the Corporate Governance and Compliance Committee and the Compensation Committee). As in prior years, 2025 shareholder feedback shaped subsequent meeting agendas and boardroom discussions. Certain feedback that we heard and actions that we implemented in response to such feedback are outlined in the table below. We remain committed to continued engagement with shareholders.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065BAA"/>
        </w:rPr>
        <w:t xml:space="preserve">Shareholder Engagement Topic                  </w:t>
      </w:r>
      <w:r>
        <w:rPr>
          <w:sz w:val="1"/>
          <w:szCs w:val="1"/>
          <w:color w:val="auto"/>
        </w:rPr>
        <w:drawing>
          <wp:inline distT="0" distB="0" distL="0" distR="0">
            <wp:extent cx="77470"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128905"/>
                    </a:xfrm>
                    <a:prstGeom prst="rect">
                      <a:avLst/>
                    </a:prstGeom>
                    <a:noFill/>
                    <a:ln>
                      <a:noFill/>
                    </a:ln>
                  </pic:spPr>
                </pic:pic>
              </a:graphicData>
            </a:graphic>
          </wp:inline>
        </w:drawing>
      </w:r>
      <w:r>
        <w:rPr>
          <w:rFonts w:ascii="Arial" w:cs="Arial" w:eastAsia="Arial" w:hAnsi="Arial"/>
          <w:sz w:val="16"/>
          <w:szCs w:val="16"/>
          <w:b w:val="1"/>
          <w:bCs w:val="1"/>
          <w:color w:val="065BAA"/>
        </w:rPr>
        <w:t xml:space="preserve">   Feedback Received / Action in Response</w:t>
      </w:r>
    </w:p>
    <w:p>
      <w:pPr>
        <w:sectPr>
          <w:pgSz w:w="11900" w:h="16838" w:orient="portrait"/>
          <w:cols w:equalWidth="0" w:num="1">
            <w:col w:w="9019"/>
          </w:cols>
          <w:pgMar w:left="1440" w:top="657" w:right="1440" w:bottom="1440" w:gutter="0" w:footer="0" w:header="0"/>
        </w:sectPr>
      </w:pPr>
    </w:p>
    <w:p>
      <w:pPr>
        <w:spacing w:after="0" w:line="160" w:lineRule="exact"/>
        <w:rPr>
          <w:sz w:val="20"/>
          <w:szCs w:val="20"/>
          <w:color w:val="auto"/>
        </w:rPr>
      </w:pPr>
    </w:p>
    <w:p>
      <w:pPr>
        <w:ind w:left="320" w:right="400"/>
        <w:spacing w:after="0" w:line="302" w:lineRule="auto"/>
        <w:rPr>
          <w:sz w:val="20"/>
          <w:szCs w:val="20"/>
          <w:color w:val="auto"/>
        </w:rPr>
      </w:pPr>
      <w:r>
        <w:rPr>
          <w:rFonts w:ascii="Arial" w:cs="Arial" w:eastAsia="Arial" w:hAnsi="Arial"/>
          <w:sz w:val="14"/>
          <w:szCs w:val="14"/>
          <w:color w:val="auto"/>
        </w:rPr>
        <w:t xml:space="preserve">We discussed the proposed (and later in the year approved) </w:t>
      </w:r>
      <w:r>
        <w:rPr>
          <w:rFonts w:ascii="Arial" w:cs="Arial" w:eastAsia="Arial" w:hAnsi="Arial"/>
          <w:sz w:val="14"/>
          <w:szCs w:val="14"/>
          <w:b w:val="1"/>
          <w:bCs w:val="1"/>
          <w:color w:val="auto"/>
        </w:rPr>
        <w:t>declassification of the board of directors.</w:t>
      </w:r>
      <w:r>
        <w:rPr>
          <w:rFonts w:ascii="Arial" w:cs="Arial" w:eastAsia="Arial" w:hAnsi="Arial"/>
          <w:sz w:val="14"/>
          <w:szCs w:val="14"/>
          <w:color w:val="auto"/>
        </w:rPr>
        <w:t xml:space="preserve"> See “Board Governance—Declassification of the Board of Directors.”</w:t>
      </w:r>
    </w:p>
    <w:p>
      <w:pPr>
        <w:spacing w:after="0" w:line="175" w:lineRule="exact"/>
        <w:rPr>
          <w:sz w:val="20"/>
          <w:szCs w:val="20"/>
          <w:color w:val="auto"/>
        </w:rPr>
      </w:pPr>
    </w:p>
    <w:p>
      <w:pPr>
        <w:ind w:left="320" w:right="40"/>
        <w:spacing w:after="0" w:line="305" w:lineRule="auto"/>
        <w:rPr>
          <w:sz w:val="20"/>
          <w:szCs w:val="20"/>
          <w:color w:val="auto"/>
        </w:rPr>
      </w:pPr>
      <w:r>
        <w:rPr>
          <w:rFonts w:ascii="Arial" w:cs="Arial" w:eastAsia="Arial" w:hAnsi="Arial"/>
          <w:sz w:val="14"/>
          <w:szCs w:val="14"/>
          <w:color w:val="auto"/>
        </w:rPr>
        <w:t xml:space="preserve">We discussed </w:t>
      </w:r>
      <w:r>
        <w:rPr>
          <w:rFonts w:ascii="Arial" w:cs="Arial" w:eastAsia="Arial" w:hAnsi="Arial"/>
          <w:sz w:val="14"/>
          <w:szCs w:val="14"/>
          <w:b w:val="1"/>
          <w:bCs w:val="1"/>
          <w:color w:val="auto"/>
        </w:rPr>
        <w:t>executive compensation matters</w:t>
      </w:r>
      <w:r>
        <w:rPr>
          <w:rFonts w:ascii="Arial" w:cs="Arial" w:eastAsia="Arial" w:hAnsi="Arial"/>
          <w:sz w:val="14"/>
          <w:szCs w:val="14"/>
          <w:color w:val="auto"/>
        </w:rPr>
        <w:t xml:space="preserve">, with many shareholders inquiring about and providing views on anticipated CEO/CSO equity awards, and </w:t>
      </w:r>
      <w:r>
        <w:rPr>
          <w:rFonts w:ascii="Arial" w:cs="Arial" w:eastAsia="Arial" w:hAnsi="Arial"/>
          <w:sz w:val="14"/>
          <w:szCs w:val="14"/>
          <w:b w:val="1"/>
          <w:bCs w:val="1"/>
          <w:color w:val="auto"/>
        </w:rPr>
        <w:t>management</w:t>
      </w:r>
      <w:r>
        <w:rPr>
          <w:rFonts w:ascii="Arial" w:cs="Arial" w:eastAsia="Arial" w:hAnsi="Arial"/>
          <w:sz w:val="14"/>
          <w:szCs w:val="14"/>
          <w:color w:val="auto"/>
        </w:rPr>
        <w:t xml:space="preserve"> </w:t>
      </w:r>
      <w:r>
        <w:rPr>
          <w:rFonts w:ascii="Arial" w:cs="Arial" w:eastAsia="Arial" w:hAnsi="Arial"/>
          <w:sz w:val="14"/>
          <w:szCs w:val="14"/>
          <w:b w:val="1"/>
          <w:bCs w:val="1"/>
          <w:color w:val="auto"/>
        </w:rPr>
        <w:t>succession planning</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320" w:right="140"/>
        <w:spacing w:after="0" w:line="313" w:lineRule="auto"/>
        <w:rPr>
          <w:sz w:val="20"/>
          <w:szCs w:val="20"/>
          <w:color w:val="auto"/>
        </w:rPr>
      </w:pPr>
      <w:r>
        <w:rPr>
          <w:rFonts w:ascii="Arial" w:cs="Arial" w:eastAsia="Arial" w:hAnsi="Arial"/>
          <w:sz w:val="14"/>
          <w:szCs w:val="14"/>
          <w:color w:val="auto"/>
        </w:rPr>
        <w:t xml:space="preserve">We continued to discuss the Company’s </w:t>
      </w:r>
      <w:r>
        <w:rPr>
          <w:rFonts w:ascii="Arial" w:cs="Arial" w:eastAsia="Arial" w:hAnsi="Arial"/>
          <w:sz w:val="14"/>
          <w:szCs w:val="14"/>
          <w:b w:val="1"/>
          <w:bCs w:val="1"/>
          <w:color w:val="auto"/>
        </w:rPr>
        <w:t>dual-class capital</w:t>
      </w:r>
      <w:r>
        <w:rPr>
          <w:rFonts w:ascii="Arial" w:cs="Arial" w:eastAsia="Arial" w:hAnsi="Arial"/>
          <w:sz w:val="14"/>
          <w:szCs w:val="14"/>
          <w:color w:val="auto"/>
        </w:rPr>
        <w:t xml:space="preserve"> </w:t>
      </w:r>
      <w:r>
        <w:rPr>
          <w:rFonts w:ascii="Arial" w:cs="Arial" w:eastAsia="Arial" w:hAnsi="Arial"/>
          <w:sz w:val="14"/>
          <w:szCs w:val="14"/>
          <w:b w:val="1"/>
          <w:bCs w:val="1"/>
          <w:color w:val="auto"/>
        </w:rPr>
        <w:t>structure</w:t>
      </w:r>
      <w:r>
        <w:rPr>
          <w:rFonts w:ascii="Arial" w:cs="Arial" w:eastAsia="Arial" w:hAnsi="Arial"/>
          <w:sz w:val="14"/>
          <w:szCs w:val="14"/>
          <w:color w:val="auto"/>
        </w:rPr>
        <w:t>, including relevant mitigating factors such as the</w:t>
      </w:r>
      <w:r>
        <w:rPr>
          <w:rFonts w:ascii="Arial" w:cs="Arial" w:eastAsia="Arial" w:hAnsi="Arial"/>
          <w:sz w:val="14"/>
          <w:szCs w:val="14"/>
          <w:b w:val="1"/>
          <w:bCs w:val="1"/>
          <w:color w:val="auto"/>
        </w:rPr>
        <w:t xml:space="preserve"> </w:t>
      </w:r>
      <w:r>
        <w:rPr>
          <w:rFonts w:ascii="Arial" w:cs="Arial" w:eastAsia="Arial" w:hAnsi="Arial"/>
          <w:sz w:val="14"/>
          <w:szCs w:val="14"/>
          <w:color w:val="auto"/>
        </w:rPr>
        <w:t>declassification of the board.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0"/>
        <w:spacing w:after="0" w:line="294" w:lineRule="auto"/>
        <w:rPr>
          <w:sz w:val="20"/>
          <w:szCs w:val="20"/>
          <w:color w:val="auto"/>
        </w:rPr>
      </w:pPr>
      <w:r>
        <w:rPr>
          <w:rFonts w:ascii="Arial" w:cs="Arial" w:eastAsia="Arial" w:hAnsi="Arial"/>
          <w:sz w:val="14"/>
          <w:szCs w:val="14"/>
          <w:color w:val="auto"/>
        </w:rPr>
        <w:t xml:space="preserve">We discussed </w:t>
      </w:r>
      <w:r>
        <w:rPr>
          <w:rFonts w:ascii="Arial" w:cs="Arial" w:eastAsia="Arial" w:hAnsi="Arial"/>
          <w:sz w:val="14"/>
          <w:szCs w:val="14"/>
          <w:b w:val="1"/>
          <w:bCs w:val="1"/>
          <w:color w:val="auto"/>
        </w:rPr>
        <w:t>board tenure and refreshment</w:t>
      </w:r>
      <w:r>
        <w:rPr>
          <w:rFonts w:ascii="Arial" w:cs="Arial" w:eastAsia="Arial" w:hAnsi="Arial"/>
          <w:sz w:val="14"/>
          <w:szCs w:val="14"/>
          <w:color w:val="auto"/>
        </w:rPr>
        <w:t>, including how the shift to annual director elections should be integrated into Regeneron’s board candidate review process and board succession planning principles. See “Board Governance— Procedures Relating to Nominees; Board Succession Planning.”</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right="359"/>
        <w:spacing w:after="0" w:line="302" w:lineRule="auto"/>
        <w:rPr>
          <w:sz w:val="20"/>
          <w:szCs w:val="20"/>
          <w:color w:val="auto"/>
        </w:rPr>
      </w:pPr>
      <w:r>
        <w:rPr>
          <w:rFonts w:ascii="Arial" w:cs="Arial" w:eastAsia="Arial" w:hAnsi="Arial"/>
          <w:sz w:val="14"/>
          <w:szCs w:val="14"/>
          <w:color w:val="auto"/>
        </w:rPr>
        <w:t>Overwhelmingly positive feedback on this latest step in Regeneron’s governance journey. The first class of our directors will be standing for reelection for a one-year term at the 2026 Annual Meeting. See Proposal No. 1.</w:t>
      </w:r>
    </w:p>
    <w:p>
      <w:pPr>
        <w:spacing w:after="0" w:line="175" w:lineRule="exact"/>
        <w:rPr>
          <w:sz w:val="20"/>
          <w:szCs w:val="20"/>
          <w:color w:val="auto"/>
        </w:rPr>
      </w:pPr>
    </w:p>
    <w:p>
      <w:pPr>
        <w:ind w:right="359"/>
        <w:spacing w:after="0" w:line="293" w:lineRule="auto"/>
        <w:rPr>
          <w:sz w:val="20"/>
          <w:szCs w:val="20"/>
          <w:color w:val="auto"/>
        </w:rPr>
      </w:pPr>
      <w:r>
        <w:rPr>
          <w:rFonts w:ascii="Arial" w:cs="Arial" w:eastAsia="Arial" w:hAnsi="Arial"/>
          <w:sz w:val="14"/>
          <w:szCs w:val="14"/>
          <w:color w:val="auto"/>
        </w:rPr>
        <w:t>Feedback taken into consideration in discussions of potential new CEO/CSO equity award program design and in Regeneron’s management succession planning process. See “Compensation-Related Matters—Compensation Discussion and Analysis—Compensation Processes— Shareholder Input and Outreach and the 2025 Say-on-Pay Vote Result” for additional information about engagement on compensation matters.</w:t>
      </w:r>
    </w:p>
    <w:p>
      <w:pPr>
        <w:spacing w:after="0" w:line="129" w:lineRule="exact"/>
        <w:rPr>
          <w:sz w:val="20"/>
          <w:szCs w:val="20"/>
          <w:color w:val="auto"/>
        </w:rPr>
      </w:pPr>
    </w:p>
    <w:p>
      <w:pPr>
        <w:ind w:right="459"/>
        <w:spacing w:after="0" w:line="294" w:lineRule="auto"/>
        <w:rPr>
          <w:sz w:val="20"/>
          <w:szCs w:val="20"/>
          <w:color w:val="auto"/>
        </w:rPr>
      </w:pPr>
      <w:r>
        <w:rPr>
          <w:rFonts w:ascii="Arial" w:cs="Arial" w:eastAsia="Arial" w:hAnsi="Arial"/>
          <w:sz w:val="14"/>
          <w:szCs w:val="14"/>
          <w:color w:val="auto"/>
        </w:rPr>
        <w:t>Certain shareholders consider the board declassification to be a mitigating factor in their analysis of the Company’s corporate governance and dual-class capital structure. Enhanced disclosure concerning the Company’s dual-class share structure is provided in this proxy statement. See “Capital Structure” beginning on page 42.</w:t>
      </w:r>
    </w:p>
    <w:p>
      <w:pPr>
        <w:spacing w:after="0" w:line="194" w:lineRule="exact"/>
        <w:rPr>
          <w:sz w:val="20"/>
          <w:szCs w:val="20"/>
          <w:color w:val="auto"/>
        </w:rPr>
      </w:pPr>
    </w:p>
    <w:p>
      <w:pPr>
        <w:ind w:right="359"/>
        <w:spacing w:after="0" w:line="297" w:lineRule="auto"/>
        <w:rPr>
          <w:sz w:val="20"/>
          <w:szCs w:val="20"/>
          <w:color w:val="auto"/>
        </w:rPr>
      </w:pPr>
      <w:r>
        <w:rPr>
          <w:rFonts w:ascii="Arial" w:cs="Arial" w:eastAsia="Arial" w:hAnsi="Arial"/>
          <w:sz w:val="14"/>
          <w:szCs w:val="14"/>
          <w:color w:val="auto"/>
        </w:rPr>
        <w:t>The board focused on enhancing the board’s committee composition in 2025-2026, adding Drs. Coles and Schenkein to the Compensation Committee and Dr. Thompson to the Corporate Governance and Compliance Committee, and established a new standing Digital Technology Committee.</w:t>
      </w:r>
    </w:p>
    <w:p>
      <w:pPr>
        <w:spacing w:after="0" w:line="387" w:lineRule="exact"/>
        <w:rPr>
          <w:sz w:val="20"/>
          <w:szCs w:val="20"/>
          <w:color w:val="auto"/>
        </w:rPr>
      </w:pPr>
    </w:p>
    <w:p>
      <w:pPr>
        <w:sectPr>
          <w:pgSz w:w="11900" w:h="16838" w:orient="portrait"/>
          <w:cols w:equalWidth="0" w:num="2">
            <w:col w:w="4240" w:space="560"/>
            <w:col w:w="421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40</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49" w:name="page50"/>
    <w:bookmarkEnd w:id="49"/>
    <w:p>
      <w:pPr>
        <w:jc w:val="center"/>
        <w:ind w:right="-20"/>
        <w:spacing w:after="0"/>
        <w:tabs>
          <w:tab w:leader="none" w:pos="260" w:val="left"/>
          <w:tab w:leader="none" w:pos="260" w:val="left"/>
          <w:tab w:leader="none" w:pos="30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r>
      <w:r>
        <w:rPr>
          <w:sz w:val="20"/>
          <w:szCs w:val="20"/>
          <w:color w:val="auto"/>
        </w:rPr>
        <w:tab/>
      </w:r>
      <w:r>
        <w:rPr>
          <w:rFonts w:ascii="Arial" w:cs="Arial" w:eastAsia="Arial" w:hAnsi="Arial"/>
          <w:sz w:val="14"/>
          <w:szCs w:val="14"/>
          <w:b w:val="1"/>
          <w:bCs w:val="1"/>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Additional Actions Responsive to Shareholder Feedback</w:t>
      </w:r>
    </w:p>
    <w:p>
      <w:pPr>
        <w:spacing w:after="0" w:line="132" w:lineRule="exact"/>
        <w:rPr>
          <w:sz w:val="20"/>
          <w:szCs w:val="20"/>
          <w:color w:val="auto"/>
        </w:rPr>
      </w:pPr>
    </w:p>
    <w:p>
      <w:pPr>
        <w:ind w:left="140" w:right="299"/>
        <w:spacing w:after="0" w:line="295" w:lineRule="auto"/>
        <w:rPr>
          <w:sz w:val="20"/>
          <w:szCs w:val="20"/>
          <w:color w:val="auto"/>
        </w:rPr>
      </w:pPr>
      <w:r>
        <w:rPr>
          <w:rFonts w:ascii="Arial" w:cs="Arial" w:eastAsia="Arial" w:hAnsi="Arial"/>
          <w:sz w:val="16"/>
          <w:szCs w:val="16"/>
          <w:color w:val="auto"/>
        </w:rPr>
        <w:t>Our board of directors has always viewed shareholder feedback as critical for its decision-making and has taken several actions after careful consideration of the feedback received. Set forth below are select changes to governance practices and other actions taken by the board and/or the relevant board committee in recent years that were informed by shareholder feedback.</w:t>
      </w:r>
    </w:p>
    <w:p>
      <w:pPr>
        <w:sectPr>
          <w:pgSz w:w="11900" w:h="16838" w:orient="portrait"/>
          <w:cols w:equalWidth="0" w:num="1">
            <w:col w:w="9019"/>
          </w:cols>
          <w:pgMar w:left="1440" w:top="657" w:right="1440" w:bottom="1440" w:gutter="0" w:footer="0" w:header="0"/>
        </w:sectPr>
      </w:pPr>
    </w:p>
    <w:p>
      <w:pPr>
        <w:spacing w:after="0" w:line="3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Board Leadership Structure</w:t>
      </w:r>
    </w:p>
    <w:p>
      <w:pPr>
        <w:spacing w:after="0" w:line="41" w:lineRule="exact"/>
        <w:rPr>
          <w:sz w:val="20"/>
          <w:szCs w:val="20"/>
          <w:color w:val="auto"/>
        </w:rPr>
      </w:pPr>
    </w:p>
    <w:p>
      <w:pPr>
        <w:ind w:left="360"/>
        <w:spacing w:after="0"/>
        <w:rPr>
          <w:sz w:val="20"/>
          <w:szCs w:val="20"/>
          <w:color w:val="auto"/>
        </w:rPr>
      </w:pPr>
      <w:r>
        <w:rPr>
          <w:sz w:val="1"/>
          <w:szCs w:val="1"/>
          <w:color w:val="auto"/>
        </w:rPr>
        <w:drawing>
          <wp:inline distT="0" distB="0" distL="0" distR="0">
            <wp:extent cx="59690" cy="5143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51435"/>
                    </a:xfrm>
                    <a:prstGeom prst="rect">
                      <a:avLst/>
                    </a:prstGeom>
                    <a:noFill/>
                    <a:ln>
                      <a:noFill/>
                    </a:ln>
                  </pic:spPr>
                </pic:pic>
              </a:graphicData>
            </a:graphic>
          </wp:inline>
        </w:drawing>
      </w:r>
      <w:r>
        <w:rPr>
          <w:rFonts w:ascii="Arial" w:cs="Arial" w:eastAsia="Arial" w:hAnsi="Arial"/>
          <w:sz w:val="16"/>
          <w:szCs w:val="16"/>
          <w:color w:val="auto"/>
        </w:rPr>
        <w:t xml:space="preserve"> Established robust Lead Independent</w:t>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Director role (2023).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Board Refreshment</w:t>
      </w:r>
    </w:p>
    <w:p>
      <w:pPr>
        <w:spacing w:after="0" w:line="41" w:lineRule="exact"/>
        <w:rPr>
          <w:sz w:val="20"/>
          <w:szCs w:val="20"/>
          <w:color w:val="auto"/>
        </w:rPr>
      </w:pPr>
    </w:p>
    <w:p>
      <w:pPr>
        <w:ind w:left="540" w:hanging="187"/>
        <w:spacing w:after="0"/>
        <w:rPr>
          <w:sz w:val="20"/>
          <w:szCs w:val="20"/>
          <w:color w:val="auto"/>
        </w:rPr>
      </w:pPr>
      <w:r>
        <w:rPr>
          <w:sz w:val="1"/>
          <w:szCs w:val="1"/>
          <w:color w:val="auto"/>
        </w:rPr>
        <w:drawing>
          <wp:inline distT="0" distB="0" distL="0" distR="0">
            <wp:extent cx="59690" cy="5143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51435"/>
                    </a:xfrm>
                    <a:prstGeom prst="rect">
                      <a:avLst/>
                    </a:prstGeom>
                    <a:noFill/>
                    <a:ln>
                      <a:noFill/>
                    </a:ln>
                  </pic:spPr>
                </pic:pic>
              </a:graphicData>
            </a:graphic>
          </wp:inline>
        </w:drawing>
      </w:r>
      <w:r>
        <w:rPr>
          <w:rFonts w:ascii="Arial" w:cs="Arial" w:eastAsia="Arial" w:hAnsi="Arial"/>
          <w:sz w:val="16"/>
          <w:szCs w:val="16"/>
          <w:color w:val="auto"/>
        </w:rPr>
        <w:t xml:space="preserve"> Appointed Drs. Guarini and Schenkein to the board (2023) and elected Dr. Thompson to the board</w:t>
      </w:r>
    </w:p>
    <w:p>
      <w:pPr>
        <w:spacing w:after="0" w:line="1" w:lineRule="exact"/>
        <w:rPr>
          <w:sz w:val="20"/>
          <w:szCs w:val="20"/>
          <w:color w:val="auto"/>
        </w:rPr>
      </w:pPr>
    </w:p>
    <w:p>
      <w:pPr>
        <w:ind w:left="540" w:right="100"/>
        <w:spacing w:after="0" w:line="321" w:lineRule="auto"/>
        <w:rPr>
          <w:sz w:val="20"/>
          <w:szCs w:val="20"/>
          <w:color w:val="auto"/>
        </w:rPr>
      </w:pPr>
      <w:r>
        <w:rPr>
          <w:rFonts w:ascii="Arial" w:cs="Arial" w:eastAsia="Arial" w:hAnsi="Arial"/>
          <w:sz w:val="16"/>
          <w:szCs w:val="16"/>
          <w:color w:val="auto"/>
        </w:rPr>
        <w:t>(2022). Two former directors (including the former Board Chair) retired from the board in 2023.</w:t>
      </w:r>
    </w:p>
    <w:p>
      <w:pPr>
        <w:spacing w:after="0" w:line="36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Say-on-Pay</w:t>
      </w:r>
    </w:p>
    <w:p>
      <w:pPr>
        <w:spacing w:after="0" w:line="41" w:lineRule="exact"/>
        <w:rPr>
          <w:sz w:val="20"/>
          <w:szCs w:val="20"/>
          <w:color w:val="auto"/>
        </w:rPr>
      </w:pPr>
    </w:p>
    <w:p>
      <w:pPr>
        <w:ind w:left="540" w:right="680" w:hanging="187"/>
        <w:spacing w:after="0"/>
        <w:rPr>
          <w:sz w:val="20"/>
          <w:szCs w:val="20"/>
          <w:color w:val="auto"/>
        </w:rPr>
      </w:pPr>
      <w:r>
        <w:rPr>
          <w:sz w:val="1"/>
          <w:szCs w:val="1"/>
          <w:color w:val="auto"/>
        </w:rPr>
        <w:drawing>
          <wp:inline distT="0" distB="0" distL="0" distR="0">
            <wp:extent cx="59690" cy="5143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51435"/>
                    </a:xfrm>
                    <a:prstGeom prst="rect">
                      <a:avLst/>
                    </a:prstGeom>
                    <a:noFill/>
                    <a:ln>
                      <a:noFill/>
                    </a:ln>
                  </pic:spPr>
                </pic:pic>
              </a:graphicData>
            </a:graphic>
          </wp:inline>
        </w:drawing>
      </w:r>
      <w:r>
        <w:rPr>
          <w:rFonts w:ascii="Arial" w:cs="Arial" w:eastAsia="Arial" w:hAnsi="Arial"/>
          <w:sz w:val="16"/>
          <w:szCs w:val="16"/>
          <w:color w:val="auto"/>
        </w:rPr>
        <w:t xml:space="preserve"> Voluntarily adopted an annual say-on-pay vote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Enhanced Disclosure</w:t>
      </w:r>
    </w:p>
    <w:p>
      <w:pPr>
        <w:spacing w:after="0" w:line="41" w:lineRule="exact"/>
        <w:rPr>
          <w:sz w:val="20"/>
          <w:szCs w:val="20"/>
          <w:color w:val="auto"/>
        </w:rPr>
      </w:pPr>
    </w:p>
    <w:p>
      <w:pPr>
        <w:ind w:left="540" w:right="80" w:hanging="187"/>
        <w:spacing w:after="0"/>
        <w:rPr>
          <w:sz w:val="20"/>
          <w:szCs w:val="20"/>
          <w:color w:val="auto"/>
        </w:rPr>
      </w:pPr>
      <w:r>
        <w:rPr>
          <w:sz w:val="1"/>
          <w:szCs w:val="1"/>
          <w:color w:val="auto"/>
        </w:rPr>
        <w:drawing>
          <wp:inline distT="0" distB="0" distL="0" distR="0">
            <wp:extent cx="59690" cy="5143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51435"/>
                    </a:xfrm>
                    <a:prstGeom prst="rect">
                      <a:avLst/>
                    </a:prstGeom>
                    <a:noFill/>
                    <a:ln>
                      <a:noFill/>
                    </a:ln>
                  </pic:spPr>
                </pic:pic>
              </a:graphicData>
            </a:graphic>
          </wp:inline>
        </w:drawing>
      </w:r>
      <w:r>
        <w:rPr>
          <w:rFonts w:ascii="Arial" w:cs="Arial" w:eastAsia="Arial" w:hAnsi="Arial"/>
          <w:sz w:val="16"/>
          <w:szCs w:val="16"/>
          <w:color w:val="auto"/>
        </w:rPr>
        <w:t xml:space="preserve"> Enhanced proxy statement disclosure of board structure and leadership (including with respect to the duties and responsibilities of our Lead Independent Director), board composition and refreshment, board oversight of pricing decisions/ access to medicine, dual-class capital structure, annual cash incentive and annual equity determinations, 2020 PSUs, and certain other corporate governance matters (2022-2026).</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Pay-for-Performance Alignment</w:t>
      </w:r>
    </w:p>
    <w:p>
      <w:pPr>
        <w:spacing w:after="0" w:line="41" w:lineRule="exact"/>
        <w:rPr>
          <w:sz w:val="20"/>
          <w:szCs w:val="20"/>
          <w:color w:val="auto"/>
        </w:rPr>
      </w:pPr>
    </w:p>
    <w:p>
      <w:pPr>
        <w:jc w:val="both"/>
        <w:ind w:left="540" w:right="340" w:hanging="187"/>
        <w:spacing w:after="0"/>
        <w:rPr>
          <w:sz w:val="20"/>
          <w:szCs w:val="20"/>
          <w:color w:val="auto"/>
        </w:rPr>
      </w:pPr>
      <w:r>
        <w:rPr>
          <w:sz w:val="1"/>
          <w:szCs w:val="1"/>
          <w:color w:val="auto"/>
        </w:rPr>
        <w:drawing>
          <wp:inline distT="0" distB="0" distL="0" distR="0">
            <wp:extent cx="59690" cy="5143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51435"/>
                    </a:xfrm>
                    <a:prstGeom prst="rect">
                      <a:avLst/>
                    </a:prstGeom>
                    <a:noFill/>
                    <a:ln>
                      <a:noFill/>
                    </a:ln>
                  </pic:spPr>
                </pic:pic>
              </a:graphicData>
            </a:graphic>
          </wp:inline>
        </w:drawing>
      </w:r>
      <w:r>
        <w:rPr>
          <w:rFonts w:ascii="Arial" w:cs="Arial" w:eastAsia="Arial" w:hAnsi="Arial"/>
          <w:sz w:val="16"/>
          <w:szCs w:val="16"/>
          <w:color w:val="auto"/>
        </w:rPr>
        <w:t xml:space="preserve"> Introduced PSUs as a component of CEO and CSO equity awards (2019) and granted 100% of CEO and CSO equity awards in the form of PSUs (2020).</w:t>
      </w:r>
    </w:p>
    <w:p>
      <w:pPr>
        <w:spacing w:after="0" w:line="96" w:lineRule="exact"/>
        <w:rPr>
          <w:sz w:val="20"/>
          <w:szCs w:val="20"/>
          <w:color w:val="auto"/>
        </w:rPr>
      </w:pPr>
    </w:p>
    <w:p>
      <w:pPr>
        <w:ind w:left="540" w:hanging="187"/>
        <w:spacing w:after="0"/>
        <w:rPr>
          <w:sz w:val="20"/>
          <w:szCs w:val="20"/>
          <w:color w:val="auto"/>
        </w:rPr>
      </w:pPr>
      <w:r>
        <w:rPr>
          <w:sz w:val="1"/>
          <w:szCs w:val="1"/>
          <w:color w:val="auto"/>
        </w:rPr>
        <w:drawing>
          <wp:inline distT="0" distB="0" distL="0" distR="0">
            <wp:extent cx="59690" cy="5143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51435"/>
                    </a:xfrm>
                    <a:prstGeom prst="rect">
                      <a:avLst/>
                    </a:prstGeom>
                    <a:noFill/>
                    <a:ln>
                      <a:noFill/>
                    </a:ln>
                  </pic:spPr>
                </pic:pic>
              </a:graphicData>
            </a:graphic>
          </wp:inline>
        </w:drawing>
      </w:r>
      <w:r>
        <w:rPr>
          <w:rFonts w:ascii="Arial" w:cs="Arial" w:eastAsia="Arial" w:hAnsi="Arial"/>
          <w:sz w:val="16"/>
          <w:szCs w:val="16"/>
          <w:color w:val="auto"/>
        </w:rPr>
        <w:t xml:space="preserve"> Reaffirmed, and delivered on, commitment to issue no additional equity awards for CEO and CSO before December 2025 (2021-2025).</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Stability</w:t>
      </w:r>
    </w:p>
    <w:p>
      <w:pPr>
        <w:spacing w:after="0" w:line="41" w:lineRule="exact"/>
        <w:rPr>
          <w:sz w:val="20"/>
          <w:szCs w:val="20"/>
          <w:color w:val="auto"/>
        </w:rPr>
      </w:pPr>
    </w:p>
    <w:p>
      <w:pPr>
        <w:ind w:left="240" w:right="499" w:hanging="187"/>
        <w:spacing w:after="0"/>
        <w:rPr>
          <w:sz w:val="20"/>
          <w:szCs w:val="20"/>
          <w:color w:val="auto"/>
        </w:rPr>
      </w:pPr>
      <w:r>
        <w:rPr>
          <w:sz w:val="1"/>
          <w:szCs w:val="1"/>
          <w:color w:val="auto"/>
        </w:rPr>
        <w:drawing>
          <wp:inline distT="0" distB="0" distL="0" distR="0">
            <wp:extent cx="59690" cy="5143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51435"/>
                    </a:xfrm>
                    <a:prstGeom prst="rect">
                      <a:avLst/>
                    </a:prstGeom>
                    <a:noFill/>
                    <a:ln>
                      <a:noFill/>
                    </a:ln>
                  </pic:spPr>
                </pic:pic>
              </a:graphicData>
            </a:graphic>
          </wp:inline>
        </w:drawing>
      </w:r>
      <w:r>
        <w:rPr>
          <w:rFonts w:ascii="Arial" w:cs="Arial" w:eastAsia="Arial" w:hAnsi="Arial"/>
          <w:sz w:val="16"/>
          <w:szCs w:val="16"/>
          <w:color w:val="auto"/>
        </w:rPr>
        <w:t xml:space="preserve"> Increased holding/vesting requirements for CEO and CSO by incorporating a five-year performance period and a subsequent three-year holding period in the 2020 CEO/CSO equity awards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Dilution/Burn Rate Concerns</w:t>
      </w:r>
    </w:p>
    <w:p>
      <w:pPr>
        <w:spacing w:after="0" w:line="41" w:lineRule="exact"/>
        <w:rPr>
          <w:sz w:val="20"/>
          <w:szCs w:val="20"/>
          <w:color w:val="auto"/>
        </w:rPr>
      </w:pPr>
    </w:p>
    <w:p>
      <w:pPr>
        <w:ind w:left="240" w:right="599" w:hanging="187"/>
        <w:spacing w:after="0"/>
        <w:rPr>
          <w:sz w:val="20"/>
          <w:szCs w:val="20"/>
          <w:color w:val="auto"/>
        </w:rPr>
      </w:pPr>
      <w:r>
        <w:rPr>
          <w:sz w:val="1"/>
          <w:szCs w:val="1"/>
          <w:color w:val="auto"/>
        </w:rPr>
        <w:drawing>
          <wp:inline distT="0" distB="0" distL="0" distR="0">
            <wp:extent cx="59690" cy="5143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51435"/>
                    </a:xfrm>
                    <a:prstGeom prst="rect">
                      <a:avLst/>
                    </a:prstGeom>
                    <a:noFill/>
                    <a:ln>
                      <a:noFill/>
                    </a:ln>
                  </pic:spPr>
                </pic:pic>
              </a:graphicData>
            </a:graphic>
          </wp:inline>
        </w:drawing>
      </w:r>
      <w:r>
        <w:rPr>
          <w:rFonts w:ascii="Arial" w:cs="Arial" w:eastAsia="Arial" w:hAnsi="Arial"/>
          <w:sz w:val="16"/>
          <w:szCs w:val="16"/>
          <w:color w:val="auto"/>
        </w:rPr>
        <w:t xml:space="preserve"> Introduced and maintained the use of full-value awards as a component of annual equity awards; recalibrated equity award size (stock options and RSAs/RSUs) for NEOs below the CEO/CSO level and other employees (2019-2025).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Incentives</w:t>
      </w:r>
    </w:p>
    <w:p>
      <w:pPr>
        <w:spacing w:after="0" w:line="41" w:lineRule="exact"/>
        <w:rPr>
          <w:sz w:val="20"/>
          <w:szCs w:val="20"/>
          <w:color w:val="auto"/>
        </w:rPr>
      </w:pPr>
    </w:p>
    <w:p>
      <w:pPr>
        <w:ind w:left="240" w:right="479" w:hanging="187"/>
        <w:spacing w:after="0"/>
        <w:rPr>
          <w:sz w:val="20"/>
          <w:szCs w:val="20"/>
          <w:color w:val="auto"/>
        </w:rPr>
      </w:pPr>
      <w:r>
        <w:rPr>
          <w:sz w:val="1"/>
          <w:szCs w:val="1"/>
          <w:color w:val="auto"/>
        </w:rPr>
        <w:drawing>
          <wp:inline distT="0" distB="0" distL="0" distR="0">
            <wp:extent cx="59690" cy="5143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51435"/>
                    </a:xfrm>
                    <a:prstGeom prst="rect">
                      <a:avLst/>
                    </a:prstGeom>
                    <a:noFill/>
                    <a:ln>
                      <a:noFill/>
                    </a:ln>
                  </pic:spPr>
                </pic:pic>
              </a:graphicData>
            </a:graphic>
          </wp:inline>
        </w:drawing>
      </w:r>
      <w:r>
        <w:rPr>
          <w:rFonts w:ascii="Arial" w:cs="Arial" w:eastAsia="Arial" w:hAnsi="Arial"/>
          <w:sz w:val="16"/>
          <w:szCs w:val="16"/>
          <w:color w:val="auto"/>
        </w:rPr>
        <w:t xml:space="preserve"> Enhanced the process by which the Compensation Committee determines the Company performance multiplier for annual cash incentives (2023); provided more detailed disclosure regarding this process (2019-2025).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 and Sustainability</w:t>
      </w:r>
    </w:p>
    <w:p>
      <w:pPr>
        <w:spacing w:after="0" w:line="41" w:lineRule="exact"/>
        <w:rPr>
          <w:sz w:val="20"/>
          <w:szCs w:val="20"/>
          <w:color w:val="auto"/>
        </w:rPr>
      </w:pPr>
    </w:p>
    <w:p>
      <w:pPr>
        <w:ind w:left="240" w:right="639" w:hanging="187"/>
        <w:spacing w:after="0"/>
        <w:rPr>
          <w:sz w:val="20"/>
          <w:szCs w:val="20"/>
          <w:color w:val="auto"/>
        </w:rPr>
      </w:pPr>
      <w:r>
        <w:rPr>
          <w:sz w:val="1"/>
          <w:szCs w:val="1"/>
          <w:color w:val="auto"/>
        </w:rPr>
        <w:drawing>
          <wp:inline distT="0" distB="0" distL="0" distR="0">
            <wp:extent cx="59690" cy="5143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51435"/>
                    </a:xfrm>
                    <a:prstGeom prst="rect">
                      <a:avLst/>
                    </a:prstGeom>
                    <a:noFill/>
                    <a:ln>
                      <a:noFill/>
                    </a:ln>
                  </pic:spPr>
                </pic:pic>
              </a:graphicData>
            </a:graphic>
          </wp:inline>
        </w:drawing>
      </w:r>
      <w:r>
        <w:rPr>
          <w:rFonts w:ascii="Arial" w:cs="Arial" w:eastAsia="Arial" w:hAnsi="Arial"/>
          <w:sz w:val="16"/>
          <w:szCs w:val="16"/>
          <w:color w:val="auto"/>
        </w:rPr>
        <w:t xml:space="preserve"> Increased the breadth and depth of sustainability data collection and reporting; aligned annual Responsibility Report with the SASB framework; and, since 2021, reported on climate-related risks and opportunities aligned with the recommendations developed by the TCFD (2017-2026).</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Policy</w:t>
      </w:r>
    </w:p>
    <w:p>
      <w:pPr>
        <w:spacing w:after="0" w:line="41" w:lineRule="exact"/>
        <w:rPr>
          <w:sz w:val="20"/>
          <w:szCs w:val="20"/>
          <w:color w:val="auto"/>
        </w:rPr>
      </w:pPr>
    </w:p>
    <w:p>
      <w:pPr>
        <w:ind w:left="240" w:right="559" w:hanging="187"/>
        <w:spacing w:after="0"/>
        <w:rPr>
          <w:sz w:val="20"/>
          <w:szCs w:val="20"/>
          <w:color w:val="auto"/>
        </w:rPr>
      </w:pPr>
      <w:r>
        <w:rPr>
          <w:sz w:val="1"/>
          <w:szCs w:val="1"/>
          <w:color w:val="auto"/>
        </w:rPr>
        <w:drawing>
          <wp:inline distT="0" distB="0" distL="0" distR="0">
            <wp:extent cx="59690" cy="5143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51435"/>
                    </a:xfrm>
                    <a:prstGeom prst="rect">
                      <a:avLst/>
                    </a:prstGeom>
                    <a:noFill/>
                    <a:ln>
                      <a:noFill/>
                    </a:ln>
                  </pic:spPr>
                </pic:pic>
              </a:graphicData>
            </a:graphic>
          </wp:inline>
        </w:drawing>
      </w:r>
      <w:r>
        <w:rPr>
          <w:rFonts w:ascii="Arial" w:cs="Arial" w:eastAsia="Arial" w:hAnsi="Arial"/>
          <w:sz w:val="16"/>
          <w:szCs w:val="16"/>
          <w:color w:val="auto"/>
        </w:rPr>
        <w:t xml:space="preserve"> Adopted a Compensation Committee-approved policy covering perquisites of our NEOs and other senior officers (2024).</w:t>
      </w:r>
    </w:p>
    <w:p>
      <w:pPr>
        <w:spacing w:after="0" w:line="1145" w:lineRule="exact"/>
        <w:rPr>
          <w:sz w:val="20"/>
          <w:szCs w:val="20"/>
          <w:color w:val="auto"/>
        </w:rPr>
      </w:pPr>
    </w:p>
    <w:p>
      <w:pPr>
        <w:sectPr>
          <w:pgSz w:w="11900" w:h="16838" w:orient="portrait"/>
          <w:cols w:equalWidth="0" w:num="2">
            <w:col w:w="4200" w:space="460"/>
            <w:col w:w="435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41</w:t>
            </w:r>
          </w:p>
        </w:tc>
      </w:tr>
    </w:tbl>
    <w:p>
      <w:pPr>
        <w:sectPr>
          <w:pgSz w:w="11900" w:h="16838" w:orient="portrait"/>
          <w:cols w:equalWidth="0" w:num="1">
            <w:col w:w="9019"/>
          </w:cols>
          <w:pgMar w:left="1440" w:top="657" w:right="1440" w:bottom="1440" w:gutter="0" w:footer="0" w:header="0"/>
          <w:type w:val="continuous"/>
        </w:sectPr>
      </w:pPr>
    </w:p>
    <w:bookmarkStart w:id="50" w:name="page51"/>
    <w:bookmarkEnd w:id="50"/>
    <w:p>
      <w:pPr>
        <w:jc w:val="center"/>
        <w:ind w:right="-20"/>
        <w:spacing w:after="0"/>
        <w:tabs>
          <w:tab w:leader="none" w:pos="260" w:val="left"/>
          <w:tab w:leader="none" w:pos="260" w:val="left"/>
          <w:tab w:leader="none" w:pos="30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r>
      <w:r>
        <w:rPr>
          <w:sz w:val="20"/>
          <w:szCs w:val="20"/>
          <w:color w:val="auto"/>
        </w:rPr>
        <w:tab/>
      </w:r>
      <w:r>
        <w:rPr>
          <w:rFonts w:ascii="Arial" w:cs="Arial" w:eastAsia="Arial" w:hAnsi="Arial"/>
          <w:sz w:val="14"/>
          <w:szCs w:val="14"/>
          <w:b w:val="1"/>
          <w:bCs w:val="1"/>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Capital Structure</w:t>
      </w:r>
    </w:p>
    <w:p>
      <w:pPr>
        <w:spacing w:after="0" w:line="195" w:lineRule="exact"/>
        <w:rPr>
          <w:sz w:val="20"/>
          <w:szCs w:val="20"/>
          <w:color w:val="auto"/>
        </w:rPr>
      </w:pPr>
    </w:p>
    <w:p>
      <w:pPr>
        <w:ind w:left="140" w:right="99"/>
        <w:spacing w:after="0" w:line="289" w:lineRule="auto"/>
        <w:rPr>
          <w:sz w:val="20"/>
          <w:szCs w:val="20"/>
          <w:color w:val="auto"/>
        </w:rPr>
      </w:pPr>
      <w:r>
        <w:rPr>
          <w:rFonts w:ascii="Arial" w:cs="Arial" w:eastAsia="Arial" w:hAnsi="Arial"/>
          <w:sz w:val="16"/>
          <w:szCs w:val="16"/>
          <w:color w:val="auto"/>
        </w:rPr>
        <w:t>Regeneron currently has two classes of stock outstanding – common stock, par value $0.001 per share (“common stock”), which is entitled to one vote per share; and Class A stock, par value $0.001 per share (“Class A stock”), which is entitled to ten votes per share. As of the record date of the 2026 Annual Meeting, there were 103,021,886 and 1,817,146 shares of common stock and Class A stock outstanding, respectively.</w:t>
      </w:r>
    </w:p>
    <w:p>
      <w:pPr>
        <w:spacing w:after="0" w:line="99" w:lineRule="exact"/>
        <w:rPr>
          <w:sz w:val="20"/>
          <w:szCs w:val="20"/>
          <w:color w:val="auto"/>
        </w:rPr>
      </w:pPr>
    </w:p>
    <w:p>
      <w:pPr>
        <w:ind w:left="140" w:right="159"/>
        <w:spacing w:after="0" w:line="285" w:lineRule="auto"/>
        <w:rPr>
          <w:sz w:val="20"/>
          <w:szCs w:val="20"/>
          <w:color w:val="auto"/>
        </w:rPr>
      </w:pPr>
      <w:r>
        <w:rPr>
          <w:rFonts w:ascii="Arial" w:cs="Arial" w:eastAsia="Arial" w:hAnsi="Arial"/>
          <w:sz w:val="16"/>
          <w:szCs w:val="16"/>
          <w:color w:val="auto"/>
        </w:rPr>
        <w:t>While the concerns regularly cited with respect to dual-class capital structures merit consideration and have regularly received the board’s attention, the board believes that there is no “one size fits all” model of governance. Even though dual-class capital structures may not benefit shareholders in some companies, they may promote long-term shareholder interests in others. As further discussed below, we currently believe that, as it pertains to Regeneron, the benefits of a dual-class capital structure outweigh the burdens. However, in light of the considerations discussed in this section (including investor feedback), we will continue to evaluate the Company’s capital structure and will further engage with the holders of our common stock and Class A stock on this topic.</w:t>
      </w:r>
    </w:p>
    <w:p>
      <w:pPr>
        <w:spacing w:after="0" w:line="104" w:lineRule="exact"/>
        <w:rPr>
          <w:sz w:val="20"/>
          <w:szCs w:val="20"/>
          <w:color w:val="auto"/>
        </w:rPr>
      </w:pPr>
    </w:p>
    <w:p>
      <w:pPr>
        <w:ind w:left="140" w:right="239"/>
        <w:spacing w:after="0" w:line="321" w:lineRule="auto"/>
        <w:rPr>
          <w:sz w:val="20"/>
          <w:szCs w:val="20"/>
          <w:color w:val="auto"/>
        </w:rPr>
      </w:pPr>
      <w:r>
        <w:rPr>
          <w:rFonts w:ascii="Arial" w:cs="Arial" w:eastAsia="Arial" w:hAnsi="Arial"/>
          <w:sz w:val="16"/>
          <w:szCs w:val="16"/>
          <w:color w:val="auto"/>
        </w:rPr>
        <w:t>Discussed below are key factors you should keep in mind when assessing Regeneron’s capital structure and considering whether your voting decision on Regeneron’s directors should be driven by the existence of this structure.</w:t>
      </w:r>
    </w:p>
    <w:p>
      <w:pPr>
        <w:spacing w:after="0" w:line="75" w:lineRule="exact"/>
        <w:rPr>
          <w:sz w:val="20"/>
          <w:szCs w:val="20"/>
          <w:color w:val="auto"/>
        </w:rPr>
      </w:pPr>
    </w:p>
    <w:p>
      <w:pPr>
        <w:ind w:left="140" w:right="479"/>
        <w:spacing w:after="0" w:line="289" w:lineRule="auto"/>
        <w:rPr>
          <w:sz w:val="20"/>
          <w:szCs w:val="20"/>
          <w:color w:val="auto"/>
        </w:rPr>
      </w:pPr>
      <w:r>
        <w:rPr>
          <w:rFonts w:ascii="Arial" w:cs="Arial" w:eastAsia="Arial" w:hAnsi="Arial"/>
          <w:sz w:val="16"/>
          <w:szCs w:val="16"/>
          <w:b w:val="1"/>
          <w:bCs w:val="1"/>
          <w:color w:val="auto"/>
        </w:rPr>
        <w:t xml:space="preserve">Regeneron’s dual-class capital structure is consistent with the Company’s long-term focus and facilitates the creation of shareholder value over time. </w:t>
      </w:r>
      <w:r>
        <w:rPr>
          <w:rFonts w:ascii="Arial" w:cs="Arial" w:eastAsia="Arial" w:hAnsi="Arial"/>
          <w:sz w:val="16"/>
          <w:szCs w:val="16"/>
          <w:color w:val="auto"/>
        </w:rPr>
        <w:t>We believe our capital structure is aligned with the Company’s long-term</w:t>
      </w:r>
      <w:r>
        <w:rPr>
          <w:rFonts w:ascii="Arial" w:cs="Arial" w:eastAsia="Arial" w:hAnsi="Arial"/>
          <w:sz w:val="16"/>
          <w:szCs w:val="16"/>
          <w:b w:val="1"/>
          <w:bCs w:val="1"/>
          <w:color w:val="auto"/>
        </w:rPr>
        <w:t xml:space="preserve"> </w:t>
      </w:r>
      <w:r>
        <w:rPr>
          <w:rFonts w:ascii="Arial" w:cs="Arial" w:eastAsia="Arial" w:hAnsi="Arial"/>
          <w:sz w:val="16"/>
          <w:szCs w:val="16"/>
          <w:color w:val="auto"/>
        </w:rPr>
        <w:t>focus in an industry in which the development of a single product can take more than a decade and requires significant investments.</w:t>
      </w:r>
    </w:p>
    <w:p>
      <w:pPr>
        <w:spacing w:after="0" w:line="113" w:lineRule="exact"/>
        <w:rPr>
          <w:sz w:val="20"/>
          <w:szCs w:val="20"/>
          <w:color w:val="auto"/>
        </w:rPr>
      </w:pPr>
    </w:p>
    <w:p>
      <w:pPr>
        <w:ind w:left="140" w:right="319"/>
        <w:spacing w:after="0" w:line="287" w:lineRule="auto"/>
        <w:rPr>
          <w:sz w:val="20"/>
          <w:szCs w:val="20"/>
          <w:color w:val="auto"/>
        </w:rPr>
      </w:pPr>
      <w:r>
        <w:rPr>
          <w:rFonts w:ascii="Arial" w:cs="Arial" w:eastAsia="Arial" w:hAnsi="Arial"/>
          <w:sz w:val="16"/>
          <w:szCs w:val="16"/>
          <w:color w:val="auto"/>
        </w:rPr>
        <w:t>The dual-class capital structure fosters stability by helping to lessen the impact on the Company resulting from business cycles and short-term market pressures. It alleviates some of the pressure to achieve short-term results, allowing the board and management to dedicate their time to the pursuit of strategies and opportunities to enhance the long-term profitability of the Company and deliver value to shareholders. This is particularly important given the considerable investments and long-term time horizons involved in the development of our products.</w:t>
      </w:r>
    </w:p>
    <w:p>
      <w:pPr>
        <w:spacing w:after="0" w:line="101" w:lineRule="exact"/>
        <w:rPr>
          <w:sz w:val="20"/>
          <w:szCs w:val="20"/>
          <w:color w:val="auto"/>
        </w:rPr>
      </w:pPr>
    </w:p>
    <w:p>
      <w:pPr>
        <w:ind w:left="140" w:right="139"/>
        <w:spacing w:after="0" w:line="286" w:lineRule="auto"/>
        <w:rPr>
          <w:sz w:val="20"/>
          <w:szCs w:val="20"/>
          <w:color w:val="auto"/>
        </w:rPr>
      </w:pPr>
      <w:r>
        <w:rPr>
          <w:rFonts w:ascii="Arial" w:cs="Arial" w:eastAsia="Arial" w:hAnsi="Arial"/>
          <w:sz w:val="16"/>
          <w:szCs w:val="16"/>
          <w:color w:val="auto"/>
        </w:rPr>
        <w:t>We also believe that modestly amplifying the voting input of the Class A holders – primarily our co-founders, who still lead the Company – helps protect long-term, sustainable value creation. The interests of our co-founders are strongly aligned with those of our long-term shareholders. Through their leadership and vision, the Company’s co-founders have been, and will continue to be, important to guiding the Company’s strategy and success. Our co-founders have demonstrated a legacy of stewardship at the Company and are highly incentivized to create long-term value for the Company thanks in part to the long-term focus facilitated by the dual-class capital structure.</w:t>
      </w:r>
    </w:p>
    <w:p>
      <w:pPr>
        <w:spacing w:after="0" w:line="102" w:lineRule="exact"/>
        <w:rPr>
          <w:sz w:val="20"/>
          <w:szCs w:val="20"/>
          <w:color w:val="auto"/>
        </w:rPr>
      </w:pPr>
    </w:p>
    <w:p>
      <w:pPr>
        <w:ind w:left="140" w:right="579"/>
        <w:spacing w:after="0" w:line="301" w:lineRule="auto"/>
        <w:rPr>
          <w:sz w:val="20"/>
          <w:szCs w:val="20"/>
          <w:color w:val="auto"/>
        </w:rPr>
      </w:pPr>
      <w:r>
        <w:rPr>
          <w:rFonts w:ascii="Arial" w:cs="Arial" w:eastAsia="Arial" w:hAnsi="Arial"/>
          <w:sz w:val="16"/>
          <w:szCs w:val="16"/>
          <w:b w:val="1"/>
          <w:bCs w:val="1"/>
          <w:color w:val="auto"/>
        </w:rPr>
        <w:t xml:space="preserve">Our capital structure has given greater weight to the voting rights of the holders of common stock as the Company has matured. </w:t>
      </w:r>
      <w:r>
        <w:rPr>
          <w:rFonts w:ascii="Arial" w:cs="Arial" w:eastAsia="Arial" w:hAnsi="Arial"/>
          <w:sz w:val="16"/>
          <w:szCs w:val="16"/>
          <w:color w:val="auto"/>
        </w:rPr>
        <w:t>While multi-class capital structures of some companies enable the holders of the high-vote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to outvote all other shareholders, this is not the case for Regeneron’s dual-class voting structure.</w:t>
      </w:r>
    </w:p>
    <w:p>
      <w:pPr>
        <w:spacing w:after="0" w:line="91" w:lineRule="exact"/>
        <w:rPr>
          <w:sz w:val="20"/>
          <w:szCs w:val="20"/>
          <w:color w:val="auto"/>
        </w:rPr>
      </w:pPr>
    </w:p>
    <w:p>
      <w:pPr>
        <w:ind w:left="140" w:right="319"/>
        <w:spacing w:after="0" w:line="280" w:lineRule="auto"/>
        <w:rPr>
          <w:sz w:val="20"/>
          <w:szCs w:val="20"/>
          <w:color w:val="auto"/>
        </w:rPr>
      </w:pPr>
      <w:r>
        <w:rPr>
          <w:rFonts w:ascii="Arial" w:cs="Arial" w:eastAsia="Arial" w:hAnsi="Arial"/>
          <w:sz w:val="16"/>
          <w:szCs w:val="16"/>
          <w:color w:val="auto"/>
        </w:rPr>
        <w:t>The number of shares of Class A stock outstanding, which comprised ~95% of total shareholder votes at the time of our 1991 IPO, has been steadily decreasing ever since, effectively giving greater weight to the voting rights of the holders of common stock as the Company has matured. As of the record date of the 2026 Annual Meeting, the Class A stock comprised only ~15% of total shareholder votes. No new Class A stock has been issued since the IPO. In addition, Regeneron has the lowest percentage of votes held by the high-voting class out of all of the S&amp;P 500 companies with multi-class voting structures.</w:t>
      </w:r>
      <w:r>
        <w:rPr>
          <w:rFonts w:ascii="Arial" w:cs="Arial" w:eastAsia="Arial" w:hAnsi="Arial"/>
          <w:sz w:val="21"/>
          <w:szCs w:val="21"/>
          <w:color w:val="auto"/>
          <w:vertAlign w:val="superscript"/>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0" w:hanging="190"/>
        <w:spacing w:after="0"/>
        <w:tabs>
          <w:tab w:leader="none" w:pos="320" w:val="left"/>
        </w:tabs>
        <w:numPr>
          <w:ilvl w:val="0"/>
          <w:numId w:val="72"/>
        </w:numPr>
        <w:rPr>
          <w:rFonts w:ascii="Arial" w:cs="Arial" w:eastAsia="Arial" w:hAnsi="Arial"/>
          <w:sz w:val="16"/>
          <w:szCs w:val="16"/>
          <w:color w:val="auto"/>
          <w:vertAlign w:val="superscript"/>
        </w:rPr>
      </w:pPr>
      <w:r>
        <w:rPr>
          <w:rFonts w:ascii="Arial" w:cs="Arial" w:eastAsia="Arial" w:hAnsi="Arial"/>
          <w:sz w:val="13"/>
          <w:szCs w:val="13"/>
          <w:color w:val="auto"/>
        </w:rPr>
        <w:t>Based on Company analysis of available data reported in 2025.</w:t>
      </w:r>
    </w:p>
    <w:p>
      <w:pPr>
        <w:spacing w:after="0" w:line="9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42</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51" w:name="page52"/>
    <w:bookmarkEnd w:id="51"/>
    <w:p>
      <w:pPr>
        <w:jc w:val="center"/>
        <w:ind w:right="-20"/>
        <w:spacing w:after="0"/>
        <w:tabs>
          <w:tab w:leader="none" w:pos="260" w:val="left"/>
          <w:tab w:leader="none" w:pos="260" w:val="left"/>
          <w:tab w:leader="none" w:pos="30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r>
      <w:r>
        <w:rPr>
          <w:sz w:val="20"/>
          <w:szCs w:val="20"/>
          <w:color w:val="auto"/>
        </w:rPr>
        <w:tab/>
      </w:r>
      <w:r>
        <w:rPr>
          <w:rFonts w:ascii="Arial" w:cs="Arial" w:eastAsia="Arial" w:hAnsi="Arial"/>
          <w:sz w:val="14"/>
          <w:szCs w:val="14"/>
          <w:b w:val="1"/>
          <w:bCs w:val="1"/>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0" w:right="219"/>
        <w:spacing w:after="0" w:line="266" w:lineRule="auto"/>
        <w:rPr>
          <w:sz w:val="20"/>
          <w:szCs w:val="20"/>
          <w:color w:val="auto"/>
        </w:rPr>
      </w:pPr>
      <w:r>
        <w:rPr>
          <w:rFonts w:ascii="Arial" w:cs="Arial" w:eastAsia="Arial" w:hAnsi="Arial"/>
          <w:sz w:val="16"/>
          <w:szCs w:val="16"/>
          <w:b w:val="1"/>
          <w:bCs w:val="1"/>
          <w:color w:val="auto"/>
        </w:rPr>
        <w:t xml:space="preserve">The Company’s corporate governance practices and principles provide for effective, independent board oversight and reinforce the Company’s strong commitment to the creation of sustainable value for long-term shareholders. </w:t>
      </w:r>
      <w:r>
        <w:rPr>
          <w:rFonts w:ascii="Arial" w:cs="Arial" w:eastAsia="Arial" w:hAnsi="Arial"/>
          <w:sz w:val="16"/>
          <w:szCs w:val="16"/>
          <w:color w:val="auto"/>
        </w:rPr>
        <w:t>The rights of the holders of common stock are protected not only by their collective voting power of</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85%, but also by other features of Regeneron’s corporate governance, including the further enhancements adopted by Regeneron based on shareholder input over the last 10+ years. Such protective governance features include: our 2025 phased-in implementation of annual elections of all directors (Regeneron’s board is to be fully declassified in 2028); majority voting and a director resignation policy in uncontested director elections; shareholders’ right to call a special shareholder meeting upon the written request of at least 25% of the total number of votes entitled to be cast; executive sessions of the independent directors held at every regularly scheduled board meeting; annual board and committee self-evaluations; and our active, extensive shareholder engagement efforts.</w:t>
      </w:r>
    </w:p>
    <w:p>
      <w:pPr>
        <w:spacing w:after="0" w:line="107" w:lineRule="exact"/>
        <w:rPr>
          <w:sz w:val="20"/>
          <w:szCs w:val="20"/>
          <w:color w:val="auto"/>
        </w:rPr>
      </w:pPr>
    </w:p>
    <w:p>
      <w:pPr>
        <w:ind w:left="140" w:right="199"/>
        <w:spacing w:after="0" w:line="274" w:lineRule="auto"/>
        <w:rPr>
          <w:sz w:val="20"/>
          <w:szCs w:val="20"/>
          <w:color w:val="auto"/>
        </w:rPr>
      </w:pPr>
      <w:r>
        <w:rPr>
          <w:rFonts w:ascii="Arial" w:cs="Arial" w:eastAsia="Arial" w:hAnsi="Arial"/>
          <w:sz w:val="16"/>
          <w:szCs w:val="16"/>
          <w:color w:val="auto"/>
        </w:rPr>
        <w:t>In addition, the board is committed to ensuring that the Lead Independent Director, who is appointed annually by the independent directors, has an empowered role and provides effective balance to management. Our Lead Independent Director, Ms. Poon, was elected by the independent directors in recognition of her strong leadership and skills. The robust responsibilities of the Lead Independent Director are set forth in our Lead Independent Director Charter and are further discussed above under “Board Governance—Board Leadership—Responsibilities of Lead Independent Director.”</w:t>
      </w:r>
    </w:p>
    <w:p>
      <w:pPr>
        <w:spacing w:after="0" w:line="111" w:lineRule="exact"/>
        <w:rPr>
          <w:sz w:val="20"/>
          <w:szCs w:val="20"/>
          <w:color w:val="auto"/>
        </w:rPr>
      </w:pPr>
    </w:p>
    <w:p>
      <w:pPr>
        <w:ind w:left="140" w:right="639"/>
        <w:spacing w:after="0" w:line="265" w:lineRule="auto"/>
        <w:rPr>
          <w:sz w:val="20"/>
          <w:szCs w:val="20"/>
          <w:color w:val="auto"/>
        </w:rPr>
      </w:pPr>
      <w:r>
        <w:rPr>
          <w:rFonts w:ascii="Arial" w:cs="Arial" w:eastAsia="Arial" w:hAnsi="Arial"/>
          <w:sz w:val="16"/>
          <w:szCs w:val="16"/>
          <w:b w:val="1"/>
          <w:bCs w:val="1"/>
          <w:color w:val="auto"/>
        </w:rPr>
        <w:t>The board’s decision to propose board declassification for shareholder approval in 2025 is evidence of the board’s responsiveness to shareholder feedback on matters within the board’s control and should alleviate</w:t>
      </w:r>
    </w:p>
    <w:p>
      <w:pPr>
        <w:spacing w:after="0" w:line="1" w:lineRule="exact"/>
        <w:rPr>
          <w:sz w:val="20"/>
          <w:szCs w:val="20"/>
          <w:color w:val="auto"/>
        </w:rPr>
      </w:pPr>
    </w:p>
    <w:p>
      <w:pPr>
        <w:ind w:left="140" w:right="139"/>
        <w:spacing w:after="0" w:line="262" w:lineRule="auto"/>
        <w:rPr>
          <w:sz w:val="20"/>
          <w:szCs w:val="20"/>
          <w:color w:val="auto"/>
        </w:rPr>
      </w:pPr>
      <w:r>
        <w:rPr>
          <w:rFonts w:ascii="Arial" w:cs="Arial" w:eastAsia="Arial" w:hAnsi="Arial"/>
          <w:sz w:val="16"/>
          <w:szCs w:val="16"/>
          <w:b w:val="1"/>
          <w:bCs w:val="1"/>
          <w:color w:val="auto"/>
        </w:rPr>
        <w:t xml:space="preserve">shareholder concerns with the dual-class capital structure. </w:t>
      </w:r>
      <w:r>
        <w:rPr>
          <w:rFonts w:ascii="Arial" w:cs="Arial" w:eastAsia="Arial" w:hAnsi="Arial"/>
          <w:sz w:val="16"/>
          <w:szCs w:val="16"/>
          <w:color w:val="auto"/>
        </w:rPr>
        <w:t>As further discussed in the subsection “Board</w:t>
      </w:r>
      <w:r>
        <w:rPr>
          <w:rFonts w:ascii="Arial" w:cs="Arial" w:eastAsia="Arial" w:hAnsi="Arial"/>
          <w:sz w:val="16"/>
          <w:szCs w:val="16"/>
          <w:b w:val="1"/>
          <w:bCs w:val="1"/>
          <w:color w:val="auto"/>
        </w:rPr>
        <w:t xml:space="preserve"> </w:t>
      </w:r>
      <w:r>
        <w:rPr>
          <w:rFonts w:ascii="Arial" w:cs="Arial" w:eastAsia="Arial" w:hAnsi="Arial"/>
          <w:sz w:val="16"/>
          <w:szCs w:val="16"/>
          <w:color w:val="auto"/>
        </w:rPr>
        <w:t>Governance—Declassification of the Board of Directors,” at our 2025 annual meeting, our board of directors proposed and shareholders approved an amendment to the Company’s Certificate of Incorporation to declassify the board. As a result, we have amended our Certificate of Incorporation to phase out the classification of our board over a three-year period.</w:t>
      </w:r>
    </w:p>
    <w:p>
      <w:pPr>
        <w:spacing w:after="0" w:line="3" w:lineRule="exact"/>
        <w:rPr>
          <w:sz w:val="20"/>
          <w:szCs w:val="20"/>
          <w:color w:val="auto"/>
        </w:rPr>
      </w:pPr>
    </w:p>
    <w:p>
      <w:pPr>
        <w:ind w:left="140" w:right="539"/>
        <w:spacing w:after="0" w:line="265" w:lineRule="auto"/>
        <w:rPr>
          <w:sz w:val="20"/>
          <w:szCs w:val="20"/>
          <w:color w:val="auto"/>
        </w:rPr>
      </w:pPr>
      <w:r>
        <w:rPr>
          <w:rFonts w:ascii="Arial" w:cs="Arial" w:eastAsia="Arial" w:hAnsi="Arial"/>
          <w:sz w:val="16"/>
          <w:szCs w:val="16"/>
          <w:color w:val="auto"/>
        </w:rPr>
        <w:t>In reaching the decision to recommend the declassification, the board considered shareholder feedback provided in recent engagement cycles – in particular the view that annual director elections enhance director accountability. The board also took into account that while it does not have the sole power to change the dual-class capital structure (as discussed further below), it was within its control to address another key shareholder concern by taking steps toward board declassification.</w:t>
      </w:r>
    </w:p>
    <w:p>
      <w:pPr>
        <w:spacing w:after="0" w:line="120" w:lineRule="exact"/>
        <w:rPr>
          <w:sz w:val="20"/>
          <w:szCs w:val="20"/>
          <w:color w:val="auto"/>
        </w:rPr>
      </w:pPr>
    </w:p>
    <w:p>
      <w:pPr>
        <w:ind w:left="140" w:right="159"/>
        <w:spacing w:after="0" w:line="277" w:lineRule="auto"/>
        <w:rPr>
          <w:sz w:val="20"/>
          <w:szCs w:val="20"/>
          <w:color w:val="auto"/>
        </w:rPr>
      </w:pPr>
      <w:r>
        <w:rPr>
          <w:rFonts w:ascii="Arial" w:cs="Arial" w:eastAsia="Arial" w:hAnsi="Arial"/>
          <w:sz w:val="16"/>
          <w:szCs w:val="16"/>
          <w:b w:val="1"/>
          <w:bCs w:val="1"/>
          <w:color w:val="auto"/>
        </w:rPr>
        <w:t xml:space="preserve">The dual-class capital structure has been in place since the Company’s IPO. </w:t>
      </w:r>
      <w:r>
        <w:rPr>
          <w:rFonts w:ascii="Arial" w:cs="Arial" w:eastAsia="Arial" w:hAnsi="Arial"/>
          <w:sz w:val="16"/>
          <w:szCs w:val="16"/>
          <w:color w:val="auto"/>
        </w:rPr>
        <w:t>The Company’s current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structure, with both Class A stock and common stock outstanding, has been in place since before the Company became a publicly traded company in 1991. No new Class A stock has been issued since the IPO. Accordingly, each holder of shares of common stock has had notice of this capital structure before making an investment in the company.</w:t>
      </w:r>
    </w:p>
    <w:p>
      <w:pPr>
        <w:spacing w:after="0" w:line="96" w:lineRule="exact"/>
        <w:rPr>
          <w:sz w:val="20"/>
          <w:szCs w:val="20"/>
          <w:color w:val="auto"/>
        </w:rPr>
      </w:pPr>
    </w:p>
    <w:p>
      <w:pPr>
        <w:ind w:left="140" w:right="299"/>
        <w:spacing w:after="0" w:line="268" w:lineRule="auto"/>
        <w:rPr>
          <w:sz w:val="20"/>
          <w:szCs w:val="20"/>
          <w:color w:val="auto"/>
        </w:rPr>
      </w:pPr>
      <w:r>
        <w:rPr>
          <w:rFonts w:ascii="Arial" w:cs="Arial" w:eastAsia="Arial" w:hAnsi="Arial"/>
          <w:sz w:val="16"/>
          <w:szCs w:val="16"/>
          <w:b w:val="1"/>
          <w:bCs w:val="1"/>
          <w:color w:val="auto"/>
        </w:rPr>
        <w:t xml:space="preserve">We have enhanced transparency concerning our capital structure. </w:t>
      </w:r>
      <w:r>
        <w:rPr>
          <w:rFonts w:ascii="Arial" w:cs="Arial" w:eastAsia="Arial" w:hAnsi="Arial"/>
          <w:sz w:val="16"/>
          <w:szCs w:val="16"/>
          <w:color w:val="auto"/>
        </w:rPr>
        <w:t>As discussed above, we have been very</w:t>
      </w:r>
      <w:r>
        <w:rPr>
          <w:rFonts w:ascii="Arial" w:cs="Arial" w:eastAsia="Arial" w:hAnsi="Arial"/>
          <w:sz w:val="16"/>
          <w:szCs w:val="16"/>
          <w:b w:val="1"/>
          <w:bCs w:val="1"/>
          <w:color w:val="auto"/>
        </w:rPr>
        <w:t xml:space="preserve"> </w:t>
      </w:r>
      <w:r>
        <w:rPr>
          <w:rFonts w:ascii="Arial" w:cs="Arial" w:eastAsia="Arial" w:hAnsi="Arial"/>
          <w:sz w:val="16"/>
          <w:szCs w:val="16"/>
          <w:color w:val="auto"/>
        </w:rPr>
        <w:t>transparent with our shareholders about Regeneron’s capital structure and the limits on the board’s ability to change this structure in a unilateral manner, and have consistently engaged on this topic in recent years. Thanks in part to such engagement, at the 2025 Annual Meeting, eight of our 10 largest institutional shareholders at the time of the meeting voted FOR all director nominees on the ballot despite adverse voting recommendations from one of the leading proxy advisory firms on account of Regeneron’s capital structure.</w:t>
      </w:r>
    </w:p>
    <w:p>
      <w:pPr>
        <w:spacing w:after="0" w:line="117" w:lineRule="exact"/>
        <w:rPr>
          <w:sz w:val="20"/>
          <w:szCs w:val="20"/>
          <w:color w:val="auto"/>
        </w:rPr>
      </w:pPr>
    </w:p>
    <w:p>
      <w:pPr>
        <w:ind w:left="140" w:right="259"/>
        <w:spacing w:after="0" w:line="266" w:lineRule="auto"/>
        <w:rPr>
          <w:sz w:val="20"/>
          <w:szCs w:val="20"/>
          <w:color w:val="auto"/>
        </w:rPr>
      </w:pPr>
      <w:r>
        <w:rPr>
          <w:rFonts w:ascii="Arial" w:cs="Arial" w:eastAsia="Arial" w:hAnsi="Arial"/>
          <w:sz w:val="16"/>
          <w:szCs w:val="16"/>
          <w:b w:val="1"/>
          <w:bCs w:val="1"/>
          <w:color w:val="auto"/>
        </w:rPr>
        <w:t xml:space="preserve">Multi-class capital structures are not uncommon among public companies. </w:t>
      </w:r>
      <w:r>
        <w:rPr>
          <w:rFonts w:ascii="Arial" w:cs="Arial" w:eastAsia="Arial" w:hAnsi="Arial"/>
          <w:sz w:val="16"/>
          <w:szCs w:val="16"/>
          <w:color w:val="auto"/>
        </w:rPr>
        <w:t>Dual-class capital structures are</w:t>
      </w:r>
      <w:r>
        <w:rPr>
          <w:rFonts w:ascii="Arial" w:cs="Arial" w:eastAsia="Arial" w:hAnsi="Arial"/>
          <w:sz w:val="16"/>
          <w:szCs w:val="16"/>
          <w:b w:val="1"/>
          <w:bCs w:val="1"/>
          <w:color w:val="auto"/>
        </w:rPr>
        <w:t xml:space="preserve"> </w:t>
      </w:r>
      <w:r>
        <w:rPr>
          <w:rFonts w:ascii="Arial" w:cs="Arial" w:eastAsia="Arial" w:hAnsi="Arial"/>
          <w:sz w:val="16"/>
          <w:szCs w:val="16"/>
          <w:color w:val="auto"/>
        </w:rPr>
        <w:t>recognized and valid under applicable federal and state corporate law and stock exchange regulations and are not uncommon among public companies. Multi-class capital structures also do not appear to adversely impact company performance – in fact, a study conducted at the Yale School of Management Chief Executive Leadership Institute found that companies in the Russell 3000 with dual- and multi-class shares, on average, outperformed companies with a single class of shares across both the short- and long-term through October 3, 2024.</w:t>
      </w:r>
      <w:r>
        <w:rPr>
          <w:rFonts w:ascii="Arial" w:cs="Arial" w:eastAsia="Arial" w:hAnsi="Arial"/>
          <w:sz w:val="21"/>
          <w:szCs w:val="21"/>
          <w:color w:val="auto"/>
          <w:vertAlign w:val="superscript"/>
        </w:rPr>
        <w:t>5</w:t>
      </w:r>
    </w:p>
    <w:p>
      <w:pPr>
        <w:spacing w:after="0" w:line="63" w:lineRule="exact"/>
        <w:rPr>
          <w:sz w:val="20"/>
          <w:szCs w:val="20"/>
          <w:color w:val="auto"/>
        </w:rPr>
      </w:pPr>
    </w:p>
    <w:p>
      <w:pPr>
        <w:ind w:left="140" w:right="179"/>
        <w:spacing w:after="0" w:line="266" w:lineRule="auto"/>
        <w:rPr>
          <w:sz w:val="20"/>
          <w:szCs w:val="20"/>
          <w:color w:val="auto"/>
        </w:rPr>
      </w:pPr>
      <w:r>
        <w:rPr>
          <w:rFonts w:ascii="Arial" w:cs="Arial" w:eastAsia="Arial" w:hAnsi="Arial"/>
          <w:sz w:val="16"/>
          <w:szCs w:val="16"/>
          <w:b w:val="1"/>
          <w:bCs w:val="1"/>
          <w:color w:val="auto"/>
        </w:rPr>
        <w:t xml:space="preserve">The board does not have the sole power to change the dual-class capital structure – separate approval by the Class A stock would be required. </w:t>
      </w:r>
      <w:r>
        <w:rPr>
          <w:rFonts w:ascii="Arial" w:cs="Arial" w:eastAsia="Arial" w:hAnsi="Arial"/>
          <w:sz w:val="16"/>
          <w:szCs w:val="16"/>
          <w:color w:val="auto"/>
        </w:rPr>
        <w:t>As a matter of corporate law and Regeneron’s Certificate of Incorporation, the voting</w:t>
      </w:r>
      <w:r>
        <w:rPr>
          <w:rFonts w:ascii="Arial" w:cs="Arial" w:eastAsia="Arial" w:hAnsi="Arial"/>
          <w:sz w:val="16"/>
          <w:szCs w:val="16"/>
          <w:b w:val="1"/>
          <w:bCs w:val="1"/>
          <w:color w:val="auto"/>
        </w:rPr>
        <w:t xml:space="preserve"> </w:t>
      </w:r>
      <w:r>
        <w:rPr>
          <w:rFonts w:ascii="Arial" w:cs="Arial" w:eastAsia="Arial" w:hAnsi="Arial"/>
          <w:sz w:val="16"/>
          <w:szCs w:val="16"/>
          <w:color w:val="auto"/>
        </w:rPr>
        <w:t>rights granted to holders of Class A stock cannot be unilaterally changed by Regeneron’s board or a vote of the holders of common stock. Such rights may be amended only with the approval of the majority of the shares of Class A stock. The Corporate Governance and Compliance Committee of the board has carefully considered shareholder feedback on the dual-class capital structure as well as other relevant factors, including corporate governance practices and the benefits and potential burdens of maintaining this capital structure. The Committee has also discussed this structure with the majority holder of our Class A stock. The board and/or the Corporate Governance and Compliance Committee will continue to engage the Class A holders on this topic and evaluate Regeneron’s corporate governance structure, policies, and practices.</w:t>
      </w:r>
    </w:p>
    <w:p>
      <w:pPr>
        <w:spacing w:after="0" w:line="319" w:lineRule="exact"/>
        <w:rPr>
          <w:sz w:val="20"/>
          <w:szCs w:val="20"/>
          <w:color w:val="auto"/>
        </w:rPr>
      </w:pPr>
    </w:p>
    <w:p>
      <w:pPr>
        <w:ind w:left="320" w:right="279" w:hanging="190"/>
        <w:spacing w:after="0" w:line="236" w:lineRule="auto"/>
        <w:tabs>
          <w:tab w:leader="none" w:pos="320" w:val="left"/>
        </w:tabs>
        <w:numPr>
          <w:ilvl w:val="0"/>
          <w:numId w:val="73"/>
        </w:numPr>
        <w:rPr>
          <w:rFonts w:ascii="Arial" w:cs="Arial" w:eastAsia="Arial" w:hAnsi="Arial"/>
          <w:sz w:val="16"/>
          <w:szCs w:val="16"/>
          <w:color w:val="auto"/>
          <w:vertAlign w:val="superscript"/>
        </w:rPr>
      </w:pPr>
      <w:r>
        <w:rPr>
          <w:rFonts w:ascii="Arial" w:cs="Arial" w:eastAsia="Arial" w:hAnsi="Arial"/>
          <w:sz w:val="13"/>
          <w:szCs w:val="13"/>
          <w:color w:val="auto"/>
        </w:rPr>
        <w:t>Sonnenfeld, Jeffrey and Tian, Steven. “Re-Thinking the Hostility Towards Dual-Class Share Structures: When Dual-Class Shares Work Better.” Harvard Law School Forum on Corporate Governance, October 16, 2024 (referencing Yale Chief Executive Leadership Institute Study).</w:t>
      </w:r>
    </w:p>
    <w:p>
      <w:pPr>
        <w:spacing w:after="0" w:line="10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43</w:t>
            </w:r>
          </w:p>
        </w:tc>
      </w:tr>
    </w:tbl>
    <w:p>
      <w:pPr>
        <w:sectPr>
          <w:pgSz w:w="11900" w:h="16838" w:orient="portrait"/>
          <w:cols w:equalWidth="0" w:num="1">
            <w:col w:w="9019"/>
          </w:cols>
          <w:pgMar w:left="1440" w:top="657" w:right="1440" w:bottom="1440" w:gutter="0" w:footer="0" w:header="0"/>
        </w:sectPr>
      </w:pPr>
    </w:p>
    <w:bookmarkStart w:id="52" w:name="page53"/>
    <w:bookmarkEnd w:id="52"/>
    <w:p>
      <w:pPr>
        <w:jc w:val="center"/>
        <w:ind w:right="-20"/>
        <w:spacing w:after="0"/>
        <w:tabs>
          <w:tab w:leader="none" w:pos="260" w:val="left"/>
          <w:tab w:leader="none" w:pos="260" w:val="left"/>
          <w:tab w:leader="none" w:pos="300" w:val="left"/>
          <w:tab w:leader="none" w:pos="30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r>
      <w:r>
        <w:rPr>
          <w:sz w:val="20"/>
          <w:szCs w:val="20"/>
          <w:color w:val="auto"/>
        </w:rPr>
        <w:tab/>
      </w:r>
      <w:r>
        <w:rPr>
          <w:rFonts w:ascii="Arial" w:cs="Arial" w:eastAsia="Arial" w:hAnsi="Arial"/>
          <w:sz w:val="14"/>
          <w:szCs w:val="14"/>
          <w:b w:val="1"/>
          <w:bCs w:val="1"/>
          <w:color w:val="343434"/>
        </w:rPr>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Other Governance Policies</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Code of Ethics</w:t>
      </w:r>
    </w:p>
    <w:p>
      <w:pPr>
        <w:spacing w:after="0" w:line="132" w:lineRule="exact"/>
        <w:rPr>
          <w:sz w:val="20"/>
          <w:szCs w:val="20"/>
          <w:color w:val="auto"/>
        </w:rPr>
      </w:pPr>
    </w:p>
    <w:p>
      <w:pPr>
        <w:ind w:left="140" w:right="379"/>
        <w:spacing w:after="0" w:line="286" w:lineRule="auto"/>
        <w:rPr>
          <w:sz w:val="20"/>
          <w:szCs w:val="20"/>
          <w:color w:val="auto"/>
        </w:rPr>
      </w:pPr>
      <w:r>
        <w:rPr>
          <w:rFonts w:ascii="Arial" w:cs="Arial" w:eastAsia="Arial" w:hAnsi="Arial"/>
          <w:sz w:val="16"/>
          <w:szCs w:val="16"/>
          <w:color w:val="auto"/>
        </w:rPr>
        <w:t xml:space="preserve">The board of directors has adopted a code of business conduct and ethics that applies to all of our employees, officers, and directors. You can find this code on our website at </w:t>
      </w:r>
      <w:r>
        <w:rPr>
          <w:rFonts w:ascii="Arial" w:cs="Arial" w:eastAsia="Arial" w:hAnsi="Arial"/>
          <w:sz w:val="16"/>
          <w:szCs w:val="16"/>
          <w:b w:val="1"/>
          <w:bCs w:val="1"/>
          <w:color w:val="2069E7"/>
        </w:rPr>
        <w:t>www.regeneron.com</w:t>
      </w:r>
      <w:r>
        <w:rPr>
          <w:rFonts w:ascii="Arial" w:cs="Arial" w:eastAsia="Arial" w:hAnsi="Arial"/>
          <w:sz w:val="16"/>
          <w:szCs w:val="16"/>
          <w:color w:val="auto"/>
        </w:rPr>
        <w:t xml:space="preserve"> under the “Governance” heading on the “Investors &amp; Media” page. We may satisfy the disclosure requirement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231"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Public Policy Engagement</w:t>
      </w:r>
    </w:p>
    <w:p>
      <w:pPr>
        <w:spacing w:after="0" w:line="119" w:lineRule="exact"/>
        <w:rPr>
          <w:sz w:val="20"/>
          <w:szCs w:val="20"/>
          <w:color w:val="auto"/>
        </w:rPr>
      </w:pPr>
    </w:p>
    <w:p>
      <w:pPr>
        <w:ind w:left="140" w:right="159"/>
        <w:spacing w:after="0" w:line="289" w:lineRule="auto"/>
        <w:rPr>
          <w:sz w:val="20"/>
          <w:szCs w:val="20"/>
          <w:color w:val="auto"/>
        </w:rPr>
      </w:pPr>
      <w:r>
        <w:rPr>
          <w:rFonts w:ascii="Arial" w:cs="Arial" w:eastAsia="Arial" w:hAnsi="Arial"/>
          <w:sz w:val="16"/>
          <w:szCs w:val="16"/>
          <w:color w:val="auto"/>
        </w:rPr>
        <w:t xml:space="preserve">We are committed to adhering to the highest ethical standards when engaging in any political activities. Reflecting this commitment, the board of directors (upon the recommendation of the Corporate Governance and Compliance Committee) has adopted the Company’s Corporate Political Contributions Policy, a formal written policy that, together with our code of business conduct and ethics, sets forth our policies and procedures on political contributions and political activity. The policy is available on our website at </w:t>
      </w:r>
      <w:r>
        <w:rPr>
          <w:rFonts w:ascii="Arial" w:cs="Arial" w:eastAsia="Arial" w:hAnsi="Arial"/>
          <w:sz w:val="16"/>
          <w:szCs w:val="16"/>
          <w:b w:val="1"/>
          <w:bCs w:val="1"/>
          <w:color w:val="2069E7"/>
        </w:rPr>
        <w:t>www.regeneron.com</w:t>
      </w:r>
      <w:r>
        <w:rPr>
          <w:rFonts w:ascii="Arial" w:cs="Arial" w:eastAsia="Arial" w:hAnsi="Arial"/>
          <w:sz w:val="16"/>
          <w:szCs w:val="16"/>
          <w:color w:val="auto"/>
        </w:rPr>
        <w:t xml:space="preserve"> under the “Transparency &amp; Policies” heading on the “Responsibility” page.</w:t>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Stock Ownership Guidelines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 maintain robust stock ownership guidelines for our directors and senior executives, as shown below.</w:t>
      </w:r>
    </w:p>
    <w:p>
      <w:pPr>
        <w:sectPr>
          <w:pgSz w:w="11900" w:h="16838" w:orient="portrait"/>
          <w:cols w:equalWidth="0" w:num="1">
            <w:col w:w="9019"/>
          </w:cols>
          <w:pgMar w:left="1440" w:top="657" w:right="1440" w:bottom="1440" w:gutter="0" w:footer="0" w:header="0"/>
        </w:sectPr>
      </w:pPr>
    </w:p>
    <w:p>
      <w:pPr>
        <w:spacing w:after="0" w:line="361" w:lineRule="exact"/>
        <w:rPr>
          <w:sz w:val="20"/>
          <w:szCs w:val="20"/>
          <w:color w:val="auto"/>
        </w:rPr>
      </w:pPr>
    </w:p>
    <w:p>
      <w:pPr>
        <w:ind w:left="360"/>
        <w:spacing w:after="0" w:line="184" w:lineRule="exact"/>
        <w:rPr>
          <w:sz w:val="20"/>
          <w:szCs w:val="20"/>
          <w:color w:val="auto"/>
        </w:rPr>
      </w:pPr>
      <w:r>
        <w:rPr>
          <w:rFonts w:ascii="Arial" w:cs="Arial" w:eastAsia="Arial" w:hAnsi="Arial"/>
          <w:sz w:val="16"/>
          <w:szCs w:val="16"/>
          <w:b w:val="1"/>
          <w:bCs w:val="1"/>
          <w:color w:val="295EA3"/>
        </w:rPr>
        <w:t>Non</w:t>
      </w:r>
      <w:r>
        <w:rPr>
          <w:rFonts w:ascii="MS PGothic" w:cs="MS PGothic" w:eastAsia="MS PGothic" w:hAnsi="MS PGothic"/>
          <w:sz w:val="16"/>
          <w:szCs w:val="16"/>
          <w:color w:val="000000"/>
        </w:rPr>
        <w:t>‑</w:t>
      </w:r>
      <w:r>
        <w:rPr>
          <w:rFonts w:ascii="Arial" w:cs="Arial" w:eastAsia="Arial" w:hAnsi="Arial"/>
          <w:sz w:val="16"/>
          <w:szCs w:val="16"/>
          <w:b w:val="1"/>
          <w:bCs w:val="1"/>
          <w:color w:val="295EA3"/>
        </w:rPr>
        <w:t>Employee Directors</w:t>
      </w:r>
    </w:p>
    <w:p>
      <w:pPr>
        <w:spacing w:after="0" w:line="176" w:lineRule="exact"/>
        <w:rPr>
          <w:sz w:val="20"/>
          <w:szCs w:val="20"/>
          <w:color w:val="auto"/>
        </w:rPr>
      </w:pPr>
    </w:p>
    <w:p>
      <w:pPr>
        <w:ind w:left="360" w:right="60"/>
        <w:spacing w:after="0" w:line="321" w:lineRule="auto"/>
        <w:rPr>
          <w:sz w:val="20"/>
          <w:szCs w:val="20"/>
          <w:color w:val="auto"/>
        </w:rPr>
      </w:pPr>
      <w:r>
        <w:rPr>
          <w:rFonts w:ascii="Arial" w:cs="Arial" w:eastAsia="Arial" w:hAnsi="Arial"/>
          <w:sz w:val="16"/>
          <w:szCs w:val="16"/>
          <w:color w:val="231F20"/>
        </w:rPr>
        <w:t>Must own* shares with a value at least 3x their annual retainers.</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295EA3"/>
        </w:rPr>
        <w:t>CEO and CSO</w:t>
      </w:r>
    </w:p>
    <w:p>
      <w:pPr>
        <w:spacing w:after="0" w:line="140" w:lineRule="exact"/>
        <w:rPr>
          <w:sz w:val="20"/>
          <w:szCs w:val="20"/>
          <w:color w:val="auto"/>
        </w:rPr>
      </w:pPr>
    </w:p>
    <w:p>
      <w:pPr>
        <w:spacing w:after="0" w:line="301" w:lineRule="auto"/>
        <w:rPr>
          <w:sz w:val="20"/>
          <w:szCs w:val="20"/>
          <w:color w:val="auto"/>
        </w:rPr>
      </w:pPr>
      <w:r>
        <w:rPr>
          <w:rFonts w:ascii="Arial" w:cs="Arial" w:eastAsia="Arial" w:hAnsi="Arial"/>
          <w:sz w:val="16"/>
          <w:szCs w:val="16"/>
          <w:color w:val="231F20"/>
        </w:rPr>
        <w:t>Must own* shares with a value at least 6x their applicable base salaries.</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295EA3"/>
        </w:rPr>
        <w:t>Other Senior Executives</w:t>
      </w:r>
    </w:p>
    <w:p>
      <w:pPr>
        <w:spacing w:after="0" w:line="140" w:lineRule="exact"/>
        <w:rPr>
          <w:sz w:val="20"/>
          <w:szCs w:val="20"/>
          <w:color w:val="auto"/>
        </w:rPr>
      </w:pPr>
    </w:p>
    <w:p>
      <w:pPr>
        <w:ind w:right="419"/>
        <w:spacing w:after="0" w:line="301" w:lineRule="auto"/>
        <w:rPr>
          <w:sz w:val="20"/>
          <w:szCs w:val="20"/>
          <w:color w:val="auto"/>
        </w:rPr>
      </w:pPr>
      <w:r>
        <w:rPr>
          <w:rFonts w:ascii="Arial" w:cs="Arial" w:eastAsia="Arial" w:hAnsi="Arial"/>
          <w:sz w:val="16"/>
          <w:szCs w:val="16"/>
          <w:color w:val="231F20"/>
        </w:rPr>
        <w:t>Must own* shares with a value at least 2x their applicable base salaries.</w:t>
      </w:r>
    </w:p>
    <w:p>
      <w:pPr>
        <w:spacing w:after="0" w:line="200" w:lineRule="exact"/>
        <w:rPr>
          <w:sz w:val="20"/>
          <w:szCs w:val="20"/>
          <w:color w:val="auto"/>
        </w:rPr>
      </w:pPr>
    </w:p>
    <w:p>
      <w:pPr>
        <w:sectPr>
          <w:pgSz w:w="11900" w:h="16838" w:orient="portrait"/>
          <w:cols w:equalWidth="0" w:num="3">
            <w:col w:w="2780" w:space="720"/>
            <w:col w:w="2200" w:space="720"/>
            <w:col w:w="2599"/>
          </w:cols>
          <w:pgMar w:left="1440" w:top="657" w:right="1440" w:bottom="1440" w:gutter="0" w:footer="0" w:header="0"/>
          <w:type w:val="continuous"/>
        </w:sectPr>
      </w:pPr>
    </w:p>
    <w:p>
      <w:pPr>
        <w:spacing w:after="0" w:line="35" w:lineRule="exact"/>
        <w:rPr>
          <w:sz w:val="20"/>
          <w:szCs w:val="20"/>
          <w:color w:val="auto"/>
        </w:rPr>
      </w:pPr>
    </w:p>
    <w:p>
      <w:pPr>
        <w:ind w:left="320" w:right="239" w:hanging="190"/>
        <w:spacing w:after="0" w:line="284" w:lineRule="auto"/>
        <w:tabs>
          <w:tab w:leader="none" w:pos="320" w:val="left"/>
        </w:tabs>
        <w:numPr>
          <w:ilvl w:val="0"/>
          <w:numId w:val="74"/>
        </w:numPr>
        <w:rPr>
          <w:rFonts w:ascii="Arial" w:cs="Arial" w:eastAsia="Arial" w:hAnsi="Arial"/>
          <w:sz w:val="13"/>
          <w:szCs w:val="13"/>
          <w:color w:val="auto"/>
        </w:rPr>
      </w:pPr>
      <w:r>
        <w:rPr>
          <w:rFonts w:ascii="Arial" w:cs="Arial" w:eastAsia="Arial" w:hAnsi="Arial"/>
          <w:sz w:val="13"/>
          <w:szCs w:val="13"/>
          <w:color w:val="auto"/>
        </w:rPr>
        <w:t>For purposes of our stock ownership guidelines, “owned” shares include shares of the Company’s Class A stock and common stock as well as shares subject to outstanding time-based restricted stock and time-based restricted stock unit awards. Shares subject to unexercised stock options or unvested performance-based restricted stock unit awards are not considered “owned” for purposes of these guidelines.</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295EA3"/>
        </w:rPr>
        <w:t>Insider Trading Policy</w:t>
      </w:r>
    </w:p>
    <w:p>
      <w:pPr>
        <w:spacing w:after="0" w:line="159" w:lineRule="exact"/>
        <w:rPr>
          <w:sz w:val="20"/>
          <w:szCs w:val="20"/>
          <w:color w:val="auto"/>
        </w:rPr>
      </w:pPr>
    </w:p>
    <w:p>
      <w:pPr>
        <w:jc w:val="both"/>
        <w:ind w:left="140" w:right="679"/>
        <w:spacing w:after="0" w:line="295" w:lineRule="auto"/>
        <w:rPr>
          <w:sz w:val="20"/>
          <w:szCs w:val="20"/>
          <w:color w:val="auto"/>
        </w:rPr>
      </w:pPr>
      <w:r>
        <w:rPr>
          <w:rFonts w:ascii="Arial" w:cs="Arial" w:eastAsia="Arial" w:hAnsi="Arial"/>
          <w:sz w:val="16"/>
          <w:szCs w:val="16"/>
          <w:color w:val="auto"/>
        </w:rPr>
        <w:t>We maintain an insider trading policy that governs the purchase, sale, and/or other dispositions of our securities by Regeneron as well as our directors, officers, employees, and certain other persons and entities as specified in the policy. The insider trading policy is designed to promote compliance with applicable insider trading laws, rules, and regulations, and the listing standards of the Nasdaq Stock Market LLC.</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insider trading policy can be found as an exhibit to our 2025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44</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53" w:name="page54"/>
    <w:bookmarkEnd w:id="53"/>
    <w:p>
      <w:pPr>
        <w:jc w:val="center"/>
        <w:ind w:right="-20"/>
        <w:spacing w:after="0"/>
        <w:tabs>
          <w:tab w:leader="none" w:pos="260" w:val="left"/>
          <w:tab w:leader="none" w:pos="240" w:val="left"/>
          <w:tab w:leader="none" w:pos="260" w:val="left"/>
          <w:tab w:leader="none" w:pos="26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b w:val="1"/>
          <w:bCs w:val="1"/>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321" w:lineRule="exact"/>
        <w:rPr>
          <w:sz w:val="20"/>
          <w:szCs w:val="20"/>
          <w:color w:val="auto"/>
        </w:rPr>
      </w:pPr>
    </w:p>
    <w:p>
      <w:pPr>
        <w:ind w:left="80"/>
        <w:spacing w:after="0"/>
        <w:rPr>
          <w:sz w:val="20"/>
          <w:szCs w:val="20"/>
          <w:color w:val="auto"/>
        </w:rPr>
      </w:pPr>
      <w:r>
        <w:rPr>
          <w:rFonts w:ascii="Arial" w:cs="Arial" w:eastAsia="Arial" w:hAnsi="Arial"/>
          <w:sz w:val="52"/>
          <w:szCs w:val="52"/>
          <w:b w:val="1"/>
          <w:bCs w:val="1"/>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Executive Officers of the Company</w:t>
      </w:r>
    </w:p>
    <w:p>
      <w:pPr>
        <w:spacing w:after="0" w:line="181" w:lineRule="exact"/>
        <w:rPr>
          <w:sz w:val="20"/>
          <w:szCs w:val="20"/>
          <w:color w:val="auto"/>
        </w:rPr>
      </w:pPr>
    </w:p>
    <w:p>
      <w:pPr>
        <w:ind w:left="140" w:right="139"/>
        <w:spacing w:after="0" w:line="289" w:lineRule="auto"/>
        <w:rPr>
          <w:sz w:val="20"/>
          <w:szCs w:val="20"/>
          <w:color w:val="auto"/>
        </w:rPr>
      </w:pPr>
      <w:r>
        <w:rPr>
          <w:rFonts w:ascii="Arial" w:cs="Arial" w:eastAsia="Arial" w:hAnsi="Arial"/>
          <w:sz w:val="16"/>
          <w:szCs w:val="16"/>
          <w:color w:val="auto"/>
        </w:rPr>
        <w:t>Our leadership team possesses deep and diverse industry knowledge, a passion for science, and a shared commitment to help transform lives. All officers of the Company are appointed annually and serve at the pleasure of the board of directors. The names, positions, ages, and background of the Company’s executive officers as of April 14, 2026 are set forth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372" w:lineRule="exact"/>
        <w:rPr>
          <w:sz w:val="20"/>
          <w:szCs w:val="20"/>
          <w:color w:val="auto"/>
        </w:rPr>
      </w:pPr>
    </w:p>
    <w:p>
      <w:pPr>
        <w:ind w:left="1980" w:right="639"/>
        <w:spacing w:after="0" w:line="281" w:lineRule="auto"/>
        <w:rPr>
          <w:sz w:val="20"/>
          <w:szCs w:val="20"/>
          <w:color w:val="auto"/>
        </w:rPr>
      </w:pPr>
      <w:r>
        <w:rPr>
          <w:rFonts w:ascii="Arial" w:cs="Arial" w:eastAsia="Arial" w:hAnsi="Arial"/>
          <w:sz w:val="16"/>
          <w:szCs w:val="16"/>
          <w:b w:val="1"/>
          <w:bCs w:val="1"/>
          <w:color w:val="065BAA"/>
        </w:rPr>
        <w:t xml:space="preserve">Leonard S. Schleifer, M.D., Ph.D., </w:t>
      </w:r>
      <w:r>
        <w:rPr>
          <w:rFonts w:ascii="Arial" w:cs="Arial" w:eastAsia="Arial" w:hAnsi="Arial"/>
          <w:sz w:val="16"/>
          <w:szCs w:val="16"/>
          <w:color w:val="000000"/>
        </w:rPr>
        <w:t>73, founded the Company in 1988 and has been a</w:t>
      </w:r>
      <w:r>
        <w:rPr>
          <w:rFonts w:ascii="Arial" w:cs="Arial" w:eastAsia="Arial" w:hAnsi="Arial"/>
          <w:sz w:val="16"/>
          <w:szCs w:val="16"/>
          <w:b w:val="1"/>
          <w:bCs w:val="1"/>
          <w:color w:val="065BAA"/>
        </w:rPr>
        <w:t xml:space="preserve"> </w:t>
      </w:r>
      <w:r>
        <w:rPr>
          <w:rFonts w:ascii="Arial" w:cs="Arial" w:eastAsia="Arial" w:hAnsi="Arial"/>
          <w:sz w:val="16"/>
          <w:szCs w:val="16"/>
          <w:color w:val="000000"/>
        </w:rPr>
        <w:t>director and its President and Chief Executive Officer since its inception. Dr. Schleifer has served as co-Chair of the Board since 2023 and previously served as Chair of the Board from 1990 through 1994. Dr. Schleifer, together with Regeneron’s founding scientist,</w:t>
      </w:r>
    </w:p>
    <w:p>
      <w:pPr>
        <w:spacing w:after="0" w:line="2" w:lineRule="exact"/>
        <w:rPr>
          <w:sz w:val="20"/>
          <w:szCs w:val="20"/>
          <w:color w:val="auto"/>
        </w:rPr>
      </w:pPr>
    </w:p>
    <w:p>
      <w:pPr>
        <w:ind w:left="1980" w:right="359"/>
        <w:spacing w:after="0" w:line="295" w:lineRule="auto"/>
        <w:rPr>
          <w:sz w:val="20"/>
          <w:szCs w:val="20"/>
          <w:color w:val="auto"/>
        </w:rPr>
      </w:pPr>
      <w:r>
        <w:rPr>
          <w:rFonts w:ascii="Arial" w:cs="Arial" w:eastAsia="Arial" w:hAnsi="Arial"/>
          <w:sz w:val="16"/>
          <w:szCs w:val="16"/>
          <w:color w:val="auto"/>
        </w:rPr>
        <w:t>Dr. Yancopoulos, built and has managed the Company over the past 38 years. Dr. Schleifer received his M.D. and Ph.D. in Pharmacology from the University of Virginia. Dr. Schleifer is a licensed physician and is certified in Neurology by the American Board of Psychiatry and Neurology.</w:t>
      </w:r>
    </w:p>
    <w:p>
      <w:pPr>
        <w:spacing w:after="0" w:line="200" w:lineRule="exact"/>
        <w:rPr>
          <w:sz w:val="20"/>
          <w:szCs w:val="20"/>
          <w:color w:val="auto"/>
        </w:rPr>
      </w:pPr>
    </w:p>
    <w:p>
      <w:pPr>
        <w:spacing w:after="0" w:line="205" w:lineRule="exact"/>
        <w:rPr>
          <w:sz w:val="20"/>
          <w:szCs w:val="20"/>
          <w:color w:val="auto"/>
        </w:rPr>
      </w:pPr>
    </w:p>
    <w:p>
      <w:pPr>
        <w:ind w:left="1980" w:right="279"/>
        <w:spacing w:after="0" w:line="281" w:lineRule="auto"/>
        <w:rPr>
          <w:sz w:val="20"/>
          <w:szCs w:val="20"/>
          <w:color w:val="auto"/>
        </w:rPr>
      </w:pPr>
      <w:r>
        <w:rPr>
          <w:rFonts w:ascii="Arial" w:cs="Arial" w:eastAsia="Arial" w:hAnsi="Arial"/>
          <w:sz w:val="16"/>
          <w:szCs w:val="16"/>
          <w:b w:val="1"/>
          <w:bCs w:val="1"/>
          <w:color w:val="065BAA"/>
        </w:rPr>
        <w:t xml:space="preserve">George D. Yancopoulos, M.D., Ph.D., </w:t>
      </w:r>
      <w:r>
        <w:rPr>
          <w:rFonts w:ascii="Arial" w:cs="Arial" w:eastAsia="Arial" w:hAnsi="Arial"/>
          <w:sz w:val="16"/>
          <w:szCs w:val="16"/>
          <w:color w:val="231F20"/>
        </w:rPr>
        <w:t>66, joined Dr. Schleifer in 1989 as founding scientist of</w:t>
      </w:r>
      <w:r>
        <w:rPr>
          <w:rFonts w:ascii="Arial" w:cs="Arial" w:eastAsia="Arial" w:hAnsi="Arial"/>
          <w:sz w:val="16"/>
          <w:szCs w:val="16"/>
          <w:b w:val="1"/>
          <w:bCs w:val="1"/>
          <w:color w:val="065BAA"/>
        </w:rPr>
        <w:t xml:space="preserve"> </w:t>
      </w:r>
      <w:r>
        <w:rPr>
          <w:rFonts w:ascii="Arial" w:cs="Arial" w:eastAsia="Arial" w:hAnsi="Arial"/>
          <w:sz w:val="16"/>
          <w:szCs w:val="16"/>
          <w:color w:val="231F20"/>
        </w:rPr>
        <w:t>the Company, and together they built and have managed the Company since then.</w:t>
      </w:r>
    </w:p>
    <w:p>
      <w:pPr>
        <w:spacing w:after="0" w:line="1" w:lineRule="exact"/>
        <w:rPr>
          <w:sz w:val="20"/>
          <w:szCs w:val="20"/>
          <w:color w:val="auto"/>
        </w:rPr>
      </w:pPr>
    </w:p>
    <w:p>
      <w:pPr>
        <w:ind w:left="1980" w:right="239"/>
        <w:spacing w:after="0" w:line="261" w:lineRule="auto"/>
        <w:rPr>
          <w:sz w:val="20"/>
          <w:szCs w:val="20"/>
          <w:color w:val="auto"/>
        </w:rPr>
      </w:pPr>
      <w:r>
        <w:rPr>
          <w:rFonts w:ascii="Arial" w:cs="Arial" w:eastAsia="Arial" w:hAnsi="Arial"/>
          <w:sz w:val="16"/>
          <w:szCs w:val="16"/>
          <w:color w:val="231F20"/>
        </w:rPr>
        <w:t>Dr. Yancopoulos is currently President and Chief Scientific Officer, and has served as a director since 2001 and as co-Chair of the Board since 2023. He received his M.D. and Ph.D. from Columbia University. Dr. Yancopoulos was the 11</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most highly cited scientist in the world in the 1990s, and in 2004 he was elected to be a member of the National Academy of Sciences.</w:t>
      </w:r>
    </w:p>
    <w:p>
      <w:pPr>
        <w:spacing w:after="0" w:line="1" w:lineRule="exact"/>
        <w:rPr>
          <w:sz w:val="20"/>
          <w:szCs w:val="20"/>
          <w:color w:val="auto"/>
        </w:rPr>
      </w:pPr>
    </w:p>
    <w:p>
      <w:pPr>
        <w:ind w:left="1980" w:right="459"/>
        <w:spacing w:after="0" w:line="287" w:lineRule="auto"/>
        <w:rPr>
          <w:sz w:val="20"/>
          <w:szCs w:val="20"/>
          <w:color w:val="auto"/>
        </w:rPr>
      </w:pPr>
      <w:r>
        <w:rPr>
          <w:rFonts w:ascii="Arial" w:cs="Arial" w:eastAsia="Arial" w:hAnsi="Arial"/>
          <w:sz w:val="16"/>
          <w:szCs w:val="16"/>
          <w:color w:val="231F20"/>
        </w:rPr>
        <w:t xml:space="preserve">Dr. Yancopoulos, together with key members of his team, is a principal inventor and/or developer of the 13 FDA-approved drugs the Company has developed, EYLEA, EYLEA HD, Dupixent, Libtayo, Praluent, Kevzara, Lynozyfic, Evkeeza, Inmazeb, Veopoz, Otarmeni, ZALTRAP, and ARCALYST, as well as of its foundation technologies, including the TRAP technology, </w:t>
      </w:r>
      <w:r>
        <w:rPr>
          <w:rFonts w:ascii="Arial" w:cs="Arial" w:eastAsia="Arial" w:hAnsi="Arial"/>
          <w:sz w:val="16"/>
          <w:szCs w:val="16"/>
          <w:i w:val="1"/>
          <w:iCs w:val="1"/>
          <w:color w:val="231F20"/>
        </w:rPr>
        <w:t>VelociGene</w:t>
      </w:r>
      <w:r>
        <w:rPr>
          <w:rFonts w:ascii="Arial" w:cs="Arial" w:eastAsia="Arial" w:hAnsi="Arial"/>
          <w:sz w:val="21"/>
          <w:szCs w:val="21"/>
          <w:color w:val="010101"/>
          <w:vertAlign w:val="superscript"/>
        </w:rPr>
        <w:t>®</w:t>
      </w:r>
      <w:r>
        <w:rPr>
          <w:rFonts w:ascii="Arial" w:cs="Arial" w:eastAsia="Arial" w:hAnsi="Arial"/>
          <w:sz w:val="16"/>
          <w:szCs w:val="16"/>
          <w:color w:val="231F20"/>
        </w:rPr>
        <w:t xml:space="preserve">, and </w:t>
      </w:r>
      <w:r>
        <w:rPr>
          <w:rFonts w:ascii="Arial" w:cs="Arial" w:eastAsia="Arial" w:hAnsi="Arial"/>
          <w:sz w:val="16"/>
          <w:szCs w:val="16"/>
          <w:i w:val="1"/>
          <w:iCs w:val="1"/>
          <w:color w:val="231F20"/>
        </w:rPr>
        <w:t>VelocImmune</w:t>
      </w:r>
      <w:r>
        <w:rPr>
          <w:rFonts w:ascii="Arial" w:cs="Arial" w:eastAsia="Arial" w:hAnsi="Arial"/>
          <w:sz w:val="21"/>
          <w:szCs w:val="21"/>
          <w:color w:val="010101"/>
          <w:vertAlign w:val="superscript"/>
        </w:rPr>
        <w:t>®</w:t>
      </w:r>
      <w:r>
        <w:rPr>
          <w:rFonts w:ascii="Arial" w:cs="Arial" w:eastAsia="Arial" w:hAnsi="Arial"/>
          <w:sz w:val="16"/>
          <w:szCs w:val="16"/>
          <w:color w:val="231F20"/>
        </w:rPr>
        <w:t>.</w:t>
      </w:r>
    </w:p>
    <w:p>
      <w:pPr>
        <w:spacing w:after="0" w:line="357" w:lineRule="exact"/>
        <w:rPr>
          <w:sz w:val="20"/>
          <w:szCs w:val="20"/>
          <w:color w:val="auto"/>
        </w:rPr>
      </w:pPr>
    </w:p>
    <w:p>
      <w:pPr>
        <w:ind w:left="1980" w:right="219"/>
        <w:spacing w:after="0" w:line="285" w:lineRule="auto"/>
        <w:rPr>
          <w:sz w:val="20"/>
          <w:szCs w:val="20"/>
          <w:color w:val="auto"/>
        </w:rPr>
      </w:pPr>
      <w:r>
        <w:rPr>
          <w:rFonts w:ascii="Arial" w:cs="Arial" w:eastAsia="Arial" w:hAnsi="Arial"/>
          <w:sz w:val="16"/>
          <w:szCs w:val="16"/>
          <w:b w:val="1"/>
          <w:bCs w:val="1"/>
          <w:color w:val="065BAA"/>
        </w:rPr>
        <w:t xml:space="preserve">Christopher Fenimore, </w:t>
      </w:r>
      <w:r>
        <w:rPr>
          <w:rFonts w:ascii="Arial" w:cs="Arial" w:eastAsia="Arial" w:hAnsi="Arial"/>
          <w:sz w:val="16"/>
          <w:szCs w:val="16"/>
          <w:color w:val="231F20"/>
        </w:rPr>
        <w:t>55, has been Executive Vice President, Finance and Chief</w:t>
      </w:r>
      <w:r>
        <w:rPr>
          <w:rFonts w:ascii="Arial" w:cs="Arial" w:eastAsia="Arial" w:hAnsi="Arial"/>
          <w:sz w:val="16"/>
          <w:szCs w:val="16"/>
          <w:b w:val="1"/>
          <w:bCs w:val="1"/>
          <w:color w:val="065BAA"/>
        </w:rPr>
        <w:t xml:space="preserve"> </w:t>
      </w:r>
      <w:r>
        <w:rPr>
          <w:rFonts w:ascii="Arial" w:cs="Arial" w:eastAsia="Arial" w:hAnsi="Arial"/>
          <w:sz w:val="16"/>
          <w:szCs w:val="16"/>
          <w:color w:val="231F20"/>
        </w:rPr>
        <w:t>Financial Officer since January 2025. He previously served as Senior Vice President, Finance and Chief Financial Officer from February 2024 to December 2024; Senior Vice President, Controller from January 2021 to February 2024; Vice President, Controller from March 2017 to December 2020; Vice President, Deputy Controller from January 2017 to March 2017; and Vice President, Financial Planning from January 2012 to December 2016. Prior to joining the Company in 2003, he was Vice President, Finance for a biotechnology start-up and worked in other healthcare industry-focused venture capital and investment banking roles. Mr. Fenimore started his career as an auditor at KPMG and is a Certified Public Accountant in the State of New York. Mr. Fenimore holds an M.A. in Biotechnology from Columbia University, an M.B.A. in Professional Accounting from Rutgers Business School, and a B.A. in Economics from Rutgers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45</w:t>
            </w:r>
          </w:p>
        </w:tc>
      </w:tr>
    </w:tbl>
    <w:p>
      <w:pPr>
        <w:sectPr>
          <w:pgSz w:w="11900" w:h="16838" w:orient="portrait"/>
          <w:cols w:equalWidth="0" w:num="1">
            <w:col w:w="9019"/>
          </w:cols>
          <w:pgMar w:left="1440" w:top="657" w:right="1440" w:bottom="1440" w:gutter="0" w:footer="0" w:header="0"/>
        </w:sectPr>
      </w:pPr>
    </w:p>
    <w:bookmarkStart w:id="54" w:name="page55"/>
    <w:bookmarkEnd w:id="54"/>
    <w:p>
      <w:pPr>
        <w:jc w:val="center"/>
        <w:ind w:right="-20"/>
        <w:spacing w:after="0"/>
        <w:tabs>
          <w:tab w:leader="none" w:pos="260" w:val="left"/>
          <w:tab w:leader="none" w:pos="240" w:val="left"/>
          <w:tab w:leader="none" w:pos="260" w:val="left"/>
          <w:tab w:leader="none" w:pos="26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b w:val="1"/>
          <w:bCs w:val="1"/>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980" w:right="239"/>
        <w:spacing w:after="0" w:line="284" w:lineRule="auto"/>
        <w:rPr>
          <w:sz w:val="20"/>
          <w:szCs w:val="20"/>
          <w:color w:val="auto"/>
        </w:rPr>
      </w:pPr>
      <w:r>
        <w:rPr>
          <w:rFonts w:ascii="Arial" w:cs="Arial" w:eastAsia="Arial" w:hAnsi="Arial"/>
          <w:sz w:val="16"/>
          <w:szCs w:val="16"/>
          <w:b w:val="1"/>
          <w:bCs w:val="1"/>
          <w:color w:val="065BAA"/>
        </w:rPr>
        <w:t xml:space="preserve">Joseph J. LaRosa, </w:t>
      </w:r>
      <w:r>
        <w:rPr>
          <w:rFonts w:ascii="Arial" w:cs="Arial" w:eastAsia="Arial" w:hAnsi="Arial"/>
          <w:sz w:val="16"/>
          <w:szCs w:val="16"/>
          <w:color w:val="000000"/>
        </w:rPr>
        <w:t>67, has been Executive Vice President, General Counsel and Secretary</w:t>
      </w:r>
      <w:r>
        <w:rPr>
          <w:rFonts w:ascii="Arial" w:cs="Arial" w:eastAsia="Arial" w:hAnsi="Arial"/>
          <w:sz w:val="16"/>
          <w:szCs w:val="16"/>
          <w:b w:val="1"/>
          <w:bCs w:val="1"/>
          <w:color w:val="065BAA"/>
        </w:rPr>
        <w:t xml:space="preserve"> </w:t>
      </w:r>
      <w:r>
        <w:rPr>
          <w:rFonts w:ascii="Arial" w:cs="Arial" w:eastAsia="Arial" w:hAnsi="Arial"/>
          <w:sz w:val="16"/>
          <w:szCs w:val="16"/>
          <w:color w:val="000000"/>
        </w:rPr>
        <w:t>since January 2019. From September 2011 to December 2018, he served as Senior Vice President, General Counsel and Secretary. Before joining Regeneron, Mr. LaRosa was Senior Vice President, General Counsel, and Secretary at Nycomed US Inc. Mr. LaRosa’s prior experience includes working in a number of senior legal positions at Schering-Plough Corporation from 1993 to 2009, where he was a corporate officer and served most recently as Vice President, Legal Affairs, and a member of the Operations Management Team. Mr. LaRosa currently serves on the board of directors and executive committee of the Biotechnology Innovation Organization (BIO). Mr. LaRosa received his J.D. from New York University School of Law.</w:t>
      </w:r>
    </w:p>
    <w:p>
      <w:pPr>
        <w:spacing w:after="0" w:line="200" w:lineRule="exact"/>
        <w:rPr>
          <w:sz w:val="20"/>
          <w:szCs w:val="20"/>
          <w:color w:val="auto"/>
        </w:rPr>
      </w:pPr>
    </w:p>
    <w:p>
      <w:pPr>
        <w:spacing w:after="0" w:line="228" w:lineRule="exact"/>
        <w:rPr>
          <w:sz w:val="20"/>
          <w:szCs w:val="20"/>
          <w:color w:val="auto"/>
        </w:rPr>
      </w:pPr>
    </w:p>
    <w:p>
      <w:pPr>
        <w:ind w:left="1980" w:right="239"/>
        <w:spacing w:after="0" w:line="277" w:lineRule="auto"/>
        <w:rPr>
          <w:sz w:val="20"/>
          <w:szCs w:val="20"/>
          <w:color w:val="auto"/>
        </w:rPr>
      </w:pPr>
      <w:r>
        <w:rPr>
          <w:rFonts w:ascii="Arial" w:cs="Arial" w:eastAsia="Arial" w:hAnsi="Arial"/>
          <w:sz w:val="16"/>
          <w:szCs w:val="16"/>
          <w:b w:val="1"/>
          <w:bCs w:val="1"/>
          <w:color w:val="065BAA"/>
        </w:rPr>
        <w:t xml:space="preserve">Marion McCourt, </w:t>
      </w:r>
      <w:r>
        <w:rPr>
          <w:rFonts w:ascii="Arial" w:cs="Arial" w:eastAsia="Arial" w:hAnsi="Arial"/>
          <w:sz w:val="16"/>
          <w:szCs w:val="16"/>
          <w:color w:val="000000"/>
        </w:rPr>
        <w:t>66, has been Executive Vice President, Commercial since January 2021.</w:t>
      </w:r>
      <w:r>
        <w:rPr>
          <w:rFonts w:ascii="Arial" w:cs="Arial" w:eastAsia="Arial" w:hAnsi="Arial"/>
          <w:sz w:val="16"/>
          <w:szCs w:val="16"/>
          <w:b w:val="1"/>
          <w:bCs w:val="1"/>
          <w:color w:val="065BAA"/>
        </w:rPr>
        <w:t xml:space="preserve"> </w:t>
      </w:r>
      <w:r>
        <w:rPr>
          <w:rFonts w:ascii="Arial" w:cs="Arial" w:eastAsia="Arial" w:hAnsi="Arial"/>
          <w:sz w:val="16"/>
          <w:szCs w:val="16"/>
          <w:color w:val="000000"/>
        </w:rPr>
        <w:t>She previously served as Senior Vice President, Commercial from February 2018 to December 2020. From April 2017 until joining the Company, Ms. McCourt served as the Principal Operating Officer and the Chief Operating Officer and President of Axovant Sciences, Inc.</w:t>
      </w:r>
    </w:p>
    <w:p>
      <w:pPr>
        <w:spacing w:after="0" w:line="1" w:lineRule="exact"/>
        <w:rPr>
          <w:sz w:val="20"/>
          <w:szCs w:val="20"/>
          <w:color w:val="auto"/>
        </w:rPr>
      </w:pPr>
    </w:p>
    <w:p>
      <w:pPr>
        <w:ind w:left="1980" w:right="179"/>
        <w:spacing w:after="0" w:line="281" w:lineRule="auto"/>
        <w:rPr>
          <w:sz w:val="20"/>
          <w:szCs w:val="20"/>
          <w:color w:val="auto"/>
        </w:rPr>
      </w:pPr>
      <w:r>
        <w:rPr>
          <w:rFonts w:ascii="Arial" w:cs="Arial" w:eastAsia="Arial" w:hAnsi="Arial"/>
          <w:sz w:val="16"/>
          <w:szCs w:val="16"/>
          <w:color w:val="auto"/>
        </w:rPr>
        <w:t>Ms. McCourt previously served as chief operating officer of Medivation, Inc. from February 2016 until its acquisition by Pfizer Inc. in September 2016. Previously, Ms. McCourt worked at Amgen Inc., where she most recently served as a Vice President in U.S. Commercial Operations from February 2014 to January 2016. From May 2013 to January 2014,</w:t>
      </w:r>
    </w:p>
    <w:p>
      <w:pPr>
        <w:spacing w:after="0" w:line="2" w:lineRule="exact"/>
        <w:rPr>
          <w:sz w:val="20"/>
          <w:szCs w:val="20"/>
          <w:color w:val="auto"/>
        </w:rPr>
      </w:pPr>
    </w:p>
    <w:p>
      <w:pPr>
        <w:ind w:left="1980" w:right="219"/>
        <w:spacing w:after="0" w:line="286" w:lineRule="auto"/>
        <w:rPr>
          <w:sz w:val="20"/>
          <w:szCs w:val="20"/>
          <w:color w:val="auto"/>
        </w:rPr>
      </w:pPr>
      <w:r>
        <w:rPr>
          <w:rFonts w:ascii="Arial" w:cs="Arial" w:eastAsia="Arial" w:hAnsi="Arial"/>
          <w:sz w:val="16"/>
          <w:szCs w:val="16"/>
          <w:color w:val="auto"/>
        </w:rPr>
        <w:t>Ms. McCourt served as Vice President and General Manager at Amgen where she was responsible for the bone health and primary care business unit. From 2012 to 2013, she was Chief Operating Officer for AstraZeneca U.S., a division of AstraZeneca plc. Her responsibilities included oversight and leadership of all U.S. commercial functions, including medical affairs, business development, finance, human resources, legal, operations, and corporate affairs. During her 12-year tenure at AstraZeneca, Ms. McCourt was President and Chief Executive Officer of AstraZeneca Canada Inc. from 2011 to 2012 and also held various other roles at AstraZeneca Pharmaceuticals LP, a subsidiary of AstraZeneca plc. Ms. McCourt received her B.S. in Biology from Lafayette College.</w:t>
      </w:r>
    </w:p>
    <w:p>
      <w:pPr>
        <w:spacing w:after="0" w:line="200" w:lineRule="exact"/>
        <w:rPr>
          <w:sz w:val="20"/>
          <w:szCs w:val="20"/>
          <w:color w:val="auto"/>
        </w:rPr>
      </w:pPr>
    </w:p>
    <w:p>
      <w:pPr>
        <w:spacing w:after="0" w:line="230" w:lineRule="exact"/>
        <w:rPr>
          <w:sz w:val="20"/>
          <w:szCs w:val="20"/>
          <w:color w:val="auto"/>
        </w:rPr>
      </w:pPr>
    </w:p>
    <w:p>
      <w:pPr>
        <w:ind w:left="1980" w:right="339"/>
        <w:spacing w:after="0" w:line="275" w:lineRule="auto"/>
        <w:rPr>
          <w:sz w:val="20"/>
          <w:szCs w:val="20"/>
          <w:color w:val="auto"/>
        </w:rPr>
      </w:pPr>
      <w:r>
        <w:rPr>
          <w:rFonts w:ascii="Arial" w:cs="Arial" w:eastAsia="Arial" w:hAnsi="Arial"/>
          <w:sz w:val="16"/>
          <w:szCs w:val="16"/>
          <w:b w:val="1"/>
          <w:bCs w:val="1"/>
          <w:color w:val="065BAA"/>
        </w:rPr>
        <w:t xml:space="preserve">Andrew J. Murphy, Ph.D., </w:t>
      </w:r>
      <w:r>
        <w:rPr>
          <w:rFonts w:ascii="Arial" w:cs="Arial" w:eastAsia="Arial" w:hAnsi="Arial"/>
          <w:sz w:val="16"/>
          <w:szCs w:val="16"/>
          <w:color w:val="000000"/>
        </w:rPr>
        <w:t>68, has been Executive Vice President, Co-Chief Scientific Officer</w:t>
      </w:r>
      <w:r>
        <w:rPr>
          <w:rFonts w:ascii="Arial" w:cs="Arial" w:eastAsia="Arial" w:hAnsi="Arial"/>
          <w:sz w:val="16"/>
          <w:szCs w:val="16"/>
          <w:b w:val="1"/>
          <w:bCs w:val="1"/>
          <w:color w:val="065BAA"/>
        </w:rPr>
        <w:t xml:space="preserve"> </w:t>
      </w:r>
      <w:r>
        <w:rPr>
          <w:rFonts w:ascii="Arial" w:cs="Arial" w:eastAsia="Arial" w:hAnsi="Arial"/>
          <w:sz w:val="16"/>
          <w:szCs w:val="16"/>
          <w:color w:val="000000"/>
        </w:rPr>
        <w:t xml:space="preserve">since January 2026. He previously served as Executive Vice President, Research from January 2019 to December 2025; Senior Vice President, Research, Regeneron Laboratories from January 2013 to December 2018; Vice President, Target Discovery from May 2005 to December 2012; Vice President, Gene Discovery and Bioinformatics from January 2001 to May 2005; and Director of Genomics and Bioinformatics from May 1999 to December 2000. Dr. Murphy is a co-inventor of several of the Company’s key technologies, including </w:t>
      </w:r>
      <w:r>
        <w:rPr>
          <w:rFonts w:ascii="Arial" w:cs="Arial" w:eastAsia="Arial" w:hAnsi="Arial"/>
          <w:sz w:val="16"/>
          <w:szCs w:val="16"/>
          <w:i w:val="1"/>
          <w:iCs w:val="1"/>
          <w:color w:val="000000"/>
        </w:rPr>
        <w:t>VelociGene</w:t>
      </w:r>
      <w:r>
        <w:rPr>
          <w:rFonts w:ascii="Arial" w:cs="Arial" w:eastAsia="Arial" w:hAnsi="Arial"/>
          <w:sz w:val="21"/>
          <w:szCs w:val="21"/>
          <w:color w:val="000000"/>
          <w:vertAlign w:val="superscript"/>
        </w:rPr>
        <w:t>®</w:t>
      </w:r>
      <w:r>
        <w:rPr>
          <w:rFonts w:ascii="Arial" w:cs="Arial" w:eastAsia="Arial" w:hAnsi="Arial"/>
          <w:sz w:val="16"/>
          <w:szCs w:val="16"/>
          <w:i w:val="1"/>
          <w:iCs w:val="1"/>
          <w:color w:val="000000"/>
        </w:rPr>
        <w:t xml:space="preserve"> </w:t>
      </w:r>
      <w:r>
        <w:rPr>
          <w:rFonts w:ascii="Arial" w:cs="Arial" w:eastAsia="Arial" w:hAnsi="Arial"/>
          <w:sz w:val="16"/>
          <w:szCs w:val="16"/>
          <w:color w:val="000000"/>
        </w:rPr>
        <w:t>and</w:t>
      </w:r>
      <w:r>
        <w:rPr>
          <w:rFonts w:ascii="Arial" w:cs="Arial" w:eastAsia="Arial" w:hAnsi="Arial"/>
          <w:sz w:val="16"/>
          <w:szCs w:val="16"/>
          <w:i w:val="1"/>
          <w:iCs w:val="1"/>
          <w:color w:val="000000"/>
        </w:rPr>
        <w:t xml:space="preserve"> VelocImmune</w:t>
      </w:r>
      <w:r>
        <w:rPr>
          <w:rFonts w:ascii="Arial" w:cs="Arial" w:eastAsia="Arial" w:hAnsi="Arial"/>
          <w:sz w:val="21"/>
          <w:szCs w:val="21"/>
          <w:color w:val="000000"/>
          <w:vertAlign w:val="superscript"/>
        </w:rPr>
        <w:t>®</w:t>
      </w:r>
      <w:r>
        <w:rPr>
          <w:rFonts w:ascii="Arial" w:cs="Arial" w:eastAsia="Arial" w:hAnsi="Arial"/>
          <w:sz w:val="16"/>
          <w:szCs w:val="16"/>
          <w:color w:val="000000"/>
        </w:rPr>
        <w:t>, and continues to lead several technology centers and</w:t>
      </w:r>
      <w:r>
        <w:rPr>
          <w:rFonts w:ascii="Arial" w:cs="Arial" w:eastAsia="Arial" w:hAnsi="Arial"/>
          <w:sz w:val="16"/>
          <w:szCs w:val="16"/>
          <w:i w:val="1"/>
          <w:iCs w:val="1"/>
          <w:color w:val="000000"/>
        </w:rPr>
        <w:t xml:space="preserve"> </w:t>
      </w:r>
      <w:r>
        <w:rPr>
          <w:rFonts w:ascii="Arial" w:cs="Arial" w:eastAsia="Arial" w:hAnsi="Arial"/>
          <w:sz w:val="16"/>
          <w:szCs w:val="16"/>
          <w:color w:val="000000"/>
        </w:rPr>
        <w:t>therapeutic focus areas. He received his B.S. in Molecular Biology at the University of Wisconsin, and his Ph.D. in Human Genetics from Columbia University, College of Physicians and Surgeons.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46</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55" w:name="page56"/>
    <w:bookmarkEnd w:id="55"/>
    <w:p>
      <w:pPr>
        <w:jc w:val="center"/>
        <w:ind w:right="-20"/>
        <w:spacing w:after="0"/>
        <w:tabs>
          <w:tab w:leader="none" w:pos="260" w:val="left"/>
          <w:tab w:leader="none" w:pos="240" w:val="left"/>
          <w:tab w:leader="none" w:pos="260" w:val="left"/>
          <w:tab w:leader="none" w:pos="26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b w:val="1"/>
          <w:bCs w:val="1"/>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980" w:right="439"/>
        <w:spacing w:after="0" w:line="284" w:lineRule="auto"/>
        <w:rPr>
          <w:sz w:val="20"/>
          <w:szCs w:val="20"/>
          <w:color w:val="auto"/>
        </w:rPr>
      </w:pPr>
      <w:r>
        <w:rPr>
          <w:rFonts w:ascii="Arial" w:cs="Arial" w:eastAsia="Arial" w:hAnsi="Arial"/>
          <w:sz w:val="16"/>
          <w:szCs w:val="16"/>
          <w:b w:val="1"/>
          <w:bCs w:val="1"/>
          <w:color w:val="065BAA"/>
        </w:rPr>
        <w:t xml:space="preserve">Jason Pitofsky, </w:t>
      </w:r>
      <w:r>
        <w:rPr>
          <w:rFonts w:ascii="Arial" w:cs="Arial" w:eastAsia="Arial" w:hAnsi="Arial"/>
          <w:sz w:val="16"/>
          <w:szCs w:val="16"/>
          <w:color w:val="000000"/>
        </w:rPr>
        <w:t>49, has been Senior Vice President, Controller since January 2026. He</w:t>
      </w:r>
      <w:r>
        <w:rPr>
          <w:rFonts w:ascii="Arial" w:cs="Arial" w:eastAsia="Arial" w:hAnsi="Arial"/>
          <w:sz w:val="16"/>
          <w:szCs w:val="16"/>
          <w:b w:val="1"/>
          <w:bCs w:val="1"/>
          <w:color w:val="065BAA"/>
        </w:rPr>
        <w:t xml:space="preserve"> </w:t>
      </w:r>
      <w:r>
        <w:rPr>
          <w:rFonts w:ascii="Arial" w:cs="Arial" w:eastAsia="Arial" w:hAnsi="Arial"/>
          <w:sz w:val="16"/>
          <w:szCs w:val="16"/>
          <w:color w:val="000000"/>
        </w:rPr>
        <w:t>previously served as Vice President, Controller from February 2024 to December 2025; Vice President, Accounting and Financial Reporting from January 2021 to February 2024; and Executive Director, Accounting and Financial Reporting from January 2017 to December 2020. Between 2011 and 2017, Mr. Pitofsky held positions of increasing responsibility in the Company’s accounting department. Prior to joining the Company in 2011, he was a Senior Manager at PricewaterhouseCoopers LLP. Mr. Pitofsky holds a B.S. in Accounting from Binghamton University and is a Certified Public Accountant in the State of New York.</w:t>
      </w:r>
    </w:p>
    <w:p>
      <w:pPr>
        <w:spacing w:after="0" w:line="391" w:lineRule="exact"/>
        <w:rPr>
          <w:sz w:val="20"/>
          <w:szCs w:val="20"/>
          <w:color w:val="auto"/>
        </w:rPr>
      </w:pPr>
    </w:p>
    <w:p>
      <w:pPr>
        <w:ind w:left="1980" w:right="379"/>
        <w:spacing w:after="0" w:line="283" w:lineRule="auto"/>
        <w:rPr>
          <w:sz w:val="20"/>
          <w:szCs w:val="20"/>
          <w:color w:val="auto"/>
        </w:rPr>
      </w:pPr>
      <w:r>
        <w:rPr>
          <w:rFonts w:ascii="Arial" w:cs="Arial" w:eastAsia="Arial" w:hAnsi="Arial"/>
          <w:sz w:val="16"/>
          <w:szCs w:val="16"/>
          <w:b w:val="1"/>
          <w:bCs w:val="1"/>
          <w:color w:val="065BAA"/>
        </w:rPr>
        <w:t xml:space="preserve">Daniel P. Van Plew, </w:t>
      </w:r>
      <w:r>
        <w:rPr>
          <w:rFonts w:ascii="Arial" w:cs="Arial" w:eastAsia="Arial" w:hAnsi="Arial"/>
          <w:sz w:val="16"/>
          <w:szCs w:val="16"/>
          <w:color w:val="000000"/>
        </w:rPr>
        <w:t>53, has been Executive Vice President and General Manager,</w:t>
      </w:r>
      <w:r>
        <w:rPr>
          <w:rFonts w:ascii="Arial" w:cs="Arial" w:eastAsia="Arial" w:hAnsi="Arial"/>
          <w:sz w:val="16"/>
          <w:szCs w:val="16"/>
          <w:b w:val="1"/>
          <w:bCs w:val="1"/>
          <w:color w:val="065BAA"/>
        </w:rPr>
        <w:t xml:space="preserve"> </w:t>
      </w:r>
      <w:r>
        <w:rPr>
          <w:rFonts w:ascii="Arial" w:cs="Arial" w:eastAsia="Arial" w:hAnsi="Arial"/>
          <w:sz w:val="16"/>
          <w:szCs w:val="16"/>
          <w:color w:val="000000"/>
        </w:rPr>
        <w:t>Industrial Operations and Product Supply since January 2016. From April 2008 to December 2015, Mr. Van Plew served as Senior Vice President and General Manager, Industrial Operations and Product Supply. Prior to that date, he served as Vice President and General Manager, Industrial Operations and Product Supply since joining the Company in 2007. From 2006 until 2007, Mr. Van Plew served as Executive Vice President, R&amp;D and Technical Operations of Crucell Holland B.V., a global biopharmaceutical company. Between 2004 and 2006, Mr. Van Plew held positions of 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 Mr. Van Plew received his M.S. in Chemistry from The Pennsylvania State University and his M.B.A. from Michigan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47</w:t>
            </w:r>
          </w:p>
        </w:tc>
      </w:tr>
    </w:tbl>
    <w:p>
      <w:pPr>
        <w:sectPr>
          <w:pgSz w:w="11900" w:h="16838" w:orient="portrait"/>
          <w:cols w:equalWidth="0" w:num="1">
            <w:col w:w="9019"/>
          </w:cols>
          <w:pgMar w:left="1440" w:top="657" w:right="1440" w:bottom="1440" w:gutter="0" w:footer="0" w:header="0"/>
        </w:sectPr>
      </w:pPr>
    </w:p>
    <w:bookmarkStart w:id="56" w:name="page57"/>
    <w:bookmarkEnd w:id="56"/>
    <w:p>
      <w:pPr>
        <w:jc w:val="center"/>
        <w:ind w:right="-20"/>
        <w:spacing w:after="0"/>
        <w:tabs>
          <w:tab w:leader="none" w:pos="260" w:val="left"/>
          <w:tab w:leader="none" w:pos="240" w:val="left"/>
          <w:tab w:leader="none" w:pos="260" w:val="left"/>
          <w:tab w:leader="none" w:pos="26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b w:val="1"/>
          <w:bCs w:val="1"/>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Corporate Responsibility</w:t>
      </w:r>
    </w:p>
    <w:p>
      <w:pPr>
        <w:spacing w:after="0" w:line="195" w:lineRule="exact"/>
        <w:rPr>
          <w:sz w:val="20"/>
          <w:szCs w:val="20"/>
          <w:color w:val="auto"/>
        </w:rPr>
      </w:pPr>
    </w:p>
    <w:p>
      <w:pPr>
        <w:ind w:left="140" w:right="419"/>
        <w:spacing w:after="0" w:line="289" w:lineRule="auto"/>
        <w:rPr>
          <w:sz w:val="20"/>
          <w:szCs w:val="20"/>
          <w:color w:val="auto"/>
        </w:rPr>
      </w:pPr>
      <w:r>
        <w:rPr>
          <w:rFonts w:ascii="Arial" w:cs="Arial" w:eastAsia="Arial" w:hAnsi="Arial"/>
          <w:sz w:val="16"/>
          <w:szCs w:val="16"/>
          <w:color w:val="auto"/>
        </w:rPr>
        <w:t>Regeneron’s mission is to use the power of science to repeatedly bring life-changing medicines to patients. We are committed to operating responsibly, communicating transparently about our impacts, and engaging stakeholders in our mission. We strive to “Do Well by Doing Good,” which guides our approach to corporate responsibility. We disclose detailed information about significant corporate responsibility matters in our annual responsibility reports.</w:t>
      </w:r>
    </w:p>
    <w:p>
      <w:pPr>
        <w:spacing w:after="0" w:line="99" w:lineRule="exact"/>
        <w:rPr>
          <w:sz w:val="20"/>
          <w:szCs w:val="20"/>
          <w:color w:val="auto"/>
        </w:rPr>
      </w:pPr>
    </w:p>
    <w:p>
      <w:pPr>
        <w:ind w:left="140" w:right="139"/>
        <w:spacing w:after="0" w:line="278" w:lineRule="auto"/>
        <w:rPr>
          <w:sz w:val="20"/>
          <w:szCs w:val="20"/>
          <w:color w:val="auto"/>
        </w:rPr>
      </w:pPr>
      <w:r>
        <w:rPr>
          <w:rFonts w:ascii="Arial" w:cs="Arial" w:eastAsia="Arial" w:hAnsi="Arial"/>
          <w:sz w:val="16"/>
          <w:szCs w:val="16"/>
          <w:color w:val="auto"/>
        </w:rPr>
        <w:t>Our board of directors and management team recognize the importance of corporate responsibility matters. The Company’s policy is to take into consideration the long-term interests of the Company, its shareholders, and other stakeholders, including patients, employees, the healthcare community, regulators, collaborators, suppliers, and local communities. While the full board has retained oversight of the Company’s strategies and policies related to the Company's culture, the board’s Corporate Governance and Compliance Committee has been delegated oversight of corporate responsibility as set forth in its charter. Under our Corporate Governance Guidelines, the Corporate Governance and Compliance Committee is responsible for overseeing and conducting a periodic review of the Company's corporate responsibility matters and key initiatives, including those expected to have a significant impact on the Company’s ability to deliver sustained growth. Management, who is responsible for formulating and implementing such initiatives and matters, has established for these purposes a Responsibility Committee comprised of cross-functional business leaders that meets regularly to oversee and guide Regeneron’s corporate responsibility strategy, performance, and engagement.</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2025 Highlights</w:t>
      </w:r>
    </w:p>
    <w:p>
      <w:pPr>
        <w:spacing w:after="0" w:line="132" w:lineRule="exact"/>
        <w:rPr>
          <w:sz w:val="20"/>
          <w:szCs w:val="20"/>
          <w:color w:val="auto"/>
        </w:rPr>
      </w:pPr>
    </w:p>
    <w:p>
      <w:pPr>
        <w:ind w:left="140" w:right="159"/>
        <w:spacing w:after="0" w:line="282" w:lineRule="auto"/>
        <w:rPr>
          <w:sz w:val="20"/>
          <w:szCs w:val="20"/>
          <w:color w:val="auto"/>
        </w:rPr>
      </w:pPr>
      <w:r>
        <w:rPr>
          <w:rFonts w:ascii="Arial" w:cs="Arial" w:eastAsia="Arial" w:hAnsi="Arial"/>
          <w:sz w:val="16"/>
          <w:szCs w:val="16"/>
          <w:color w:val="auto"/>
        </w:rPr>
        <w:t>In 2025, we celebrated the culmination of an ambitious five-year journey that began with the 2020 launch of our inaugural global responsibility goals. We are proud of our performance against the 2025 goals and, as discussed below, have recently embarked on the next stage of our responsibility journey with the launch of a new strategy and 2030 goals. Select 2025 highlights are listed below, and a comprehensive discussion of our multi-year performance against the 2025 goals is included in our 2025 Responsibility Report.</w:t>
      </w:r>
    </w:p>
    <w:p>
      <w:pPr>
        <w:spacing w:after="0" w:line="29" w:lineRule="exact"/>
        <w:rPr>
          <w:sz w:val="20"/>
          <w:szCs w:val="20"/>
          <w:color w:val="auto"/>
        </w:rPr>
      </w:pPr>
    </w:p>
    <w:p>
      <w:pPr>
        <w:ind w:left="320" w:right="239" w:hanging="190"/>
        <w:spacing w:after="0" w:line="259" w:lineRule="auto"/>
        <w:tabs>
          <w:tab w:leader="none" w:pos="320" w:val="left"/>
        </w:tabs>
        <w:numPr>
          <w:ilvl w:val="0"/>
          <w:numId w:val="75"/>
        </w:numPr>
        <w:rPr>
          <w:rFonts w:ascii="Arial" w:cs="Arial" w:eastAsia="Arial" w:hAnsi="Arial"/>
          <w:sz w:val="16"/>
          <w:szCs w:val="16"/>
          <w:color w:val="065BAA"/>
        </w:rPr>
      </w:pPr>
      <w:r>
        <w:rPr>
          <w:rFonts w:ascii="Arial" w:cs="Arial" w:eastAsia="Arial" w:hAnsi="Arial"/>
          <w:sz w:val="16"/>
          <w:szCs w:val="16"/>
          <w:color w:val="auto"/>
        </w:rPr>
        <w:t>Ensured continued access to Inmazeb</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(atoltivimab, maftivimab, and odesivimab-ebgn), an Ebola treatment, including through our 2025 donation of up to 500 doses to the World Health Organization for exclusive use by governments of low- and lower-middle income countries</w:t>
      </w:r>
    </w:p>
    <w:p>
      <w:pPr>
        <w:spacing w:after="0" w:line="54" w:lineRule="exact"/>
        <w:rPr>
          <w:rFonts w:ascii="Arial" w:cs="Arial" w:eastAsia="Arial" w:hAnsi="Arial"/>
          <w:sz w:val="16"/>
          <w:szCs w:val="16"/>
          <w:color w:val="065BAA"/>
        </w:rPr>
      </w:pPr>
    </w:p>
    <w:p>
      <w:pPr>
        <w:ind w:left="320" w:right="379" w:hanging="190"/>
        <w:spacing w:after="0" w:line="321" w:lineRule="auto"/>
        <w:tabs>
          <w:tab w:leader="none" w:pos="320" w:val="left"/>
        </w:tabs>
        <w:numPr>
          <w:ilvl w:val="0"/>
          <w:numId w:val="75"/>
        </w:numPr>
        <w:rPr>
          <w:rFonts w:ascii="Arial" w:cs="Arial" w:eastAsia="Arial" w:hAnsi="Arial"/>
          <w:sz w:val="16"/>
          <w:szCs w:val="16"/>
          <w:color w:val="065BAA"/>
        </w:rPr>
      </w:pPr>
      <w:r>
        <w:rPr>
          <w:rFonts w:ascii="Arial" w:cs="Arial" w:eastAsia="Arial" w:hAnsi="Arial"/>
          <w:sz w:val="16"/>
          <w:szCs w:val="16"/>
          <w:color w:val="auto"/>
        </w:rPr>
        <w:t>Provided science, engineering, technology, and math ("STEM") experiences to over 4 million students in the last five years, surpassing our 2025 goal of 2.5 million students</w:t>
      </w:r>
    </w:p>
    <w:p>
      <w:pPr>
        <w:spacing w:after="0" w:line="7" w:lineRule="exact"/>
        <w:rPr>
          <w:rFonts w:ascii="Arial" w:cs="Arial" w:eastAsia="Arial" w:hAnsi="Arial"/>
          <w:sz w:val="16"/>
          <w:szCs w:val="16"/>
          <w:color w:val="065BAA"/>
        </w:rPr>
      </w:pPr>
    </w:p>
    <w:p>
      <w:pPr>
        <w:ind w:left="320" w:right="519" w:hanging="190"/>
        <w:spacing w:after="0" w:line="292" w:lineRule="auto"/>
        <w:tabs>
          <w:tab w:leader="none" w:pos="320" w:val="left"/>
        </w:tabs>
        <w:numPr>
          <w:ilvl w:val="0"/>
          <w:numId w:val="75"/>
        </w:numPr>
        <w:rPr>
          <w:rFonts w:ascii="Arial" w:cs="Arial" w:eastAsia="Arial" w:hAnsi="Arial"/>
          <w:sz w:val="16"/>
          <w:szCs w:val="16"/>
          <w:color w:val="065BAA"/>
        </w:rPr>
      </w:pPr>
      <w:r>
        <w:rPr>
          <w:rFonts w:ascii="Arial" w:cs="Arial" w:eastAsia="Arial" w:hAnsi="Arial"/>
          <w:sz w:val="16"/>
          <w:szCs w:val="16"/>
          <w:color w:val="auto"/>
        </w:rPr>
        <w:t>Continued title sponsorship of the Regeneron Science Talent Search ("STS"), the oldest and most prestigious high school science and mathematics competition in the United States, and the Regeneron International Science and Engineering Fair ("ISEF"), the world's largest global science competition for high school students</w:t>
      </w:r>
    </w:p>
    <w:p>
      <w:pPr>
        <w:spacing w:after="0" w:line="30" w:lineRule="exact"/>
        <w:rPr>
          <w:rFonts w:ascii="Arial" w:cs="Arial" w:eastAsia="Arial" w:hAnsi="Arial"/>
          <w:sz w:val="16"/>
          <w:szCs w:val="16"/>
          <w:color w:val="065BAA"/>
        </w:rPr>
      </w:pPr>
    </w:p>
    <w:p>
      <w:pPr>
        <w:ind w:left="320" w:right="339" w:hanging="190"/>
        <w:spacing w:after="0" w:line="292" w:lineRule="auto"/>
        <w:tabs>
          <w:tab w:leader="none" w:pos="320" w:val="left"/>
        </w:tabs>
        <w:numPr>
          <w:ilvl w:val="0"/>
          <w:numId w:val="75"/>
        </w:numPr>
        <w:rPr>
          <w:rFonts w:ascii="Arial" w:cs="Arial" w:eastAsia="Arial" w:hAnsi="Arial"/>
          <w:sz w:val="16"/>
          <w:szCs w:val="16"/>
          <w:color w:val="065BAA"/>
        </w:rPr>
      </w:pPr>
      <w:r>
        <w:rPr>
          <w:rFonts w:ascii="Arial" w:cs="Arial" w:eastAsia="Arial" w:hAnsi="Arial"/>
          <w:sz w:val="16"/>
          <w:szCs w:val="16"/>
          <w:color w:val="auto"/>
        </w:rPr>
        <w:t>Drove employee volunteer levels above national standards with over 7,600 employees volunteering nearly 42,000 hours in 2025, including approximately 47% of our employees who volunteered nearly 28,700 hours to approximately 230 nonprofits during our Day for Doing Good</w:t>
      </w:r>
    </w:p>
    <w:p>
      <w:pPr>
        <w:spacing w:after="0" w:line="30" w:lineRule="exact"/>
        <w:rPr>
          <w:rFonts w:ascii="Arial" w:cs="Arial" w:eastAsia="Arial" w:hAnsi="Arial"/>
          <w:sz w:val="16"/>
          <w:szCs w:val="16"/>
          <w:color w:val="065BAA"/>
        </w:rPr>
      </w:pPr>
    </w:p>
    <w:p>
      <w:pPr>
        <w:ind w:left="320" w:right="359" w:hanging="190"/>
        <w:spacing w:after="0" w:line="321" w:lineRule="auto"/>
        <w:tabs>
          <w:tab w:leader="none" w:pos="320" w:val="left"/>
        </w:tabs>
        <w:numPr>
          <w:ilvl w:val="0"/>
          <w:numId w:val="75"/>
        </w:numPr>
        <w:rPr>
          <w:rFonts w:ascii="Arial" w:cs="Arial" w:eastAsia="Arial" w:hAnsi="Arial"/>
          <w:sz w:val="16"/>
          <w:szCs w:val="16"/>
          <w:color w:val="065BAA"/>
        </w:rPr>
      </w:pPr>
      <w:r>
        <w:rPr>
          <w:rFonts w:ascii="Arial" w:cs="Arial" w:eastAsia="Arial" w:hAnsi="Arial"/>
          <w:sz w:val="16"/>
          <w:szCs w:val="16"/>
          <w:color w:val="auto"/>
        </w:rPr>
        <w:t>Matched approximately $2.4 million in employee charitable contributions through our Matching Gift Program in 2025, supporting nearly 2,500 charities</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Our responsibility efforts and successes in 2025 also garnered several recognitions, as listed below.</w:t>
      </w:r>
    </w:p>
    <w:p>
      <w:pPr>
        <w:spacing w:after="0" w:line="167" w:lineRule="exact"/>
        <w:rPr>
          <w:sz w:val="20"/>
          <w:szCs w:val="20"/>
          <w:color w:val="auto"/>
        </w:rPr>
      </w:pPr>
    </w:p>
    <w:p>
      <w:pPr>
        <w:ind w:left="320" w:right="219" w:hanging="190"/>
        <w:spacing w:after="0" w:line="321" w:lineRule="auto"/>
        <w:tabs>
          <w:tab w:leader="none" w:pos="320" w:val="left"/>
        </w:tabs>
        <w:numPr>
          <w:ilvl w:val="0"/>
          <w:numId w:val="76"/>
        </w:numPr>
        <w:rPr>
          <w:rFonts w:ascii="Arial" w:cs="Arial" w:eastAsia="Arial" w:hAnsi="Arial"/>
          <w:sz w:val="16"/>
          <w:szCs w:val="16"/>
          <w:color w:val="065BAA"/>
        </w:rPr>
      </w:pPr>
      <w:r>
        <w:rPr>
          <w:rFonts w:ascii="Arial" w:cs="Arial" w:eastAsia="Arial" w:hAnsi="Arial"/>
          <w:sz w:val="16"/>
          <w:szCs w:val="16"/>
          <w:color w:val="auto"/>
        </w:rPr>
        <w:t>Ranked in the top 10% of our industry in three leading ESG ratings – S&amp;P Global, Sustainalytics, and ISS-ESG – as of year-end 2025</w:t>
      </w:r>
    </w:p>
    <w:p>
      <w:pPr>
        <w:spacing w:after="0" w:line="7" w:lineRule="exact"/>
        <w:rPr>
          <w:rFonts w:ascii="Arial" w:cs="Arial" w:eastAsia="Arial" w:hAnsi="Arial"/>
          <w:sz w:val="16"/>
          <w:szCs w:val="16"/>
          <w:color w:val="065BAA"/>
        </w:rPr>
      </w:pPr>
    </w:p>
    <w:p>
      <w:pPr>
        <w:ind w:left="320" w:right="979" w:hanging="190"/>
        <w:spacing w:after="0" w:line="304" w:lineRule="auto"/>
        <w:tabs>
          <w:tab w:leader="none" w:pos="320" w:val="left"/>
        </w:tabs>
        <w:numPr>
          <w:ilvl w:val="0"/>
          <w:numId w:val="76"/>
        </w:numPr>
        <w:rPr>
          <w:rFonts w:ascii="Arial" w:cs="Arial" w:eastAsia="Arial" w:hAnsi="Arial"/>
          <w:sz w:val="16"/>
          <w:szCs w:val="16"/>
          <w:color w:val="065BAA"/>
        </w:rPr>
      </w:pPr>
      <w:r>
        <w:rPr>
          <w:rFonts w:ascii="Arial" w:cs="Arial" w:eastAsia="Arial" w:hAnsi="Arial"/>
          <w:sz w:val="16"/>
          <w:szCs w:val="16"/>
          <w:color w:val="auto"/>
        </w:rPr>
        <w:t>Included in the Dow Jones Sustainability World Index and the Dow Jones Sustainability North America as of year-end 2025</w:t>
      </w:r>
    </w:p>
    <w:p>
      <w:pPr>
        <w:spacing w:after="0" w:line="19" w:lineRule="exact"/>
        <w:rPr>
          <w:rFonts w:ascii="Arial" w:cs="Arial" w:eastAsia="Arial" w:hAnsi="Arial"/>
          <w:sz w:val="16"/>
          <w:szCs w:val="16"/>
          <w:color w:val="065BAA"/>
        </w:rPr>
      </w:pPr>
    </w:p>
    <w:p>
      <w:pPr>
        <w:ind w:left="320" w:hanging="190"/>
        <w:spacing w:after="0"/>
        <w:tabs>
          <w:tab w:leader="none" w:pos="320" w:val="left"/>
        </w:tabs>
        <w:numPr>
          <w:ilvl w:val="0"/>
          <w:numId w:val="76"/>
        </w:numPr>
        <w:rPr>
          <w:rFonts w:ascii="Arial" w:cs="Arial" w:eastAsia="Arial" w:hAnsi="Arial"/>
          <w:sz w:val="16"/>
          <w:szCs w:val="16"/>
          <w:color w:val="065BAA"/>
        </w:rPr>
      </w:pPr>
      <w:r>
        <w:rPr>
          <w:rFonts w:ascii="Arial" w:cs="Arial" w:eastAsia="Arial" w:hAnsi="Arial"/>
          <w:sz w:val="16"/>
          <w:szCs w:val="16"/>
          <w:color w:val="auto"/>
        </w:rPr>
        <w:t>Named to the Civic 50 most community-minded companies in the United States for the ninth consecutive year in 2025</w:t>
      </w:r>
    </w:p>
    <w:p>
      <w:pPr>
        <w:spacing w:after="0" w:line="201"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2030 Goals</w:t>
      </w:r>
    </w:p>
    <w:p>
      <w:pPr>
        <w:spacing w:after="0" w:line="132" w:lineRule="exact"/>
        <w:rPr>
          <w:sz w:val="20"/>
          <w:szCs w:val="20"/>
          <w:color w:val="auto"/>
        </w:rPr>
      </w:pPr>
    </w:p>
    <w:p>
      <w:pPr>
        <w:ind w:left="140" w:right="359"/>
        <w:spacing w:after="0" w:line="282" w:lineRule="auto"/>
        <w:rPr>
          <w:sz w:val="20"/>
          <w:szCs w:val="20"/>
          <w:color w:val="auto"/>
        </w:rPr>
      </w:pPr>
      <w:r>
        <w:rPr>
          <w:rFonts w:ascii="Arial" w:cs="Arial" w:eastAsia="Arial" w:hAnsi="Arial"/>
          <w:sz w:val="16"/>
          <w:szCs w:val="16"/>
          <w:color w:val="auto"/>
        </w:rPr>
        <w:t>In 2026, we launched a new responsibility strategy rooted in our culture of ethics and integrity and designed to advance our mission to improve lives. Our 2030 goals translate our strategy into action, holding us accountable as we work to create a healthier world. For more information, please refer to the 2025 Responsibility Report available on our website, which aligns with the Sustainability Accounting Standards Board (“SASB”) and Task Force for Climate-related Financial Disclosures (“TCFD”) frameworks as well as the Global Reporting Initiative Universal Standards.</w:t>
      </w:r>
    </w:p>
    <w:p>
      <w:pPr>
        <w:spacing w:after="0" w:line="5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48</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57" w:name="page58"/>
    <w:bookmarkEnd w:id="57"/>
    <w:p>
      <w:pPr>
        <w:jc w:val="center"/>
        <w:ind w:right="-20"/>
        <w:spacing w:after="0"/>
        <w:tabs>
          <w:tab w:leader="none" w:pos="260" w:val="left"/>
          <w:tab w:leader="none" w:pos="240" w:val="left"/>
          <w:tab w:leader="none" w:pos="260" w:val="left"/>
          <w:tab w:leader="none" w:pos="26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b w:val="1"/>
          <w:bCs w:val="1"/>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Certain Relationships and Related Transactions</w:t>
      </w:r>
    </w:p>
    <w:p>
      <w:pPr>
        <w:spacing w:after="0" w:line="161" w:lineRule="exact"/>
        <w:rPr>
          <w:sz w:val="20"/>
          <w:szCs w:val="20"/>
          <w:color w:val="auto"/>
        </w:rPr>
      </w:pPr>
    </w:p>
    <w:p>
      <w:pPr>
        <w:ind w:left="140" w:right="1539"/>
        <w:spacing w:after="0" w:line="278" w:lineRule="auto"/>
        <w:rPr>
          <w:sz w:val="20"/>
          <w:szCs w:val="20"/>
          <w:color w:val="auto"/>
        </w:rPr>
      </w:pPr>
      <w:r>
        <w:rPr>
          <w:rFonts w:ascii="Arial" w:cs="Arial" w:eastAsia="Arial" w:hAnsi="Arial"/>
          <w:sz w:val="29"/>
          <w:szCs w:val="29"/>
          <w:b w:val="1"/>
          <w:bCs w:val="1"/>
          <w:color w:val="065BAA"/>
        </w:rPr>
        <w:t>Review, Approval, or Ratification of Transactions with Related Persons</w:t>
      </w:r>
    </w:p>
    <w:p>
      <w:pPr>
        <w:spacing w:after="0" w:line="3" w:lineRule="exact"/>
        <w:rPr>
          <w:sz w:val="20"/>
          <w:szCs w:val="20"/>
          <w:color w:val="auto"/>
        </w:rPr>
      </w:pPr>
    </w:p>
    <w:p>
      <w:pPr>
        <w:ind w:left="140" w:right="199"/>
        <w:spacing w:after="0" w:line="284" w:lineRule="auto"/>
        <w:rPr>
          <w:sz w:val="20"/>
          <w:szCs w:val="20"/>
          <w:color w:val="auto"/>
        </w:rPr>
      </w:pPr>
      <w:r>
        <w:rPr>
          <w:rFonts w:ascii="Arial" w:cs="Arial" w:eastAsia="Arial" w:hAnsi="Arial"/>
          <w:sz w:val="16"/>
          <w:szCs w:val="16"/>
          <w:color w:val="auto"/>
        </w:rPr>
        <w:t>The board of directors has adopted a written policy for the review, approval, or ratification of related person transactions. The Company considers transactions (or a series of related transactions) in which the Company is a participant, the amount involved exceeds $10,000 in any calendar year, and a director, officer, holder of more than 5% of our voting securities, any immediate family member of any of the foregoing, or any related entity of any of the foregoing has a direct or indirect material interest to constitute related person transactions. The policy provides for a standing pre-approval of transactions with any passive institutional shareholder who holds more than 5% of our voting securities and transactions where all shareholders receive proportional benefits. With respect to any new transaction that is deemed pre-approved, the Audit Committee receives a summary of each such transaction and retains the ability to require that one or more of such transactions be subject to the standard approval procedures. The policy also requires that the arrangements relating to a permanent, full-time employment of an immediate family member of a director or executive officer hired by the Company be approved in accordance with the policy. In addition, in the event a person is or becomes a director or executive officer of the Company and an immediate family member of such person is a permanent, full-time employee of the Company, no material, outside-of-the-ordinary-course-of-business change in the terms of employment, including compensation, is permitted to be made without the prior approval of the Audit Committee (except, if the immediate family member is himself or herself an executive officer of the Company, any proposed change in the terms of employment is reviewed and approved in the same manner as compensatory arrangements of other executive officers).</w:t>
      </w:r>
    </w:p>
    <w:p>
      <w:pPr>
        <w:spacing w:after="0" w:line="108" w:lineRule="exact"/>
        <w:rPr>
          <w:sz w:val="20"/>
          <w:szCs w:val="20"/>
          <w:color w:val="auto"/>
        </w:rPr>
      </w:pPr>
    </w:p>
    <w:p>
      <w:pPr>
        <w:ind w:left="140" w:right="379"/>
        <w:spacing w:after="0" w:line="289" w:lineRule="auto"/>
        <w:rPr>
          <w:sz w:val="20"/>
          <w:szCs w:val="20"/>
          <w:color w:val="auto"/>
        </w:rPr>
      </w:pPr>
      <w:r>
        <w:rPr>
          <w:rFonts w:ascii="Arial" w:cs="Arial" w:eastAsia="Arial" w:hAnsi="Arial"/>
          <w:sz w:val="16"/>
          <w:szCs w:val="16"/>
          <w:color w:val="auto"/>
        </w:rPr>
        <w:t>The board of directors has determined that the members of the Audit Committee are best suited to review and approve related person transactions. Accordingly, each related person transaction (other than a transaction that is deemed pre-approved as described above) must be reviewed and approved or ratified by the members of the Audit Committee, other than any member of the Audit Committee that has an interest in the transaction. Under the policy, the Chair of the Audit Committee is delegated the authority to approve certain related person transactions that require urgent review and approval.</w:t>
      </w:r>
    </w:p>
    <w:p>
      <w:pPr>
        <w:spacing w:after="0" w:line="115" w:lineRule="exact"/>
        <w:rPr>
          <w:sz w:val="20"/>
          <w:szCs w:val="20"/>
          <w:color w:val="auto"/>
        </w:rPr>
      </w:pPr>
    </w:p>
    <w:p>
      <w:pPr>
        <w:ind w:left="140" w:right="179"/>
        <w:spacing w:after="0" w:line="289" w:lineRule="auto"/>
        <w:rPr>
          <w:sz w:val="20"/>
          <w:szCs w:val="20"/>
          <w:color w:val="auto"/>
        </w:rPr>
      </w:pPr>
      <w:r>
        <w:rPr>
          <w:rFonts w:ascii="Arial" w:cs="Arial" w:eastAsia="Arial" w:hAnsi="Arial"/>
          <w:sz w:val="16"/>
          <w:szCs w:val="16"/>
          <w:color w:val="auto"/>
        </w:rPr>
        <w:t>When reviewing, approving, or ratifying a related person transaction, the Audit Committee will consider several factors, including the benefits to the Company, the impact on a director’s independence in the event that a director or his/her immediate family is involved in the transaction, the terms of the transaction, and the terms available to unrelated third parties or to employees in general, if applicable. Related person transactions are approved only if the Audit Committee (or the Chair of the Audit Committee pursuant to delegated authority in the circumstances noted above) determines that they are in, or are not inconsistent with, the best interests of the Company and our shareholders.</w:t>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Transactions with Related Persons</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 2025 and 2026 to date, the Company has conducted a pre-clinical research project at Dr. Schleifer’s request and has</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received or is expected to receive payments from a foundation established by Dr. Schleifer totaling approximately</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$120,000, representing the estimated fully burdened cost of the project (including the allocable amounts of wages of</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Company employees).</w:t>
      </w:r>
    </w:p>
    <w:p>
      <w:pPr>
        <w:spacing w:after="0" w:line="296"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Indemnification of Directors and Officers</w:t>
      </w:r>
    </w:p>
    <w:p>
      <w:pPr>
        <w:spacing w:after="0" w:line="119" w:lineRule="exact"/>
        <w:rPr>
          <w:sz w:val="20"/>
          <w:szCs w:val="20"/>
          <w:color w:val="auto"/>
        </w:rPr>
      </w:pPr>
    </w:p>
    <w:p>
      <w:pPr>
        <w:ind w:left="140" w:right="139"/>
        <w:spacing w:after="0" w:line="286" w:lineRule="auto"/>
        <w:rPr>
          <w:sz w:val="20"/>
          <w:szCs w:val="20"/>
          <w:color w:val="auto"/>
        </w:rPr>
      </w:pPr>
      <w:r>
        <w:rPr>
          <w:rFonts w:ascii="Arial" w:cs="Arial" w:eastAsia="Arial" w:hAnsi="Arial"/>
          <w:sz w:val="16"/>
          <w:szCs w:val="16"/>
          <w:color w:val="auto"/>
        </w:rPr>
        <w:t>Our Certificate of Incorporation provides that, to the fullest extent permitted under the New York Business Corporation Law, no director or officer of our Company shall be personally liable to the Company or its shareholders for monetary damages for any breach of fiduciary duty in such capacity. In addition, our By-Laws provide that we shall indemnify our directors and certain of our other personnel against expenses (including attorneys’ fees) and certain other liabilities, including judgments, fines, and amounts paid in settlement, arising out of or incurred as a result of legal actions brought or threatened against them by reason of their position in our Company, subject to certain qualifications and provided that each such person acted in good faith, in a manner that they reasonably believed was in the Company’s best interest, and, where applicable, not unlawful. Subject to the provisions of our Certificate of Incorporation, our By-Laws, and the New York Business Corporation Law, we may also advance expenses of the individuals entitled to indemnification.</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49</w:t>
            </w:r>
          </w:p>
        </w:tc>
      </w:tr>
    </w:tbl>
    <w:p>
      <w:pPr>
        <w:sectPr>
          <w:pgSz w:w="11900" w:h="16838" w:orient="portrait"/>
          <w:cols w:equalWidth="0" w:num="1">
            <w:col w:w="9019"/>
          </w:cols>
          <w:pgMar w:left="1440" w:top="657" w:right="1440" w:bottom="1440" w:gutter="0" w:footer="0" w:header="0"/>
        </w:sectPr>
      </w:pPr>
    </w:p>
    <w:bookmarkStart w:id="58" w:name="page59"/>
    <w:bookmarkEnd w:id="58"/>
    <w:p>
      <w:pPr>
        <w:jc w:val="center"/>
        <w:ind w:right="-20"/>
        <w:spacing w:after="0"/>
        <w:tabs>
          <w:tab w:leader="none" w:pos="260" w:val="left"/>
          <w:tab w:leader="none" w:pos="240" w:val="left"/>
          <w:tab w:leader="none" w:pos="260" w:val="left"/>
          <w:tab w:leader="none" w:pos="26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b w:val="1"/>
          <w:bCs w:val="1"/>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0" w:right="919"/>
        <w:spacing w:after="0" w:line="281" w:lineRule="auto"/>
        <w:rPr>
          <w:sz w:val="20"/>
          <w:szCs w:val="20"/>
          <w:color w:val="auto"/>
        </w:rPr>
      </w:pPr>
      <w:r>
        <w:rPr>
          <w:rFonts w:ascii="Arial" w:cs="Arial" w:eastAsia="Arial" w:hAnsi="Arial"/>
          <w:sz w:val="34"/>
          <w:szCs w:val="34"/>
          <w:b w:val="1"/>
          <w:bCs w:val="1"/>
          <w:color w:val="002273"/>
        </w:rPr>
        <w:t>Security Ownership of Certain Beneficial Owners and Management</w:t>
      </w:r>
    </w:p>
    <w:p>
      <w:pPr>
        <w:spacing w:after="0" w:line="48" w:lineRule="exact"/>
        <w:rPr>
          <w:sz w:val="20"/>
          <w:szCs w:val="20"/>
          <w:color w:val="auto"/>
        </w:rPr>
      </w:pPr>
    </w:p>
    <w:p>
      <w:pPr>
        <w:ind w:left="140" w:right="139"/>
        <w:spacing w:after="0" w:line="285" w:lineRule="auto"/>
        <w:rPr>
          <w:sz w:val="20"/>
          <w:szCs w:val="20"/>
          <w:color w:val="auto"/>
        </w:rPr>
      </w:pPr>
      <w:r>
        <w:rPr>
          <w:rFonts w:ascii="Arial" w:cs="Arial" w:eastAsia="Arial" w:hAnsi="Arial"/>
          <w:sz w:val="16"/>
          <w:szCs w:val="16"/>
          <w:color w:val="auto"/>
        </w:rPr>
        <w:t>The following table sets forth, as of April 14, 2026, the number of shares of the Company’s Class A stock and common stock beneficially owned by each of the Company’s directors, each of the NEOs referred to below under “Compensation-Related Matters—Compensation Discussion and Analysis,” all directors and executive officers as a group, and each other person or group of persons known by the Company to beneficially own more than 5% of the outstanding shares of Class A stock or common stock, based upon (unless indicated otherwise) information obtained from such persons, and the percentage that such shares represent of the number of outstanding shares of Class A stock and common stock, respectively.</w:t>
      </w:r>
    </w:p>
    <w:p>
      <w:pPr>
        <w:spacing w:after="0" w:line="118" w:lineRule="exact"/>
        <w:rPr>
          <w:sz w:val="20"/>
          <w:szCs w:val="20"/>
          <w:color w:val="auto"/>
        </w:rPr>
      </w:pPr>
    </w:p>
    <w:p>
      <w:pPr>
        <w:ind w:left="140" w:right="119"/>
        <w:spacing w:after="0" w:line="283" w:lineRule="auto"/>
        <w:rPr>
          <w:sz w:val="20"/>
          <w:szCs w:val="20"/>
          <w:color w:val="auto"/>
        </w:rPr>
      </w:pPr>
      <w:r>
        <w:rPr>
          <w:rFonts w:ascii="Arial" w:cs="Arial" w:eastAsia="Arial" w:hAnsi="Arial"/>
          <w:sz w:val="16"/>
          <w:szCs w:val="16"/>
          <w:color w:val="auto"/>
        </w:rPr>
        <w:t>The Class A stock is convertible on a share-for-share basis into common stock. The Class A stock is entitled to ten votes per share and the common stock is entitled to one vote per share. No new shares of Class A stock have been issued since our IPO in 1991. See “Corporate Governance—Capital Structure” for more information. We have determined beneficial ownership in accordance with the rules of the SEC.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1,817,146 shares of Class A stock and 103,021,886 shares of common stock outstanding as of April 14, 2026, except that for each person listed who beneficially owns Class A stock (and for directors and executive officers as a group), the number of shares of common stock beneficially owned by that person (and by directors and executive officers as a group) and the percentage ownership of common stock of such person assume the conversion on April 14, 2026 of all shares of Class A stock listed as beneficially owned by such person (or persons in the case of directors and executive officers as a group) into common stock and also that no other shares of Class A stock beneficially owned by others are so converted.</w:t>
      </w:r>
    </w:p>
    <w:p>
      <w:pPr>
        <w:spacing w:after="0" w:line="122" w:lineRule="exact"/>
        <w:rPr>
          <w:sz w:val="20"/>
          <w:szCs w:val="20"/>
          <w:color w:val="auto"/>
        </w:rPr>
      </w:pPr>
    </w:p>
    <w:p>
      <w:pPr>
        <w:ind w:left="140" w:right="219"/>
        <w:spacing w:after="0" w:line="288" w:lineRule="auto"/>
        <w:rPr>
          <w:sz w:val="20"/>
          <w:szCs w:val="20"/>
          <w:color w:val="auto"/>
        </w:rPr>
      </w:pPr>
      <w:r>
        <w:rPr>
          <w:rFonts w:ascii="Arial" w:cs="Arial" w:eastAsia="Arial" w:hAnsi="Arial"/>
          <w:sz w:val="16"/>
          <w:szCs w:val="16"/>
          <w:color w:val="auto"/>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RSUs, or other convertible securities (if any) held by that person (and by directors and executive officers as a group) that are exercisable or releasable as of April 14, 2026 or are exercisable or releasable within sixty days after April 14, 2026 are deemed to be outstanding. Such shares are not deemed to be outstanding, however, for the purpose of computing the percentage ownership of common stock of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50</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59" w:name="page60"/>
    <w:bookmarkEnd w:id="59"/>
    <w:p>
      <w:pPr>
        <w:jc w:val="center"/>
        <w:ind w:right="-20"/>
        <w:spacing w:after="0"/>
        <w:tabs>
          <w:tab w:leader="none" w:pos="260" w:val="left"/>
          <w:tab w:leader="none" w:pos="240" w:val="left"/>
          <w:tab w:leader="none" w:pos="260" w:val="left"/>
          <w:tab w:leader="none" w:pos="26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b w:val="1"/>
          <w:bCs w:val="1"/>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120" w:type="dxa"/>
            <w:vAlign w:val="bottom"/>
            <w:gridSpan w:val="4"/>
          </w:tcPr>
          <w:p>
            <w:pPr>
              <w:ind w:left="140"/>
              <w:spacing w:after="0"/>
              <w:rPr>
                <w:sz w:val="20"/>
                <w:szCs w:val="20"/>
                <w:color w:val="auto"/>
              </w:rPr>
            </w:pPr>
            <w:r>
              <w:rPr>
                <w:rFonts w:ascii="Arial" w:cs="Arial" w:eastAsia="Arial" w:hAnsi="Arial"/>
                <w:sz w:val="14"/>
                <w:szCs w:val="14"/>
                <w:b w:val="1"/>
                <w:bCs w:val="1"/>
                <w:color w:val="065BAA"/>
              </w:rPr>
              <w:t>Shares of Class A Stock</w:t>
            </w:r>
          </w:p>
        </w:tc>
        <w:tc>
          <w:tcPr>
            <w:tcW w:w="1980" w:type="dxa"/>
            <w:vAlign w:val="bottom"/>
            <w:gridSpan w:val="3"/>
          </w:tcPr>
          <w:p>
            <w:pPr>
              <w:jc w:val="right"/>
              <w:ind w:right="84"/>
              <w:spacing w:after="0"/>
              <w:rPr>
                <w:sz w:val="20"/>
                <w:szCs w:val="20"/>
                <w:color w:val="auto"/>
              </w:rPr>
            </w:pPr>
            <w:r>
              <w:rPr>
                <w:rFonts w:ascii="Arial" w:cs="Arial" w:eastAsia="Arial" w:hAnsi="Arial"/>
                <w:sz w:val="14"/>
                <w:szCs w:val="14"/>
                <w:b w:val="1"/>
                <w:bCs w:val="1"/>
                <w:color w:val="065BAA"/>
              </w:rPr>
              <w:t>Shares of Common Stock</w:t>
            </w: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960" w:type="dxa"/>
            <w:vAlign w:val="bottom"/>
            <w:tcBorders>
              <w:bottom w:val="single" w:sz="8" w:color="065BAA"/>
            </w:tcBorders>
            <w:gridSpan w:val="3"/>
          </w:tcPr>
          <w:p>
            <w:pPr>
              <w:jc w:val="right"/>
              <w:ind w:right="228"/>
              <w:spacing w:after="0" w:line="188" w:lineRule="exact"/>
              <w:rPr>
                <w:sz w:val="20"/>
                <w:szCs w:val="20"/>
                <w:color w:val="auto"/>
              </w:rPr>
            </w:pPr>
            <w:r>
              <w:rPr>
                <w:rFonts w:ascii="Arial" w:cs="Arial" w:eastAsia="Arial" w:hAnsi="Arial"/>
                <w:sz w:val="14"/>
                <w:szCs w:val="14"/>
                <w:b w:val="1"/>
                <w:bCs w:val="1"/>
                <w:color w:val="065BAA"/>
              </w:rPr>
              <w:t>Beneficially Owned</w:t>
            </w:r>
            <w:r>
              <w:rPr>
                <w:rFonts w:ascii="Arial" w:cs="Arial" w:eastAsia="Arial" w:hAnsi="Arial"/>
                <w:sz w:val="18"/>
                <w:szCs w:val="18"/>
                <w:b w:val="1"/>
                <w:bCs w:val="1"/>
                <w:color w:val="065BAA"/>
                <w:vertAlign w:val="superscript"/>
              </w:rPr>
              <w:t>1</w:t>
            </w:r>
          </w:p>
        </w:tc>
        <w:tc>
          <w:tcPr>
            <w:tcW w:w="160" w:type="dxa"/>
            <w:vAlign w:val="bottom"/>
          </w:tcPr>
          <w:p>
            <w:pPr>
              <w:spacing w:after="0"/>
              <w:rPr>
                <w:sz w:val="16"/>
                <w:szCs w:val="16"/>
                <w:color w:val="auto"/>
              </w:rPr>
            </w:pPr>
          </w:p>
        </w:tc>
        <w:tc>
          <w:tcPr>
            <w:tcW w:w="1980" w:type="dxa"/>
            <w:vAlign w:val="bottom"/>
            <w:tcBorders>
              <w:bottom w:val="single" w:sz="8" w:color="065BAA"/>
            </w:tcBorders>
            <w:gridSpan w:val="3"/>
          </w:tcPr>
          <w:p>
            <w:pPr>
              <w:jc w:val="right"/>
              <w:ind w:right="264"/>
              <w:spacing w:after="0" w:line="188" w:lineRule="exact"/>
              <w:rPr>
                <w:sz w:val="20"/>
                <w:szCs w:val="20"/>
                <w:color w:val="auto"/>
              </w:rPr>
            </w:pPr>
            <w:r>
              <w:rPr>
                <w:rFonts w:ascii="Arial" w:cs="Arial" w:eastAsia="Arial" w:hAnsi="Arial"/>
                <w:sz w:val="14"/>
                <w:szCs w:val="14"/>
                <w:b w:val="1"/>
                <w:bCs w:val="1"/>
                <w:color w:val="065BAA"/>
              </w:rPr>
              <w:t>Beneficially Owned</w:t>
            </w:r>
            <w:r>
              <w:rPr>
                <w:rFonts w:ascii="Arial" w:cs="Arial" w:eastAsia="Arial" w:hAnsi="Arial"/>
                <w:sz w:val="18"/>
                <w:szCs w:val="18"/>
                <w:b w:val="1"/>
                <w:bCs w:val="1"/>
                <w:color w:val="065BAA"/>
                <w:vertAlign w:val="superscript"/>
              </w:rPr>
              <w:t>1</w:t>
            </w:r>
          </w:p>
        </w:tc>
        <w:tc>
          <w:tcPr>
            <w:tcW w:w="0" w:type="dxa"/>
            <w:vAlign w:val="bottom"/>
          </w:tcPr>
          <w:p>
            <w:pPr>
              <w:spacing w:after="0"/>
              <w:rPr>
                <w:sz w:val="1"/>
                <w:szCs w:val="1"/>
                <w:color w:val="auto"/>
              </w:rPr>
            </w:pPr>
          </w:p>
        </w:tc>
      </w:tr>
      <w:tr>
        <w:trPr>
          <w:trHeight w:val="227"/>
        </w:trPr>
        <w:tc>
          <w:tcPr>
            <w:tcW w:w="4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065BAA"/>
              </w:rPr>
              <w:t>Percent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065BAA"/>
              </w:rPr>
              <w:t>Number</w:t>
            </w:r>
            <w:r>
              <w:rPr>
                <w:rFonts w:ascii="Arial" w:cs="Arial" w:eastAsia="Arial" w:hAnsi="Arial"/>
                <w:sz w:val="18"/>
                <w:szCs w:val="18"/>
                <w:b w:val="1"/>
                <w:bCs w:val="1"/>
                <w:color w:val="065BAA"/>
                <w:vertAlign w:val="superscript"/>
              </w:rPr>
              <w:t>2</w:t>
            </w:r>
          </w:p>
        </w:tc>
        <w:tc>
          <w:tcPr>
            <w:tcW w:w="360" w:type="dxa"/>
            <w:vAlign w:val="bottom"/>
          </w:tcPr>
          <w:p>
            <w:pPr>
              <w:spacing w:after="0"/>
              <w:rPr>
                <w:sz w:val="19"/>
                <w:szCs w:val="19"/>
                <w:color w:val="auto"/>
              </w:rPr>
            </w:pPr>
          </w:p>
        </w:tc>
        <w:tc>
          <w:tcPr>
            <w:tcW w:w="880" w:type="dxa"/>
            <w:vAlign w:val="bottom"/>
          </w:tcPr>
          <w:p>
            <w:pPr>
              <w:jc w:val="right"/>
              <w:ind w:right="44"/>
              <w:spacing w:after="0"/>
              <w:rPr>
                <w:sz w:val="20"/>
                <w:szCs w:val="20"/>
                <w:color w:val="auto"/>
              </w:rPr>
            </w:pPr>
            <w:r>
              <w:rPr>
                <w:rFonts w:ascii="Arial" w:cs="Arial" w:eastAsia="Arial" w:hAnsi="Arial"/>
                <w:sz w:val="14"/>
                <w:szCs w:val="14"/>
                <w:b w:val="1"/>
                <w:bCs w:val="1"/>
                <w:color w:val="065BAA"/>
              </w:rPr>
              <w:t>Percent</w:t>
            </w:r>
          </w:p>
        </w:tc>
        <w:tc>
          <w:tcPr>
            <w:tcW w:w="0" w:type="dxa"/>
            <w:vAlign w:val="bottom"/>
          </w:tcPr>
          <w:p>
            <w:pPr>
              <w:spacing w:after="0"/>
              <w:rPr>
                <w:sz w:val="1"/>
                <w:szCs w:val="1"/>
                <w:color w:val="auto"/>
              </w:rPr>
            </w:pPr>
          </w:p>
        </w:tc>
      </w:tr>
      <w:tr>
        <w:trPr>
          <w:trHeight w:val="185"/>
        </w:trPr>
        <w:tc>
          <w:tcPr>
            <w:tcW w:w="4660" w:type="dxa"/>
            <w:vAlign w:val="bottom"/>
            <w:tcBorders>
              <w:bottom w:val="single" w:sz="8" w:color="065BAA"/>
            </w:tcBorders>
          </w:tcPr>
          <w:p>
            <w:pPr>
              <w:ind w:left="80"/>
              <w:spacing w:after="0"/>
              <w:rPr>
                <w:sz w:val="20"/>
                <w:szCs w:val="20"/>
                <w:color w:val="auto"/>
              </w:rPr>
            </w:pPr>
            <w:r>
              <w:rPr>
                <w:rFonts w:ascii="Arial" w:cs="Arial" w:eastAsia="Arial" w:hAnsi="Arial"/>
                <w:sz w:val="14"/>
                <w:szCs w:val="14"/>
                <w:b w:val="1"/>
                <w:bCs w:val="1"/>
                <w:color w:val="065BAA"/>
              </w:rPr>
              <w:t>Name and Address of Beneficial Owner</w:t>
            </w:r>
          </w:p>
        </w:tc>
        <w:tc>
          <w:tcPr>
            <w:tcW w:w="760" w:type="dxa"/>
            <w:vAlign w:val="bottom"/>
            <w:tcBorders>
              <w:bottom w:val="single" w:sz="8" w:color="065BAA"/>
            </w:tcBorders>
          </w:tcPr>
          <w:p>
            <w:pPr>
              <w:jc w:val="right"/>
              <w:spacing w:after="0"/>
              <w:rPr>
                <w:sz w:val="20"/>
                <w:szCs w:val="20"/>
                <w:color w:val="auto"/>
              </w:rPr>
            </w:pPr>
            <w:r>
              <w:rPr>
                <w:rFonts w:ascii="Arial" w:cs="Arial" w:eastAsia="Arial" w:hAnsi="Arial"/>
                <w:sz w:val="14"/>
                <w:szCs w:val="14"/>
                <w:b w:val="1"/>
                <w:bCs w:val="1"/>
                <w:color w:val="065BAA"/>
              </w:rPr>
              <w:t>Number</w:t>
            </w:r>
          </w:p>
        </w:tc>
        <w:tc>
          <w:tcPr>
            <w:tcW w:w="340" w:type="dxa"/>
            <w:vAlign w:val="bottom"/>
            <w:tcBorders>
              <w:bottom w:val="single" w:sz="8" w:color="065BAA"/>
            </w:tcBorders>
          </w:tcPr>
          <w:p>
            <w:pPr>
              <w:spacing w:after="0"/>
              <w:rPr>
                <w:sz w:val="16"/>
                <w:szCs w:val="16"/>
                <w:color w:val="auto"/>
              </w:rPr>
            </w:pPr>
          </w:p>
        </w:tc>
        <w:tc>
          <w:tcPr>
            <w:tcW w:w="1020" w:type="dxa"/>
            <w:vAlign w:val="bottom"/>
            <w:tcBorders>
              <w:bottom w:val="single" w:sz="8" w:color="065BAA"/>
            </w:tcBorders>
            <w:gridSpan w:val="2"/>
          </w:tcPr>
          <w:p>
            <w:pPr>
              <w:jc w:val="right"/>
              <w:ind w:right="220"/>
              <w:spacing w:after="0"/>
              <w:rPr>
                <w:sz w:val="20"/>
                <w:szCs w:val="20"/>
                <w:color w:val="auto"/>
              </w:rPr>
            </w:pPr>
            <w:r>
              <w:rPr>
                <w:rFonts w:ascii="Arial" w:cs="Arial" w:eastAsia="Arial" w:hAnsi="Arial"/>
                <w:sz w:val="14"/>
                <w:szCs w:val="14"/>
                <w:b w:val="1"/>
                <w:bCs w:val="1"/>
                <w:color w:val="065BAA"/>
              </w:rPr>
              <w:t>of Class</w:t>
            </w:r>
          </w:p>
        </w:tc>
        <w:tc>
          <w:tcPr>
            <w:tcW w:w="740" w:type="dxa"/>
            <w:vAlign w:val="bottom"/>
            <w:tcBorders>
              <w:bottom w:val="single" w:sz="8" w:color="065BAA"/>
            </w:tcBorders>
            <w:vMerge w:val="continue"/>
          </w:tcPr>
          <w:p>
            <w:pPr>
              <w:spacing w:after="0"/>
              <w:rPr>
                <w:sz w:val="16"/>
                <w:szCs w:val="16"/>
                <w:color w:val="auto"/>
              </w:rPr>
            </w:pPr>
          </w:p>
        </w:tc>
        <w:tc>
          <w:tcPr>
            <w:tcW w:w="360" w:type="dxa"/>
            <w:vAlign w:val="bottom"/>
            <w:tcBorders>
              <w:bottom w:val="single" w:sz="8" w:color="065BAA"/>
            </w:tcBorders>
          </w:tcPr>
          <w:p>
            <w:pPr>
              <w:spacing w:after="0"/>
              <w:rPr>
                <w:sz w:val="16"/>
                <w:szCs w:val="16"/>
                <w:color w:val="auto"/>
              </w:rPr>
            </w:pPr>
          </w:p>
        </w:tc>
        <w:tc>
          <w:tcPr>
            <w:tcW w:w="880" w:type="dxa"/>
            <w:vAlign w:val="bottom"/>
            <w:tcBorders>
              <w:bottom w:val="single" w:sz="8" w:color="065BAA"/>
            </w:tcBorders>
          </w:tcPr>
          <w:p>
            <w:pPr>
              <w:jc w:val="right"/>
              <w:ind w:right="44"/>
              <w:spacing w:after="0"/>
              <w:rPr>
                <w:sz w:val="20"/>
                <w:szCs w:val="20"/>
                <w:color w:val="auto"/>
              </w:rPr>
            </w:pPr>
            <w:r>
              <w:rPr>
                <w:rFonts w:ascii="Arial" w:cs="Arial" w:eastAsia="Arial" w:hAnsi="Arial"/>
                <w:sz w:val="14"/>
                <w:szCs w:val="14"/>
                <w:b w:val="1"/>
                <w:bCs w:val="1"/>
                <w:color w:val="065BAA"/>
              </w:rPr>
              <w:t>of Class</w:t>
            </w:r>
          </w:p>
        </w:tc>
        <w:tc>
          <w:tcPr>
            <w:tcW w:w="0" w:type="dxa"/>
            <w:vAlign w:val="bottom"/>
          </w:tcPr>
          <w:p>
            <w:pPr>
              <w:spacing w:after="0"/>
              <w:rPr>
                <w:sz w:val="1"/>
                <w:szCs w:val="1"/>
                <w:color w:val="auto"/>
              </w:rPr>
            </w:pPr>
          </w:p>
        </w:tc>
      </w:tr>
      <w:tr>
        <w:trPr>
          <w:trHeight w:val="173"/>
        </w:trPr>
        <w:tc>
          <w:tcPr>
            <w:tcW w:w="466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auto"/>
              </w:rPr>
              <w:t>Beneficial Owners of More than 5% of Class A Stock or</w:t>
            </w:r>
          </w:p>
        </w:tc>
        <w:tc>
          <w:tcPr>
            <w:tcW w:w="76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auto"/>
              </w:rPr>
              <w:t>Common Stock (Other than Directors and</w:t>
            </w:r>
          </w:p>
        </w:tc>
        <w:tc>
          <w:tcPr>
            <w:tcW w:w="76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66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auto"/>
              </w:rPr>
              <w:t>Executive Officers):</w:t>
            </w:r>
          </w:p>
        </w:tc>
        <w:tc>
          <w:tcPr>
            <w:tcW w:w="7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60" w:type="dxa"/>
            <w:vAlign w:val="bottom"/>
          </w:tcPr>
          <w:p>
            <w:pPr>
              <w:ind w:left="180"/>
              <w:spacing w:after="0" w:line="194" w:lineRule="exact"/>
              <w:rPr>
                <w:sz w:val="20"/>
                <w:szCs w:val="20"/>
                <w:color w:val="auto"/>
              </w:rPr>
            </w:pPr>
            <w:r>
              <w:rPr>
                <w:rFonts w:ascii="Arial" w:cs="Arial" w:eastAsia="Arial" w:hAnsi="Arial"/>
                <w:sz w:val="14"/>
                <w:szCs w:val="14"/>
                <w:color w:val="auto"/>
              </w:rPr>
              <w:t>The Vanguard Group, Inc.</w:t>
            </w:r>
            <w:r>
              <w:rPr>
                <w:rFonts w:ascii="Arial" w:cs="Arial" w:eastAsia="Arial" w:hAnsi="Arial"/>
                <w:sz w:val="18"/>
                <w:szCs w:val="18"/>
                <w:color w:val="auto"/>
                <w:vertAlign w:val="superscript"/>
              </w:rPr>
              <w:t>3</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8,838,240</w:t>
            </w:r>
          </w:p>
        </w:tc>
        <w:tc>
          <w:tcPr>
            <w:tcW w:w="360" w:type="dxa"/>
            <w:vAlign w:val="bottom"/>
          </w:tcPr>
          <w:p>
            <w:pPr>
              <w:spacing w:after="0"/>
              <w:rPr>
                <w:sz w:val="16"/>
                <w:szCs w:val="16"/>
                <w:color w:val="auto"/>
              </w:rPr>
            </w:pPr>
          </w:p>
        </w:tc>
        <w:tc>
          <w:tcPr>
            <w:tcW w:w="880" w:type="dxa"/>
            <w:vAlign w:val="bottom"/>
          </w:tcPr>
          <w:p>
            <w:pPr>
              <w:jc w:val="right"/>
              <w:ind w:right="64"/>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76"/>
        </w:trPr>
        <w:tc>
          <w:tcPr>
            <w:tcW w:w="4660" w:type="dxa"/>
            <w:vAlign w:val="bottom"/>
          </w:tcPr>
          <w:p>
            <w:pPr>
              <w:ind w:left="180"/>
              <w:spacing w:after="0"/>
              <w:rPr>
                <w:sz w:val="20"/>
                <w:szCs w:val="20"/>
                <w:color w:val="auto"/>
              </w:rPr>
            </w:pPr>
            <w:r>
              <w:rPr>
                <w:rFonts w:ascii="Arial" w:cs="Arial" w:eastAsia="Arial" w:hAnsi="Arial"/>
                <w:sz w:val="14"/>
                <w:szCs w:val="14"/>
                <w:color w:val="auto"/>
              </w:rPr>
              <w:t>100 Vanguard Blvd.</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60" w:type="dxa"/>
            <w:vAlign w:val="bottom"/>
          </w:tcPr>
          <w:p>
            <w:pPr>
              <w:ind w:left="180"/>
              <w:spacing w:after="0"/>
              <w:rPr>
                <w:sz w:val="20"/>
                <w:szCs w:val="20"/>
                <w:color w:val="auto"/>
              </w:rPr>
            </w:pPr>
            <w:r>
              <w:rPr>
                <w:rFonts w:ascii="Arial" w:cs="Arial" w:eastAsia="Arial" w:hAnsi="Arial"/>
                <w:sz w:val="14"/>
                <w:szCs w:val="14"/>
                <w:color w:val="auto"/>
              </w:rPr>
              <w:t>Malvern, PA 19355</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60" w:type="dxa"/>
            <w:vAlign w:val="bottom"/>
            <w:shd w:val="clear" w:color="auto" w:fill="DAEBF8"/>
          </w:tcPr>
          <w:p>
            <w:pPr>
              <w:ind w:left="180"/>
              <w:spacing w:after="0" w:line="194" w:lineRule="exact"/>
              <w:rPr>
                <w:sz w:val="20"/>
                <w:szCs w:val="20"/>
                <w:color w:val="auto"/>
              </w:rPr>
            </w:pPr>
            <w:r>
              <w:rPr>
                <w:rFonts w:ascii="Arial" w:cs="Arial" w:eastAsia="Arial" w:hAnsi="Arial"/>
                <w:sz w:val="14"/>
                <w:szCs w:val="14"/>
                <w:color w:val="auto"/>
              </w:rPr>
              <w:t>BlackRock, Inc.</w:t>
            </w:r>
            <w:r>
              <w:rPr>
                <w:rFonts w:ascii="Arial" w:cs="Arial" w:eastAsia="Arial" w:hAnsi="Arial"/>
                <w:sz w:val="18"/>
                <w:szCs w:val="18"/>
                <w:color w:val="auto"/>
                <w:vertAlign w:val="superscript"/>
              </w:rPr>
              <w:t>4</w:t>
            </w:r>
          </w:p>
        </w:tc>
        <w:tc>
          <w:tcPr>
            <w:tcW w:w="76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DAEBF8"/>
          </w:tcPr>
          <w:p>
            <w:pPr>
              <w:spacing w:after="0"/>
              <w:rPr>
                <w:sz w:val="16"/>
                <w:szCs w:val="16"/>
                <w:color w:val="auto"/>
              </w:rPr>
            </w:pPr>
          </w:p>
        </w:tc>
        <w:tc>
          <w:tcPr>
            <w:tcW w:w="1020" w:type="dxa"/>
            <w:vAlign w:val="bottom"/>
            <w:gridSpan w:val="2"/>
            <w:shd w:val="clear" w:color="auto" w:fill="DAEBF8"/>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8,629,707</w:t>
            </w:r>
          </w:p>
        </w:tc>
        <w:tc>
          <w:tcPr>
            <w:tcW w:w="360" w:type="dxa"/>
            <w:vAlign w:val="bottom"/>
            <w:shd w:val="clear" w:color="auto" w:fill="DAEBF8"/>
          </w:tcPr>
          <w:p>
            <w:pPr>
              <w:spacing w:after="0"/>
              <w:rPr>
                <w:sz w:val="16"/>
                <w:szCs w:val="16"/>
                <w:color w:val="auto"/>
              </w:rPr>
            </w:pPr>
          </w:p>
        </w:tc>
        <w:tc>
          <w:tcPr>
            <w:tcW w:w="880" w:type="dxa"/>
            <w:vAlign w:val="bottom"/>
            <w:shd w:val="clear" w:color="auto" w:fill="DAEBF8"/>
          </w:tcPr>
          <w:p>
            <w:pPr>
              <w:jc w:val="right"/>
              <w:ind w:right="64"/>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75"/>
        </w:trPr>
        <w:tc>
          <w:tcPr>
            <w:tcW w:w="4660" w:type="dxa"/>
            <w:vAlign w:val="bottom"/>
            <w:shd w:val="clear" w:color="auto" w:fill="DAEBF8"/>
          </w:tcPr>
          <w:p>
            <w:pPr>
              <w:ind w:left="180"/>
              <w:spacing w:after="0"/>
              <w:rPr>
                <w:sz w:val="20"/>
                <w:szCs w:val="20"/>
                <w:color w:val="auto"/>
              </w:rPr>
            </w:pPr>
            <w:r>
              <w:rPr>
                <w:rFonts w:ascii="Arial" w:cs="Arial" w:eastAsia="Arial" w:hAnsi="Arial"/>
                <w:sz w:val="14"/>
                <w:szCs w:val="14"/>
                <w:color w:val="auto"/>
              </w:rPr>
              <w:t>55 East 52nd Street</w:t>
            </w:r>
          </w:p>
        </w:tc>
        <w:tc>
          <w:tcPr>
            <w:tcW w:w="760" w:type="dxa"/>
            <w:vAlign w:val="bottom"/>
            <w:shd w:val="clear" w:color="auto" w:fill="DAEBF8"/>
          </w:tcPr>
          <w:p>
            <w:pPr>
              <w:spacing w:after="0"/>
              <w:rPr>
                <w:sz w:val="15"/>
                <w:szCs w:val="15"/>
                <w:color w:val="auto"/>
              </w:rPr>
            </w:pPr>
          </w:p>
        </w:tc>
        <w:tc>
          <w:tcPr>
            <w:tcW w:w="340" w:type="dxa"/>
            <w:vAlign w:val="bottom"/>
            <w:shd w:val="clear" w:color="auto" w:fill="DAEBF8"/>
          </w:tcPr>
          <w:p>
            <w:pPr>
              <w:spacing w:after="0"/>
              <w:rPr>
                <w:sz w:val="15"/>
                <w:szCs w:val="15"/>
                <w:color w:val="auto"/>
              </w:rPr>
            </w:pPr>
          </w:p>
        </w:tc>
        <w:tc>
          <w:tcPr>
            <w:tcW w:w="860" w:type="dxa"/>
            <w:vAlign w:val="bottom"/>
            <w:shd w:val="clear" w:color="auto" w:fill="DAEBF8"/>
          </w:tcPr>
          <w:p>
            <w:pPr>
              <w:spacing w:after="0"/>
              <w:rPr>
                <w:sz w:val="15"/>
                <w:szCs w:val="15"/>
                <w:color w:val="auto"/>
              </w:rPr>
            </w:pPr>
          </w:p>
        </w:tc>
        <w:tc>
          <w:tcPr>
            <w:tcW w:w="160" w:type="dxa"/>
            <w:vAlign w:val="bottom"/>
            <w:shd w:val="clear" w:color="auto" w:fill="DAEBF8"/>
          </w:tcPr>
          <w:p>
            <w:pPr>
              <w:spacing w:after="0"/>
              <w:rPr>
                <w:sz w:val="15"/>
                <w:szCs w:val="15"/>
                <w:color w:val="auto"/>
              </w:rPr>
            </w:pPr>
          </w:p>
        </w:tc>
        <w:tc>
          <w:tcPr>
            <w:tcW w:w="740" w:type="dxa"/>
            <w:vAlign w:val="bottom"/>
            <w:shd w:val="clear" w:color="auto" w:fill="DAEBF8"/>
          </w:tcPr>
          <w:p>
            <w:pPr>
              <w:spacing w:after="0"/>
              <w:rPr>
                <w:sz w:val="15"/>
                <w:szCs w:val="15"/>
                <w:color w:val="auto"/>
              </w:rPr>
            </w:pPr>
          </w:p>
        </w:tc>
        <w:tc>
          <w:tcPr>
            <w:tcW w:w="360" w:type="dxa"/>
            <w:vAlign w:val="bottom"/>
            <w:shd w:val="clear" w:color="auto" w:fill="DAEBF8"/>
          </w:tcPr>
          <w:p>
            <w:pPr>
              <w:spacing w:after="0"/>
              <w:rPr>
                <w:sz w:val="15"/>
                <w:szCs w:val="15"/>
                <w:color w:val="auto"/>
              </w:rPr>
            </w:pPr>
          </w:p>
        </w:tc>
        <w:tc>
          <w:tcPr>
            <w:tcW w:w="880" w:type="dxa"/>
            <w:vAlign w:val="bottom"/>
            <w:shd w:val="clear" w:color="auto" w:fill="DAEBF8"/>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660" w:type="dxa"/>
            <w:vAlign w:val="bottom"/>
            <w:tcBorders>
              <w:bottom w:val="single" w:sz="8" w:color="DAEBF8"/>
            </w:tcBorders>
            <w:shd w:val="clear" w:color="auto" w:fill="DAEBF8"/>
          </w:tcPr>
          <w:p>
            <w:pPr>
              <w:ind w:left="180"/>
              <w:spacing w:after="0"/>
              <w:rPr>
                <w:sz w:val="20"/>
                <w:szCs w:val="20"/>
                <w:color w:val="auto"/>
              </w:rPr>
            </w:pPr>
            <w:r>
              <w:rPr>
                <w:rFonts w:ascii="Arial" w:cs="Arial" w:eastAsia="Arial" w:hAnsi="Arial"/>
                <w:sz w:val="14"/>
                <w:szCs w:val="14"/>
                <w:color w:val="auto"/>
              </w:rPr>
              <w:t>New York, New York 10055</w:t>
            </w:r>
          </w:p>
        </w:tc>
        <w:tc>
          <w:tcPr>
            <w:tcW w:w="760" w:type="dxa"/>
            <w:vAlign w:val="bottom"/>
            <w:tcBorders>
              <w:bottom w:val="single" w:sz="8" w:color="DAEBF8"/>
            </w:tcBorders>
            <w:shd w:val="clear" w:color="auto" w:fill="DAEBF8"/>
          </w:tcPr>
          <w:p>
            <w:pPr>
              <w:spacing w:after="0"/>
              <w:rPr>
                <w:sz w:val="16"/>
                <w:szCs w:val="16"/>
                <w:color w:val="auto"/>
              </w:rPr>
            </w:pPr>
          </w:p>
        </w:tc>
        <w:tc>
          <w:tcPr>
            <w:tcW w:w="340" w:type="dxa"/>
            <w:vAlign w:val="bottom"/>
            <w:tcBorders>
              <w:bottom w:val="single" w:sz="8" w:color="DAEBF8"/>
            </w:tcBorders>
            <w:shd w:val="clear" w:color="auto" w:fill="DAEBF8"/>
          </w:tcPr>
          <w:p>
            <w:pPr>
              <w:spacing w:after="0"/>
              <w:rPr>
                <w:sz w:val="16"/>
                <w:szCs w:val="16"/>
                <w:color w:val="auto"/>
              </w:rPr>
            </w:pPr>
          </w:p>
        </w:tc>
        <w:tc>
          <w:tcPr>
            <w:tcW w:w="860" w:type="dxa"/>
            <w:vAlign w:val="bottom"/>
            <w:tcBorders>
              <w:bottom w:val="single" w:sz="8" w:color="DAEBF8"/>
            </w:tcBorders>
            <w:shd w:val="clear" w:color="auto" w:fill="DAEBF8"/>
          </w:tcPr>
          <w:p>
            <w:pPr>
              <w:spacing w:after="0"/>
              <w:rPr>
                <w:sz w:val="16"/>
                <w:szCs w:val="16"/>
                <w:color w:val="auto"/>
              </w:rPr>
            </w:pPr>
          </w:p>
        </w:tc>
        <w:tc>
          <w:tcPr>
            <w:tcW w:w="160" w:type="dxa"/>
            <w:vAlign w:val="bottom"/>
            <w:tcBorders>
              <w:bottom w:val="single" w:sz="8" w:color="DAEBF8"/>
            </w:tcBorders>
            <w:shd w:val="clear" w:color="auto" w:fill="DAEBF8"/>
          </w:tcPr>
          <w:p>
            <w:pPr>
              <w:spacing w:after="0"/>
              <w:rPr>
                <w:sz w:val="16"/>
                <w:szCs w:val="16"/>
                <w:color w:val="auto"/>
              </w:rPr>
            </w:pPr>
          </w:p>
        </w:tc>
        <w:tc>
          <w:tcPr>
            <w:tcW w:w="740" w:type="dxa"/>
            <w:vAlign w:val="bottom"/>
            <w:tcBorders>
              <w:bottom w:val="single" w:sz="8" w:color="DAEBF8"/>
            </w:tcBorders>
            <w:shd w:val="clear" w:color="auto" w:fill="DAEBF8"/>
          </w:tcPr>
          <w:p>
            <w:pPr>
              <w:spacing w:after="0"/>
              <w:rPr>
                <w:sz w:val="16"/>
                <w:szCs w:val="16"/>
                <w:color w:val="auto"/>
              </w:rPr>
            </w:pPr>
          </w:p>
        </w:tc>
        <w:tc>
          <w:tcPr>
            <w:tcW w:w="360" w:type="dxa"/>
            <w:vAlign w:val="bottom"/>
            <w:tcBorders>
              <w:bottom w:val="single" w:sz="8" w:color="DAEBF8"/>
            </w:tcBorders>
            <w:shd w:val="clear" w:color="auto" w:fill="DAEBF8"/>
          </w:tcPr>
          <w:p>
            <w:pPr>
              <w:spacing w:after="0"/>
              <w:rPr>
                <w:sz w:val="16"/>
                <w:szCs w:val="16"/>
                <w:color w:val="auto"/>
              </w:rPr>
            </w:pPr>
          </w:p>
        </w:tc>
        <w:tc>
          <w:tcPr>
            <w:tcW w:w="880" w:type="dxa"/>
            <w:vAlign w:val="bottom"/>
            <w:tcBorders>
              <w:bottom w:val="single" w:sz="8" w:color="DAEBF8"/>
            </w:tcBorders>
            <w:shd w:val="clear" w:color="auto" w:fill="DAEBF8"/>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60" w:type="dxa"/>
            <w:vAlign w:val="bottom"/>
          </w:tcPr>
          <w:p>
            <w:pPr>
              <w:ind w:left="180"/>
              <w:spacing w:after="0" w:line="194" w:lineRule="exact"/>
              <w:rPr>
                <w:sz w:val="20"/>
                <w:szCs w:val="20"/>
                <w:color w:val="auto"/>
              </w:rPr>
            </w:pPr>
            <w:r>
              <w:rPr>
                <w:rFonts w:ascii="Arial" w:cs="Arial" w:eastAsia="Arial" w:hAnsi="Arial"/>
                <w:sz w:val="14"/>
                <w:szCs w:val="14"/>
                <w:color w:val="auto"/>
              </w:rPr>
              <w:t>Capital World Investors</w:t>
            </w:r>
            <w:r>
              <w:rPr>
                <w:rFonts w:ascii="Arial" w:cs="Arial" w:eastAsia="Arial" w:hAnsi="Arial"/>
                <w:sz w:val="18"/>
                <w:szCs w:val="18"/>
                <w:color w:val="auto"/>
                <w:vertAlign w:val="superscript"/>
              </w:rPr>
              <w:t>5</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5,194,729</w:t>
            </w:r>
          </w:p>
        </w:tc>
        <w:tc>
          <w:tcPr>
            <w:tcW w:w="360" w:type="dxa"/>
            <w:vAlign w:val="bottom"/>
          </w:tcPr>
          <w:p>
            <w:pPr>
              <w:spacing w:after="0"/>
              <w:rPr>
                <w:sz w:val="16"/>
                <w:szCs w:val="16"/>
                <w:color w:val="auto"/>
              </w:rPr>
            </w:pPr>
          </w:p>
        </w:tc>
        <w:tc>
          <w:tcPr>
            <w:tcW w:w="880" w:type="dxa"/>
            <w:vAlign w:val="bottom"/>
          </w:tcPr>
          <w:p>
            <w:pPr>
              <w:jc w:val="right"/>
              <w:ind w:right="64"/>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6"/>
        </w:trPr>
        <w:tc>
          <w:tcPr>
            <w:tcW w:w="4660" w:type="dxa"/>
            <w:vAlign w:val="bottom"/>
          </w:tcPr>
          <w:p>
            <w:pPr>
              <w:ind w:left="180"/>
              <w:spacing w:after="0"/>
              <w:rPr>
                <w:sz w:val="20"/>
                <w:szCs w:val="20"/>
                <w:color w:val="auto"/>
              </w:rPr>
            </w:pPr>
            <w:r>
              <w:rPr>
                <w:rFonts w:ascii="Arial" w:cs="Arial" w:eastAsia="Arial" w:hAnsi="Arial"/>
                <w:sz w:val="14"/>
                <w:szCs w:val="14"/>
                <w:color w:val="auto"/>
              </w:rPr>
              <w:t>333 South Hope Street</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60" w:type="dxa"/>
            <w:vAlign w:val="bottom"/>
          </w:tcPr>
          <w:p>
            <w:pPr>
              <w:ind w:left="180"/>
              <w:spacing w:after="0"/>
              <w:rPr>
                <w:sz w:val="20"/>
                <w:szCs w:val="20"/>
                <w:color w:val="auto"/>
              </w:rPr>
            </w:pPr>
            <w:r>
              <w:rPr>
                <w:rFonts w:ascii="Arial" w:cs="Arial" w:eastAsia="Arial" w:hAnsi="Arial"/>
                <w:sz w:val="14"/>
                <w:szCs w:val="14"/>
                <w:color w:val="auto"/>
              </w:rPr>
              <w:t>Los Angeles, California 90071</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E5E5E5"/>
          </w:tcPr>
          <w:p>
            <w:pPr>
              <w:ind w:left="80"/>
              <w:spacing w:after="0"/>
              <w:rPr>
                <w:sz w:val="20"/>
                <w:szCs w:val="20"/>
                <w:color w:val="auto"/>
              </w:rPr>
            </w:pPr>
            <w:r>
              <w:rPr>
                <w:rFonts w:ascii="Arial" w:cs="Arial" w:eastAsia="Arial" w:hAnsi="Arial"/>
                <w:sz w:val="14"/>
                <w:szCs w:val="14"/>
                <w:b w:val="1"/>
                <w:bCs w:val="1"/>
                <w:color w:val="auto"/>
              </w:rPr>
              <w:t>Directors and Named Executive Officers:</w:t>
            </w:r>
            <w:r>
              <w:rPr>
                <w:rFonts w:ascii="Arial" w:cs="Arial" w:eastAsia="Arial" w:hAnsi="Arial"/>
                <w:sz w:val="18"/>
                <w:szCs w:val="18"/>
                <w:b w:val="1"/>
                <w:bCs w:val="1"/>
                <w:color w:val="auto"/>
                <w:vertAlign w:val="superscript"/>
              </w:rPr>
              <w:t>6</w:t>
            </w:r>
          </w:p>
        </w:tc>
        <w:tc>
          <w:tcPr>
            <w:tcW w:w="7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4"/>
                <w:szCs w:val="14"/>
                <w:b w:val="1"/>
                <w:bCs w:val="1"/>
                <w:color w:val="auto"/>
              </w:rPr>
              <w:t>Leonard S. Schleifer, M.D., Ph.D.</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1,725,565</w:t>
            </w:r>
          </w:p>
        </w:tc>
        <w:tc>
          <w:tcPr>
            <w:tcW w:w="340" w:type="dxa"/>
            <w:vAlign w:val="bottom"/>
          </w:tcPr>
          <w:p>
            <w:pPr>
              <w:jc w:val="right"/>
              <w:ind w:right="213"/>
              <w:spacing w:after="0"/>
              <w:rPr>
                <w:sz w:val="20"/>
                <w:szCs w:val="20"/>
                <w:color w:val="auto"/>
              </w:rPr>
            </w:pPr>
            <w:r>
              <w:rPr>
                <w:rFonts w:ascii="Arial" w:cs="Arial" w:eastAsia="Arial" w:hAnsi="Arial"/>
                <w:sz w:val="9"/>
                <w:szCs w:val="9"/>
                <w:color w:val="auto"/>
              </w:rPr>
              <w:t>7</w:t>
            </w:r>
          </w:p>
        </w:tc>
        <w:tc>
          <w:tcPr>
            <w:tcW w:w="860" w:type="dxa"/>
            <w:vAlign w:val="bottom"/>
          </w:tcPr>
          <w:p>
            <w:pPr>
              <w:jc w:val="right"/>
              <w:spacing w:after="0"/>
              <w:rPr>
                <w:sz w:val="20"/>
                <w:szCs w:val="20"/>
                <w:color w:val="auto"/>
              </w:rPr>
            </w:pPr>
            <w:r>
              <w:rPr>
                <w:rFonts w:ascii="Arial" w:cs="Arial" w:eastAsia="Arial" w:hAnsi="Arial"/>
                <w:sz w:val="14"/>
                <w:szCs w:val="14"/>
                <w:color w:val="auto"/>
              </w:rPr>
              <w:t>95.0%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2,910,233</w:t>
            </w:r>
          </w:p>
        </w:tc>
        <w:tc>
          <w:tcPr>
            <w:tcW w:w="360" w:type="dxa"/>
            <w:vAlign w:val="bottom"/>
          </w:tcPr>
          <w:p>
            <w:pPr>
              <w:ind w:left="60"/>
              <w:spacing w:after="0"/>
              <w:rPr>
                <w:sz w:val="20"/>
                <w:szCs w:val="20"/>
                <w:color w:val="auto"/>
              </w:rPr>
            </w:pPr>
            <w:r>
              <w:rPr>
                <w:rFonts w:ascii="Arial" w:cs="Arial" w:eastAsia="Arial" w:hAnsi="Arial"/>
                <w:sz w:val="9"/>
                <w:szCs w:val="9"/>
                <w:color w:val="auto"/>
              </w:rPr>
              <w:t>8</w:t>
            </w:r>
          </w:p>
        </w:tc>
        <w:tc>
          <w:tcPr>
            <w:tcW w:w="880" w:type="dxa"/>
            <w:vAlign w:val="bottom"/>
          </w:tcPr>
          <w:p>
            <w:pPr>
              <w:jc w:val="right"/>
              <w:ind w:right="64"/>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16"/>
        </w:trPr>
        <w:tc>
          <w:tcPr>
            <w:tcW w:w="4660" w:type="dxa"/>
            <w:vAlign w:val="bottom"/>
            <w:shd w:val="clear" w:color="auto" w:fill="DAEBF8"/>
          </w:tcPr>
          <w:p>
            <w:pPr>
              <w:ind w:left="180"/>
              <w:spacing w:after="0"/>
              <w:rPr>
                <w:sz w:val="20"/>
                <w:szCs w:val="20"/>
                <w:color w:val="auto"/>
              </w:rPr>
            </w:pPr>
            <w:r>
              <w:rPr>
                <w:rFonts w:ascii="Arial" w:cs="Arial" w:eastAsia="Arial" w:hAnsi="Arial"/>
                <w:sz w:val="14"/>
                <w:szCs w:val="14"/>
                <w:b w:val="1"/>
                <w:bCs w:val="1"/>
                <w:color w:val="auto"/>
              </w:rPr>
              <w:t>George D. Yancopoulos, M.D., Ph.D.</w:t>
            </w:r>
          </w:p>
        </w:tc>
        <w:tc>
          <w:tcPr>
            <w:tcW w:w="76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42,750</w:t>
            </w:r>
          </w:p>
        </w:tc>
        <w:tc>
          <w:tcPr>
            <w:tcW w:w="340" w:type="dxa"/>
            <w:vAlign w:val="bottom"/>
            <w:shd w:val="clear" w:color="auto" w:fill="DAEBF8"/>
          </w:tcPr>
          <w:p>
            <w:pPr>
              <w:jc w:val="right"/>
              <w:ind w:right="213"/>
              <w:spacing w:after="0"/>
              <w:rPr>
                <w:sz w:val="20"/>
                <w:szCs w:val="20"/>
                <w:color w:val="auto"/>
              </w:rPr>
            </w:pPr>
            <w:r>
              <w:rPr>
                <w:rFonts w:ascii="Arial" w:cs="Arial" w:eastAsia="Arial" w:hAnsi="Arial"/>
                <w:sz w:val="9"/>
                <w:szCs w:val="9"/>
                <w:color w:val="auto"/>
              </w:rPr>
              <w:t>9</w:t>
            </w: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2.4%</w:t>
            </w:r>
          </w:p>
        </w:tc>
        <w:tc>
          <w:tcPr>
            <w:tcW w:w="160" w:type="dxa"/>
            <w:vAlign w:val="bottom"/>
            <w:shd w:val="clear" w:color="auto" w:fill="DAEBF8"/>
          </w:tcPr>
          <w:p>
            <w:pPr>
              <w:spacing w:after="0"/>
              <w:rPr>
                <w:sz w:val="18"/>
                <w:szCs w:val="18"/>
                <w:color w:val="auto"/>
              </w:rPr>
            </w:pPr>
          </w:p>
        </w:tc>
        <w:tc>
          <w:tcPr>
            <w:tcW w:w="7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1,665,283</w:t>
            </w:r>
          </w:p>
        </w:tc>
        <w:tc>
          <w:tcPr>
            <w:tcW w:w="360" w:type="dxa"/>
            <w:vAlign w:val="bottom"/>
            <w:shd w:val="clear" w:color="auto" w:fill="DAEBF8"/>
          </w:tcPr>
          <w:p>
            <w:pPr>
              <w:ind w:left="60"/>
              <w:spacing w:after="0"/>
              <w:rPr>
                <w:sz w:val="20"/>
                <w:szCs w:val="20"/>
                <w:color w:val="auto"/>
              </w:rPr>
            </w:pPr>
            <w:r>
              <w:rPr>
                <w:rFonts w:ascii="Arial" w:cs="Arial" w:eastAsia="Arial" w:hAnsi="Arial"/>
                <w:sz w:val="9"/>
                <w:szCs w:val="9"/>
                <w:color w:val="auto"/>
              </w:rPr>
              <w:t>10</w:t>
            </w:r>
          </w:p>
        </w:tc>
        <w:tc>
          <w:tcPr>
            <w:tcW w:w="880" w:type="dxa"/>
            <w:vAlign w:val="bottom"/>
            <w:shd w:val="clear" w:color="auto" w:fill="DAEBF8"/>
          </w:tcPr>
          <w:p>
            <w:pPr>
              <w:jc w:val="right"/>
              <w:ind w:right="64"/>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4"/>
                <w:szCs w:val="14"/>
                <w:b w:val="1"/>
                <w:bCs w:val="1"/>
                <w:color w:val="auto"/>
              </w:rPr>
              <w:t>Bonnie L. Bassler, Ph.D.</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17,912</w:t>
            </w:r>
          </w:p>
        </w:tc>
        <w:tc>
          <w:tcPr>
            <w:tcW w:w="360" w:type="dxa"/>
            <w:vAlign w:val="bottom"/>
          </w:tcPr>
          <w:p>
            <w:pPr>
              <w:ind w:left="60"/>
              <w:spacing w:after="0"/>
              <w:rPr>
                <w:sz w:val="20"/>
                <w:szCs w:val="20"/>
                <w:color w:val="auto"/>
              </w:rPr>
            </w:pPr>
            <w:r>
              <w:rPr>
                <w:rFonts w:ascii="Arial" w:cs="Arial" w:eastAsia="Arial" w:hAnsi="Arial"/>
                <w:sz w:val="9"/>
                <w:szCs w:val="9"/>
                <w:color w:val="auto"/>
              </w:rPr>
              <w:t>11</w:t>
            </w:r>
          </w:p>
        </w:tc>
        <w:tc>
          <w:tcPr>
            <w:tcW w:w="880" w:type="dxa"/>
            <w:vAlign w:val="bottom"/>
          </w:tcPr>
          <w:p>
            <w:pPr>
              <w:jc w:val="right"/>
              <w:ind w:right="44"/>
              <w:spacing w:after="0"/>
              <w:rPr>
                <w:sz w:val="20"/>
                <w:szCs w:val="20"/>
                <w:color w:val="auto"/>
              </w:rPr>
            </w:pPr>
            <w:r>
              <w:rPr>
                <w:rFonts w:ascii="Arial" w:cs="Arial" w:eastAsia="Arial" w:hAnsi="Arial"/>
                <w:sz w:val="9"/>
                <w:szCs w:val="9"/>
                <w:color w:val="auto"/>
              </w:rPr>
              <w:t>27</w:t>
            </w:r>
          </w:p>
        </w:tc>
        <w:tc>
          <w:tcPr>
            <w:tcW w:w="0" w:type="dxa"/>
            <w:vAlign w:val="bottom"/>
          </w:tcPr>
          <w:p>
            <w:pPr>
              <w:spacing w:after="0"/>
              <w:rPr>
                <w:sz w:val="1"/>
                <w:szCs w:val="1"/>
                <w:color w:val="auto"/>
              </w:rPr>
            </w:pPr>
          </w:p>
        </w:tc>
      </w:tr>
      <w:tr>
        <w:trPr>
          <w:trHeight w:val="216"/>
        </w:trPr>
        <w:tc>
          <w:tcPr>
            <w:tcW w:w="4660" w:type="dxa"/>
            <w:vAlign w:val="bottom"/>
            <w:shd w:val="clear" w:color="auto" w:fill="DAEBF8"/>
          </w:tcPr>
          <w:p>
            <w:pPr>
              <w:ind w:left="180"/>
              <w:spacing w:after="0"/>
              <w:rPr>
                <w:sz w:val="20"/>
                <w:szCs w:val="20"/>
                <w:color w:val="auto"/>
              </w:rPr>
            </w:pPr>
            <w:r>
              <w:rPr>
                <w:rFonts w:ascii="Arial" w:cs="Arial" w:eastAsia="Arial" w:hAnsi="Arial"/>
                <w:sz w:val="14"/>
                <w:szCs w:val="14"/>
                <w:b w:val="1"/>
                <w:bCs w:val="1"/>
                <w:color w:val="auto"/>
              </w:rPr>
              <w:t>Michael S. Brown, M.D.</w:t>
            </w:r>
          </w:p>
        </w:tc>
        <w:tc>
          <w:tcPr>
            <w:tcW w:w="76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DAEBF8"/>
          </w:tcPr>
          <w:p>
            <w:pPr>
              <w:spacing w:after="0"/>
              <w:rPr>
                <w:sz w:val="18"/>
                <w:szCs w:val="18"/>
                <w:color w:val="auto"/>
              </w:rPr>
            </w:pPr>
          </w:p>
        </w:tc>
        <w:tc>
          <w:tcPr>
            <w:tcW w:w="1020" w:type="dxa"/>
            <w:vAlign w:val="bottom"/>
            <w:gridSpan w:val="2"/>
            <w:shd w:val="clear" w:color="auto" w:fill="DAEBF8"/>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19,137</w:t>
            </w:r>
          </w:p>
        </w:tc>
        <w:tc>
          <w:tcPr>
            <w:tcW w:w="360" w:type="dxa"/>
            <w:vAlign w:val="bottom"/>
            <w:shd w:val="clear" w:color="auto" w:fill="DAEBF8"/>
          </w:tcPr>
          <w:p>
            <w:pPr>
              <w:ind w:left="60"/>
              <w:spacing w:after="0"/>
              <w:rPr>
                <w:sz w:val="20"/>
                <w:szCs w:val="20"/>
                <w:color w:val="auto"/>
              </w:rPr>
            </w:pPr>
            <w:r>
              <w:rPr>
                <w:rFonts w:ascii="Arial" w:cs="Arial" w:eastAsia="Arial" w:hAnsi="Arial"/>
                <w:sz w:val="9"/>
                <w:szCs w:val="9"/>
                <w:color w:val="auto"/>
              </w:rPr>
              <w:t>12</w:t>
            </w:r>
          </w:p>
        </w:tc>
        <w:tc>
          <w:tcPr>
            <w:tcW w:w="880" w:type="dxa"/>
            <w:vAlign w:val="bottom"/>
            <w:shd w:val="clear" w:color="auto" w:fill="DAEBF8"/>
          </w:tcPr>
          <w:p>
            <w:pPr>
              <w:jc w:val="right"/>
              <w:ind w:right="44"/>
              <w:spacing w:after="0"/>
              <w:rPr>
                <w:sz w:val="20"/>
                <w:szCs w:val="20"/>
                <w:color w:val="auto"/>
              </w:rPr>
            </w:pPr>
            <w:r>
              <w:rPr>
                <w:rFonts w:ascii="Arial" w:cs="Arial" w:eastAsia="Arial" w:hAnsi="Arial"/>
                <w:sz w:val="9"/>
                <w:szCs w:val="9"/>
                <w:color w:val="auto"/>
              </w:rPr>
              <w:t>27</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4"/>
                <w:szCs w:val="14"/>
                <w:b w:val="1"/>
                <w:bCs w:val="1"/>
                <w:color w:val="auto"/>
              </w:rPr>
              <w:t>N. Anthony Coles, M.D.</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10,693</w:t>
            </w:r>
          </w:p>
        </w:tc>
        <w:tc>
          <w:tcPr>
            <w:tcW w:w="360" w:type="dxa"/>
            <w:vAlign w:val="bottom"/>
          </w:tcPr>
          <w:p>
            <w:pPr>
              <w:ind w:left="60"/>
              <w:spacing w:after="0"/>
              <w:rPr>
                <w:sz w:val="20"/>
                <w:szCs w:val="20"/>
                <w:color w:val="auto"/>
              </w:rPr>
            </w:pPr>
            <w:r>
              <w:rPr>
                <w:rFonts w:ascii="Arial" w:cs="Arial" w:eastAsia="Arial" w:hAnsi="Arial"/>
                <w:sz w:val="9"/>
                <w:szCs w:val="9"/>
                <w:color w:val="auto"/>
              </w:rPr>
              <w:t>13</w:t>
            </w:r>
          </w:p>
        </w:tc>
        <w:tc>
          <w:tcPr>
            <w:tcW w:w="880" w:type="dxa"/>
            <w:vAlign w:val="bottom"/>
          </w:tcPr>
          <w:p>
            <w:pPr>
              <w:jc w:val="right"/>
              <w:ind w:right="44"/>
              <w:spacing w:after="0"/>
              <w:rPr>
                <w:sz w:val="20"/>
                <w:szCs w:val="20"/>
                <w:color w:val="auto"/>
              </w:rPr>
            </w:pPr>
            <w:r>
              <w:rPr>
                <w:rFonts w:ascii="Arial" w:cs="Arial" w:eastAsia="Arial" w:hAnsi="Arial"/>
                <w:sz w:val="9"/>
                <w:szCs w:val="9"/>
                <w:color w:val="auto"/>
              </w:rPr>
              <w:t>27</w:t>
            </w:r>
          </w:p>
        </w:tc>
        <w:tc>
          <w:tcPr>
            <w:tcW w:w="0" w:type="dxa"/>
            <w:vAlign w:val="bottom"/>
          </w:tcPr>
          <w:p>
            <w:pPr>
              <w:spacing w:after="0"/>
              <w:rPr>
                <w:sz w:val="1"/>
                <w:szCs w:val="1"/>
                <w:color w:val="auto"/>
              </w:rPr>
            </w:pPr>
          </w:p>
        </w:tc>
      </w:tr>
      <w:tr>
        <w:trPr>
          <w:trHeight w:val="216"/>
        </w:trPr>
        <w:tc>
          <w:tcPr>
            <w:tcW w:w="4660" w:type="dxa"/>
            <w:vAlign w:val="bottom"/>
            <w:shd w:val="clear" w:color="auto" w:fill="DAEBF8"/>
          </w:tcPr>
          <w:p>
            <w:pPr>
              <w:ind w:left="180"/>
              <w:spacing w:after="0"/>
              <w:rPr>
                <w:sz w:val="20"/>
                <w:szCs w:val="20"/>
                <w:color w:val="auto"/>
              </w:rPr>
            </w:pPr>
            <w:r>
              <w:rPr>
                <w:rFonts w:ascii="Arial" w:cs="Arial" w:eastAsia="Arial" w:hAnsi="Arial"/>
                <w:sz w:val="14"/>
                <w:szCs w:val="14"/>
                <w:b w:val="1"/>
                <w:bCs w:val="1"/>
                <w:color w:val="auto"/>
              </w:rPr>
              <w:t>Christopher Fenimore</w:t>
            </w:r>
          </w:p>
        </w:tc>
        <w:tc>
          <w:tcPr>
            <w:tcW w:w="76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DAEBF8"/>
          </w:tcPr>
          <w:p>
            <w:pPr>
              <w:spacing w:after="0"/>
              <w:rPr>
                <w:sz w:val="18"/>
                <w:szCs w:val="18"/>
                <w:color w:val="auto"/>
              </w:rPr>
            </w:pPr>
          </w:p>
        </w:tc>
        <w:tc>
          <w:tcPr>
            <w:tcW w:w="1020" w:type="dxa"/>
            <w:vAlign w:val="bottom"/>
            <w:gridSpan w:val="2"/>
            <w:shd w:val="clear" w:color="auto" w:fill="DAEBF8"/>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93,920</w:t>
            </w:r>
          </w:p>
        </w:tc>
        <w:tc>
          <w:tcPr>
            <w:tcW w:w="360" w:type="dxa"/>
            <w:vAlign w:val="bottom"/>
            <w:shd w:val="clear" w:color="auto" w:fill="DAEBF8"/>
          </w:tcPr>
          <w:p>
            <w:pPr>
              <w:ind w:left="60"/>
              <w:spacing w:after="0"/>
              <w:rPr>
                <w:sz w:val="20"/>
                <w:szCs w:val="20"/>
                <w:color w:val="auto"/>
              </w:rPr>
            </w:pPr>
            <w:r>
              <w:rPr>
                <w:rFonts w:ascii="Arial" w:cs="Arial" w:eastAsia="Arial" w:hAnsi="Arial"/>
                <w:sz w:val="9"/>
                <w:szCs w:val="9"/>
                <w:color w:val="auto"/>
              </w:rPr>
              <w:t>14</w:t>
            </w:r>
          </w:p>
        </w:tc>
        <w:tc>
          <w:tcPr>
            <w:tcW w:w="880" w:type="dxa"/>
            <w:vAlign w:val="bottom"/>
            <w:shd w:val="clear" w:color="auto" w:fill="DAEBF8"/>
          </w:tcPr>
          <w:p>
            <w:pPr>
              <w:jc w:val="right"/>
              <w:ind w:right="44"/>
              <w:spacing w:after="0"/>
              <w:rPr>
                <w:sz w:val="20"/>
                <w:szCs w:val="20"/>
                <w:color w:val="auto"/>
              </w:rPr>
            </w:pPr>
            <w:r>
              <w:rPr>
                <w:rFonts w:ascii="Arial" w:cs="Arial" w:eastAsia="Arial" w:hAnsi="Arial"/>
                <w:sz w:val="9"/>
                <w:szCs w:val="9"/>
                <w:color w:val="auto"/>
              </w:rPr>
              <w:t>27</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4"/>
                <w:szCs w:val="14"/>
                <w:b w:val="1"/>
                <w:bCs w:val="1"/>
                <w:color w:val="auto"/>
              </w:rPr>
              <w:t>Joseph L. Goldstein, M.D.</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12,975</w:t>
            </w:r>
          </w:p>
        </w:tc>
        <w:tc>
          <w:tcPr>
            <w:tcW w:w="360" w:type="dxa"/>
            <w:vAlign w:val="bottom"/>
          </w:tcPr>
          <w:p>
            <w:pPr>
              <w:ind w:left="60"/>
              <w:spacing w:after="0"/>
              <w:rPr>
                <w:sz w:val="20"/>
                <w:szCs w:val="20"/>
                <w:color w:val="auto"/>
              </w:rPr>
            </w:pPr>
            <w:r>
              <w:rPr>
                <w:rFonts w:ascii="Arial" w:cs="Arial" w:eastAsia="Arial" w:hAnsi="Arial"/>
                <w:sz w:val="9"/>
                <w:szCs w:val="9"/>
                <w:color w:val="auto"/>
              </w:rPr>
              <w:t>15</w:t>
            </w:r>
          </w:p>
        </w:tc>
        <w:tc>
          <w:tcPr>
            <w:tcW w:w="880" w:type="dxa"/>
            <w:vAlign w:val="bottom"/>
          </w:tcPr>
          <w:p>
            <w:pPr>
              <w:jc w:val="right"/>
              <w:ind w:right="44"/>
              <w:spacing w:after="0"/>
              <w:rPr>
                <w:sz w:val="20"/>
                <w:szCs w:val="20"/>
                <w:color w:val="auto"/>
              </w:rPr>
            </w:pPr>
            <w:r>
              <w:rPr>
                <w:rFonts w:ascii="Arial" w:cs="Arial" w:eastAsia="Arial" w:hAnsi="Arial"/>
                <w:sz w:val="9"/>
                <w:szCs w:val="9"/>
                <w:color w:val="auto"/>
              </w:rPr>
              <w:t>27</w:t>
            </w:r>
          </w:p>
        </w:tc>
        <w:tc>
          <w:tcPr>
            <w:tcW w:w="0" w:type="dxa"/>
            <w:vAlign w:val="bottom"/>
          </w:tcPr>
          <w:p>
            <w:pPr>
              <w:spacing w:after="0"/>
              <w:rPr>
                <w:sz w:val="1"/>
                <w:szCs w:val="1"/>
                <w:color w:val="auto"/>
              </w:rPr>
            </w:pPr>
          </w:p>
        </w:tc>
      </w:tr>
      <w:tr>
        <w:trPr>
          <w:trHeight w:val="216"/>
        </w:trPr>
        <w:tc>
          <w:tcPr>
            <w:tcW w:w="4660" w:type="dxa"/>
            <w:vAlign w:val="bottom"/>
            <w:shd w:val="clear" w:color="auto" w:fill="DAEBF8"/>
          </w:tcPr>
          <w:p>
            <w:pPr>
              <w:ind w:left="180"/>
              <w:spacing w:after="0"/>
              <w:rPr>
                <w:sz w:val="20"/>
                <w:szCs w:val="20"/>
                <w:color w:val="auto"/>
              </w:rPr>
            </w:pPr>
            <w:r>
              <w:rPr>
                <w:rFonts w:ascii="Arial" w:cs="Arial" w:eastAsia="Arial" w:hAnsi="Arial"/>
                <w:sz w:val="14"/>
                <w:szCs w:val="14"/>
                <w:b w:val="1"/>
                <w:bCs w:val="1"/>
                <w:color w:val="auto"/>
              </w:rPr>
              <w:t>Kathryn Guarini, Ph.D.</w:t>
            </w:r>
          </w:p>
        </w:tc>
        <w:tc>
          <w:tcPr>
            <w:tcW w:w="76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DAEBF8"/>
          </w:tcPr>
          <w:p>
            <w:pPr>
              <w:spacing w:after="0"/>
              <w:rPr>
                <w:sz w:val="18"/>
                <w:szCs w:val="18"/>
                <w:color w:val="auto"/>
              </w:rPr>
            </w:pPr>
          </w:p>
        </w:tc>
        <w:tc>
          <w:tcPr>
            <w:tcW w:w="1020" w:type="dxa"/>
            <w:vAlign w:val="bottom"/>
            <w:gridSpan w:val="2"/>
            <w:shd w:val="clear" w:color="auto" w:fill="DAEBF8"/>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6,586</w:t>
            </w:r>
          </w:p>
        </w:tc>
        <w:tc>
          <w:tcPr>
            <w:tcW w:w="360" w:type="dxa"/>
            <w:vAlign w:val="bottom"/>
            <w:shd w:val="clear" w:color="auto" w:fill="DAEBF8"/>
          </w:tcPr>
          <w:p>
            <w:pPr>
              <w:ind w:left="60"/>
              <w:spacing w:after="0"/>
              <w:rPr>
                <w:sz w:val="20"/>
                <w:szCs w:val="20"/>
                <w:color w:val="auto"/>
              </w:rPr>
            </w:pPr>
            <w:r>
              <w:rPr>
                <w:rFonts w:ascii="Arial" w:cs="Arial" w:eastAsia="Arial" w:hAnsi="Arial"/>
                <w:sz w:val="9"/>
                <w:szCs w:val="9"/>
                <w:color w:val="auto"/>
              </w:rPr>
              <w:t>16</w:t>
            </w:r>
          </w:p>
        </w:tc>
        <w:tc>
          <w:tcPr>
            <w:tcW w:w="880" w:type="dxa"/>
            <w:vAlign w:val="bottom"/>
            <w:shd w:val="clear" w:color="auto" w:fill="DAEBF8"/>
          </w:tcPr>
          <w:p>
            <w:pPr>
              <w:jc w:val="right"/>
              <w:ind w:right="44"/>
              <w:spacing w:after="0"/>
              <w:rPr>
                <w:sz w:val="20"/>
                <w:szCs w:val="20"/>
                <w:color w:val="auto"/>
              </w:rPr>
            </w:pPr>
            <w:r>
              <w:rPr>
                <w:rFonts w:ascii="Arial" w:cs="Arial" w:eastAsia="Arial" w:hAnsi="Arial"/>
                <w:sz w:val="9"/>
                <w:szCs w:val="9"/>
                <w:color w:val="auto"/>
              </w:rPr>
              <w:t>27</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4"/>
                <w:szCs w:val="14"/>
                <w:b w:val="1"/>
                <w:bCs w:val="1"/>
                <w:color w:val="auto"/>
              </w:rPr>
              <w:t>Joseph J. LaRosa</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182,611</w:t>
            </w:r>
          </w:p>
        </w:tc>
        <w:tc>
          <w:tcPr>
            <w:tcW w:w="360" w:type="dxa"/>
            <w:vAlign w:val="bottom"/>
          </w:tcPr>
          <w:p>
            <w:pPr>
              <w:ind w:left="60"/>
              <w:spacing w:after="0"/>
              <w:rPr>
                <w:sz w:val="20"/>
                <w:szCs w:val="20"/>
                <w:color w:val="auto"/>
              </w:rPr>
            </w:pPr>
            <w:r>
              <w:rPr>
                <w:rFonts w:ascii="Arial" w:cs="Arial" w:eastAsia="Arial" w:hAnsi="Arial"/>
                <w:sz w:val="9"/>
                <w:szCs w:val="9"/>
                <w:color w:val="auto"/>
              </w:rPr>
              <w:t>17</w:t>
            </w:r>
          </w:p>
        </w:tc>
        <w:tc>
          <w:tcPr>
            <w:tcW w:w="880" w:type="dxa"/>
            <w:vAlign w:val="bottom"/>
          </w:tcPr>
          <w:p>
            <w:pPr>
              <w:jc w:val="right"/>
              <w:ind w:right="44"/>
              <w:spacing w:after="0"/>
              <w:rPr>
                <w:sz w:val="20"/>
                <w:szCs w:val="20"/>
                <w:color w:val="auto"/>
              </w:rPr>
            </w:pPr>
            <w:r>
              <w:rPr>
                <w:rFonts w:ascii="Arial" w:cs="Arial" w:eastAsia="Arial" w:hAnsi="Arial"/>
                <w:sz w:val="9"/>
                <w:szCs w:val="9"/>
                <w:color w:val="auto"/>
              </w:rPr>
              <w:t>27</w:t>
            </w:r>
          </w:p>
        </w:tc>
        <w:tc>
          <w:tcPr>
            <w:tcW w:w="0" w:type="dxa"/>
            <w:vAlign w:val="bottom"/>
          </w:tcPr>
          <w:p>
            <w:pPr>
              <w:spacing w:after="0"/>
              <w:rPr>
                <w:sz w:val="1"/>
                <w:szCs w:val="1"/>
                <w:color w:val="auto"/>
              </w:rPr>
            </w:pPr>
          </w:p>
        </w:tc>
      </w:tr>
      <w:tr>
        <w:trPr>
          <w:trHeight w:val="216"/>
        </w:trPr>
        <w:tc>
          <w:tcPr>
            <w:tcW w:w="4660" w:type="dxa"/>
            <w:vAlign w:val="bottom"/>
            <w:shd w:val="clear" w:color="auto" w:fill="DAEBF8"/>
          </w:tcPr>
          <w:p>
            <w:pPr>
              <w:ind w:left="180"/>
              <w:spacing w:after="0"/>
              <w:rPr>
                <w:sz w:val="20"/>
                <w:szCs w:val="20"/>
                <w:color w:val="auto"/>
              </w:rPr>
            </w:pPr>
            <w:r>
              <w:rPr>
                <w:rFonts w:ascii="Arial" w:cs="Arial" w:eastAsia="Arial" w:hAnsi="Arial"/>
                <w:sz w:val="14"/>
                <w:szCs w:val="14"/>
                <w:b w:val="1"/>
                <w:bCs w:val="1"/>
                <w:color w:val="auto"/>
              </w:rPr>
              <w:t>Andrew J. Murphy, Ph.D.</w:t>
            </w:r>
          </w:p>
        </w:tc>
        <w:tc>
          <w:tcPr>
            <w:tcW w:w="76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DAEBF8"/>
          </w:tcPr>
          <w:p>
            <w:pPr>
              <w:spacing w:after="0"/>
              <w:rPr>
                <w:sz w:val="18"/>
                <w:szCs w:val="18"/>
                <w:color w:val="auto"/>
              </w:rPr>
            </w:pPr>
          </w:p>
        </w:tc>
        <w:tc>
          <w:tcPr>
            <w:tcW w:w="1020" w:type="dxa"/>
            <w:vAlign w:val="bottom"/>
            <w:gridSpan w:val="2"/>
            <w:shd w:val="clear" w:color="auto" w:fill="DAEBF8"/>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246,030</w:t>
            </w:r>
          </w:p>
        </w:tc>
        <w:tc>
          <w:tcPr>
            <w:tcW w:w="360" w:type="dxa"/>
            <w:vAlign w:val="bottom"/>
            <w:shd w:val="clear" w:color="auto" w:fill="DAEBF8"/>
          </w:tcPr>
          <w:p>
            <w:pPr>
              <w:ind w:left="60"/>
              <w:spacing w:after="0"/>
              <w:rPr>
                <w:sz w:val="20"/>
                <w:szCs w:val="20"/>
                <w:color w:val="auto"/>
              </w:rPr>
            </w:pPr>
            <w:r>
              <w:rPr>
                <w:rFonts w:ascii="Arial" w:cs="Arial" w:eastAsia="Arial" w:hAnsi="Arial"/>
                <w:sz w:val="9"/>
                <w:szCs w:val="9"/>
                <w:color w:val="auto"/>
              </w:rPr>
              <w:t>18</w:t>
            </w:r>
          </w:p>
        </w:tc>
        <w:tc>
          <w:tcPr>
            <w:tcW w:w="880" w:type="dxa"/>
            <w:vAlign w:val="bottom"/>
            <w:shd w:val="clear" w:color="auto" w:fill="DAEBF8"/>
          </w:tcPr>
          <w:p>
            <w:pPr>
              <w:jc w:val="right"/>
              <w:ind w:right="44"/>
              <w:spacing w:after="0"/>
              <w:rPr>
                <w:sz w:val="20"/>
                <w:szCs w:val="20"/>
                <w:color w:val="auto"/>
              </w:rPr>
            </w:pPr>
            <w:r>
              <w:rPr>
                <w:rFonts w:ascii="Arial" w:cs="Arial" w:eastAsia="Arial" w:hAnsi="Arial"/>
                <w:sz w:val="9"/>
                <w:szCs w:val="9"/>
                <w:color w:val="auto"/>
              </w:rPr>
              <w:t>27</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4"/>
                <w:szCs w:val="14"/>
                <w:b w:val="1"/>
                <w:bCs w:val="1"/>
                <w:color w:val="auto"/>
              </w:rPr>
              <w:t>Christine A. Poon</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41,225</w:t>
            </w:r>
          </w:p>
        </w:tc>
        <w:tc>
          <w:tcPr>
            <w:tcW w:w="360" w:type="dxa"/>
            <w:vAlign w:val="bottom"/>
          </w:tcPr>
          <w:p>
            <w:pPr>
              <w:ind w:left="60"/>
              <w:spacing w:after="0"/>
              <w:rPr>
                <w:sz w:val="20"/>
                <w:szCs w:val="20"/>
                <w:color w:val="auto"/>
              </w:rPr>
            </w:pPr>
            <w:r>
              <w:rPr>
                <w:rFonts w:ascii="Arial" w:cs="Arial" w:eastAsia="Arial" w:hAnsi="Arial"/>
                <w:sz w:val="9"/>
                <w:szCs w:val="9"/>
                <w:color w:val="auto"/>
              </w:rPr>
              <w:t>19</w:t>
            </w:r>
          </w:p>
        </w:tc>
        <w:tc>
          <w:tcPr>
            <w:tcW w:w="880" w:type="dxa"/>
            <w:vAlign w:val="bottom"/>
          </w:tcPr>
          <w:p>
            <w:pPr>
              <w:jc w:val="right"/>
              <w:ind w:right="44"/>
              <w:spacing w:after="0"/>
              <w:rPr>
                <w:sz w:val="20"/>
                <w:szCs w:val="20"/>
                <w:color w:val="auto"/>
              </w:rPr>
            </w:pPr>
            <w:r>
              <w:rPr>
                <w:rFonts w:ascii="Arial" w:cs="Arial" w:eastAsia="Arial" w:hAnsi="Arial"/>
                <w:sz w:val="9"/>
                <w:szCs w:val="9"/>
                <w:color w:val="auto"/>
              </w:rPr>
              <w:t>27</w:t>
            </w:r>
          </w:p>
        </w:tc>
        <w:tc>
          <w:tcPr>
            <w:tcW w:w="0" w:type="dxa"/>
            <w:vAlign w:val="bottom"/>
          </w:tcPr>
          <w:p>
            <w:pPr>
              <w:spacing w:after="0"/>
              <w:rPr>
                <w:sz w:val="1"/>
                <w:szCs w:val="1"/>
                <w:color w:val="auto"/>
              </w:rPr>
            </w:pPr>
          </w:p>
        </w:tc>
      </w:tr>
      <w:tr>
        <w:trPr>
          <w:trHeight w:val="216"/>
        </w:trPr>
        <w:tc>
          <w:tcPr>
            <w:tcW w:w="4660" w:type="dxa"/>
            <w:vAlign w:val="bottom"/>
            <w:shd w:val="clear" w:color="auto" w:fill="DAEBF8"/>
          </w:tcPr>
          <w:p>
            <w:pPr>
              <w:ind w:left="180"/>
              <w:spacing w:after="0"/>
              <w:rPr>
                <w:sz w:val="20"/>
                <w:szCs w:val="20"/>
                <w:color w:val="auto"/>
              </w:rPr>
            </w:pPr>
            <w:r>
              <w:rPr>
                <w:rFonts w:ascii="Arial" w:cs="Arial" w:eastAsia="Arial" w:hAnsi="Arial"/>
                <w:sz w:val="14"/>
                <w:szCs w:val="14"/>
                <w:b w:val="1"/>
                <w:bCs w:val="1"/>
                <w:color w:val="auto"/>
              </w:rPr>
              <w:t>Arthur F. Ryan</w:t>
            </w:r>
          </w:p>
        </w:tc>
        <w:tc>
          <w:tcPr>
            <w:tcW w:w="76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DAEBF8"/>
          </w:tcPr>
          <w:p>
            <w:pPr>
              <w:spacing w:after="0"/>
              <w:rPr>
                <w:sz w:val="18"/>
                <w:szCs w:val="18"/>
                <w:color w:val="auto"/>
              </w:rPr>
            </w:pPr>
          </w:p>
        </w:tc>
        <w:tc>
          <w:tcPr>
            <w:tcW w:w="1020" w:type="dxa"/>
            <w:vAlign w:val="bottom"/>
            <w:gridSpan w:val="2"/>
            <w:shd w:val="clear" w:color="auto" w:fill="DAEBF8"/>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26,582</w:t>
            </w:r>
          </w:p>
        </w:tc>
        <w:tc>
          <w:tcPr>
            <w:tcW w:w="360" w:type="dxa"/>
            <w:vAlign w:val="bottom"/>
            <w:shd w:val="clear" w:color="auto" w:fill="DAEBF8"/>
          </w:tcPr>
          <w:p>
            <w:pPr>
              <w:ind w:left="60"/>
              <w:spacing w:after="0"/>
              <w:rPr>
                <w:sz w:val="20"/>
                <w:szCs w:val="20"/>
                <w:color w:val="auto"/>
              </w:rPr>
            </w:pPr>
            <w:r>
              <w:rPr>
                <w:rFonts w:ascii="Arial" w:cs="Arial" w:eastAsia="Arial" w:hAnsi="Arial"/>
                <w:sz w:val="9"/>
                <w:szCs w:val="9"/>
                <w:color w:val="auto"/>
              </w:rPr>
              <w:t>20</w:t>
            </w:r>
          </w:p>
        </w:tc>
        <w:tc>
          <w:tcPr>
            <w:tcW w:w="880" w:type="dxa"/>
            <w:vAlign w:val="bottom"/>
            <w:shd w:val="clear" w:color="auto" w:fill="DAEBF8"/>
          </w:tcPr>
          <w:p>
            <w:pPr>
              <w:jc w:val="right"/>
              <w:ind w:right="44"/>
              <w:spacing w:after="0"/>
              <w:rPr>
                <w:sz w:val="20"/>
                <w:szCs w:val="20"/>
                <w:color w:val="auto"/>
              </w:rPr>
            </w:pPr>
            <w:r>
              <w:rPr>
                <w:rFonts w:ascii="Arial" w:cs="Arial" w:eastAsia="Arial" w:hAnsi="Arial"/>
                <w:sz w:val="9"/>
                <w:szCs w:val="9"/>
                <w:color w:val="auto"/>
              </w:rPr>
              <w:t>27</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4"/>
                <w:szCs w:val="14"/>
                <w:b w:val="1"/>
                <w:bCs w:val="1"/>
                <w:color w:val="auto"/>
              </w:rPr>
              <w:t>David P. Schenkein, M.D.</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6,586</w:t>
            </w:r>
          </w:p>
        </w:tc>
        <w:tc>
          <w:tcPr>
            <w:tcW w:w="360" w:type="dxa"/>
            <w:vAlign w:val="bottom"/>
          </w:tcPr>
          <w:p>
            <w:pPr>
              <w:ind w:left="60"/>
              <w:spacing w:after="0"/>
              <w:rPr>
                <w:sz w:val="20"/>
                <w:szCs w:val="20"/>
                <w:color w:val="auto"/>
              </w:rPr>
            </w:pPr>
            <w:r>
              <w:rPr>
                <w:rFonts w:ascii="Arial" w:cs="Arial" w:eastAsia="Arial" w:hAnsi="Arial"/>
                <w:sz w:val="9"/>
                <w:szCs w:val="9"/>
                <w:color w:val="auto"/>
              </w:rPr>
              <w:t>21</w:t>
            </w:r>
          </w:p>
        </w:tc>
        <w:tc>
          <w:tcPr>
            <w:tcW w:w="880" w:type="dxa"/>
            <w:vAlign w:val="bottom"/>
          </w:tcPr>
          <w:p>
            <w:pPr>
              <w:jc w:val="right"/>
              <w:ind w:right="44"/>
              <w:spacing w:after="0"/>
              <w:rPr>
                <w:sz w:val="20"/>
                <w:szCs w:val="20"/>
                <w:color w:val="auto"/>
              </w:rPr>
            </w:pPr>
            <w:r>
              <w:rPr>
                <w:rFonts w:ascii="Arial" w:cs="Arial" w:eastAsia="Arial" w:hAnsi="Arial"/>
                <w:sz w:val="9"/>
                <w:szCs w:val="9"/>
                <w:color w:val="auto"/>
              </w:rPr>
              <w:t>27</w:t>
            </w:r>
          </w:p>
        </w:tc>
        <w:tc>
          <w:tcPr>
            <w:tcW w:w="0" w:type="dxa"/>
            <w:vAlign w:val="bottom"/>
          </w:tcPr>
          <w:p>
            <w:pPr>
              <w:spacing w:after="0"/>
              <w:rPr>
                <w:sz w:val="1"/>
                <w:szCs w:val="1"/>
                <w:color w:val="auto"/>
              </w:rPr>
            </w:pPr>
          </w:p>
        </w:tc>
      </w:tr>
      <w:tr>
        <w:trPr>
          <w:trHeight w:val="216"/>
        </w:trPr>
        <w:tc>
          <w:tcPr>
            <w:tcW w:w="4660" w:type="dxa"/>
            <w:vAlign w:val="bottom"/>
            <w:shd w:val="clear" w:color="auto" w:fill="DAEBF8"/>
          </w:tcPr>
          <w:p>
            <w:pPr>
              <w:ind w:left="180"/>
              <w:spacing w:after="0"/>
              <w:rPr>
                <w:sz w:val="20"/>
                <w:szCs w:val="20"/>
                <w:color w:val="auto"/>
              </w:rPr>
            </w:pPr>
            <w:r>
              <w:rPr>
                <w:rFonts w:ascii="Arial" w:cs="Arial" w:eastAsia="Arial" w:hAnsi="Arial"/>
                <w:sz w:val="14"/>
                <w:szCs w:val="14"/>
                <w:b w:val="1"/>
                <w:bCs w:val="1"/>
                <w:color w:val="auto"/>
              </w:rPr>
              <w:t>George L. Sing</w:t>
            </w:r>
          </w:p>
        </w:tc>
        <w:tc>
          <w:tcPr>
            <w:tcW w:w="76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DAEBF8"/>
          </w:tcPr>
          <w:p>
            <w:pPr>
              <w:spacing w:after="0"/>
              <w:rPr>
                <w:sz w:val="18"/>
                <w:szCs w:val="18"/>
                <w:color w:val="auto"/>
              </w:rPr>
            </w:pPr>
          </w:p>
        </w:tc>
        <w:tc>
          <w:tcPr>
            <w:tcW w:w="1020" w:type="dxa"/>
            <w:vAlign w:val="bottom"/>
            <w:gridSpan w:val="2"/>
            <w:shd w:val="clear" w:color="auto" w:fill="DAEBF8"/>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69,163</w:t>
            </w:r>
          </w:p>
        </w:tc>
        <w:tc>
          <w:tcPr>
            <w:tcW w:w="360" w:type="dxa"/>
            <w:vAlign w:val="bottom"/>
            <w:shd w:val="clear" w:color="auto" w:fill="DAEBF8"/>
          </w:tcPr>
          <w:p>
            <w:pPr>
              <w:ind w:left="60"/>
              <w:spacing w:after="0"/>
              <w:rPr>
                <w:sz w:val="20"/>
                <w:szCs w:val="20"/>
                <w:color w:val="auto"/>
              </w:rPr>
            </w:pPr>
            <w:r>
              <w:rPr>
                <w:rFonts w:ascii="Arial" w:cs="Arial" w:eastAsia="Arial" w:hAnsi="Arial"/>
                <w:sz w:val="9"/>
                <w:szCs w:val="9"/>
                <w:color w:val="auto"/>
              </w:rPr>
              <w:t>22</w:t>
            </w:r>
          </w:p>
        </w:tc>
        <w:tc>
          <w:tcPr>
            <w:tcW w:w="880" w:type="dxa"/>
            <w:vAlign w:val="bottom"/>
            <w:shd w:val="clear" w:color="auto" w:fill="DAEBF8"/>
          </w:tcPr>
          <w:p>
            <w:pPr>
              <w:jc w:val="right"/>
              <w:ind w:right="44"/>
              <w:spacing w:after="0"/>
              <w:rPr>
                <w:sz w:val="20"/>
                <w:szCs w:val="20"/>
                <w:color w:val="auto"/>
              </w:rPr>
            </w:pPr>
            <w:r>
              <w:rPr>
                <w:rFonts w:ascii="Arial" w:cs="Arial" w:eastAsia="Arial" w:hAnsi="Arial"/>
                <w:sz w:val="9"/>
                <w:szCs w:val="9"/>
                <w:color w:val="auto"/>
              </w:rPr>
              <w:t>27</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4"/>
                <w:szCs w:val="14"/>
                <w:b w:val="1"/>
                <w:bCs w:val="1"/>
                <w:color w:val="auto"/>
              </w:rPr>
              <w:t>Craig B. Thompson, M.D.</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8,811</w:t>
            </w:r>
          </w:p>
        </w:tc>
        <w:tc>
          <w:tcPr>
            <w:tcW w:w="360" w:type="dxa"/>
            <w:vAlign w:val="bottom"/>
          </w:tcPr>
          <w:p>
            <w:pPr>
              <w:ind w:left="60"/>
              <w:spacing w:after="0"/>
              <w:rPr>
                <w:sz w:val="20"/>
                <w:szCs w:val="20"/>
                <w:color w:val="auto"/>
              </w:rPr>
            </w:pPr>
            <w:r>
              <w:rPr>
                <w:rFonts w:ascii="Arial" w:cs="Arial" w:eastAsia="Arial" w:hAnsi="Arial"/>
                <w:sz w:val="9"/>
                <w:szCs w:val="9"/>
                <w:color w:val="auto"/>
              </w:rPr>
              <w:t>23</w:t>
            </w:r>
          </w:p>
        </w:tc>
        <w:tc>
          <w:tcPr>
            <w:tcW w:w="880" w:type="dxa"/>
            <w:vAlign w:val="bottom"/>
          </w:tcPr>
          <w:p>
            <w:pPr>
              <w:jc w:val="right"/>
              <w:ind w:right="44"/>
              <w:spacing w:after="0"/>
              <w:rPr>
                <w:sz w:val="20"/>
                <w:szCs w:val="20"/>
                <w:color w:val="auto"/>
              </w:rPr>
            </w:pPr>
            <w:r>
              <w:rPr>
                <w:rFonts w:ascii="Arial" w:cs="Arial" w:eastAsia="Arial" w:hAnsi="Arial"/>
                <w:sz w:val="9"/>
                <w:szCs w:val="9"/>
                <w:color w:val="auto"/>
              </w:rPr>
              <w:t>27</w:t>
            </w:r>
          </w:p>
        </w:tc>
        <w:tc>
          <w:tcPr>
            <w:tcW w:w="0" w:type="dxa"/>
            <w:vAlign w:val="bottom"/>
          </w:tcPr>
          <w:p>
            <w:pPr>
              <w:spacing w:after="0"/>
              <w:rPr>
                <w:sz w:val="1"/>
                <w:szCs w:val="1"/>
                <w:color w:val="auto"/>
              </w:rPr>
            </w:pPr>
          </w:p>
        </w:tc>
      </w:tr>
      <w:tr>
        <w:trPr>
          <w:trHeight w:val="216"/>
        </w:trPr>
        <w:tc>
          <w:tcPr>
            <w:tcW w:w="4660" w:type="dxa"/>
            <w:vAlign w:val="bottom"/>
            <w:shd w:val="clear" w:color="auto" w:fill="DAEBF8"/>
          </w:tcPr>
          <w:p>
            <w:pPr>
              <w:ind w:left="180"/>
              <w:spacing w:after="0"/>
              <w:rPr>
                <w:sz w:val="20"/>
                <w:szCs w:val="20"/>
                <w:color w:val="auto"/>
              </w:rPr>
            </w:pPr>
            <w:r>
              <w:rPr>
                <w:rFonts w:ascii="Arial" w:cs="Arial" w:eastAsia="Arial" w:hAnsi="Arial"/>
                <w:sz w:val="14"/>
                <w:szCs w:val="14"/>
                <w:b w:val="1"/>
                <w:bCs w:val="1"/>
                <w:color w:val="auto"/>
              </w:rPr>
              <w:t>Daniel P. Van Plew</w:t>
            </w:r>
          </w:p>
        </w:tc>
        <w:tc>
          <w:tcPr>
            <w:tcW w:w="76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DAEBF8"/>
          </w:tcPr>
          <w:p>
            <w:pPr>
              <w:spacing w:after="0"/>
              <w:rPr>
                <w:sz w:val="18"/>
                <w:szCs w:val="18"/>
                <w:color w:val="auto"/>
              </w:rPr>
            </w:pPr>
          </w:p>
        </w:tc>
        <w:tc>
          <w:tcPr>
            <w:tcW w:w="1020" w:type="dxa"/>
            <w:vAlign w:val="bottom"/>
            <w:gridSpan w:val="2"/>
            <w:shd w:val="clear" w:color="auto" w:fill="DAEBF8"/>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105,548</w:t>
            </w:r>
          </w:p>
        </w:tc>
        <w:tc>
          <w:tcPr>
            <w:tcW w:w="360" w:type="dxa"/>
            <w:vAlign w:val="bottom"/>
            <w:shd w:val="clear" w:color="auto" w:fill="DAEBF8"/>
          </w:tcPr>
          <w:p>
            <w:pPr>
              <w:ind w:left="60"/>
              <w:spacing w:after="0"/>
              <w:rPr>
                <w:sz w:val="20"/>
                <w:szCs w:val="20"/>
                <w:color w:val="auto"/>
              </w:rPr>
            </w:pPr>
            <w:r>
              <w:rPr>
                <w:rFonts w:ascii="Arial" w:cs="Arial" w:eastAsia="Arial" w:hAnsi="Arial"/>
                <w:sz w:val="9"/>
                <w:szCs w:val="9"/>
                <w:color w:val="auto"/>
              </w:rPr>
              <w:t>24</w:t>
            </w:r>
          </w:p>
        </w:tc>
        <w:tc>
          <w:tcPr>
            <w:tcW w:w="880" w:type="dxa"/>
            <w:vAlign w:val="bottom"/>
            <w:shd w:val="clear" w:color="auto" w:fill="DAEBF8"/>
          </w:tcPr>
          <w:p>
            <w:pPr>
              <w:jc w:val="right"/>
              <w:ind w:right="44"/>
              <w:spacing w:after="0"/>
              <w:rPr>
                <w:sz w:val="20"/>
                <w:szCs w:val="20"/>
                <w:color w:val="auto"/>
              </w:rPr>
            </w:pPr>
            <w:r>
              <w:rPr>
                <w:rFonts w:ascii="Arial" w:cs="Arial" w:eastAsia="Arial" w:hAnsi="Arial"/>
                <w:sz w:val="9"/>
                <w:szCs w:val="9"/>
                <w:color w:val="auto"/>
              </w:rPr>
              <w:t>27</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4"/>
                <w:szCs w:val="14"/>
                <w:b w:val="1"/>
                <w:bCs w:val="1"/>
                <w:color w:val="auto"/>
              </w:rPr>
              <w:t>Huda Y. Zoghbi, M.D.</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30,679</w:t>
            </w:r>
          </w:p>
        </w:tc>
        <w:tc>
          <w:tcPr>
            <w:tcW w:w="360" w:type="dxa"/>
            <w:vAlign w:val="bottom"/>
          </w:tcPr>
          <w:p>
            <w:pPr>
              <w:ind w:left="60"/>
              <w:spacing w:after="0"/>
              <w:rPr>
                <w:sz w:val="20"/>
                <w:szCs w:val="20"/>
                <w:color w:val="auto"/>
              </w:rPr>
            </w:pPr>
            <w:r>
              <w:rPr>
                <w:rFonts w:ascii="Arial" w:cs="Arial" w:eastAsia="Arial" w:hAnsi="Arial"/>
                <w:sz w:val="9"/>
                <w:szCs w:val="9"/>
                <w:color w:val="auto"/>
              </w:rPr>
              <w:t>25</w:t>
            </w:r>
          </w:p>
        </w:tc>
        <w:tc>
          <w:tcPr>
            <w:tcW w:w="880" w:type="dxa"/>
            <w:vAlign w:val="bottom"/>
          </w:tcPr>
          <w:p>
            <w:pPr>
              <w:jc w:val="right"/>
              <w:ind w:right="44"/>
              <w:spacing w:after="0"/>
              <w:rPr>
                <w:sz w:val="20"/>
                <w:szCs w:val="20"/>
                <w:color w:val="auto"/>
              </w:rPr>
            </w:pPr>
            <w:r>
              <w:rPr>
                <w:rFonts w:ascii="Arial" w:cs="Arial" w:eastAsia="Arial" w:hAnsi="Arial"/>
                <w:sz w:val="9"/>
                <w:szCs w:val="9"/>
                <w:color w:val="auto"/>
              </w:rPr>
              <w:t>27</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065BAA"/>
            </w:tcBorders>
            <w:shd w:val="clear" w:color="auto" w:fill="DAEBF8"/>
          </w:tcPr>
          <w:p>
            <w:pPr>
              <w:ind w:left="80"/>
              <w:spacing w:after="0"/>
              <w:rPr>
                <w:sz w:val="20"/>
                <w:szCs w:val="20"/>
                <w:color w:val="auto"/>
              </w:rPr>
            </w:pPr>
            <w:r>
              <w:rPr>
                <w:rFonts w:ascii="Arial" w:cs="Arial" w:eastAsia="Arial" w:hAnsi="Arial"/>
                <w:sz w:val="14"/>
                <w:szCs w:val="14"/>
                <w:b w:val="1"/>
                <w:bCs w:val="1"/>
                <w:color w:val="auto"/>
              </w:rPr>
              <w:t>All Directors and Executive Officers as a Group (19 persons)</w:t>
            </w:r>
          </w:p>
        </w:tc>
        <w:tc>
          <w:tcPr>
            <w:tcW w:w="760" w:type="dxa"/>
            <w:vAlign w:val="bottom"/>
            <w:tcBorders>
              <w:bottom w:val="single" w:sz="8" w:color="065BAA"/>
            </w:tcBorders>
            <w:shd w:val="clear" w:color="auto" w:fill="DAEBF8"/>
          </w:tcPr>
          <w:p>
            <w:pPr>
              <w:jc w:val="right"/>
              <w:ind w:right="8"/>
              <w:spacing w:after="0"/>
              <w:rPr>
                <w:sz w:val="20"/>
                <w:szCs w:val="20"/>
                <w:color w:val="auto"/>
              </w:rPr>
            </w:pPr>
            <w:r>
              <w:rPr>
                <w:rFonts w:ascii="Arial" w:cs="Arial" w:eastAsia="Arial" w:hAnsi="Arial"/>
                <w:sz w:val="14"/>
                <w:szCs w:val="14"/>
                <w:color w:val="auto"/>
              </w:rPr>
              <w:t>1,768,315</w:t>
            </w:r>
          </w:p>
        </w:tc>
        <w:tc>
          <w:tcPr>
            <w:tcW w:w="340" w:type="dxa"/>
            <w:vAlign w:val="bottom"/>
            <w:tcBorders>
              <w:bottom w:val="single" w:sz="8" w:color="065BAA"/>
            </w:tcBorders>
            <w:shd w:val="clear" w:color="auto" w:fill="DAEBF8"/>
          </w:tcPr>
          <w:p>
            <w:pPr>
              <w:spacing w:after="0"/>
              <w:rPr>
                <w:sz w:val="18"/>
                <w:szCs w:val="18"/>
                <w:color w:val="auto"/>
              </w:rPr>
            </w:pPr>
          </w:p>
        </w:tc>
        <w:tc>
          <w:tcPr>
            <w:tcW w:w="860" w:type="dxa"/>
            <w:vAlign w:val="bottom"/>
            <w:tcBorders>
              <w:bottom w:val="single" w:sz="8" w:color="065BAA"/>
            </w:tcBorders>
            <w:shd w:val="clear" w:color="auto" w:fill="DAEBF8"/>
          </w:tcPr>
          <w:p>
            <w:pPr>
              <w:jc w:val="right"/>
              <w:spacing w:after="0"/>
              <w:rPr>
                <w:sz w:val="20"/>
                <w:szCs w:val="20"/>
                <w:color w:val="auto"/>
              </w:rPr>
            </w:pPr>
            <w:r>
              <w:rPr>
                <w:rFonts w:ascii="Arial" w:cs="Arial" w:eastAsia="Arial" w:hAnsi="Arial"/>
                <w:sz w:val="14"/>
                <w:szCs w:val="14"/>
                <w:color w:val="auto"/>
              </w:rPr>
              <w:t>97.4%</w:t>
            </w:r>
          </w:p>
        </w:tc>
        <w:tc>
          <w:tcPr>
            <w:tcW w:w="160" w:type="dxa"/>
            <w:vAlign w:val="bottom"/>
            <w:tcBorders>
              <w:bottom w:val="single" w:sz="8" w:color="065BAA"/>
            </w:tcBorders>
            <w:shd w:val="clear" w:color="auto" w:fill="DAEBF8"/>
          </w:tcPr>
          <w:p>
            <w:pPr>
              <w:spacing w:after="0"/>
              <w:rPr>
                <w:sz w:val="18"/>
                <w:szCs w:val="18"/>
                <w:color w:val="auto"/>
              </w:rPr>
            </w:pPr>
          </w:p>
        </w:tc>
        <w:tc>
          <w:tcPr>
            <w:tcW w:w="740" w:type="dxa"/>
            <w:vAlign w:val="bottom"/>
            <w:tcBorders>
              <w:bottom w:val="single" w:sz="8" w:color="065BAA"/>
            </w:tcBorders>
            <w:shd w:val="clear" w:color="auto" w:fill="DAEBF8"/>
          </w:tcPr>
          <w:p>
            <w:pPr>
              <w:jc w:val="right"/>
              <w:spacing w:after="0"/>
              <w:rPr>
                <w:sz w:val="20"/>
                <w:szCs w:val="20"/>
                <w:color w:val="auto"/>
              </w:rPr>
            </w:pPr>
            <w:r>
              <w:rPr>
                <w:rFonts w:ascii="Arial" w:cs="Arial" w:eastAsia="Arial" w:hAnsi="Arial"/>
                <w:sz w:val="14"/>
                <w:szCs w:val="14"/>
                <w:color w:val="auto"/>
              </w:rPr>
              <w:t>5,540,864</w:t>
            </w:r>
          </w:p>
        </w:tc>
        <w:tc>
          <w:tcPr>
            <w:tcW w:w="360" w:type="dxa"/>
            <w:vAlign w:val="bottom"/>
            <w:tcBorders>
              <w:bottom w:val="single" w:sz="8" w:color="065BAA"/>
            </w:tcBorders>
            <w:shd w:val="clear" w:color="auto" w:fill="DAEBF8"/>
          </w:tcPr>
          <w:p>
            <w:pPr>
              <w:ind w:left="60"/>
              <w:spacing w:after="0"/>
              <w:rPr>
                <w:sz w:val="20"/>
                <w:szCs w:val="20"/>
                <w:color w:val="auto"/>
              </w:rPr>
            </w:pPr>
            <w:r>
              <w:rPr>
                <w:rFonts w:ascii="Arial" w:cs="Arial" w:eastAsia="Arial" w:hAnsi="Arial"/>
                <w:sz w:val="9"/>
                <w:szCs w:val="9"/>
                <w:color w:val="auto"/>
              </w:rPr>
              <w:t>26</w:t>
            </w:r>
          </w:p>
        </w:tc>
        <w:tc>
          <w:tcPr>
            <w:tcW w:w="880" w:type="dxa"/>
            <w:vAlign w:val="bottom"/>
            <w:tcBorders>
              <w:bottom w:val="single" w:sz="8" w:color="065BAA"/>
            </w:tcBorders>
            <w:shd w:val="clear" w:color="auto" w:fill="DAEBF8"/>
          </w:tcPr>
          <w:p>
            <w:pPr>
              <w:jc w:val="right"/>
              <w:ind w:right="64"/>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right="359" w:hanging="190"/>
        <w:spacing w:after="0" w:line="236" w:lineRule="auto"/>
        <w:tabs>
          <w:tab w:leader="none" w:pos="320" w:val="left"/>
        </w:tabs>
        <w:numPr>
          <w:ilvl w:val="0"/>
          <w:numId w:val="77"/>
        </w:numPr>
        <w:rPr>
          <w:rFonts w:ascii="Arial" w:cs="Arial" w:eastAsia="Arial" w:hAnsi="Arial"/>
          <w:sz w:val="16"/>
          <w:szCs w:val="16"/>
          <w:color w:val="auto"/>
          <w:vertAlign w:val="superscript"/>
        </w:rPr>
      </w:pPr>
      <w:r>
        <w:rPr>
          <w:rFonts w:ascii="Arial" w:cs="Arial" w:eastAsia="Arial" w:hAnsi="Arial"/>
          <w:sz w:val="13"/>
          <w:szCs w:val="13"/>
          <w:color w:val="auto"/>
        </w:rPr>
        <w:t>The inclusion in this table of any Class A stock or common stock, as the case may be, deemed beneficially owned does not constitute an admission of beneficial ownership of those shares.</w:t>
      </w:r>
    </w:p>
    <w:p>
      <w:pPr>
        <w:spacing w:after="0" w:line="37" w:lineRule="exact"/>
        <w:rPr>
          <w:sz w:val="20"/>
          <w:szCs w:val="20"/>
          <w:color w:val="auto"/>
        </w:rPr>
      </w:pPr>
    </w:p>
    <w:p>
      <w:pPr>
        <w:ind w:left="320" w:right="239" w:hanging="190"/>
        <w:spacing w:after="0" w:line="245" w:lineRule="auto"/>
        <w:tabs>
          <w:tab w:leader="none" w:pos="320" w:val="left"/>
        </w:tabs>
        <w:numPr>
          <w:ilvl w:val="0"/>
          <w:numId w:val="78"/>
        </w:numPr>
        <w:rPr>
          <w:rFonts w:ascii="Arial" w:cs="Arial" w:eastAsia="Arial" w:hAnsi="Arial"/>
          <w:sz w:val="16"/>
          <w:szCs w:val="16"/>
          <w:color w:val="auto"/>
          <w:vertAlign w:val="superscript"/>
        </w:rPr>
      </w:pPr>
      <w:r>
        <w:rPr>
          <w:rFonts w:ascii="Arial" w:cs="Arial" w:eastAsia="Arial" w:hAnsi="Arial"/>
          <w:sz w:val="13"/>
          <w:szCs w:val="13"/>
          <w:color w:val="auto"/>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33" w:lineRule="exact"/>
        <w:rPr>
          <w:sz w:val="20"/>
          <w:szCs w:val="20"/>
          <w:color w:val="auto"/>
        </w:rPr>
      </w:pPr>
    </w:p>
    <w:p>
      <w:pPr>
        <w:ind w:left="320" w:right="139" w:hanging="190"/>
        <w:spacing w:after="0" w:line="276" w:lineRule="auto"/>
        <w:tabs>
          <w:tab w:leader="none" w:pos="320" w:val="left"/>
        </w:tabs>
        <w:numPr>
          <w:ilvl w:val="0"/>
          <w:numId w:val="79"/>
        </w:numPr>
        <w:rPr>
          <w:rFonts w:ascii="Arial" w:cs="Arial" w:eastAsia="Arial" w:hAnsi="Arial"/>
          <w:sz w:val="15"/>
          <w:szCs w:val="15"/>
          <w:color w:val="auto"/>
          <w:vertAlign w:val="superscript"/>
        </w:rPr>
      </w:pPr>
      <w:r>
        <w:rPr>
          <w:rFonts w:ascii="Arial" w:cs="Arial" w:eastAsia="Arial" w:hAnsi="Arial"/>
          <w:sz w:val="12"/>
          <w:szCs w:val="12"/>
          <w:color w:val="auto"/>
        </w:rPr>
        <w:t>Based solely on an amendment to a Schedule 13G filed by The Vanguard Group, Inc. on February 13, 2024. According to this amendment, The Vanguard Group, Inc. has shared voting power as to 132,744, sole dispositive power as to 8,390,875, and shared dispositive power as to 447,365 of the shares reported as beneficially owned. On March 27, 2026, The Vanguard Group, Inc. reported that due to an internal realignment, it no longer has, or is deemed to have, beneficial ownership over these shares, and that certain subsidiaries or business divisions that formerly had, or were deemed to have, beneficial ownership with The Vanguard Group, Inc. will report beneficial ownership separately (on a disaggregated basis) from The Vanguard Group, Inc.</w:t>
      </w:r>
    </w:p>
    <w:p>
      <w:pPr>
        <w:spacing w:after="0" w:line="4" w:lineRule="exact"/>
        <w:rPr>
          <w:sz w:val="20"/>
          <w:szCs w:val="20"/>
          <w:color w:val="auto"/>
        </w:rPr>
      </w:pPr>
    </w:p>
    <w:p>
      <w:pPr>
        <w:jc w:val="both"/>
        <w:ind w:left="320" w:right="659" w:hanging="190"/>
        <w:spacing w:after="0" w:line="245" w:lineRule="auto"/>
        <w:tabs>
          <w:tab w:leader="none" w:pos="320" w:val="left"/>
        </w:tabs>
        <w:numPr>
          <w:ilvl w:val="0"/>
          <w:numId w:val="80"/>
        </w:numPr>
        <w:rPr>
          <w:rFonts w:ascii="Arial" w:cs="Arial" w:eastAsia="Arial" w:hAnsi="Arial"/>
          <w:sz w:val="16"/>
          <w:szCs w:val="16"/>
          <w:color w:val="auto"/>
          <w:vertAlign w:val="superscript"/>
        </w:rPr>
      </w:pPr>
      <w:r>
        <w:rPr>
          <w:rFonts w:ascii="Arial" w:cs="Arial" w:eastAsia="Arial" w:hAnsi="Arial"/>
          <w:sz w:val="13"/>
          <w:szCs w:val="13"/>
          <w:color w:val="auto"/>
        </w:rPr>
        <w:t>Based solely on an amendment to a Schedule 13G filed by BlackRock, Inc. on January 25, 2024. According to this amendment, BlackRock, Inc. has sole voting power as to 7,824,297 of the shares reported as beneficially owned and sole dispositive power as to all of the shares reported as beneficially owned.</w:t>
      </w:r>
    </w:p>
    <w:p>
      <w:pPr>
        <w:spacing w:after="0" w:line="33" w:lineRule="exact"/>
        <w:rPr>
          <w:sz w:val="20"/>
          <w:szCs w:val="20"/>
          <w:color w:val="auto"/>
        </w:rPr>
      </w:pPr>
    </w:p>
    <w:p>
      <w:pPr>
        <w:ind w:left="320" w:right="399" w:hanging="190"/>
        <w:spacing w:after="0" w:line="245" w:lineRule="auto"/>
        <w:tabs>
          <w:tab w:leader="none" w:pos="320" w:val="left"/>
        </w:tabs>
        <w:numPr>
          <w:ilvl w:val="0"/>
          <w:numId w:val="81"/>
        </w:numPr>
        <w:rPr>
          <w:rFonts w:ascii="Arial" w:cs="Arial" w:eastAsia="Arial" w:hAnsi="Arial"/>
          <w:sz w:val="16"/>
          <w:szCs w:val="16"/>
          <w:color w:val="auto"/>
          <w:vertAlign w:val="superscript"/>
        </w:rPr>
      </w:pPr>
      <w:r>
        <w:rPr>
          <w:rFonts w:ascii="Arial" w:cs="Arial" w:eastAsia="Arial" w:hAnsi="Arial"/>
          <w:sz w:val="13"/>
          <w:szCs w:val="13"/>
          <w:color w:val="auto"/>
        </w:rPr>
        <w:t>Based solely on an amendment to a Schedule 13G filed by Capital World Investors on February 9, 2024. According to this amendment, Capital World Investors, a division of Capital Research and Management Company, has sole voting power as to 5,176,828 of the shares reported as beneficially owned and dispositive power as to all of the shares reported as beneficially owned.</w:t>
      </w:r>
    </w:p>
    <w:p>
      <w:pPr>
        <w:spacing w:after="0" w:line="33" w:lineRule="exact"/>
        <w:rPr>
          <w:sz w:val="20"/>
          <w:szCs w:val="20"/>
          <w:color w:val="auto"/>
        </w:rPr>
      </w:pPr>
    </w:p>
    <w:p>
      <w:pPr>
        <w:ind w:left="320" w:right="1299" w:hanging="190"/>
        <w:spacing w:after="0" w:line="236" w:lineRule="auto"/>
        <w:tabs>
          <w:tab w:leader="none" w:pos="320" w:val="left"/>
        </w:tabs>
        <w:numPr>
          <w:ilvl w:val="0"/>
          <w:numId w:val="82"/>
        </w:numPr>
        <w:rPr>
          <w:rFonts w:ascii="Arial" w:cs="Arial" w:eastAsia="Arial" w:hAnsi="Arial"/>
          <w:sz w:val="16"/>
          <w:szCs w:val="16"/>
          <w:color w:val="auto"/>
          <w:vertAlign w:val="superscript"/>
        </w:rPr>
      </w:pPr>
      <w:r>
        <w:rPr>
          <w:rFonts w:ascii="Arial" w:cs="Arial" w:eastAsia="Arial" w:hAnsi="Arial"/>
          <w:sz w:val="13"/>
          <w:szCs w:val="13"/>
          <w:color w:val="auto"/>
        </w:rPr>
        <w:t>The address for each director and executive officer is c/o Regeneron Pharmaceuticals, Inc., 777 Old Saw Mill River Road, Tarrytown, New York 10591-6707.</w:t>
      </w:r>
    </w:p>
    <w:p>
      <w:pPr>
        <w:spacing w:after="0" w:line="19" w:lineRule="exact"/>
        <w:rPr>
          <w:sz w:val="20"/>
          <w:szCs w:val="20"/>
          <w:color w:val="auto"/>
        </w:rPr>
      </w:pPr>
    </w:p>
    <w:p>
      <w:pPr>
        <w:ind w:left="320" w:hanging="190"/>
        <w:spacing w:after="0"/>
        <w:tabs>
          <w:tab w:leader="none" w:pos="320" w:val="left"/>
        </w:tabs>
        <w:numPr>
          <w:ilvl w:val="0"/>
          <w:numId w:val="83"/>
        </w:numPr>
        <w:rPr>
          <w:rFonts w:ascii="Arial" w:cs="Arial" w:eastAsia="Arial" w:hAnsi="Arial"/>
          <w:sz w:val="16"/>
          <w:szCs w:val="16"/>
          <w:color w:val="auto"/>
          <w:vertAlign w:val="superscript"/>
        </w:rPr>
      </w:pPr>
      <w:r>
        <w:rPr>
          <w:rFonts w:ascii="Arial" w:cs="Arial" w:eastAsia="Arial" w:hAnsi="Arial"/>
          <w:sz w:val="13"/>
          <w:szCs w:val="13"/>
          <w:color w:val="auto"/>
        </w:rPr>
        <w:t>Includes 14,775 shares of Class A stock held in a trust for the benefit of Dr. Schleifer’s son, of which Dr. Schleifer is a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51</w:t>
            </w:r>
          </w:p>
        </w:tc>
      </w:tr>
    </w:tbl>
    <w:p>
      <w:pPr>
        <w:sectPr>
          <w:pgSz w:w="11900" w:h="16838" w:orient="portrait"/>
          <w:cols w:equalWidth="0" w:num="1">
            <w:col w:w="9019"/>
          </w:cols>
          <w:pgMar w:left="1440" w:top="657" w:right="1440" w:bottom="1440" w:gutter="0" w:footer="0" w:header="0"/>
        </w:sectPr>
      </w:pPr>
    </w:p>
    <w:bookmarkStart w:id="60" w:name="page61"/>
    <w:bookmarkEnd w:id="60"/>
    <w:p>
      <w:pPr>
        <w:jc w:val="center"/>
        <w:ind w:right="-20"/>
        <w:spacing w:after="0"/>
        <w:tabs>
          <w:tab w:leader="none" w:pos="260" w:val="left"/>
          <w:tab w:leader="none" w:pos="240" w:val="left"/>
          <w:tab w:leader="none" w:pos="260" w:val="left"/>
          <w:tab w:leader="none" w:pos="26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b w:val="1"/>
          <w:bCs w:val="1"/>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20" w:right="179" w:hanging="190"/>
        <w:spacing w:after="0" w:line="254" w:lineRule="auto"/>
        <w:tabs>
          <w:tab w:leader="none" w:pos="320" w:val="left"/>
        </w:tabs>
        <w:numPr>
          <w:ilvl w:val="0"/>
          <w:numId w:val="84"/>
        </w:numPr>
        <w:rPr>
          <w:rFonts w:ascii="Arial" w:cs="Arial" w:eastAsia="Arial" w:hAnsi="Arial"/>
          <w:sz w:val="16"/>
          <w:szCs w:val="16"/>
          <w:color w:val="auto"/>
          <w:vertAlign w:val="superscript"/>
        </w:rPr>
      </w:pPr>
      <w:r>
        <w:rPr>
          <w:rFonts w:ascii="Arial" w:cs="Arial" w:eastAsia="Arial" w:hAnsi="Arial"/>
          <w:sz w:val="13"/>
          <w:szCs w:val="13"/>
          <w:color w:val="auto"/>
        </w:rPr>
        <w:t>Includes (i) 496,580 shares of common stock purchasable upon the exercise of options granted pursuant to the Regeneron Pharmaceuticals, Inc. 2014 Long-Term Incentive Plan, the Amended and Restated Regeneron Pharmaceuticals, Inc. 2014 Long-Term Incentive Plan, or the Second Amended and Restated Regeneron Pharmaceuticals, Inc. 2014 Long-Term Incentive Plan (collectively, the “Long-Term Incentive Plans”) that are exercisable or become so within sixty days after April 14, 2026; (ii) 427,484 shares of common stock held in grantor retained annuity trusts of which Dr. Schleifer is the trustee; (iii) 39,985 shares of common stock held in a trust for the benefit of Dr. Schleifer’s family members, of which Dr. Schleifer’s spouse is a trustee; (iv) 100 shares of common stock held in a charitable foundation of which Dr. Schleifer is a director and officer; and (v) 5,996 shares of common stock held in an account under the Company’s 401(k) Savings Plan.</w:t>
      </w:r>
    </w:p>
    <w:p>
      <w:pPr>
        <w:spacing w:after="0" w:line="30" w:lineRule="exact"/>
        <w:rPr>
          <w:sz w:val="20"/>
          <w:szCs w:val="20"/>
          <w:color w:val="auto"/>
        </w:rPr>
      </w:pPr>
    </w:p>
    <w:p>
      <w:pPr>
        <w:ind w:left="320" w:right="279" w:hanging="190"/>
        <w:spacing w:after="0" w:line="270" w:lineRule="auto"/>
        <w:tabs>
          <w:tab w:leader="none" w:pos="320" w:val="left"/>
        </w:tabs>
        <w:numPr>
          <w:ilvl w:val="0"/>
          <w:numId w:val="85"/>
        </w:numPr>
        <w:rPr>
          <w:rFonts w:ascii="Arial" w:cs="Arial" w:eastAsia="Arial" w:hAnsi="Arial"/>
          <w:sz w:val="15"/>
          <w:szCs w:val="15"/>
          <w:color w:val="auto"/>
          <w:vertAlign w:val="superscript"/>
        </w:rPr>
      </w:pPr>
      <w:r>
        <w:rPr>
          <w:rFonts w:ascii="Arial" w:cs="Arial" w:eastAsia="Arial" w:hAnsi="Arial"/>
          <w:sz w:val="12"/>
          <w:szCs w:val="12"/>
          <w:color w:val="auto"/>
        </w:rPr>
        <w:t>Of these shares, 23,367 shares are held in trust for the benefit of Dr. Yancopoulos’s children and certain other family members; Dr. Yancopoulos is a trustee of the trust. The remaining 19,383 shares are held in trusts for the benefit of Dr. Yancopoulos’s children, of which Dr. Yancopoulos is the trustee.</w:t>
      </w:r>
    </w:p>
    <w:p>
      <w:pPr>
        <w:spacing w:after="0" w:line="2" w:lineRule="exact"/>
        <w:rPr>
          <w:sz w:val="20"/>
          <w:szCs w:val="20"/>
          <w:color w:val="auto"/>
        </w:rPr>
      </w:pPr>
    </w:p>
    <w:p>
      <w:pPr>
        <w:ind w:left="320" w:right="139" w:hanging="190"/>
        <w:spacing w:after="0" w:line="253" w:lineRule="auto"/>
        <w:tabs>
          <w:tab w:leader="none" w:pos="320" w:val="left"/>
        </w:tabs>
        <w:numPr>
          <w:ilvl w:val="0"/>
          <w:numId w:val="86"/>
        </w:numPr>
        <w:rPr>
          <w:rFonts w:ascii="Arial" w:cs="Arial" w:eastAsia="Arial" w:hAnsi="Arial"/>
          <w:sz w:val="16"/>
          <w:szCs w:val="16"/>
          <w:color w:val="auto"/>
          <w:vertAlign w:val="superscript"/>
        </w:rPr>
      </w:pPr>
      <w:r>
        <w:rPr>
          <w:rFonts w:ascii="Arial" w:cs="Arial" w:eastAsia="Arial" w:hAnsi="Arial"/>
          <w:sz w:val="13"/>
          <w:szCs w:val="13"/>
          <w:color w:val="auto"/>
        </w:rPr>
        <w:t>Includes (i) 496,580 shares of common stock purchasable upon exercise of options granted pursuant to the Long-Term Incentive Plans that are exercisable or become so within sixty days after April 14, 2026; (ii) 5,970 shares of common stock held in an account under the Company’s 401(k) Savings Plan; (iii) 310,460 shares of common stock held in a trust for the benefit of Dr. Yancopoulos’s children and certain other family members, of which Dr. Yancopoulos is a trustee; (iv) 180,000 shares of common stock held in trusts for the benefit of Dr. Yancopoulos’s children; (v) 573,475 shares of common stock held in grantor retained annuity trusts of which Dr. Yancopoulos is the trustee; and (vi) 56,048 shares of common stock held by certain of Dr. Yancopoulos’s children.</w:t>
      </w:r>
    </w:p>
    <w:p>
      <w:pPr>
        <w:spacing w:after="0" w:line="30" w:lineRule="exact"/>
        <w:rPr>
          <w:rFonts w:ascii="Arial" w:cs="Arial" w:eastAsia="Arial" w:hAnsi="Arial"/>
          <w:sz w:val="16"/>
          <w:szCs w:val="16"/>
          <w:color w:val="auto"/>
          <w:vertAlign w:val="superscript"/>
        </w:rPr>
      </w:pPr>
    </w:p>
    <w:p>
      <w:pPr>
        <w:ind w:left="320" w:right="139" w:hanging="190"/>
        <w:spacing w:after="0" w:line="245" w:lineRule="auto"/>
        <w:tabs>
          <w:tab w:leader="none" w:pos="320" w:val="left"/>
        </w:tabs>
        <w:numPr>
          <w:ilvl w:val="0"/>
          <w:numId w:val="86"/>
        </w:numPr>
        <w:rPr>
          <w:rFonts w:ascii="Arial" w:cs="Arial" w:eastAsia="Arial" w:hAnsi="Arial"/>
          <w:sz w:val="16"/>
          <w:szCs w:val="16"/>
          <w:color w:val="auto"/>
          <w:vertAlign w:val="superscript"/>
        </w:rPr>
      </w:pPr>
      <w:r>
        <w:rPr>
          <w:rFonts w:ascii="Arial" w:cs="Arial" w:eastAsia="Arial" w:hAnsi="Arial"/>
          <w:sz w:val="13"/>
          <w:szCs w:val="13"/>
          <w:color w:val="auto"/>
        </w:rPr>
        <w:t>Includes (i) 16,296 shares of common stock purchasable upon exercise of options granted pursuant to the Long-Term Incentive Plans that are exercisable or become so within sixty days after April 14, 2026; and (ii) 1,293 shares of common stock issuable upon settlement of RSUs that are releasable within sixty days after April 14, 2026 upon termination of service.</w:t>
      </w:r>
    </w:p>
    <w:p>
      <w:pPr>
        <w:spacing w:after="0" w:line="19" w:lineRule="exact"/>
        <w:rPr>
          <w:rFonts w:ascii="Arial" w:cs="Arial" w:eastAsia="Arial" w:hAnsi="Arial"/>
          <w:sz w:val="16"/>
          <w:szCs w:val="16"/>
          <w:color w:val="auto"/>
          <w:vertAlign w:val="superscript"/>
        </w:rPr>
      </w:pPr>
    </w:p>
    <w:p>
      <w:pPr>
        <w:ind w:left="320" w:right="139" w:hanging="190"/>
        <w:spacing w:after="0" w:line="276" w:lineRule="auto"/>
        <w:tabs>
          <w:tab w:leader="none" w:pos="320" w:val="left"/>
        </w:tabs>
        <w:numPr>
          <w:ilvl w:val="0"/>
          <w:numId w:val="86"/>
        </w:numPr>
        <w:rPr>
          <w:rFonts w:ascii="Arial" w:cs="Arial" w:eastAsia="Arial" w:hAnsi="Arial"/>
          <w:sz w:val="15"/>
          <w:szCs w:val="15"/>
          <w:color w:val="auto"/>
          <w:vertAlign w:val="superscript"/>
        </w:rPr>
      </w:pPr>
      <w:r>
        <w:rPr>
          <w:rFonts w:ascii="Arial" w:cs="Arial" w:eastAsia="Arial" w:hAnsi="Arial"/>
          <w:sz w:val="12"/>
          <w:szCs w:val="12"/>
          <w:color w:val="auto"/>
        </w:rPr>
        <w:t>Consists of (i) 6,359 shares of common stock purchasable upon exercise of options granted pursuant to the Long-Term Incentive Plans that are exercisable or become so within sixty days after April 14, 2026; (ii) 6,485 shares of common stock held in a trust of which Dr. Brown and his spouse are trustees for the benefit of Dr. Brown’s immediate family members; (iii) 5,000 shares of common stock held in a trust of which Dr. Brown’s spouse is trustee for the benefit of Dr. Brown’s immediate family members; and (iv) 1,293 shares of common stock issuable upon settlement of RSUs that are releasable within sixty days after April 14, 2026 upon termination of service. Dr. Brown disclaims beneficial ownership of the shares referenced in (iii).</w:t>
      </w:r>
    </w:p>
    <w:p>
      <w:pPr>
        <w:spacing w:after="0" w:line="17" w:lineRule="exact"/>
        <w:rPr>
          <w:rFonts w:ascii="Arial" w:cs="Arial" w:eastAsia="Arial" w:hAnsi="Arial"/>
          <w:sz w:val="15"/>
          <w:szCs w:val="15"/>
          <w:color w:val="auto"/>
          <w:vertAlign w:val="superscript"/>
        </w:rPr>
      </w:pPr>
    </w:p>
    <w:p>
      <w:pPr>
        <w:ind w:left="320" w:right="219" w:hanging="190"/>
        <w:spacing w:after="0" w:line="245" w:lineRule="auto"/>
        <w:tabs>
          <w:tab w:leader="none" w:pos="320" w:val="left"/>
        </w:tabs>
        <w:numPr>
          <w:ilvl w:val="0"/>
          <w:numId w:val="86"/>
        </w:numPr>
        <w:rPr>
          <w:rFonts w:ascii="Arial" w:cs="Arial" w:eastAsia="Arial" w:hAnsi="Arial"/>
          <w:sz w:val="16"/>
          <w:szCs w:val="16"/>
          <w:color w:val="auto"/>
          <w:vertAlign w:val="superscript"/>
        </w:rPr>
      </w:pPr>
      <w:r>
        <w:rPr>
          <w:rFonts w:ascii="Arial" w:cs="Arial" w:eastAsia="Arial" w:hAnsi="Arial"/>
          <w:sz w:val="13"/>
          <w:szCs w:val="13"/>
          <w:color w:val="auto"/>
        </w:rPr>
        <w:t>Includes (i) 9,066 shares of common stock purchasable upon exercise of options granted pursuant to the Long-Term Incentive Plans that are exercisable or become so within sixty days after April 14, 2026; and (ii) 1,293 shares of common stock issuable upon settlement of RSUs that are releasable within sixty days after April 16, 2024 upon termination of service.</w:t>
      </w:r>
    </w:p>
    <w:p>
      <w:pPr>
        <w:spacing w:after="0" w:line="33" w:lineRule="exact"/>
        <w:rPr>
          <w:rFonts w:ascii="Arial" w:cs="Arial" w:eastAsia="Arial" w:hAnsi="Arial"/>
          <w:sz w:val="16"/>
          <w:szCs w:val="16"/>
          <w:color w:val="auto"/>
          <w:vertAlign w:val="superscript"/>
        </w:rPr>
      </w:pPr>
    </w:p>
    <w:p>
      <w:pPr>
        <w:ind w:left="320" w:right="139" w:hanging="190"/>
        <w:spacing w:after="0" w:line="266" w:lineRule="auto"/>
        <w:tabs>
          <w:tab w:leader="none" w:pos="320" w:val="left"/>
        </w:tabs>
        <w:numPr>
          <w:ilvl w:val="0"/>
          <w:numId w:val="86"/>
        </w:numPr>
        <w:rPr>
          <w:rFonts w:ascii="Arial" w:cs="Arial" w:eastAsia="Arial" w:hAnsi="Arial"/>
          <w:sz w:val="15"/>
          <w:szCs w:val="15"/>
          <w:color w:val="auto"/>
          <w:vertAlign w:val="superscript"/>
        </w:rPr>
      </w:pPr>
      <w:r>
        <w:rPr>
          <w:rFonts w:ascii="Arial" w:cs="Arial" w:eastAsia="Arial" w:hAnsi="Arial"/>
          <w:sz w:val="12"/>
          <w:szCs w:val="12"/>
          <w:color w:val="auto"/>
        </w:rPr>
        <w:t>Includes (i) 72,123 shares of common stock purchasable upon exercise of options granted pursuant to the Long-Term Incentive Plans that are exercisable or become so within sixty days after April 14, 2026; (ii) 7,766 shares of restricted stock (“RSAs”); (iii) 1,550 shares of common stock held in an account under the Company’s 401(k) Savings Plan; (iv) 1,897 shares of common stock held in a trust of which Mr. Fenimore and his spouse are trustees for the benefit of Mr. Fenimore’s spouse; and (v) 50 shares of common stock held in trusts of which Mr. Fenimore’s spouse is the trustee for the benefit of</w:t>
      </w:r>
    </w:p>
    <w:p>
      <w:pPr>
        <w:spacing w:after="0" w:line="2" w:lineRule="exact"/>
        <w:rPr>
          <w:rFonts w:ascii="Arial" w:cs="Arial" w:eastAsia="Arial" w:hAnsi="Arial"/>
          <w:sz w:val="15"/>
          <w:szCs w:val="15"/>
          <w:color w:val="auto"/>
          <w:vertAlign w:val="superscript"/>
        </w:rPr>
      </w:pPr>
    </w:p>
    <w:p>
      <w:pPr>
        <w:ind w:left="320"/>
        <w:spacing w:after="0"/>
        <w:rPr>
          <w:rFonts w:ascii="Arial" w:cs="Arial" w:eastAsia="Arial" w:hAnsi="Arial"/>
          <w:sz w:val="15"/>
          <w:szCs w:val="15"/>
          <w:color w:val="auto"/>
          <w:vertAlign w:val="superscript"/>
        </w:rPr>
      </w:pPr>
      <w:r>
        <w:rPr>
          <w:rFonts w:ascii="Arial" w:cs="Arial" w:eastAsia="Arial" w:hAnsi="Arial"/>
          <w:sz w:val="13"/>
          <w:szCs w:val="13"/>
          <w:color w:val="auto"/>
        </w:rPr>
        <w:t>Mr. Fenimore’s children.</w:t>
      </w:r>
    </w:p>
    <w:p>
      <w:pPr>
        <w:spacing w:after="0" w:line="35" w:lineRule="exact"/>
        <w:rPr>
          <w:rFonts w:ascii="Arial" w:cs="Arial" w:eastAsia="Arial" w:hAnsi="Arial"/>
          <w:sz w:val="15"/>
          <w:szCs w:val="15"/>
          <w:color w:val="auto"/>
          <w:vertAlign w:val="superscript"/>
        </w:rPr>
      </w:pPr>
    </w:p>
    <w:p>
      <w:pPr>
        <w:ind w:left="320" w:right="219" w:hanging="190"/>
        <w:spacing w:after="0" w:line="245" w:lineRule="auto"/>
        <w:tabs>
          <w:tab w:leader="none" w:pos="320" w:val="left"/>
        </w:tabs>
        <w:numPr>
          <w:ilvl w:val="0"/>
          <w:numId w:val="86"/>
        </w:numPr>
        <w:rPr>
          <w:rFonts w:ascii="Arial" w:cs="Arial" w:eastAsia="Arial" w:hAnsi="Arial"/>
          <w:sz w:val="16"/>
          <w:szCs w:val="16"/>
          <w:color w:val="auto"/>
          <w:vertAlign w:val="superscript"/>
        </w:rPr>
      </w:pPr>
      <w:r>
        <w:rPr>
          <w:rFonts w:ascii="Arial" w:cs="Arial" w:eastAsia="Arial" w:hAnsi="Arial"/>
          <w:sz w:val="13"/>
          <w:szCs w:val="13"/>
          <w:color w:val="auto"/>
        </w:rPr>
        <w:t>Includes (i) 6,359 shares of common stock purchasable upon exercise of options granted pursuant to the Long-Term Incentive Plans that are exercisable or become so within sixty days after April 14, 2026; and (ii) 1,293 shares of common stock issuable upon settlement of RSUs that are releasable within sixty days after April 14, 2026 upon termination of service.</w:t>
      </w:r>
    </w:p>
    <w:p>
      <w:pPr>
        <w:spacing w:after="0" w:line="33" w:lineRule="exact"/>
        <w:rPr>
          <w:rFonts w:ascii="Arial" w:cs="Arial" w:eastAsia="Arial" w:hAnsi="Arial"/>
          <w:sz w:val="16"/>
          <w:szCs w:val="16"/>
          <w:color w:val="auto"/>
          <w:vertAlign w:val="superscript"/>
        </w:rPr>
      </w:pPr>
    </w:p>
    <w:p>
      <w:pPr>
        <w:jc w:val="both"/>
        <w:ind w:left="320" w:right="719" w:hanging="190"/>
        <w:spacing w:after="0" w:line="245" w:lineRule="auto"/>
        <w:tabs>
          <w:tab w:leader="none" w:pos="320" w:val="left"/>
        </w:tabs>
        <w:numPr>
          <w:ilvl w:val="0"/>
          <w:numId w:val="86"/>
        </w:numPr>
        <w:rPr>
          <w:rFonts w:ascii="Arial" w:cs="Arial" w:eastAsia="Arial" w:hAnsi="Arial"/>
          <w:sz w:val="16"/>
          <w:szCs w:val="16"/>
          <w:color w:val="auto"/>
          <w:vertAlign w:val="superscript"/>
        </w:rPr>
      </w:pPr>
      <w:r>
        <w:rPr>
          <w:rFonts w:ascii="Arial" w:cs="Arial" w:eastAsia="Arial" w:hAnsi="Arial"/>
          <w:sz w:val="13"/>
          <w:szCs w:val="13"/>
          <w:color w:val="auto"/>
        </w:rPr>
        <w:t>Consists of (i) 6,070 shares of common stock purchasable upon exercise of options granted pursuant to the Long-Term Incentive Plans that are exercisable or become so within sixty days after April 14, 2026; and (ii) 516 shares of common stock issuable upon settlement of RSUs that are releasable within sixty days after April 14, 2026 upon termination of service.</w:t>
      </w:r>
    </w:p>
    <w:p>
      <w:pPr>
        <w:spacing w:after="0" w:line="33" w:lineRule="exact"/>
        <w:rPr>
          <w:rFonts w:ascii="Arial" w:cs="Arial" w:eastAsia="Arial" w:hAnsi="Arial"/>
          <w:sz w:val="16"/>
          <w:szCs w:val="16"/>
          <w:color w:val="auto"/>
          <w:vertAlign w:val="superscript"/>
        </w:rPr>
      </w:pPr>
    </w:p>
    <w:p>
      <w:pPr>
        <w:ind w:left="320" w:right="479" w:hanging="190"/>
        <w:spacing w:after="0" w:line="261" w:lineRule="auto"/>
        <w:tabs>
          <w:tab w:leader="none" w:pos="320" w:val="left"/>
        </w:tabs>
        <w:numPr>
          <w:ilvl w:val="0"/>
          <w:numId w:val="86"/>
        </w:numPr>
        <w:rPr>
          <w:rFonts w:ascii="Arial" w:cs="Arial" w:eastAsia="Arial" w:hAnsi="Arial"/>
          <w:sz w:val="15"/>
          <w:szCs w:val="15"/>
          <w:color w:val="auto"/>
          <w:vertAlign w:val="superscript"/>
        </w:rPr>
      </w:pPr>
      <w:r>
        <w:rPr>
          <w:rFonts w:ascii="Arial" w:cs="Arial" w:eastAsia="Arial" w:hAnsi="Arial"/>
          <w:sz w:val="12"/>
          <w:szCs w:val="12"/>
          <w:color w:val="auto"/>
        </w:rPr>
        <w:t>Includes (i) 140,296 shares of common stock purchasable upon exercise of options granted pursuant to the Long-Term Incentive Plans that are exercisable or become so within sixty days after April 14, 2026; (ii) 7,250 RSAs; (iii) 12,402 shares of common stock held in grantor retained annuity trusts of which Mr. LaRosa is the trustee; and (iv) 396 shares of common stock held in an account under the Company’s 401(k) Savings Plan.</w:t>
      </w:r>
    </w:p>
    <w:p>
      <w:pPr>
        <w:spacing w:after="0" w:line="25" w:lineRule="exact"/>
        <w:rPr>
          <w:rFonts w:ascii="Arial" w:cs="Arial" w:eastAsia="Arial" w:hAnsi="Arial"/>
          <w:sz w:val="15"/>
          <w:szCs w:val="15"/>
          <w:color w:val="auto"/>
          <w:vertAlign w:val="superscript"/>
        </w:rPr>
      </w:pPr>
    </w:p>
    <w:p>
      <w:pPr>
        <w:ind w:left="320" w:right="379" w:hanging="190"/>
        <w:spacing w:after="0" w:line="245" w:lineRule="auto"/>
        <w:tabs>
          <w:tab w:leader="none" w:pos="320" w:val="left"/>
        </w:tabs>
        <w:numPr>
          <w:ilvl w:val="0"/>
          <w:numId w:val="86"/>
        </w:numPr>
        <w:rPr>
          <w:rFonts w:ascii="Arial" w:cs="Arial" w:eastAsia="Arial" w:hAnsi="Arial"/>
          <w:sz w:val="16"/>
          <w:szCs w:val="16"/>
          <w:color w:val="auto"/>
          <w:vertAlign w:val="superscript"/>
        </w:rPr>
      </w:pPr>
      <w:r>
        <w:rPr>
          <w:rFonts w:ascii="Arial" w:cs="Arial" w:eastAsia="Arial" w:hAnsi="Arial"/>
          <w:sz w:val="13"/>
          <w:szCs w:val="13"/>
          <w:color w:val="auto"/>
        </w:rPr>
        <w:t>Includes (i) 193,817 shares of common stock purchasable upon exercise of options granted pursuant to the Long-Term Incentive Plans that are exercisable or become so within sixty days after April 14, 2026; (ii) 10,877 RSAs; and (iii) 4,380 shares of common stock held in an account under the Company’s 401(k) Savings Plan.</w:t>
      </w:r>
    </w:p>
    <w:p>
      <w:pPr>
        <w:spacing w:after="0" w:line="33" w:lineRule="exact"/>
        <w:rPr>
          <w:rFonts w:ascii="Arial" w:cs="Arial" w:eastAsia="Arial" w:hAnsi="Arial"/>
          <w:sz w:val="16"/>
          <w:szCs w:val="16"/>
          <w:color w:val="auto"/>
          <w:vertAlign w:val="superscript"/>
        </w:rPr>
      </w:pPr>
    </w:p>
    <w:p>
      <w:pPr>
        <w:ind w:left="320" w:right="139" w:hanging="190"/>
        <w:spacing w:after="0" w:line="245" w:lineRule="auto"/>
        <w:tabs>
          <w:tab w:leader="none" w:pos="320" w:val="left"/>
        </w:tabs>
        <w:numPr>
          <w:ilvl w:val="0"/>
          <w:numId w:val="86"/>
        </w:numPr>
        <w:rPr>
          <w:rFonts w:ascii="Arial" w:cs="Arial" w:eastAsia="Arial" w:hAnsi="Arial"/>
          <w:sz w:val="16"/>
          <w:szCs w:val="16"/>
          <w:color w:val="auto"/>
          <w:vertAlign w:val="superscript"/>
        </w:rPr>
      </w:pPr>
      <w:r>
        <w:rPr>
          <w:rFonts w:ascii="Arial" w:cs="Arial" w:eastAsia="Arial" w:hAnsi="Arial"/>
          <w:sz w:val="13"/>
          <w:szCs w:val="13"/>
          <w:color w:val="auto"/>
        </w:rPr>
        <w:t>Includes (i) 36,093 shares of common stock purchasable upon exercise of options granted pursuant to the Long-Term Incentive Plans that are exercisable or become so within sixty days after April 14, 2026; and (ii) 1,293 shares of common stock issuable upon settlement of RSUs that are releasable within sixty days after April 14, 2026 upon termination of service.</w:t>
      </w:r>
    </w:p>
    <w:p>
      <w:pPr>
        <w:spacing w:after="0" w:line="19" w:lineRule="exact"/>
        <w:rPr>
          <w:rFonts w:ascii="Arial" w:cs="Arial" w:eastAsia="Arial" w:hAnsi="Arial"/>
          <w:sz w:val="16"/>
          <w:szCs w:val="16"/>
          <w:color w:val="auto"/>
          <w:vertAlign w:val="superscript"/>
        </w:rPr>
      </w:pPr>
    </w:p>
    <w:p>
      <w:pPr>
        <w:ind w:left="320" w:right="219" w:hanging="190"/>
        <w:spacing w:after="0" w:line="245" w:lineRule="auto"/>
        <w:tabs>
          <w:tab w:leader="none" w:pos="320" w:val="left"/>
        </w:tabs>
        <w:numPr>
          <w:ilvl w:val="0"/>
          <w:numId w:val="86"/>
        </w:numPr>
        <w:rPr>
          <w:rFonts w:ascii="Arial" w:cs="Arial" w:eastAsia="Arial" w:hAnsi="Arial"/>
          <w:sz w:val="16"/>
          <w:szCs w:val="16"/>
          <w:color w:val="auto"/>
          <w:vertAlign w:val="superscript"/>
        </w:rPr>
      </w:pPr>
      <w:r>
        <w:rPr>
          <w:rFonts w:ascii="Arial" w:cs="Arial" w:eastAsia="Arial" w:hAnsi="Arial"/>
          <w:sz w:val="13"/>
          <w:szCs w:val="13"/>
          <w:color w:val="auto"/>
        </w:rPr>
        <w:t>Includes (i) 9,066 shares of common stock purchasable upon exercise of options granted pursuant to the Long-Term Incentive Plans that are exercisable or become so within sixty days after April 14, 2026; and (ii) 1,293 shares of common stock issuable upon settlement of RSUs that are releasable within sixty days after April 14, 2026 upon termination of service.</w:t>
      </w:r>
    </w:p>
    <w:p>
      <w:pPr>
        <w:spacing w:after="0" w:line="33" w:lineRule="exact"/>
        <w:rPr>
          <w:rFonts w:ascii="Arial" w:cs="Arial" w:eastAsia="Arial" w:hAnsi="Arial"/>
          <w:sz w:val="16"/>
          <w:szCs w:val="16"/>
          <w:color w:val="auto"/>
          <w:vertAlign w:val="superscript"/>
        </w:rPr>
      </w:pPr>
    </w:p>
    <w:p>
      <w:pPr>
        <w:jc w:val="both"/>
        <w:ind w:left="320" w:right="719" w:hanging="190"/>
        <w:spacing w:after="0" w:line="245" w:lineRule="auto"/>
        <w:tabs>
          <w:tab w:leader="none" w:pos="320" w:val="left"/>
        </w:tabs>
        <w:numPr>
          <w:ilvl w:val="0"/>
          <w:numId w:val="86"/>
        </w:numPr>
        <w:rPr>
          <w:rFonts w:ascii="Arial" w:cs="Arial" w:eastAsia="Arial" w:hAnsi="Arial"/>
          <w:sz w:val="16"/>
          <w:szCs w:val="16"/>
          <w:color w:val="auto"/>
          <w:vertAlign w:val="superscript"/>
        </w:rPr>
      </w:pPr>
      <w:r>
        <w:rPr>
          <w:rFonts w:ascii="Arial" w:cs="Arial" w:eastAsia="Arial" w:hAnsi="Arial"/>
          <w:sz w:val="13"/>
          <w:szCs w:val="13"/>
          <w:color w:val="auto"/>
        </w:rPr>
        <w:t>Consists of (i) 6,070 shares of common stock purchasable upon exercise of options granted pursuant to the Long-Term Incentive Plans that are exercisable or become so within sixty days after April 14, 2026; and (ii) 516 shares of common stock issuable upon settlement of RSUs that are releasable within sixty days after April 14, 2026 upon termination of service.</w:t>
      </w:r>
    </w:p>
    <w:p>
      <w:pPr>
        <w:spacing w:after="0" w:line="33" w:lineRule="exact"/>
        <w:rPr>
          <w:rFonts w:ascii="Arial" w:cs="Arial" w:eastAsia="Arial" w:hAnsi="Arial"/>
          <w:sz w:val="16"/>
          <w:szCs w:val="16"/>
          <w:color w:val="auto"/>
          <w:vertAlign w:val="superscript"/>
        </w:rPr>
      </w:pPr>
    </w:p>
    <w:p>
      <w:pPr>
        <w:ind w:left="320" w:right="139" w:hanging="190"/>
        <w:spacing w:after="0" w:line="275" w:lineRule="auto"/>
        <w:tabs>
          <w:tab w:leader="none" w:pos="320" w:val="left"/>
        </w:tabs>
        <w:numPr>
          <w:ilvl w:val="0"/>
          <w:numId w:val="86"/>
        </w:numPr>
        <w:rPr>
          <w:rFonts w:ascii="Arial" w:cs="Arial" w:eastAsia="Arial" w:hAnsi="Arial"/>
          <w:sz w:val="15"/>
          <w:szCs w:val="15"/>
          <w:color w:val="auto"/>
          <w:vertAlign w:val="superscript"/>
        </w:rPr>
      </w:pPr>
      <w:r>
        <w:rPr>
          <w:rFonts w:ascii="Arial" w:cs="Arial" w:eastAsia="Arial" w:hAnsi="Arial"/>
          <w:sz w:val="12"/>
          <w:szCs w:val="12"/>
          <w:color w:val="auto"/>
        </w:rPr>
        <w:t>Includes (i) 36,093 shares of common stock purchasable upon exercise of options granted pursuant to the Long-Term Incentive Plans that are exercisable or become so within sixty days after April 14, 2026; (ii) 750 shares of common stock held by Mr. Sing’s spouse; (iii) 400 shares of common stock held by Mr. Sing’s spouse as custodian for the benefit of their son; (iv) 1,000 shares of common stock held in a trust for benefit of Mr. Sing’s son; and (v) 1,293 shares of common stock issuable upon settlement of RSUs that are releasable within sixty days after April 14, 2026 upon termination of service.</w:t>
      </w:r>
    </w:p>
    <w:p>
      <w:pPr>
        <w:spacing w:after="0" w:line="3" w:lineRule="exact"/>
        <w:rPr>
          <w:rFonts w:ascii="Arial" w:cs="Arial" w:eastAsia="Arial" w:hAnsi="Arial"/>
          <w:sz w:val="15"/>
          <w:szCs w:val="15"/>
          <w:color w:val="auto"/>
          <w:vertAlign w:val="superscript"/>
        </w:rPr>
      </w:pPr>
    </w:p>
    <w:p>
      <w:pPr>
        <w:jc w:val="both"/>
        <w:ind w:left="320" w:right="719" w:hanging="190"/>
        <w:spacing w:after="0" w:line="245" w:lineRule="auto"/>
        <w:tabs>
          <w:tab w:leader="none" w:pos="320" w:val="left"/>
        </w:tabs>
        <w:numPr>
          <w:ilvl w:val="0"/>
          <w:numId w:val="86"/>
        </w:numPr>
        <w:rPr>
          <w:rFonts w:ascii="Arial" w:cs="Arial" w:eastAsia="Arial" w:hAnsi="Arial"/>
          <w:sz w:val="16"/>
          <w:szCs w:val="16"/>
          <w:color w:val="auto"/>
          <w:vertAlign w:val="superscript"/>
        </w:rPr>
      </w:pPr>
      <w:r>
        <w:rPr>
          <w:rFonts w:ascii="Arial" w:cs="Arial" w:eastAsia="Arial" w:hAnsi="Arial"/>
          <w:sz w:val="13"/>
          <w:szCs w:val="13"/>
          <w:color w:val="auto"/>
        </w:rPr>
        <w:t>Consists of (i) 8,123 shares of common stock purchasable upon exercise of options granted pursuant to the Long-Term Incentive Plans that are exercisable or become so within sixty days after April 14, 2026; and (ii) 688 shares of common stock issuable upon settlement of RSUs that are releasable within sixty days after April 14, 2026 upon termination of service.</w:t>
      </w:r>
    </w:p>
    <w:p>
      <w:pPr>
        <w:spacing w:after="0" w:line="33" w:lineRule="exact"/>
        <w:rPr>
          <w:rFonts w:ascii="Arial" w:cs="Arial" w:eastAsia="Arial" w:hAnsi="Arial"/>
          <w:sz w:val="16"/>
          <w:szCs w:val="16"/>
          <w:color w:val="auto"/>
          <w:vertAlign w:val="superscript"/>
        </w:rPr>
      </w:pPr>
    </w:p>
    <w:p>
      <w:pPr>
        <w:jc w:val="both"/>
        <w:ind w:left="320" w:right="139" w:hanging="190"/>
        <w:spacing w:after="0" w:line="272" w:lineRule="auto"/>
        <w:tabs>
          <w:tab w:leader="none" w:pos="320" w:val="left"/>
        </w:tabs>
        <w:numPr>
          <w:ilvl w:val="0"/>
          <w:numId w:val="86"/>
        </w:numPr>
        <w:rPr>
          <w:rFonts w:ascii="Arial" w:cs="Arial" w:eastAsia="Arial" w:hAnsi="Arial"/>
          <w:sz w:val="15"/>
          <w:szCs w:val="15"/>
          <w:color w:val="auto"/>
          <w:vertAlign w:val="superscript"/>
        </w:rPr>
      </w:pPr>
      <w:r>
        <w:rPr>
          <w:rFonts w:ascii="Arial" w:cs="Arial" w:eastAsia="Arial" w:hAnsi="Arial"/>
          <w:sz w:val="12"/>
          <w:szCs w:val="12"/>
          <w:color w:val="auto"/>
        </w:rPr>
        <w:t>Includes (i) 70,368 shares of common stock purchasable upon exercise of options granted pursuant to the Long-Term Incentive Plans that are exercisable or become so within sixty days after April 14, 2026; (ii) 10,712 RSAs; (iii) 12,376 shares of common stock held in a grantor retained annuity trust of which Mr. Van Plew is the trustee; and (iv) 1,131 shares of common stock held in an account under the Company’s 401(k) Savings Plan.</w:t>
      </w:r>
    </w:p>
    <w:p>
      <w:pPr>
        <w:spacing w:after="0" w:line="18" w:lineRule="exact"/>
        <w:rPr>
          <w:rFonts w:ascii="Arial" w:cs="Arial" w:eastAsia="Arial" w:hAnsi="Arial"/>
          <w:sz w:val="15"/>
          <w:szCs w:val="15"/>
          <w:color w:val="auto"/>
          <w:vertAlign w:val="superscript"/>
        </w:rPr>
      </w:pPr>
    </w:p>
    <w:p>
      <w:pPr>
        <w:jc w:val="both"/>
        <w:ind w:left="320" w:right="619" w:hanging="190"/>
        <w:spacing w:after="0" w:line="236" w:lineRule="auto"/>
        <w:tabs>
          <w:tab w:leader="none" w:pos="320" w:val="left"/>
        </w:tabs>
        <w:numPr>
          <w:ilvl w:val="0"/>
          <w:numId w:val="86"/>
        </w:numPr>
        <w:rPr>
          <w:rFonts w:ascii="Arial" w:cs="Arial" w:eastAsia="Arial" w:hAnsi="Arial"/>
          <w:sz w:val="16"/>
          <w:szCs w:val="16"/>
          <w:color w:val="auto"/>
          <w:vertAlign w:val="superscript"/>
        </w:rPr>
      </w:pPr>
      <w:r>
        <w:rPr>
          <w:rFonts w:ascii="Arial" w:cs="Arial" w:eastAsia="Arial" w:hAnsi="Arial"/>
          <w:sz w:val="13"/>
          <w:szCs w:val="13"/>
          <w:color w:val="auto"/>
        </w:rPr>
        <w:t>Consists of (i) 29,063 shares of common stock purchasable upon exercise of options granted pursuant to the Long-Term Incentive Plans that are exercisable or become so within sixty days after April 14, 2026; and (ii) 1,616 shares of common stock issuable upon settlement of RSUs that are releasable within sixty days after April 14, 2026 upon termination of service.</w:t>
      </w:r>
    </w:p>
    <w:p>
      <w:pPr>
        <w:spacing w:after="0" w:line="38" w:lineRule="exact"/>
        <w:rPr>
          <w:rFonts w:ascii="Arial" w:cs="Arial" w:eastAsia="Arial" w:hAnsi="Arial"/>
          <w:sz w:val="16"/>
          <w:szCs w:val="16"/>
          <w:color w:val="auto"/>
          <w:vertAlign w:val="superscript"/>
        </w:rPr>
      </w:pPr>
    </w:p>
    <w:p>
      <w:pPr>
        <w:ind w:left="320" w:right="239" w:hanging="190"/>
        <w:spacing w:after="0" w:line="249" w:lineRule="auto"/>
        <w:tabs>
          <w:tab w:leader="none" w:pos="320" w:val="left"/>
        </w:tabs>
        <w:numPr>
          <w:ilvl w:val="0"/>
          <w:numId w:val="86"/>
        </w:numPr>
        <w:rPr>
          <w:rFonts w:ascii="Arial" w:cs="Arial" w:eastAsia="Arial" w:hAnsi="Arial"/>
          <w:sz w:val="16"/>
          <w:szCs w:val="16"/>
          <w:color w:val="auto"/>
          <w:vertAlign w:val="superscript"/>
        </w:rPr>
      </w:pPr>
      <w:r>
        <w:rPr>
          <w:rFonts w:ascii="Arial" w:cs="Arial" w:eastAsia="Arial" w:hAnsi="Arial"/>
          <w:sz w:val="13"/>
          <w:szCs w:val="13"/>
          <w:color w:val="auto"/>
        </w:rPr>
        <w:t>Includes (i) 1,706,283 shares of common stock purchasable upon exercise of options granted pursuant to the Long-Term Incentive Plans that are exercisable or become so within sixty days after April 14, 2026; (ii) 48,001 RSAs; (iii) 12,387 shares of common stock issuable upon settlement of RSUs that are releasable within sixty days after April 14, 2026; and (iv) 19,652 shares of common stock held in an account under the Company’s 401(k) Savings Plan.</w:t>
      </w:r>
    </w:p>
    <w:p>
      <w:pPr>
        <w:spacing w:after="0" w:line="14" w:lineRule="exact"/>
        <w:rPr>
          <w:rFonts w:ascii="Arial" w:cs="Arial" w:eastAsia="Arial" w:hAnsi="Arial"/>
          <w:sz w:val="16"/>
          <w:szCs w:val="16"/>
          <w:color w:val="auto"/>
          <w:vertAlign w:val="superscript"/>
        </w:rPr>
      </w:pPr>
    </w:p>
    <w:p>
      <w:pPr>
        <w:ind w:left="320" w:hanging="190"/>
        <w:spacing w:after="0"/>
        <w:tabs>
          <w:tab w:leader="none" w:pos="320" w:val="left"/>
        </w:tabs>
        <w:numPr>
          <w:ilvl w:val="0"/>
          <w:numId w:val="86"/>
        </w:numPr>
        <w:rPr>
          <w:rFonts w:ascii="Arial" w:cs="Arial" w:eastAsia="Arial" w:hAnsi="Arial"/>
          <w:sz w:val="16"/>
          <w:szCs w:val="16"/>
          <w:color w:val="auto"/>
          <w:vertAlign w:val="superscript"/>
        </w:rPr>
      </w:pPr>
      <w:r>
        <w:rPr>
          <w:rFonts w:ascii="Arial" w:cs="Arial" w:eastAsia="Arial" w:hAnsi="Arial"/>
          <w:sz w:val="13"/>
          <w:szCs w:val="13"/>
          <w:color w:val="auto"/>
        </w:rPr>
        <w:t>Represents less than 1%.</w:t>
      </w:r>
    </w:p>
    <w:p>
      <w:pPr>
        <w:spacing w:after="0" w:line="8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52</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61" w:name="page62"/>
    <w:bookmarkEnd w:id="61"/>
    <w:p>
      <w:pPr>
        <w:jc w:val="center"/>
        <w:ind w:right="-20"/>
        <w:spacing w:after="0"/>
        <w:tabs>
          <w:tab w:leader="none" w:pos="260" w:val="left"/>
          <w:tab w:leader="none" w:pos="240" w:val="left"/>
          <w:tab w:leader="none" w:pos="260" w:val="left"/>
          <w:tab w:leader="none" w:pos="26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b w:val="1"/>
          <w:bCs w:val="1"/>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Audit Matters</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Introduction</w:t>
      </w:r>
    </w:p>
    <w:p>
      <w:pPr>
        <w:spacing w:after="0" w:line="132" w:lineRule="exact"/>
        <w:rPr>
          <w:sz w:val="20"/>
          <w:szCs w:val="20"/>
          <w:color w:val="auto"/>
        </w:rPr>
      </w:pPr>
    </w:p>
    <w:p>
      <w:pPr>
        <w:ind w:left="140" w:right="179"/>
        <w:spacing w:after="0" w:line="284" w:lineRule="auto"/>
        <w:rPr>
          <w:sz w:val="20"/>
          <w:szCs w:val="20"/>
          <w:color w:val="auto"/>
        </w:rPr>
      </w:pPr>
      <w:r>
        <w:rPr>
          <w:rFonts w:ascii="Arial" w:cs="Arial" w:eastAsia="Arial" w:hAnsi="Arial"/>
          <w:sz w:val="16"/>
          <w:szCs w:val="16"/>
          <w:color w:val="auto"/>
        </w:rPr>
        <w:t>The Audit Committee has appointed PricewaterhouseCoopers LLP as the Company’s independent registered public accounting firm for the fiscal year ending December 31, 2026. PricewaterhouseCoopers LLP (or its predecessor) has audited the Company’s financial statements for the past 37 years. The Audit Committee believes that the continued engagement of one independent registered public accounting firm contributes to higher quality audit work and greater operational efficiencies by leveraging PricewaterhouseCoopers LLP’s deep institutional knowledge of our operations and business, accounting policies and practices, and internal controls. SEC rules and PricewaterhouseCoopers LLP policies require the lead audit partner to be rotated at least every five years. The Audit Committee and its Chair are involved in the selection of PricewaterhouseCoopers LLP’s lead audit partner pursuant to this rotation. A new lead audit partner was selected beginning with the fiscal year 2022 audit.</w:t>
      </w:r>
    </w:p>
    <w:p>
      <w:pPr>
        <w:spacing w:after="0" w:line="120" w:lineRule="exact"/>
        <w:rPr>
          <w:sz w:val="20"/>
          <w:szCs w:val="20"/>
          <w:color w:val="auto"/>
        </w:rPr>
      </w:pPr>
    </w:p>
    <w:p>
      <w:pPr>
        <w:ind w:left="140" w:right="359"/>
        <w:spacing w:after="0" w:line="301" w:lineRule="auto"/>
        <w:rPr>
          <w:sz w:val="20"/>
          <w:szCs w:val="20"/>
          <w:color w:val="auto"/>
        </w:rPr>
      </w:pPr>
      <w:r>
        <w:rPr>
          <w:rFonts w:ascii="Arial" w:cs="Arial" w:eastAsia="Arial" w:hAnsi="Arial"/>
          <w:sz w:val="16"/>
          <w:szCs w:val="16"/>
          <w:color w:val="auto"/>
        </w:rPr>
        <w:t>The Audit Committee and the board of directors believe that the continued retention of PricewaterhouseCoopers LLP to serve as the Company’s independent registered public accounting firm is in the best interests of the Company and its shareholders.</w:t>
      </w:r>
    </w:p>
    <w:p>
      <w:pPr>
        <w:spacing w:after="0" w:line="91" w:lineRule="exact"/>
        <w:rPr>
          <w:sz w:val="20"/>
          <w:szCs w:val="20"/>
          <w:color w:val="auto"/>
        </w:rPr>
      </w:pPr>
    </w:p>
    <w:p>
      <w:pPr>
        <w:ind w:left="140" w:right="199"/>
        <w:spacing w:after="0" w:line="281" w:lineRule="auto"/>
        <w:rPr>
          <w:sz w:val="20"/>
          <w:szCs w:val="20"/>
          <w:color w:val="auto"/>
        </w:rPr>
      </w:pPr>
      <w:r>
        <w:rPr>
          <w:rFonts w:ascii="Arial" w:cs="Arial" w:eastAsia="Arial" w:hAnsi="Arial"/>
          <w:sz w:val="16"/>
          <w:szCs w:val="16"/>
          <w:color w:val="auto"/>
        </w:rPr>
        <w:t>The board of directors has directed that the appointment of PricewaterhouseCoopers LLP as the Company’s independent registered public accounting firm for fiscal year 2026 be submitted for ratification by the shareholders at the 2026 Annual Meeting. Shareholder ratification of the appointment of PricewaterhouseCoopers LLP as the Company’s independent registered public accounting firm for fiscal year 2026 is not required by the Company’s charter documents or otherwise, but is being pursued as a matter of good corporate practice. If shareholders do not ratify the appointment of PricewaterhouseCoopers LLP as the Company’s independent registered public accounting firm for fiscal year 2026,</w:t>
      </w:r>
    </w:p>
    <w:p>
      <w:pPr>
        <w:spacing w:after="0" w:line="4" w:lineRule="exact"/>
        <w:rPr>
          <w:sz w:val="20"/>
          <w:szCs w:val="20"/>
          <w:color w:val="auto"/>
        </w:rPr>
      </w:pPr>
    </w:p>
    <w:p>
      <w:pPr>
        <w:ind w:left="140" w:right="499"/>
        <w:spacing w:after="0" w:line="301" w:lineRule="auto"/>
        <w:rPr>
          <w:sz w:val="20"/>
          <w:szCs w:val="20"/>
          <w:color w:val="auto"/>
        </w:rPr>
      </w:pPr>
      <w:r>
        <w:rPr>
          <w:rFonts w:ascii="Arial" w:cs="Arial" w:eastAsia="Arial" w:hAnsi="Arial"/>
          <w:sz w:val="16"/>
          <w:szCs w:val="16"/>
          <w:color w:val="auto"/>
        </w:rPr>
        <w:t>the board of directors will consider the matter at its next meeting. Even if the selection is ratified, the Audit Committee may in its discretion select a different independent registered public accounting firm at any time during the year if it determines that such a change would be in the best interests of the Company and its shareholders.</w:t>
      </w:r>
    </w:p>
    <w:p>
      <w:pPr>
        <w:spacing w:after="0" w:line="104" w:lineRule="exact"/>
        <w:rPr>
          <w:sz w:val="20"/>
          <w:szCs w:val="20"/>
          <w:color w:val="auto"/>
        </w:rPr>
      </w:pPr>
    </w:p>
    <w:p>
      <w:pPr>
        <w:ind w:left="140" w:right="359"/>
        <w:spacing w:after="0" w:line="301" w:lineRule="auto"/>
        <w:rPr>
          <w:sz w:val="20"/>
          <w:szCs w:val="20"/>
          <w:color w:val="auto"/>
        </w:rPr>
      </w:pPr>
      <w:r>
        <w:rPr>
          <w:rFonts w:ascii="Arial" w:cs="Arial" w:eastAsia="Arial" w:hAnsi="Arial"/>
          <w:sz w:val="16"/>
          <w:szCs w:val="16"/>
          <w:color w:val="auto"/>
        </w:rPr>
        <w:t>PricewaterhouseCoopers LLP has advised the Company that it will have in attendance at the 2026 Annual Meeting a representative who will be afforded an opportunity to make a statement, if such representative desires to do so, and will respond to appropriate questions presented at the 2026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53</w:t>
            </w:r>
          </w:p>
        </w:tc>
      </w:tr>
    </w:tbl>
    <w:p>
      <w:pPr>
        <w:sectPr>
          <w:pgSz w:w="11900" w:h="16838" w:orient="portrait"/>
          <w:cols w:equalWidth="0" w:num="1">
            <w:col w:w="9019"/>
          </w:cols>
          <w:pgMar w:left="1440" w:top="657" w:right="1440" w:bottom="1440" w:gutter="0" w:footer="0" w:header="0"/>
        </w:sectPr>
      </w:pPr>
    </w:p>
    <w:bookmarkStart w:id="62" w:name="page63"/>
    <w:bookmarkEnd w:id="62"/>
    <w:p>
      <w:pPr>
        <w:jc w:val="center"/>
        <w:ind w:right="-20"/>
        <w:spacing w:after="0"/>
        <w:tabs>
          <w:tab w:leader="none" w:pos="260" w:val="left"/>
          <w:tab w:leader="none" w:pos="240" w:val="left"/>
          <w:tab w:leader="none" w:pos="260" w:val="left"/>
          <w:tab w:leader="none" w:pos="26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b w:val="1"/>
          <w:bCs w:val="1"/>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right="1299"/>
        <w:spacing w:after="0" w:line="278" w:lineRule="auto"/>
        <w:rPr>
          <w:sz w:val="20"/>
          <w:szCs w:val="20"/>
          <w:color w:val="auto"/>
        </w:rPr>
      </w:pPr>
      <w:r>
        <w:rPr>
          <w:rFonts w:ascii="Arial" w:cs="Arial" w:eastAsia="Arial" w:hAnsi="Arial"/>
          <w:sz w:val="29"/>
          <w:szCs w:val="29"/>
          <w:b w:val="1"/>
          <w:bCs w:val="1"/>
          <w:color w:val="065BAA"/>
        </w:rPr>
        <w:t>Information about Fees Paid to Independent Registered Public Accounting Firm</w:t>
      </w:r>
    </w:p>
    <w:p>
      <w:pPr>
        <w:spacing w:after="0" w:line="3" w:lineRule="exact"/>
        <w:rPr>
          <w:sz w:val="20"/>
          <w:szCs w:val="20"/>
          <w:color w:val="auto"/>
        </w:rPr>
      </w:pPr>
    </w:p>
    <w:p>
      <w:pPr>
        <w:ind w:left="140" w:right="579"/>
        <w:spacing w:after="0" w:line="321" w:lineRule="auto"/>
        <w:rPr>
          <w:sz w:val="20"/>
          <w:szCs w:val="20"/>
          <w:color w:val="auto"/>
        </w:rPr>
      </w:pPr>
      <w:r>
        <w:rPr>
          <w:rFonts w:ascii="Arial" w:cs="Arial" w:eastAsia="Arial" w:hAnsi="Arial"/>
          <w:sz w:val="16"/>
          <w:szCs w:val="16"/>
          <w:color w:val="auto"/>
        </w:rPr>
        <w:t>Aggregate fees incurred related to services provided to the Company by PricewaterhouseCoopers LLP for the years ended December 31, 2025 and 2024 were:</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40" w:type="dxa"/>
            <w:vAlign w:val="bottom"/>
            <w:tcBorders>
              <w:bottom w:val="single" w:sz="8" w:color="065BAA"/>
            </w:tcBorders>
          </w:tcPr>
          <w:p>
            <w:pPr>
              <w:spacing w:after="0"/>
              <w:rPr>
                <w:sz w:val="14"/>
                <w:szCs w:val="14"/>
                <w:color w:val="auto"/>
              </w:rPr>
            </w:pPr>
          </w:p>
        </w:tc>
        <w:tc>
          <w:tcPr>
            <w:tcW w:w="3700" w:type="dxa"/>
            <w:vAlign w:val="bottom"/>
            <w:tcBorders>
              <w:bottom w:val="single" w:sz="8" w:color="065BAA"/>
            </w:tcBorders>
          </w:tcPr>
          <w:p>
            <w:pPr>
              <w:jc w:val="right"/>
              <w:ind w:right="48"/>
              <w:spacing w:after="0"/>
              <w:rPr>
                <w:sz w:val="20"/>
                <w:szCs w:val="20"/>
                <w:color w:val="auto"/>
              </w:rPr>
            </w:pPr>
            <w:r>
              <w:rPr>
                <w:rFonts w:ascii="Arial" w:cs="Arial" w:eastAsia="Arial" w:hAnsi="Arial"/>
                <w:sz w:val="14"/>
                <w:szCs w:val="14"/>
                <w:b w:val="1"/>
                <w:bCs w:val="1"/>
                <w:color w:val="065BAA"/>
              </w:rPr>
              <w:t>2025 ($)</w:t>
            </w:r>
          </w:p>
        </w:tc>
        <w:tc>
          <w:tcPr>
            <w:tcW w:w="820" w:type="dxa"/>
            <w:vAlign w:val="bottom"/>
            <w:tcBorders>
              <w:bottom w:val="single" w:sz="8" w:color="065BAA"/>
            </w:tcBorders>
          </w:tcPr>
          <w:p>
            <w:pPr>
              <w:jc w:val="right"/>
              <w:spacing w:after="0"/>
              <w:rPr>
                <w:sz w:val="20"/>
                <w:szCs w:val="20"/>
                <w:color w:val="auto"/>
              </w:rPr>
            </w:pPr>
            <w:r>
              <w:rPr>
                <w:rFonts w:ascii="Arial" w:cs="Arial" w:eastAsia="Arial" w:hAnsi="Arial"/>
                <w:sz w:val="14"/>
                <w:szCs w:val="14"/>
                <w:b w:val="1"/>
                <w:bCs w:val="1"/>
                <w:color w:val="065BAA"/>
              </w:rPr>
              <w:t>2024 ($)</w:t>
            </w:r>
          </w:p>
        </w:tc>
      </w:tr>
      <w:tr>
        <w:trPr>
          <w:trHeight w:val="196"/>
        </w:trPr>
        <w:tc>
          <w:tcPr>
            <w:tcW w:w="4240" w:type="dxa"/>
            <w:vAlign w:val="bottom"/>
          </w:tcPr>
          <w:p>
            <w:pPr>
              <w:ind w:left="80"/>
              <w:spacing w:after="0"/>
              <w:rPr>
                <w:sz w:val="20"/>
                <w:szCs w:val="20"/>
                <w:color w:val="auto"/>
              </w:rPr>
            </w:pPr>
            <w:r>
              <w:rPr>
                <w:rFonts w:ascii="Arial" w:cs="Arial" w:eastAsia="Arial" w:hAnsi="Arial"/>
                <w:sz w:val="14"/>
                <w:szCs w:val="14"/>
                <w:color w:val="auto"/>
              </w:rPr>
              <w:t>Audit Fees</w:t>
            </w:r>
          </w:p>
        </w:tc>
        <w:tc>
          <w:tcPr>
            <w:tcW w:w="3700" w:type="dxa"/>
            <w:vAlign w:val="bottom"/>
          </w:tcPr>
          <w:p>
            <w:pPr>
              <w:jc w:val="right"/>
              <w:ind w:right="68"/>
              <w:spacing w:after="0"/>
              <w:rPr>
                <w:sz w:val="20"/>
                <w:szCs w:val="20"/>
                <w:color w:val="auto"/>
              </w:rPr>
            </w:pPr>
            <w:r>
              <w:rPr>
                <w:rFonts w:ascii="Arial" w:cs="Arial" w:eastAsia="Arial" w:hAnsi="Arial"/>
                <w:sz w:val="14"/>
                <w:szCs w:val="14"/>
                <w:color w:val="auto"/>
              </w:rPr>
              <w:t>4,667,753</w:t>
            </w:r>
          </w:p>
        </w:tc>
        <w:tc>
          <w:tcPr>
            <w:tcW w:w="820" w:type="dxa"/>
            <w:vAlign w:val="bottom"/>
          </w:tcPr>
          <w:p>
            <w:pPr>
              <w:jc w:val="right"/>
              <w:spacing w:after="0"/>
              <w:rPr>
                <w:sz w:val="20"/>
                <w:szCs w:val="20"/>
                <w:color w:val="auto"/>
              </w:rPr>
            </w:pPr>
            <w:r>
              <w:rPr>
                <w:rFonts w:ascii="Arial" w:cs="Arial" w:eastAsia="Arial" w:hAnsi="Arial"/>
                <w:sz w:val="14"/>
                <w:szCs w:val="14"/>
                <w:color w:val="auto"/>
              </w:rPr>
              <w:t>4,103,062</w:t>
            </w:r>
          </w:p>
        </w:tc>
      </w:tr>
      <w:tr>
        <w:trPr>
          <w:trHeight w:val="216"/>
        </w:trPr>
        <w:tc>
          <w:tcPr>
            <w:tcW w:w="4240" w:type="dxa"/>
            <w:vAlign w:val="bottom"/>
            <w:shd w:val="clear" w:color="auto" w:fill="DAEBF8"/>
          </w:tcPr>
          <w:p>
            <w:pPr>
              <w:ind w:left="80"/>
              <w:spacing w:after="0"/>
              <w:rPr>
                <w:sz w:val="20"/>
                <w:szCs w:val="20"/>
                <w:color w:val="auto"/>
              </w:rPr>
            </w:pPr>
            <w:r>
              <w:rPr>
                <w:rFonts w:ascii="Arial" w:cs="Arial" w:eastAsia="Arial" w:hAnsi="Arial"/>
                <w:sz w:val="14"/>
                <w:szCs w:val="14"/>
                <w:color w:val="auto"/>
              </w:rPr>
              <w:t>Audit-Related Fees</w:t>
            </w:r>
          </w:p>
        </w:tc>
        <w:tc>
          <w:tcPr>
            <w:tcW w:w="3700" w:type="dxa"/>
            <w:vAlign w:val="bottom"/>
            <w:shd w:val="clear" w:color="auto" w:fill="DAEBF8"/>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15,000</w:t>
            </w:r>
          </w:p>
        </w:tc>
      </w:tr>
      <w:tr>
        <w:trPr>
          <w:trHeight w:val="216"/>
        </w:trPr>
        <w:tc>
          <w:tcPr>
            <w:tcW w:w="4240" w:type="dxa"/>
            <w:vAlign w:val="bottom"/>
          </w:tcPr>
          <w:p>
            <w:pPr>
              <w:ind w:left="80"/>
              <w:spacing w:after="0"/>
              <w:rPr>
                <w:sz w:val="20"/>
                <w:szCs w:val="20"/>
                <w:color w:val="auto"/>
              </w:rPr>
            </w:pPr>
            <w:r>
              <w:rPr>
                <w:rFonts w:ascii="Arial" w:cs="Arial" w:eastAsia="Arial" w:hAnsi="Arial"/>
                <w:sz w:val="14"/>
                <w:szCs w:val="14"/>
                <w:color w:val="auto"/>
              </w:rPr>
              <w:t>Tax Fees</w:t>
            </w:r>
          </w:p>
        </w:tc>
        <w:tc>
          <w:tcPr>
            <w:tcW w:w="3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4240" w:type="dxa"/>
            <w:vAlign w:val="bottom"/>
            <w:shd w:val="clear" w:color="auto" w:fill="DAEBF8"/>
          </w:tcPr>
          <w:p>
            <w:pPr>
              <w:ind w:left="80"/>
              <w:spacing w:after="0"/>
              <w:rPr>
                <w:sz w:val="20"/>
                <w:szCs w:val="20"/>
                <w:color w:val="auto"/>
              </w:rPr>
            </w:pPr>
            <w:r>
              <w:rPr>
                <w:rFonts w:ascii="Arial" w:cs="Arial" w:eastAsia="Arial" w:hAnsi="Arial"/>
                <w:sz w:val="14"/>
                <w:szCs w:val="14"/>
                <w:color w:val="auto"/>
              </w:rPr>
              <w:t>All Other Fees</w:t>
            </w:r>
          </w:p>
        </w:tc>
        <w:tc>
          <w:tcPr>
            <w:tcW w:w="3700" w:type="dxa"/>
            <w:vAlign w:val="bottom"/>
            <w:shd w:val="clear" w:color="auto" w:fill="DAEBF8"/>
          </w:tcPr>
          <w:p>
            <w:pPr>
              <w:jc w:val="right"/>
              <w:ind w:right="68"/>
              <w:spacing w:after="0"/>
              <w:rPr>
                <w:sz w:val="20"/>
                <w:szCs w:val="20"/>
                <w:color w:val="auto"/>
              </w:rPr>
            </w:pPr>
            <w:r>
              <w:rPr>
                <w:rFonts w:ascii="Arial" w:cs="Arial" w:eastAsia="Arial" w:hAnsi="Arial"/>
                <w:sz w:val="14"/>
                <w:szCs w:val="14"/>
                <w:color w:val="auto"/>
              </w:rPr>
              <w:t>101,677</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19,670</w:t>
            </w:r>
          </w:p>
        </w:tc>
      </w:tr>
      <w:tr>
        <w:trPr>
          <w:trHeight w:val="216"/>
        </w:trPr>
        <w:tc>
          <w:tcPr>
            <w:tcW w:w="4240" w:type="dxa"/>
            <w:vAlign w:val="bottom"/>
            <w:tcBorders>
              <w:bottom w:val="single" w:sz="8" w:color="065BAA"/>
            </w:tcBorders>
          </w:tcPr>
          <w:p>
            <w:pPr>
              <w:ind w:left="80"/>
              <w:spacing w:after="0"/>
              <w:rPr>
                <w:sz w:val="20"/>
                <w:szCs w:val="20"/>
                <w:color w:val="auto"/>
              </w:rPr>
            </w:pPr>
            <w:r>
              <w:rPr>
                <w:rFonts w:ascii="Arial" w:cs="Arial" w:eastAsia="Arial" w:hAnsi="Arial"/>
                <w:sz w:val="14"/>
                <w:szCs w:val="14"/>
                <w:b w:val="1"/>
                <w:bCs w:val="1"/>
                <w:color w:val="auto"/>
              </w:rPr>
              <w:t>Total Fees</w:t>
            </w:r>
          </w:p>
        </w:tc>
        <w:tc>
          <w:tcPr>
            <w:tcW w:w="3700" w:type="dxa"/>
            <w:vAlign w:val="bottom"/>
            <w:tcBorders>
              <w:bottom w:val="single" w:sz="8" w:color="065BAA"/>
            </w:tcBorders>
          </w:tcPr>
          <w:p>
            <w:pPr>
              <w:jc w:val="right"/>
              <w:ind w:right="68"/>
              <w:spacing w:after="0"/>
              <w:rPr>
                <w:sz w:val="20"/>
                <w:szCs w:val="20"/>
                <w:color w:val="auto"/>
              </w:rPr>
            </w:pPr>
            <w:r>
              <w:rPr>
                <w:rFonts w:ascii="Arial" w:cs="Arial" w:eastAsia="Arial" w:hAnsi="Arial"/>
                <w:sz w:val="14"/>
                <w:szCs w:val="14"/>
                <w:color w:val="auto"/>
              </w:rPr>
              <w:t>4,769,430</w:t>
            </w:r>
          </w:p>
        </w:tc>
        <w:tc>
          <w:tcPr>
            <w:tcW w:w="820" w:type="dxa"/>
            <w:vAlign w:val="bottom"/>
            <w:tcBorders>
              <w:bottom w:val="single" w:sz="8" w:color="065BAA"/>
            </w:tcBorders>
          </w:tcPr>
          <w:p>
            <w:pPr>
              <w:jc w:val="right"/>
              <w:spacing w:after="0"/>
              <w:rPr>
                <w:sz w:val="20"/>
                <w:szCs w:val="20"/>
                <w:color w:val="auto"/>
              </w:rPr>
            </w:pPr>
            <w:r>
              <w:rPr>
                <w:rFonts w:ascii="Arial" w:cs="Arial" w:eastAsia="Arial" w:hAnsi="Arial"/>
                <w:sz w:val="14"/>
                <w:szCs w:val="14"/>
                <w:color w:val="auto"/>
              </w:rPr>
              <w:t>4,137,732</w:t>
            </w:r>
          </w:p>
        </w:tc>
      </w:tr>
    </w:tbl>
    <w:p>
      <w:pPr>
        <w:spacing w:after="0" w:line="188" w:lineRule="exact"/>
        <w:rPr>
          <w:sz w:val="20"/>
          <w:szCs w:val="20"/>
          <w:color w:val="auto"/>
        </w:rPr>
      </w:pPr>
    </w:p>
    <w:p>
      <w:pPr>
        <w:ind w:left="140" w:right="219"/>
        <w:spacing w:after="0" w:line="295" w:lineRule="auto"/>
        <w:rPr>
          <w:sz w:val="20"/>
          <w:szCs w:val="20"/>
          <w:color w:val="auto"/>
        </w:rPr>
      </w:pPr>
      <w:r>
        <w:rPr>
          <w:rFonts w:ascii="Arial" w:cs="Arial" w:eastAsia="Arial" w:hAnsi="Arial"/>
          <w:sz w:val="16"/>
          <w:szCs w:val="16"/>
          <w:b w:val="1"/>
          <w:bCs w:val="1"/>
          <w:color w:val="auto"/>
        </w:rPr>
        <w:t xml:space="preserve">Audit Fees. </w:t>
      </w:r>
      <w:r>
        <w:rPr>
          <w:rFonts w:ascii="Arial" w:cs="Arial" w:eastAsia="Arial" w:hAnsi="Arial"/>
          <w:sz w:val="16"/>
          <w:szCs w:val="16"/>
          <w:color w:val="auto"/>
        </w:rPr>
        <w:t>Audit fees in 2025 and 2024 were primarily for professional services rendered for the audit of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statements for the fiscal year, including attestation services required under Section 404 of the Sarbanes-Oxley Act of 2002, technical accounting consultations related to the annual audit, reviews of the Company’s quarterly financial statements included in its Form 10-Q filings, and statutory audits of certain of the Company’s foreign subsidiaries.</w:t>
      </w:r>
    </w:p>
    <w:p>
      <w:pPr>
        <w:spacing w:after="0" w:line="108" w:lineRule="exact"/>
        <w:rPr>
          <w:sz w:val="20"/>
          <w:szCs w:val="20"/>
          <w:color w:val="auto"/>
        </w:rPr>
      </w:pPr>
    </w:p>
    <w:p>
      <w:pPr>
        <w:ind w:left="140" w:right="699"/>
        <w:spacing w:after="0" w:line="321" w:lineRule="auto"/>
        <w:rPr>
          <w:sz w:val="20"/>
          <w:szCs w:val="20"/>
          <w:color w:val="auto"/>
        </w:rPr>
      </w:pPr>
      <w:r>
        <w:rPr>
          <w:rFonts w:ascii="Arial" w:cs="Arial" w:eastAsia="Arial" w:hAnsi="Arial"/>
          <w:sz w:val="16"/>
          <w:szCs w:val="16"/>
          <w:b w:val="1"/>
          <w:bCs w:val="1"/>
          <w:color w:val="auto"/>
        </w:rPr>
        <w:t xml:space="preserve">Audit-Related Fees. </w:t>
      </w:r>
      <w:r>
        <w:rPr>
          <w:rFonts w:ascii="Arial" w:cs="Arial" w:eastAsia="Arial" w:hAnsi="Arial"/>
          <w:sz w:val="16"/>
          <w:szCs w:val="16"/>
          <w:color w:val="auto"/>
        </w:rPr>
        <w:t>Audit-related fees in 2024 were for services related to the filing of a registration statement on</w:t>
      </w:r>
      <w:r>
        <w:rPr>
          <w:rFonts w:ascii="Arial" w:cs="Arial" w:eastAsia="Arial" w:hAnsi="Arial"/>
          <w:sz w:val="16"/>
          <w:szCs w:val="16"/>
          <w:b w:val="1"/>
          <w:bCs w:val="1"/>
          <w:color w:val="auto"/>
        </w:rPr>
        <w:t xml:space="preserve"> </w:t>
      </w:r>
      <w:r>
        <w:rPr>
          <w:rFonts w:ascii="Arial" w:cs="Arial" w:eastAsia="Arial" w:hAnsi="Arial"/>
          <w:sz w:val="16"/>
          <w:szCs w:val="16"/>
          <w:color w:val="auto"/>
        </w:rPr>
        <w:t>Form S-3.</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Tax Fees. </w:t>
      </w:r>
      <w:r>
        <w:rPr>
          <w:rFonts w:ascii="Arial" w:cs="Arial" w:eastAsia="Arial" w:hAnsi="Arial"/>
          <w:sz w:val="16"/>
          <w:szCs w:val="16"/>
          <w:color w:val="auto"/>
        </w:rPr>
        <w:t>The Company did not incur any tax fees in 2025 or 2024.</w:t>
      </w:r>
    </w:p>
    <w:p>
      <w:pPr>
        <w:spacing w:after="0" w:line="181" w:lineRule="exact"/>
        <w:rPr>
          <w:sz w:val="20"/>
          <w:szCs w:val="20"/>
          <w:color w:val="auto"/>
        </w:rPr>
      </w:pPr>
    </w:p>
    <w:p>
      <w:pPr>
        <w:ind w:left="140" w:right="299"/>
        <w:spacing w:after="0" w:line="321" w:lineRule="auto"/>
        <w:rPr>
          <w:sz w:val="20"/>
          <w:szCs w:val="20"/>
          <w:color w:val="auto"/>
        </w:rPr>
      </w:pPr>
      <w:r>
        <w:rPr>
          <w:rFonts w:ascii="Arial" w:cs="Arial" w:eastAsia="Arial" w:hAnsi="Arial"/>
          <w:sz w:val="16"/>
          <w:szCs w:val="16"/>
          <w:b w:val="1"/>
          <w:bCs w:val="1"/>
          <w:color w:val="auto"/>
        </w:rPr>
        <w:t xml:space="preserve">All Other Fees. </w:t>
      </w:r>
      <w:r>
        <w:rPr>
          <w:rFonts w:ascii="Arial" w:cs="Arial" w:eastAsia="Arial" w:hAnsi="Arial"/>
          <w:sz w:val="16"/>
          <w:szCs w:val="16"/>
          <w:color w:val="auto"/>
        </w:rPr>
        <w:t>All other fees in 2025 and 2024 were for annual subscriptions to accounting and other resources and, in</w:t>
      </w:r>
      <w:r>
        <w:rPr>
          <w:rFonts w:ascii="Arial" w:cs="Arial" w:eastAsia="Arial" w:hAnsi="Arial"/>
          <w:sz w:val="16"/>
          <w:szCs w:val="16"/>
          <w:b w:val="1"/>
          <w:bCs w:val="1"/>
          <w:color w:val="auto"/>
        </w:rPr>
        <w:t xml:space="preserve"> </w:t>
      </w:r>
      <w:r>
        <w:rPr>
          <w:rFonts w:ascii="Arial" w:cs="Arial" w:eastAsia="Arial" w:hAnsi="Arial"/>
          <w:sz w:val="16"/>
          <w:szCs w:val="16"/>
          <w:color w:val="auto"/>
        </w:rPr>
        <w:t>2025, also for services related to a readiness assessment in connection with sustainability reporting.</w:t>
      </w:r>
    </w:p>
    <w:p>
      <w:pPr>
        <w:spacing w:after="0" w:line="88" w:lineRule="exact"/>
        <w:rPr>
          <w:sz w:val="20"/>
          <w:szCs w:val="20"/>
          <w:color w:val="auto"/>
        </w:rPr>
      </w:pPr>
    </w:p>
    <w:p>
      <w:pPr>
        <w:ind w:left="140" w:right="219"/>
        <w:spacing w:after="0" w:line="287" w:lineRule="auto"/>
        <w:rPr>
          <w:sz w:val="20"/>
          <w:szCs w:val="20"/>
          <w:color w:val="auto"/>
        </w:rPr>
      </w:pPr>
      <w:r>
        <w:rPr>
          <w:rFonts w:ascii="Arial" w:cs="Arial" w:eastAsia="Arial" w:hAnsi="Arial"/>
          <w:sz w:val="16"/>
          <w:szCs w:val="16"/>
          <w:color w:val="auto"/>
        </w:rPr>
        <w:t xml:space="preserve">The Audit Committee has adopted a policy regarding the pre-approval of audit and permitted non-audit services to be performed by the Company’s independent registered public accounting firm, PricewaterhouseCoopers LLP. The Audit Committee will, on an annual basis, consider and, if appropriate, approve the provision of audit and non-audit services by PricewaterhouseCoopers LLP. The Audit Committee did not utilize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to the pre-approval requirements to approve any services provided by PricewaterhouseCoopers LLP during fiscal 2025 or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54</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63" w:name="page64"/>
    <w:bookmarkEnd w:id="63"/>
    <w:p>
      <w:pPr>
        <w:jc w:val="center"/>
        <w:ind w:right="-20"/>
        <w:spacing w:after="0"/>
        <w:tabs>
          <w:tab w:leader="none" w:pos="260" w:val="left"/>
          <w:tab w:leader="none" w:pos="240" w:val="left"/>
          <w:tab w:leader="none" w:pos="260" w:val="left"/>
          <w:tab w:leader="none" w:pos="260" w:val="left"/>
          <w:tab w:leader="none" w:pos="24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b w:val="1"/>
          <w:bCs w:val="1"/>
          <w:color w:val="343434"/>
        </w:rPr>
        <w:t>The Company</w:t>
      </w:r>
      <w:r>
        <w:rPr>
          <w:sz w:val="20"/>
          <w:szCs w:val="20"/>
          <w:color w:val="auto"/>
        </w:rPr>
        <w:tab/>
      </w:r>
      <w:r>
        <w:rPr>
          <w:rFonts w:ascii="Arial" w:cs="Arial" w:eastAsia="Arial" w:hAnsi="Arial"/>
          <w:sz w:val="14"/>
          <w:szCs w:val="14"/>
          <w:color w:val="343434"/>
        </w:rPr>
        <w:t>Compensation-Related Matters</w:t>
        <w:tab/>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Audit Committee Report</w:t>
      </w:r>
    </w:p>
    <w:p>
      <w:pPr>
        <w:spacing w:after="0" w:line="132" w:lineRule="exact"/>
        <w:rPr>
          <w:sz w:val="20"/>
          <w:szCs w:val="20"/>
          <w:color w:val="auto"/>
        </w:rPr>
      </w:pPr>
    </w:p>
    <w:p>
      <w:pPr>
        <w:ind w:left="140" w:right="159"/>
        <w:spacing w:after="0" w:line="284" w:lineRule="auto"/>
        <w:rPr>
          <w:sz w:val="20"/>
          <w:szCs w:val="20"/>
          <w:color w:val="auto"/>
        </w:rPr>
      </w:pPr>
      <w:r>
        <w:rPr>
          <w:rFonts w:ascii="Arial" w:cs="Arial" w:eastAsia="Arial" w:hAnsi="Arial"/>
          <w:sz w:val="16"/>
          <w:szCs w:val="16"/>
          <w:color w:val="auto"/>
        </w:rPr>
        <w:t>We have reviewed the audited financial statements of the Company for the year ended December 31, 2025, which are included in the Company’s Annual Report on Form 10-K for the fiscal year ended December 31, 2025,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by the applicable requirements of the Public Company Accounting Oversight Board (the “PCAOB”) and the Securities and Exchange Commission. The Audit Committee also discussed with the independent registered public accounting firm their independence relative to the Company and received and reviewed the written disclosures and the letter from the independent registered public accounting firm required by the PCAOB.</w:t>
      </w:r>
    </w:p>
    <w:p>
      <w:pPr>
        <w:spacing w:after="0" w:line="121" w:lineRule="exact"/>
        <w:rPr>
          <w:sz w:val="20"/>
          <w:szCs w:val="20"/>
          <w:color w:val="auto"/>
        </w:rPr>
      </w:pPr>
    </w:p>
    <w:p>
      <w:pPr>
        <w:ind w:left="140" w:right="139"/>
        <w:spacing w:after="0" w:line="301" w:lineRule="auto"/>
        <w:rPr>
          <w:sz w:val="20"/>
          <w:szCs w:val="20"/>
          <w:color w:val="auto"/>
        </w:rPr>
      </w:pPr>
      <w:r>
        <w:rPr>
          <w:rFonts w:ascii="Arial" w:cs="Arial" w:eastAsia="Arial" w:hAnsi="Arial"/>
          <w:sz w:val="16"/>
          <w:szCs w:val="16"/>
          <w:color w:val="auto"/>
        </w:rPr>
        <w:t>Based on the foregoing discussions and review, the Audit Committee recommended to the board of directors that the audited financial statements of the Company for the year ended December 31, 2025 be included in the Company’s Annual Report on Form 10-K for the fiscal year ended December 31, 2025 for filing with the Securities and Exchange Commission.</w:t>
      </w:r>
    </w:p>
    <w:p>
      <w:pPr>
        <w:spacing w:after="0" w:line="320" w:lineRule="exact"/>
        <w:rPr>
          <w:sz w:val="20"/>
          <w:szCs w:val="20"/>
          <w:color w:val="auto"/>
        </w:rPr>
      </w:pPr>
    </w:p>
    <w:p>
      <w:pPr>
        <w:ind w:left="140" w:right="139"/>
        <w:spacing w:after="0" w:line="292" w:lineRule="auto"/>
        <w:rPr>
          <w:sz w:val="20"/>
          <w:szCs w:val="20"/>
          <w:color w:val="auto"/>
        </w:rPr>
      </w:pPr>
      <w:r>
        <w:rPr>
          <w:rFonts w:ascii="Arial" w:cs="Arial" w:eastAsia="Arial" w:hAnsi="Arial"/>
          <w:sz w:val="16"/>
          <w:szCs w:val="16"/>
          <w:color w:val="auto"/>
        </w:rPr>
        <w:t>We have appointed PricewaterhouseCoopers LLP as the Company’s independent registered public accounting firm for the fiscal year ending December 31, 2026. This appointment was based on a variety of factors, including PricewaterhouseCoopers LLP’s competence in the fields of accounting and auditing.</w:t>
      </w:r>
    </w:p>
    <w:p>
      <w:pPr>
        <w:spacing w:after="0" w:line="181" w:lineRule="exact"/>
        <w:rPr>
          <w:sz w:val="20"/>
          <w:szCs w:val="20"/>
          <w:color w:val="auto"/>
        </w:rPr>
      </w:pPr>
    </w:p>
    <w:p>
      <w:pPr>
        <w:ind w:left="6340"/>
        <w:spacing w:after="0"/>
        <w:rPr>
          <w:sz w:val="20"/>
          <w:szCs w:val="20"/>
          <w:color w:val="auto"/>
        </w:rPr>
      </w:pPr>
      <w:r>
        <w:rPr>
          <w:rFonts w:ascii="Arial" w:cs="Arial" w:eastAsia="Arial" w:hAnsi="Arial"/>
          <w:sz w:val="16"/>
          <w:szCs w:val="16"/>
          <w:i w:val="1"/>
          <w:iCs w:val="1"/>
          <w:color w:val="auto"/>
        </w:rPr>
        <w:t>The Audit Committee</w:t>
      </w:r>
    </w:p>
    <w:p>
      <w:pPr>
        <w:spacing w:after="0" w:line="30"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George L. Sing, Chair</w:t>
      </w:r>
    </w:p>
    <w:p>
      <w:pPr>
        <w:spacing w:after="0" w:line="32"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N. Anthony Coles, M.D.</w:t>
      </w:r>
    </w:p>
    <w:p>
      <w:pPr>
        <w:spacing w:after="0" w:line="31"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Kathryn Guarini, Ph.D.</w:t>
      </w:r>
    </w:p>
    <w:p>
      <w:pPr>
        <w:spacing w:after="0" w:line="20"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Arthur F. Ryan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065BAA"/>
        </w:rPr>
        <w:t>Proposal No. 2</w:t>
      </w:r>
    </w:p>
    <w:p>
      <w:pPr>
        <w:spacing w:after="0" w:line="95" w:lineRule="exact"/>
        <w:rPr>
          <w:sz w:val="20"/>
          <w:szCs w:val="20"/>
          <w:color w:val="auto"/>
        </w:rPr>
      </w:pPr>
    </w:p>
    <w:p>
      <w:pPr>
        <w:ind w:left="400" w:right="2079"/>
        <w:spacing w:after="0" w:line="332" w:lineRule="auto"/>
        <w:rPr>
          <w:sz w:val="20"/>
          <w:szCs w:val="20"/>
          <w:color w:val="auto"/>
        </w:rPr>
      </w:pPr>
      <w:r>
        <w:rPr>
          <w:rFonts w:ascii="Arial" w:cs="Arial" w:eastAsia="Arial" w:hAnsi="Arial"/>
          <w:sz w:val="25"/>
          <w:szCs w:val="25"/>
          <w:b w:val="1"/>
          <w:bCs w:val="1"/>
          <w:color w:val="auto"/>
        </w:rPr>
        <w:t>Ratification of Appointment of Independent Registered Public Accounting Firm</w:t>
      </w:r>
    </w:p>
    <w:p>
      <w:pPr>
        <w:spacing w:after="0" w:line="66" w:lineRule="exact"/>
        <w:rPr>
          <w:sz w:val="20"/>
          <w:szCs w:val="20"/>
          <w:color w:val="auto"/>
        </w:rPr>
      </w:pPr>
    </w:p>
    <w:p>
      <w:pPr>
        <w:ind w:left="700" w:right="659"/>
        <w:spacing w:after="0" w:line="292" w:lineRule="auto"/>
        <w:rPr>
          <w:sz w:val="20"/>
          <w:szCs w:val="20"/>
          <w:color w:val="auto"/>
        </w:rPr>
      </w:pPr>
      <w:r>
        <w:rPr>
          <w:rFonts w:ascii="Arial" w:cs="Arial" w:eastAsia="Arial" w:hAnsi="Arial"/>
          <w:sz w:val="16"/>
          <w:szCs w:val="16"/>
          <w:color w:val="auto"/>
        </w:rPr>
        <w:t xml:space="preserve">The board of directors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ratification of the appointment of PricewaterhouseCoopers LLP as the Company’s independent registered public accounting firm for 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55</w:t>
            </w:r>
          </w:p>
        </w:tc>
      </w:tr>
    </w:tbl>
    <w:p>
      <w:pPr>
        <w:sectPr>
          <w:pgSz w:w="11900" w:h="16838" w:orient="portrait"/>
          <w:cols w:equalWidth="0" w:num="1">
            <w:col w:w="9019"/>
          </w:cols>
          <w:pgMar w:left="1440" w:top="657" w:right="1440" w:bottom="1440" w:gutter="0" w:footer="0" w:header="0"/>
        </w:sectPr>
      </w:pPr>
    </w:p>
    <w:bookmarkStart w:id="64" w:name="page65"/>
    <w:bookmarkEnd w:id="64"/>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321" w:lineRule="exact"/>
        <w:rPr>
          <w:sz w:val="20"/>
          <w:szCs w:val="20"/>
          <w:color w:val="auto"/>
        </w:rPr>
      </w:pPr>
    </w:p>
    <w:p>
      <w:pPr>
        <w:ind w:left="60"/>
        <w:spacing w:after="0"/>
        <w:rPr>
          <w:sz w:val="20"/>
          <w:szCs w:val="20"/>
          <w:color w:val="auto"/>
        </w:rPr>
      </w:pPr>
      <w:r>
        <w:rPr>
          <w:rFonts w:ascii="Arial" w:cs="Arial" w:eastAsia="Arial" w:hAnsi="Arial"/>
          <w:sz w:val="52"/>
          <w:szCs w:val="52"/>
          <w:b w:val="1"/>
          <w:bCs w:val="1"/>
          <w:color w:val="auto"/>
        </w:rPr>
        <w:t>Compensation-Related Matters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Arial" w:cs="Arial" w:eastAsia="Arial" w:hAnsi="Arial"/>
                <w:sz w:val="16"/>
                <w:szCs w:val="16"/>
                <w:b w:val="1"/>
                <w:bCs w:val="1"/>
                <w:color w:val="295EA3"/>
              </w:rPr>
              <w:t>Compensation Discussion and Analysis.............</w:t>
            </w:r>
          </w:p>
        </w:tc>
        <w:tc>
          <w:tcPr>
            <w:tcW w:w="540" w:type="dxa"/>
            <w:vAlign w:val="bottom"/>
          </w:tcPr>
          <w:p>
            <w:pPr>
              <w:jc w:val="right"/>
              <w:ind w:right="159"/>
              <w:spacing w:after="0"/>
              <w:rPr>
                <w:sz w:val="20"/>
                <w:szCs w:val="20"/>
                <w:color w:val="auto"/>
              </w:rPr>
            </w:pPr>
            <w:r>
              <w:rPr>
                <w:rFonts w:ascii="Arial" w:cs="Arial" w:eastAsia="Arial" w:hAnsi="Arial"/>
                <w:sz w:val="16"/>
                <w:szCs w:val="16"/>
                <w:b w:val="1"/>
                <w:bCs w:val="1"/>
                <w:color w:val="295EA3"/>
              </w:rPr>
              <w:t>56</w:t>
            </w:r>
          </w:p>
        </w:tc>
        <w:tc>
          <w:tcPr>
            <w:tcW w:w="3860" w:type="dxa"/>
            <w:vAlign w:val="bottom"/>
          </w:tcPr>
          <w:p>
            <w:pPr>
              <w:ind w:left="440"/>
              <w:spacing w:after="0"/>
              <w:rPr>
                <w:sz w:val="20"/>
                <w:szCs w:val="20"/>
                <w:color w:val="auto"/>
              </w:rPr>
            </w:pPr>
            <w:r>
              <w:rPr>
                <w:rFonts w:ascii="Arial" w:cs="Arial" w:eastAsia="Arial" w:hAnsi="Arial"/>
                <w:sz w:val="16"/>
                <w:szCs w:val="16"/>
                <w:color w:val="231F20"/>
              </w:rPr>
              <w:t>Tax Implications..................................................</w:t>
            </w:r>
          </w:p>
        </w:tc>
        <w:tc>
          <w:tcPr>
            <w:tcW w:w="0" w:type="dxa"/>
            <w:vAlign w:val="bottom"/>
          </w:tcPr>
          <w:p>
            <w:pPr>
              <w:spacing w:after="0"/>
              <w:rPr>
                <w:sz w:val="1"/>
                <w:szCs w:val="1"/>
                <w:color w:val="auto"/>
              </w:rPr>
            </w:pPr>
          </w:p>
        </w:tc>
      </w:tr>
      <w:tr>
        <w:trPr>
          <w:trHeight w:val="223"/>
        </w:trPr>
        <w:tc>
          <w:tcPr>
            <w:tcW w:w="3820" w:type="dxa"/>
            <w:vAlign w:val="bottom"/>
          </w:tcPr>
          <w:p>
            <w:pPr>
              <w:ind w:left="100"/>
              <w:spacing w:after="0"/>
              <w:rPr>
                <w:sz w:val="20"/>
                <w:szCs w:val="20"/>
                <w:color w:val="auto"/>
              </w:rPr>
            </w:pPr>
            <w:r>
              <w:rPr>
                <w:rFonts w:ascii="Arial" w:cs="Arial" w:eastAsia="Arial" w:hAnsi="Arial"/>
                <w:sz w:val="16"/>
                <w:szCs w:val="16"/>
                <w:b w:val="1"/>
                <w:bCs w:val="1"/>
                <w:color w:val="231F20"/>
              </w:rPr>
              <w:t>Our Named Executive Officers............................</w:t>
            </w:r>
          </w:p>
        </w:tc>
        <w:tc>
          <w:tcPr>
            <w:tcW w:w="540" w:type="dxa"/>
            <w:vAlign w:val="bottom"/>
          </w:tcPr>
          <w:p>
            <w:pPr>
              <w:jc w:val="right"/>
              <w:ind w:right="159"/>
              <w:spacing w:after="0"/>
              <w:rPr>
                <w:sz w:val="20"/>
                <w:szCs w:val="20"/>
                <w:color w:val="auto"/>
              </w:rPr>
            </w:pPr>
            <w:r>
              <w:rPr>
                <w:rFonts w:ascii="Arial" w:cs="Arial" w:eastAsia="Arial" w:hAnsi="Arial"/>
                <w:sz w:val="16"/>
                <w:szCs w:val="16"/>
                <w:b w:val="1"/>
                <w:bCs w:val="1"/>
                <w:color w:val="231F20"/>
              </w:rPr>
              <w:t>56</w:t>
            </w:r>
          </w:p>
        </w:tc>
        <w:tc>
          <w:tcPr>
            <w:tcW w:w="3860" w:type="dxa"/>
            <w:vAlign w:val="bottom"/>
          </w:tcPr>
          <w:p>
            <w:pPr>
              <w:ind w:left="220"/>
              <w:spacing w:after="0"/>
              <w:rPr>
                <w:sz w:val="20"/>
                <w:szCs w:val="20"/>
                <w:color w:val="auto"/>
              </w:rPr>
            </w:pPr>
            <w:r>
              <w:rPr>
                <w:rFonts w:ascii="Arial" w:cs="Arial" w:eastAsia="Arial" w:hAnsi="Arial"/>
                <w:sz w:val="16"/>
                <w:szCs w:val="16"/>
                <w:b w:val="1"/>
                <w:bCs w:val="1"/>
                <w:color w:val="295EA3"/>
              </w:rPr>
              <w:t>Compensation Committee Report.....................</w:t>
            </w:r>
          </w:p>
        </w:tc>
        <w:tc>
          <w:tcPr>
            <w:tcW w:w="0" w:type="dxa"/>
            <w:vAlign w:val="bottom"/>
          </w:tcPr>
          <w:p>
            <w:pPr>
              <w:spacing w:after="0"/>
              <w:rPr>
                <w:sz w:val="1"/>
                <w:szCs w:val="1"/>
                <w:color w:val="auto"/>
              </w:rPr>
            </w:pPr>
          </w:p>
        </w:tc>
      </w:tr>
      <w:tr>
        <w:trPr>
          <w:trHeight w:val="223"/>
        </w:trPr>
        <w:tc>
          <w:tcPr>
            <w:tcW w:w="3820" w:type="dxa"/>
            <w:vAlign w:val="bottom"/>
          </w:tcPr>
          <w:p>
            <w:pPr>
              <w:ind w:left="100"/>
              <w:spacing w:after="0"/>
              <w:rPr>
                <w:sz w:val="20"/>
                <w:szCs w:val="20"/>
                <w:color w:val="auto"/>
              </w:rPr>
            </w:pPr>
            <w:r>
              <w:rPr>
                <w:rFonts w:ascii="Arial" w:cs="Arial" w:eastAsia="Arial" w:hAnsi="Arial"/>
                <w:sz w:val="16"/>
                <w:szCs w:val="16"/>
                <w:b w:val="1"/>
                <w:bCs w:val="1"/>
                <w:color w:val="231F20"/>
              </w:rPr>
              <w:t>Executive Summary.............................................</w:t>
            </w:r>
          </w:p>
        </w:tc>
        <w:tc>
          <w:tcPr>
            <w:tcW w:w="540" w:type="dxa"/>
            <w:vAlign w:val="bottom"/>
          </w:tcPr>
          <w:p>
            <w:pPr>
              <w:jc w:val="right"/>
              <w:ind w:right="159"/>
              <w:spacing w:after="0"/>
              <w:rPr>
                <w:sz w:val="20"/>
                <w:szCs w:val="20"/>
                <w:color w:val="auto"/>
              </w:rPr>
            </w:pPr>
            <w:r>
              <w:rPr>
                <w:rFonts w:ascii="Arial" w:cs="Arial" w:eastAsia="Arial" w:hAnsi="Arial"/>
                <w:sz w:val="16"/>
                <w:szCs w:val="16"/>
                <w:b w:val="1"/>
                <w:bCs w:val="1"/>
                <w:color w:val="auto"/>
              </w:rPr>
              <w:t>57</w:t>
            </w:r>
          </w:p>
        </w:tc>
        <w:tc>
          <w:tcPr>
            <w:tcW w:w="3860" w:type="dxa"/>
            <w:vAlign w:val="bottom"/>
          </w:tcPr>
          <w:p>
            <w:pPr>
              <w:ind w:left="220"/>
              <w:spacing w:after="0"/>
              <w:rPr>
                <w:sz w:val="20"/>
                <w:szCs w:val="20"/>
                <w:color w:val="auto"/>
              </w:rPr>
            </w:pPr>
            <w:r>
              <w:rPr>
                <w:rFonts w:ascii="Arial" w:cs="Arial" w:eastAsia="Arial" w:hAnsi="Arial"/>
                <w:sz w:val="16"/>
                <w:szCs w:val="16"/>
                <w:b w:val="1"/>
                <w:bCs w:val="1"/>
                <w:color w:val="295EA3"/>
              </w:rPr>
              <w:t>Compensation Committee Interlocks and</w:t>
            </w:r>
          </w:p>
        </w:tc>
        <w:tc>
          <w:tcPr>
            <w:tcW w:w="0" w:type="dxa"/>
            <w:vAlign w:val="bottom"/>
          </w:tcPr>
          <w:p>
            <w:pPr>
              <w:spacing w:after="0"/>
              <w:rPr>
                <w:sz w:val="1"/>
                <w:szCs w:val="1"/>
                <w:color w:val="auto"/>
              </w:rPr>
            </w:pPr>
          </w:p>
        </w:tc>
      </w:tr>
      <w:tr>
        <w:trPr>
          <w:trHeight w:val="228"/>
        </w:trPr>
        <w:tc>
          <w:tcPr>
            <w:tcW w:w="3820" w:type="dxa"/>
            <w:vAlign w:val="bottom"/>
          </w:tcPr>
          <w:p>
            <w:pPr>
              <w:ind w:left="200"/>
              <w:spacing w:after="0"/>
              <w:rPr>
                <w:sz w:val="20"/>
                <w:szCs w:val="20"/>
                <w:color w:val="auto"/>
              </w:rPr>
            </w:pPr>
            <w:r>
              <w:rPr>
                <w:rFonts w:ascii="Arial" w:cs="Arial" w:eastAsia="Arial" w:hAnsi="Arial"/>
                <w:sz w:val="16"/>
                <w:szCs w:val="16"/>
                <w:color w:val="auto"/>
              </w:rPr>
              <w:t>Introduction to Our Compensation Program........</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57</w:t>
            </w:r>
          </w:p>
        </w:tc>
        <w:tc>
          <w:tcPr>
            <w:tcW w:w="3860" w:type="dxa"/>
            <w:vAlign w:val="bottom"/>
          </w:tcPr>
          <w:p>
            <w:pPr>
              <w:ind w:left="220"/>
              <w:spacing w:after="0"/>
              <w:rPr>
                <w:sz w:val="20"/>
                <w:szCs w:val="20"/>
                <w:color w:val="auto"/>
              </w:rPr>
            </w:pPr>
            <w:r>
              <w:rPr>
                <w:rFonts w:ascii="Arial" w:cs="Arial" w:eastAsia="Arial" w:hAnsi="Arial"/>
                <w:sz w:val="16"/>
                <w:szCs w:val="16"/>
                <w:b w:val="1"/>
                <w:bCs w:val="1"/>
                <w:color w:val="295EA3"/>
              </w:rPr>
              <w:t>Insider Participation............................................</w:t>
            </w: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6"/>
                <w:szCs w:val="16"/>
                <w:color w:val="231F20"/>
              </w:rPr>
              <w:t>What’s New.........................................….............</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58</w:t>
            </w:r>
          </w:p>
        </w:tc>
        <w:tc>
          <w:tcPr>
            <w:tcW w:w="3860" w:type="dxa"/>
            <w:vAlign w:val="bottom"/>
          </w:tcPr>
          <w:p>
            <w:pPr>
              <w:ind w:left="220"/>
              <w:spacing w:after="0"/>
              <w:rPr>
                <w:sz w:val="20"/>
                <w:szCs w:val="20"/>
                <w:color w:val="auto"/>
              </w:rPr>
            </w:pPr>
            <w:r>
              <w:rPr>
                <w:rFonts w:ascii="Arial" w:cs="Arial" w:eastAsia="Arial" w:hAnsi="Arial"/>
                <w:sz w:val="16"/>
                <w:szCs w:val="16"/>
                <w:b w:val="1"/>
                <w:bCs w:val="1"/>
                <w:color w:val="295EA3"/>
              </w:rPr>
              <w:t>Compensation Dashboard....................................</w:t>
            </w:r>
          </w:p>
        </w:tc>
        <w:tc>
          <w:tcPr>
            <w:tcW w:w="0" w:type="dxa"/>
            <w:vAlign w:val="bottom"/>
          </w:tcPr>
          <w:p>
            <w:pPr>
              <w:spacing w:after="0"/>
              <w:rPr>
                <w:sz w:val="1"/>
                <w:szCs w:val="1"/>
                <w:color w:val="auto"/>
              </w:rPr>
            </w:pPr>
          </w:p>
        </w:tc>
      </w:tr>
      <w:tr>
        <w:trPr>
          <w:trHeight w:val="231"/>
        </w:trPr>
        <w:tc>
          <w:tcPr>
            <w:tcW w:w="3820" w:type="dxa"/>
            <w:vAlign w:val="bottom"/>
          </w:tcPr>
          <w:p>
            <w:pPr>
              <w:ind w:left="100"/>
              <w:spacing w:after="0"/>
              <w:rPr>
                <w:sz w:val="20"/>
                <w:szCs w:val="20"/>
                <w:color w:val="auto"/>
              </w:rPr>
            </w:pPr>
            <w:r>
              <w:rPr>
                <w:rFonts w:ascii="Arial" w:cs="Arial" w:eastAsia="Arial" w:hAnsi="Arial"/>
                <w:sz w:val="16"/>
                <w:szCs w:val="16"/>
                <w:b w:val="1"/>
                <w:bCs w:val="1"/>
                <w:color w:val="231F20"/>
              </w:rPr>
              <w:t>Compensation Program Overview......................</w:t>
            </w:r>
          </w:p>
        </w:tc>
        <w:tc>
          <w:tcPr>
            <w:tcW w:w="540" w:type="dxa"/>
            <w:vAlign w:val="bottom"/>
          </w:tcPr>
          <w:p>
            <w:pPr>
              <w:jc w:val="right"/>
              <w:ind w:right="159"/>
              <w:spacing w:after="0"/>
              <w:rPr>
                <w:sz w:val="20"/>
                <w:szCs w:val="20"/>
                <w:color w:val="auto"/>
              </w:rPr>
            </w:pPr>
            <w:r>
              <w:rPr>
                <w:rFonts w:ascii="Arial" w:cs="Arial" w:eastAsia="Arial" w:hAnsi="Arial"/>
                <w:sz w:val="16"/>
                <w:szCs w:val="16"/>
                <w:b w:val="1"/>
                <w:bCs w:val="1"/>
                <w:color w:val="231F20"/>
              </w:rPr>
              <w:t>61</w:t>
            </w:r>
          </w:p>
        </w:tc>
        <w:tc>
          <w:tcPr>
            <w:tcW w:w="3860" w:type="dxa"/>
            <w:vAlign w:val="bottom"/>
          </w:tcPr>
          <w:p>
            <w:pPr>
              <w:ind w:left="320"/>
              <w:spacing w:after="0"/>
              <w:rPr>
                <w:sz w:val="20"/>
                <w:szCs w:val="20"/>
                <w:color w:val="auto"/>
              </w:rPr>
            </w:pPr>
            <w:r>
              <w:rPr>
                <w:rFonts w:ascii="Arial" w:cs="Arial" w:eastAsia="Arial" w:hAnsi="Arial"/>
                <w:sz w:val="16"/>
                <w:szCs w:val="16"/>
                <w:b w:val="1"/>
                <w:bCs w:val="1"/>
                <w:color w:val="231F20"/>
              </w:rPr>
              <w:t>2025 Executive Compensation Tables..............</w:t>
            </w:r>
          </w:p>
        </w:tc>
        <w:tc>
          <w:tcPr>
            <w:tcW w:w="0" w:type="dxa"/>
            <w:vAlign w:val="bottom"/>
          </w:tcPr>
          <w:p>
            <w:pPr>
              <w:spacing w:after="0"/>
              <w:rPr>
                <w:sz w:val="1"/>
                <w:szCs w:val="1"/>
                <w:color w:val="auto"/>
              </w:rPr>
            </w:pPr>
          </w:p>
        </w:tc>
      </w:tr>
      <w:tr>
        <w:trPr>
          <w:trHeight w:val="216"/>
        </w:trPr>
        <w:tc>
          <w:tcPr>
            <w:tcW w:w="3820" w:type="dxa"/>
            <w:vAlign w:val="bottom"/>
          </w:tcPr>
          <w:p>
            <w:pPr>
              <w:ind w:left="200"/>
              <w:spacing w:after="0"/>
              <w:rPr>
                <w:sz w:val="20"/>
                <w:szCs w:val="20"/>
                <w:color w:val="auto"/>
              </w:rPr>
            </w:pPr>
            <w:r>
              <w:rPr>
                <w:rFonts w:ascii="Arial" w:cs="Arial" w:eastAsia="Arial" w:hAnsi="Arial"/>
                <w:sz w:val="16"/>
                <w:szCs w:val="16"/>
                <w:color w:val="231F20"/>
              </w:rPr>
              <w:t>Compensation Program Objectives</w:t>
            </w:r>
          </w:p>
        </w:tc>
        <w:tc>
          <w:tcPr>
            <w:tcW w:w="540" w:type="dxa"/>
            <w:vAlign w:val="bottom"/>
            <w:vMerge w:val="restart"/>
          </w:tcPr>
          <w:p>
            <w:pPr>
              <w:jc w:val="right"/>
              <w:ind w:right="159"/>
              <w:spacing w:after="0"/>
              <w:rPr>
                <w:sz w:val="20"/>
                <w:szCs w:val="20"/>
                <w:color w:val="auto"/>
              </w:rPr>
            </w:pPr>
            <w:r>
              <w:rPr>
                <w:rFonts w:ascii="Arial" w:cs="Arial" w:eastAsia="Arial" w:hAnsi="Arial"/>
                <w:sz w:val="16"/>
                <w:szCs w:val="16"/>
                <w:color w:val="auto"/>
              </w:rPr>
              <w:t>61</w:t>
            </w:r>
          </w:p>
        </w:tc>
        <w:tc>
          <w:tcPr>
            <w:tcW w:w="3860" w:type="dxa"/>
            <w:vAlign w:val="bottom"/>
          </w:tcPr>
          <w:p>
            <w:pPr>
              <w:ind w:left="440"/>
              <w:spacing w:after="0"/>
              <w:rPr>
                <w:sz w:val="20"/>
                <w:szCs w:val="20"/>
                <w:color w:val="auto"/>
              </w:rPr>
            </w:pPr>
            <w:r>
              <w:rPr>
                <w:rFonts w:ascii="Arial" w:cs="Arial" w:eastAsia="Arial" w:hAnsi="Arial"/>
                <w:sz w:val="16"/>
                <w:szCs w:val="16"/>
                <w:color w:val="auto"/>
                <w:w w:val="99"/>
              </w:rPr>
              <w:t>2025 Summary Compensation Table..................</w:t>
            </w:r>
          </w:p>
        </w:tc>
        <w:tc>
          <w:tcPr>
            <w:tcW w:w="0" w:type="dxa"/>
            <w:vAlign w:val="bottom"/>
          </w:tcPr>
          <w:p>
            <w:pPr>
              <w:spacing w:after="0"/>
              <w:rPr>
                <w:sz w:val="1"/>
                <w:szCs w:val="1"/>
                <w:color w:val="auto"/>
              </w:rPr>
            </w:pPr>
          </w:p>
        </w:tc>
      </w:tr>
      <w:tr>
        <w:trPr>
          <w:trHeight w:val="107"/>
        </w:trPr>
        <w:tc>
          <w:tcPr>
            <w:tcW w:w="3820" w:type="dxa"/>
            <w:vAlign w:val="bottom"/>
            <w:vMerge w:val="restart"/>
          </w:tcPr>
          <w:p>
            <w:pPr>
              <w:ind w:left="200"/>
              <w:spacing w:after="0"/>
              <w:rPr>
                <w:sz w:val="20"/>
                <w:szCs w:val="20"/>
                <w:color w:val="auto"/>
              </w:rPr>
            </w:pPr>
            <w:r>
              <w:rPr>
                <w:rFonts w:ascii="Arial" w:cs="Arial" w:eastAsia="Arial" w:hAnsi="Arial"/>
                <w:sz w:val="16"/>
                <w:szCs w:val="16"/>
                <w:color w:val="231F20"/>
              </w:rPr>
              <w:t>and Principles......................................................</w:t>
            </w:r>
          </w:p>
        </w:tc>
        <w:tc>
          <w:tcPr>
            <w:tcW w:w="540" w:type="dxa"/>
            <w:vAlign w:val="bottom"/>
            <w:vMerge w:val="continue"/>
          </w:tcPr>
          <w:p>
            <w:pPr>
              <w:spacing w:after="0"/>
              <w:rPr>
                <w:sz w:val="9"/>
                <w:szCs w:val="9"/>
                <w:color w:val="auto"/>
              </w:rPr>
            </w:pPr>
          </w:p>
        </w:tc>
        <w:tc>
          <w:tcPr>
            <w:tcW w:w="3860" w:type="dxa"/>
            <w:vAlign w:val="bottom"/>
            <w:vMerge w:val="restart"/>
          </w:tcPr>
          <w:p>
            <w:pPr>
              <w:ind w:left="440"/>
              <w:spacing w:after="0"/>
              <w:rPr>
                <w:sz w:val="20"/>
                <w:szCs w:val="20"/>
                <w:color w:val="auto"/>
              </w:rPr>
            </w:pPr>
            <w:r>
              <w:rPr>
                <w:rFonts w:ascii="Arial" w:cs="Arial" w:eastAsia="Arial" w:hAnsi="Arial"/>
                <w:sz w:val="16"/>
                <w:szCs w:val="16"/>
                <w:color w:val="231F20"/>
              </w:rPr>
              <w:t>2025 Grants of Plan-Based Awards....................</w:t>
            </w:r>
          </w:p>
        </w:tc>
        <w:tc>
          <w:tcPr>
            <w:tcW w:w="0" w:type="dxa"/>
            <w:vAlign w:val="bottom"/>
          </w:tcPr>
          <w:p>
            <w:pPr>
              <w:spacing w:after="0"/>
              <w:rPr>
                <w:sz w:val="1"/>
                <w:szCs w:val="1"/>
                <w:color w:val="auto"/>
              </w:rPr>
            </w:pPr>
          </w:p>
        </w:tc>
      </w:tr>
      <w:tr>
        <w:trPr>
          <w:trHeight w:val="122"/>
        </w:trPr>
        <w:tc>
          <w:tcPr>
            <w:tcW w:w="382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3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200"/>
              <w:spacing w:after="0"/>
              <w:rPr>
                <w:sz w:val="20"/>
                <w:szCs w:val="20"/>
                <w:color w:val="auto"/>
              </w:rPr>
            </w:pPr>
            <w:r>
              <w:rPr>
                <w:rFonts w:ascii="Arial" w:cs="Arial" w:eastAsia="Arial" w:hAnsi="Arial"/>
                <w:sz w:val="16"/>
                <w:szCs w:val="16"/>
                <w:color w:val="231F20"/>
              </w:rPr>
              <w:t>How Our Compensation Program Works.............</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62</w:t>
            </w:r>
          </w:p>
        </w:tc>
        <w:tc>
          <w:tcPr>
            <w:tcW w:w="3860" w:type="dxa"/>
            <w:vAlign w:val="bottom"/>
          </w:tcPr>
          <w:p>
            <w:pPr>
              <w:ind w:left="440"/>
              <w:spacing w:after="0"/>
              <w:rPr>
                <w:sz w:val="20"/>
                <w:szCs w:val="20"/>
                <w:color w:val="auto"/>
              </w:rPr>
            </w:pPr>
            <w:r>
              <w:rPr>
                <w:rFonts w:ascii="Arial" w:cs="Arial" w:eastAsia="Arial" w:hAnsi="Arial"/>
                <w:sz w:val="16"/>
                <w:szCs w:val="16"/>
                <w:color w:val="231F20"/>
              </w:rPr>
              <w:t>Outstanding Equity Awards at</w:t>
            </w:r>
          </w:p>
        </w:tc>
        <w:tc>
          <w:tcPr>
            <w:tcW w:w="0" w:type="dxa"/>
            <w:vAlign w:val="bottom"/>
          </w:tcPr>
          <w:p>
            <w:pPr>
              <w:spacing w:after="0"/>
              <w:rPr>
                <w:sz w:val="1"/>
                <w:szCs w:val="1"/>
                <w:color w:val="auto"/>
              </w:rPr>
            </w:pPr>
          </w:p>
        </w:tc>
      </w:tr>
      <w:tr>
        <w:trPr>
          <w:trHeight w:val="203"/>
        </w:trPr>
        <w:tc>
          <w:tcPr>
            <w:tcW w:w="3820" w:type="dxa"/>
            <w:vAlign w:val="bottom"/>
          </w:tcPr>
          <w:p>
            <w:pPr>
              <w:ind w:left="200"/>
              <w:spacing w:after="0"/>
              <w:rPr>
                <w:sz w:val="20"/>
                <w:szCs w:val="20"/>
                <w:color w:val="auto"/>
              </w:rPr>
            </w:pPr>
            <w:r>
              <w:rPr>
                <w:rFonts w:ascii="Arial" w:cs="Arial" w:eastAsia="Arial" w:hAnsi="Arial"/>
                <w:sz w:val="16"/>
                <w:szCs w:val="16"/>
                <w:color w:val="231F20"/>
              </w:rPr>
              <w:t>Key Compensation Program</w:t>
            </w:r>
          </w:p>
        </w:tc>
        <w:tc>
          <w:tcPr>
            <w:tcW w:w="540" w:type="dxa"/>
            <w:vAlign w:val="bottom"/>
            <w:vMerge w:val="restart"/>
          </w:tcPr>
          <w:p>
            <w:pPr>
              <w:jc w:val="right"/>
              <w:ind w:right="159"/>
              <w:spacing w:after="0"/>
              <w:rPr>
                <w:sz w:val="20"/>
                <w:szCs w:val="20"/>
                <w:color w:val="auto"/>
              </w:rPr>
            </w:pPr>
            <w:r>
              <w:rPr>
                <w:rFonts w:ascii="Arial" w:cs="Arial" w:eastAsia="Arial" w:hAnsi="Arial"/>
                <w:sz w:val="16"/>
                <w:szCs w:val="16"/>
                <w:color w:val="auto"/>
              </w:rPr>
              <w:t>63</w:t>
            </w:r>
          </w:p>
        </w:tc>
        <w:tc>
          <w:tcPr>
            <w:tcW w:w="3860" w:type="dxa"/>
            <w:vAlign w:val="bottom"/>
          </w:tcPr>
          <w:p>
            <w:pPr>
              <w:ind w:left="440"/>
              <w:spacing w:after="0"/>
              <w:rPr>
                <w:sz w:val="20"/>
                <w:szCs w:val="20"/>
                <w:color w:val="auto"/>
              </w:rPr>
            </w:pPr>
            <w:r>
              <w:rPr>
                <w:rFonts w:ascii="Arial" w:cs="Arial" w:eastAsia="Arial" w:hAnsi="Arial"/>
                <w:sz w:val="16"/>
                <w:szCs w:val="16"/>
                <w:color w:val="231F20"/>
                <w:w w:val="99"/>
              </w:rPr>
              <w:t>2025 Fiscal Year-End..........................................</w:t>
            </w:r>
          </w:p>
        </w:tc>
        <w:tc>
          <w:tcPr>
            <w:tcW w:w="0" w:type="dxa"/>
            <w:vAlign w:val="bottom"/>
          </w:tcPr>
          <w:p>
            <w:pPr>
              <w:spacing w:after="0"/>
              <w:rPr>
                <w:sz w:val="1"/>
                <w:szCs w:val="1"/>
                <w:color w:val="auto"/>
              </w:rPr>
            </w:pPr>
          </w:p>
        </w:tc>
      </w:tr>
      <w:tr>
        <w:trPr>
          <w:trHeight w:val="120"/>
        </w:trPr>
        <w:tc>
          <w:tcPr>
            <w:tcW w:w="3820" w:type="dxa"/>
            <w:vAlign w:val="bottom"/>
            <w:vMerge w:val="restart"/>
          </w:tcPr>
          <w:p>
            <w:pPr>
              <w:ind w:left="200"/>
              <w:spacing w:after="0"/>
              <w:rPr>
                <w:sz w:val="20"/>
                <w:szCs w:val="20"/>
                <w:color w:val="auto"/>
              </w:rPr>
            </w:pPr>
            <w:r>
              <w:rPr>
                <w:rFonts w:ascii="Arial" w:cs="Arial" w:eastAsia="Arial" w:hAnsi="Arial"/>
                <w:sz w:val="16"/>
                <w:szCs w:val="16"/>
                <w:color w:val="231F20"/>
              </w:rPr>
              <w:t>Governance Features..........................................</w:t>
            </w:r>
          </w:p>
        </w:tc>
        <w:tc>
          <w:tcPr>
            <w:tcW w:w="540" w:type="dxa"/>
            <w:vAlign w:val="bottom"/>
            <w:vMerge w:val="continue"/>
          </w:tcPr>
          <w:p>
            <w:pPr>
              <w:spacing w:after="0"/>
              <w:rPr>
                <w:sz w:val="10"/>
                <w:szCs w:val="10"/>
                <w:color w:val="auto"/>
              </w:rPr>
            </w:pPr>
          </w:p>
        </w:tc>
        <w:tc>
          <w:tcPr>
            <w:tcW w:w="3860" w:type="dxa"/>
            <w:vAlign w:val="bottom"/>
            <w:vMerge w:val="restart"/>
          </w:tcPr>
          <w:p>
            <w:pPr>
              <w:ind w:left="440"/>
              <w:spacing w:after="0"/>
              <w:rPr>
                <w:sz w:val="20"/>
                <w:szCs w:val="20"/>
                <w:color w:val="auto"/>
              </w:rPr>
            </w:pPr>
            <w:r>
              <w:rPr>
                <w:rFonts w:ascii="Arial" w:cs="Arial" w:eastAsia="Arial" w:hAnsi="Arial"/>
                <w:sz w:val="16"/>
                <w:szCs w:val="16"/>
                <w:color w:val="231F20"/>
              </w:rPr>
              <w:t>2025 Option Exercises and Stock Vested...........</w:t>
            </w:r>
          </w:p>
        </w:tc>
        <w:tc>
          <w:tcPr>
            <w:tcW w:w="0" w:type="dxa"/>
            <w:vAlign w:val="bottom"/>
          </w:tcPr>
          <w:p>
            <w:pPr>
              <w:spacing w:after="0"/>
              <w:rPr>
                <w:sz w:val="1"/>
                <w:szCs w:val="1"/>
                <w:color w:val="auto"/>
              </w:rPr>
            </w:pPr>
          </w:p>
        </w:tc>
      </w:tr>
      <w:tr>
        <w:trPr>
          <w:trHeight w:val="109"/>
        </w:trPr>
        <w:tc>
          <w:tcPr>
            <w:tcW w:w="38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3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100"/>
              <w:spacing w:after="0"/>
              <w:rPr>
                <w:sz w:val="20"/>
                <w:szCs w:val="20"/>
                <w:color w:val="auto"/>
              </w:rPr>
            </w:pPr>
            <w:r>
              <w:rPr>
                <w:rFonts w:ascii="Arial" w:cs="Arial" w:eastAsia="Arial" w:hAnsi="Arial"/>
                <w:sz w:val="16"/>
                <w:szCs w:val="16"/>
                <w:b w:val="1"/>
                <w:bCs w:val="1"/>
                <w:color w:val="auto"/>
              </w:rPr>
              <w:t>Components of Executive Pay: What We Pay</w:t>
            </w:r>
          </w:p>
        </w:tc>
        <w:tc>
          <w:tcPr>
            <w:tcW w:w="54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231F20"/>
              </w:rPr>
              <w:t>64</w:t>
            </w:r>
          </w:p>
        </w:tc>
        <w:tc>
          <w:tcPr>
            <w:tcW w:w="3860" w:type="dxa"/>
            <w:vAlign w:val="bottom"/>
          </w:tcPr>
          <w:p>
            <w:pPr>
              <w:ind w:left="440"/>
              <w:spacing w:after="0"/>
              <w:rPr>
                <w:sz w:val="20"/>
                <w:szCs w:val="20"/>
                <w:color w:val="auto"/>
              </w:rPr>
            </w:pPr>
            <w:r>
              <w:rPr>
                <w:rFonts w:ascii="Arial" w:cs="Arial" w:eastAsia="Arial" w:hAnsi="Arial"/>
                <w:sz w:val="16"/>
                <w:szCs w:val="16"/>
                <w:color w:val="auto"/>
              </w:rPr>
              <w:t>Nonqualified Deferred Compensation at</w:t>
            </w:r>
          </w:p>
        </w:tc>
        <w:tc>
          <w:tcPr>
            <w:tcW w:w="0" w:type="dxa"/>
            <w:vAlign w:val="bottom"/>
          </w:tcPr>
          <w:p>
            <w:pPr>
              <w:spacing w:after="0"/>
              <w:rPr>
                <w:sz w:val="1"/>
                <w:szCs w:val="1"/>
                <w:color w:val="auto"/>
              </w:rPr>
            </w:pPr>
          </w:p>
        </w:tc>
      </w:tr>
      <w:tr>
        <w:trPr>
          <w:trHeight w:val="115"/>
        </w:trPr>
        <w:tc>
          <w:tcPr>
            <w:tcW w:w="38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and Why We Pay It...............................................</w:t>
            </w:r>
          </w:p>
        </w:tc>
        <w:tc>
          <w:tcPr>
            <w:tcW w:w="540" w:type="dxa"/>
            <w:vAlign w:val="bottom"/>
            <w:vMerge w:val="continue"/>
          </w:tcPr>
          <w:p>
            <w:pPr>
              <w:spacing w:after="0"/>
              <w:rPr>
                <w:sz w:val="9"/>
                <w:szCs w:val="9"/>
                <w:color w:val="auto"/>
              </w:rPr>
            </w:pPr>
          </w:p>
        </w:tc>
        <w:tc>
          <w:tcPr>
            <w:tcW w:w="3860" w:type="dxa"/>
            <w:vAlign w:val="bottom"/>
            <w:vMerge w:val="restart"/>
          </w:tcPr>
          <w:p>
            <w:pPr>
              <w:ind w:left="440"/>
              <w:spacing w:after="0"/>
              <w:rPr>
                <w:sz w:val="20"/>
                <w:szCs w:val="20"/>
                <w:color w:val="auto"/>
              </w:rPr>
            </w:pPr>
            <w:r>
              <w:rPr>
                <w:rFonts w:ascii="Arial" w:cs="Arial" w:eastAsia="Arial" w:hAnsi="Arial"/>
                <w:sz w:val="16"/>
                <w:szCs w:val="16"/>
                <w:color w:val="auto"/>
                <w:w w:val="99"/>
              </w:rPr>
              <w:t>2025 Fiscal Year-End</w:t>
            </w:r>
            <w:r>
              <w:rPr>
                <w:rFonts w:ascii="Arial" w:cs="Arial" w:eastAsia="Arial" w:hAnsi="Arial"/>
                <w:sz w:val="16"/>
                <w:szCs w:val="16"/>
                <w:color w:val="231F20"/>
                <w:w w:val="99"/>
              </w:rPr>
              <w:t>..........................................</w:t>
            </w:r>
          </w:p>
        </w:tc>
        <w:tc>
          <w:tcPr>
            <w:tcW w:w="0" w:type="dxa"/>
            <w:vAlign w:val="bottom"/>
          </w:tcPr>
          <w:p>
            <w:pPr>
              <w:spacing w:after="0"/>
              <w:rPr>
                <w:sz w:val="1"/>
                <w:szCs w:val="1"/>
                <w:color w:val="auto"/>
              </w:rPr>
            </w:pPr>
          </w:p>
        </w:tc>
      </w:tr>
      <w:tr>
        <w:trPr>
          <w:trHeight w:val="115"/>
        </w:trPr>
        <w:tc>
          <w:tcPr>
            <w:tcW w:w="38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3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0"/>
              <w:spacing w:after="0"/>
              <w:rPr>
                <w:sz w:val="20"/>
                <w:szCs w:val="20"/>
                <w:color w:val="auto"/>
              </w:rPr>
            </w:pPr>
            <w:r>
              <w:rPr>
                <w:rFonts w:ascii="Arial" w:cs="Arial" w:eastAsia="Arial" w:hAnsi="Arial"/>
                <w:sz w:val="16"/>
                <w:szCs w:val="16"/>
                <w:color w:val="231F20"/>
              </w:rPr>
              <w:t>Base Salaries.......................................................</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64</w:t>
            </w:r>
          </w:p>
        </w:tc>
        <w:tc>
          <w:tcPr>
            <w:tcW w:w="3860" w:type="dxa"/>
            <w:vAlign w:val="bottom"/>
          </w:tcPr>
          <w:p>
            <w:pPr>
              <w:ind w:left="440"/>
              <w:spacing w:after="0"/>
              <w:rPr>
                <w:sz w:val="20"/>
                <w:szCs w:val="20"/>
                <w:color w:val="auto"/>
              </w:rPr>
            </w:pPr>
            <w:r>
              <w:rPr>
                <w:rFonts w:ascii="Arial" w:cs="Arial" w:eastAsia="Arial" w:hAnsi="Arial"/>
                <w:sz w:val="16"/>
                <w:szCs w:val="16"/>
                <w:color w:val="231F20"/>
              </w:rPr>
              <w:t>Post-Employment Compensation.......................</w:t>
            </w: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6"/>
                <w:szCs w:val="16"/>
                <w:color w:val="231F20"/>
              </w:rPr>
              <w:t>Annual Cash Incentives.......................................</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65</w:t>
            </w:r>
          </w:p>
        </w:tc>
        <w:tc>
          <w:tcPr>
            <w:tcW w:w="3860" w:type="dxa"/>
            <w:vAlign w:val="bottom"/>
          </w:tcPr>
          <w:p>
            <w:pPr>
              <w:ind w:left="320"/>
              <w:spacing w:after="0"/>
              <w:rPr>
                <w:sz w:val="20"/>
                <w:szCs w:val="20"/>
                <w:color w:val="auto"/>
              </w:rPr>
            </w:pPr>
            <w:r>
              <w:rPr>
                <w:rFonts w:ascii="Arial" w:cs="Arial" w:eastAsia="Arial" w:hAnsi="Arial"/>
                <w:sz w:val="16"/>
                <w:szCs w:val="16"/>
                <w:b w:val="1"/>
                <w:bCs w:val="1"/>
                <w:color w:val="231F20"/>
              </w:rPr>
              <w:t>Additional Compensation Information..............</w:t>
            </w: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6"/>
                <w:szCs w:val="16"/>
                <w:color w:val="231F20"/>
              </w:rPr>
              <w:t>Annual Equity Awards..........................................</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69</w:t>
            </w:r>
          </w:p>
        </w:tc>
        <w:tc>
          <w:tcPr>
            <w:tcW w:w="3860" w:type="dxa"/>
            <w:vAlign w:val="bottom"/>
          </w:tcPr>
          <w:p>
            <w:pPr>
              <w:ind w:left="440"/>
              <w:spacing w:after="0"/>
              <w:rPr>
                <w:sz w:val="20"/>
                <w:szCs w:val="20"/>
                <w:color w:val="auto"/>
              </w:rPr>
            </w:pPr>
            <w:r>
              <w:rPr>
                <w:rFonts w:ascii="Arial" w:cs="Arial" w:eastAsia="Arial" w:hAnsi="Arial"/>
                <w:sz w:val="16"/>
                <w:szCs w:val="16"/>
                <w:color w:val="231F20"/>
              </w:rPr>
              <w:t>Annual Cash Incentives......................................</w:t>
            </w:r>
          </w:p>
        </w:tc>
        <w:tc>
          <w:tcPr>
            <w:tcW w:w="0" w:type="dxa"/>
            <w:vAlign w:val="bottom"/>
          </w:tcPr>
          <w:p>
            <w:pPr>
              <w:spacing w:after="0"/>
              <w:rPr>
                <w:sz w:val="1"/>
                <w:szCs w:val="1"/>
                <w:color w:val="auto"/>
              </w:rPr>
            </w:pPr>
          </w:p>
        </w:tc>
      </w:tr>
      <w:tr>
        <w:trPr>
          <w:trHeight w:val="230"/>
        </w:trPr>
        <w:tc>
          <w:tcPr>
            <w:tcW w:w="3820" w:type="dxa"/>
            <w:vAlign w:val="bottom"/>
          </w:tcPr>
          <w:p>
            <w:pPr>
              <w:ind w:left="200"/>
              <w:spacing w:after="0"/>
              <w:rPr>
                <w:sz w:val="20"/>
                <w:szCs w:val="20"/>
                <w:color w:val="auto"/>
              </w:rPr>
            </w:pPr>
            <w:r>
              <w:rPr>
                <w:rFonts w:ascii="Arial" w:cs="Arial" w:eastAsia="Arial" w:hAnsi="Arial"/>
                <w:sz w:val="16"/>
                <w:szCs w:val="16"/>
                <w:color w:val="231F20"/>
              </w:rPr>
              <w:t>Perquisites and Personal Benefits.......................</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72</w:t>
            </w:r>
          </w:p>
        </w:tc>
        <w:tc>
          <w:tcPr>
            <w:tcW w:w="3860" w:type="dxa"/>
            <w:vAlign w:val="bottom"/>
          </w:tcPr>
          <w:p>
            <w:pPr>
              <w:ind w:left="440"/>
              <w:spacing w:after="0"/>
              <w:rPr>
                <w:sz w:val="20"/>
                <w:szCs w:val="20"/>
                <w:color w:val="auto"/>
              </w:rPr>
            </w:pPr>
            <w:r>
              <w:rPr>
                <w:rFonts w:ascii="Arial" w:cs="Arial" w:eastAsia="Arial" w:hAnsi="Arial"/>
                <w:sz w:val="16"/>
                <w:szCs w:val="16"/>
                <w:color w:val="231F20"/>
              </w:rPr>
              <w:t>Perquisites and Personal Benefits......................</w:t>
            </w: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6"/>
                <w:szCs w:val="16"/>
                <w:color w:val="231F20"/>
              </w:rPr>
              <w:t>Potential Severance Payments............................</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72</w:t>
            </w:r>
          </w:p>
        </w:tc>
        <w:tc>
          <w:tcPr>
            <w:tcW w:w="3860" w:type="dxa"/>
            <w:vAlign w:val="bottom"/>
          </w:tcPr>
          <w:p>
            <w:pPr>
              <w:ind w:left="440"/>
              <w:spacing w:after="0"/>
              <w:rPr>
                <w:sz w:val="20"/>
                <w:szCs w:val="20"/>
                <w:color w:val="auto"/>
              </w:rPr>
            </w:pPr>
            <w:r>
              <w:rPr>
                <w:rFonts w:ascii="Arial" w:cs="Arial" w:eastAsia="Arial" w:hAnsi="Arial"/>
                <w:sz w:val="16"/>
                <w:szCs w:val="16"/>
                <w:color w:val="231F20"/>
              </w:rPr>
              <w:t>Potential Severance Payments...........................</w:t>
            </w:r>
          </w:p>
        </w:tc>
        <w:tc>
          <w:tcPr>
            <w:tcW w:w="0" w:type="dxa"/>
            <w:vAlign w:val="bottom"/>
          </w:tcPr>
          <w:p>
            <w:pPr>
              <w:spacing w:after="0"/>
              <w:rPr>
                <w:sz w:val="1"/>
                <w:szCs w:val="1"/>
                <w:color w:val="auto"/>
              </w:rPr>
            </w:pPr>
          </w:p>
        </w:tc>
      </w:tr>
      <w:tr>
        <w:trPr>
          <w:trHeight w:val="230"/>
        </w:trPr>
        <w:tc>
          <w:tcPr>
            <w:tcW w:w="3820" w:type="dxa"/>
            <w:vAlign w:val="bottom"/>
          </w:tcPr>
          <w:p>
            <w:pPr>
              <w:ind w:left="100"/>
              <w:spacing w:after="0"/>
              <w:rPr>
                <w:sz w:val="20"/>
                <w:szCs w:val="20"/>
                <w:color w:val="auto"/>
              </w:rPr>
            </w:pPr>
            <w:r>
              <w:rPr>
                <w:rFonts w:ascii="Arial" w:cs="Arial" w:eastAsia="Arial" w:hAnsi="Arial"/>
                <w:sz w:val="16"/>
                <w:szCs w:val="16"/>
                <w:b w:val="1"/>
                <w:bCs w:val="1"/>
                <w:color w:val="231F20"/>
              </w:rPr>
              <w:t>Compensation Processes...................................</w:t>
            </w:r>
          </w:p>
        </w:tc>
        <w:tc>
          <w:tcPr>
            <w:tcW w:w="540" w:type="dxa"/>
            <w:vAlign w:val="bottom"/>
          </w:tcPr>
          <w:p>
            <w:pPr>
              <w:jc w:val="right"/>
              <w:ind w:right="159"/>
              <w:spacing w:after="0"/>
              <w:rPr>
                <w:sz w:val="20"/>
                <w:szCs w:val="20"/>
                <w:color w:val="auto"/>
              </w:rPr>
            </w:pPr>
            <w:r>
              <w:rPr>
                <w:rFonts w:ascii="Arial" w:cs="Arial" w:eastAsia="Arial" w:hAnsi="Arial"/>
                <w:sz w:val="16"/>
                <w:szCs w:val="16"/>
                <w:b w:val="1"/>
                <w:bCs w:val="1"/>
                <w:color w:val="231F20"/>
              </w:rPr>
              <w:t>73</w:t>
            </w:r>
          </w:p>
        </w:tc>
        <w:tc>
          <w:tcPr>
            <w:tcW w:w="3860" w:type="dxa"/>
            <w:vAlign w:val="bottom"/>
          </w:tcPr>
          <w:p>
            <w:pPr>
              <w:ind w:left="440"/>
              <w:spacing w:after="0"/>
              <w:rPr>
                <w:sz w:val="20"/>
                <w:szCs w:val="20"/>
                <w:color w:val="auto"/>
              </w:rPr>
            </w:pPr>
            <w:r>
              <w:rPr>
                <w:rFonts w:ascii="Arial" w:cs="Arial" w:eastAsia="Arial" w:hAnsi="Arial"/>
                <w:sz w:val="16"/>
                <w:szCs w:val="16"/>
                <w:color w:val="231F20"/>
              </w:rPr>
              <w:t>Pay Ratio............................................................</w:t>
            </w:r>
          </w:p>
        </w:tc>
        <w:tc>
          <w:tcPr>
            <w:tcW w:w="0" w:type="dxa"/>
            <w:vAlign w:val="bottom"/>
          </w:tcPr>
          <w:p>
            <w:pPr>
              <w:spacing w:after="0"/>
              <w:rPr>
                <w:sz w:val="1"/>
                <w:szCs w:val="1"/>
                <w:color w:val="auto"/>
              </w:rPr>
            </w:pPr>
          </w:p>
        </w:tc>
      </w:tr>
      <w:tr>
        <w:trPr>
          <w:trHeight w:val="230"/>
        </w:trPr>
        <w:tc>
          <w:tcPr>
            <w:tcW w:w="3820" w:type="dxa"/>
            <w:vAlign w:val="bottom"/>
          </w:tcPr>
          <w:p>
            <w:pPr>
              <w:ind w:left="200"/>
              <w:spacing w:after="0"/>
              <w:rPr>
                <w:sz w:val="20"/>
                <w:szCs w:val="20"/>
                <w:color w:val="auto"/>
              </w:rPr>
            </w:pPr>
            <w:r>
              <w:rPr>
                <w:rFonts w:ascii="Arial" w:cs="Arial" w:eastAsia="Arial" w:hAnsi="Arial"/>
                <w:sz w:val="16"/>
                <w:szCs w:val="16"/>
                <w:color w:val="231F20"/>
              </w:rPr>
              <w:t>Compensation Committee...................................</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73</w:t>
            </w:r>
          </w:p>
        </w:tc>
        <w:tc>
          <w:tcPr>
            <w:tcW w:w="3860" w:type="dxa"/>
            <w:vAlign w:val="bottom"/>
          </w:tcPr>
          <w:p>
            <w:pPr>
              <w:ind w:left="440"/>
              <w:spacing w:after="0"/>
              <w:rPr>
                <w:sz w:val="20"/>
                <w:szCs w:val="20"/>
                <w:color w:val="auto"/>
              </w:rPr>
            </w:pPr>
            <w:r>
              <w:rPr>
                <w:rFonts w:ascii="Arial" w:cs="Arial" w:eastAsia="Arial" w:hAnsi="Arial"/>
                <w:sz w:val="16"/>
                <w:szCs w:val="16"/>
                <w:color w:val="231F20"/>
              </w:rPr>
              <w:t>Pay Versus Performance....................................</w:t>
            </w:r>
          </w:p>
        </w:tc>
        <w:tc>
          <w:tcPr>
            <w:tcW w:w="0" w:type="dxa"/>
            <w:vAlign w:val="bottom"/>
          </w:tcPr>
          <w:p>
            <w:pPr>
              <w:spacing w:after="0"/>
              <w:rPr>
                <w:sz w:val="1"/>
                <w:szCs w:val="1"/>
                <w:color w:val="auto"/>
              </w:rPr>
            </w:pPr>
          </w:p>
        </w:tc>
      </w:tr>
      <w:tr>
        <w:trPr>
          <w:trHeight w:val="203"/>
        </w:trPr>
        <w:tc>
          <w:tcPr>
            <w:tcW w:w="3820" w:type="dxa"/>
            <w:vAlign w:val="bottom"/>
          </w:tcPr>
          <w:p>
            <w:pPr>
              <w:ind w:left="200"/>
              <w:spacing w:after="0"/>
              <w:rPr>
                <w:sz w:val="20"/>
                <w:szCs w:val="20"/>
                <w:color w:val="auto"/>
              </w:rPr>
            </w:pPr>
            <w:r>
              <w:rPr>
                <w:rFonts w:ascii="Arial" w:cs="Arial" w:eastAsia="Arial" w:hAnsi="Arial"/>
                <w:sz w:val="16"/>
                <w:szCs w:val="16"/>
                <w:color w:val="231F20"/>
              </w:rPr>
              <w:t>Management; Management’s</w:t>
            </w:r>
          </w:p>
        </w:tc>
        <w:tc>
          <w:tcPr>
            <w:tcW w:w="540" w:type="dxa"/>
            <w:vAlign w:val="bottom"/>
            <w:vMerge w:val="restart"/>
          </w:tcPr>
          <w:p>
            <w:pPr>
              <w:jc w:val="right"/>
              <w:ind w:right="159"/>
              <w:spacing w:after="0"/>
              <w:rPr>
                <w:sz w:val="20"/>
                <w:szCs w:val="20"/>
                <w:color w:val="auto"/>
              </w:rPr>
            </w:pPr>
            <w:r>
              <w:rPr>
                <w:rFonts w:ascii="Arial" w:cs="Arial" w:eastAsia="Arial" w:hAnsi="Arial"/>
                <w:sz w:val="16"/>
                <w:szCs w:val="16"/>
                <w:color w:val="auto"/>
              </w:rPr>
              <w:t>74</w:t>
            </w:r>
          </w:p>
        </w:tc>
        <w:tc>
          <w:tcPr>
            <w:tcW w:w="3860" w:type="dxa"/>
            <w:vAlign w:val="bottom"/>
          </w:tcPr>
          <w:p>
            <w:pPr>
              <w:ind w:left="440"/>
              <w:spacing w:after="0"/>
              <w:rPr>
                <w:sz w:val="20"/>
                <w:szCs w:val="20"/>
                <w:color w:val="auto"/>
              </w:rPr>
            </w:pPr>
            <w:r>
              <w:rPr>
                <w:rFonts w:ascii="Arial" w:cs="Arial" w:eastAsia="Arial" w:hAnsi="Arial"/>
                <w:sz w:val="16"/>
                <w:szCs w:val="16"/>
                <w:color w:val="231F20"/>
              </w:rPr>
              <w:t>Equity Compensation Information.......................</w:t>
            </w:r>
          </w:p>
        </w:tc>
        <w:tc>
          <w:tcPr>
            <w:tcW w:w="0" w:type="dxa"/>
            <w:vAlign w:val="bottom"/>
          </w:tcPr>
          <w:p>
            <w:pPr>
              <w:spacing w:after="0"/>
              <w:rPr>
                <w:sz w:val="1"/>
                <w:szCs w:val="1"/>
                <w:color w:val="auto"/>
              </w:rPr>
            </w:pPr>
          </w:p>
        </w:tc>
      </w:tr>
      <w:tr>
        <w:trPr>
          <w:trHeight w:val="107"/>
        </w:trPr>
        <w:tc>
          <w:tcPr>
            <w:tcW w:w="3820" w:type="dxa"/>
            <w:vAlign w:val="bottom"/>
            <w:vMerge w:val="restart"/>
          </w:tcPr>
          <w:p>
            <w:pPr>
              <w:ind w:left="200"/>
              <w:spacing w:after="0"/>
              <w:rPr>
                <w:sz w:val="20"/>
                <w:szCs w:val="20"/>
                <w:color w:val="auto"/>
              </w:rPr>
            </w:pPr>
            <w:r>
              <w:rPr>
                <w:rFonts w:ascii="Arial" w:cs="Arial" w:eastAsia="Arial" w:hAnsi="Arial"/>
                <w:sz w:val="16"/>
                <w:szCs w:val="16"/>
                <w:color w:val="231F20"/>
              </w:rPr>
              <w:t>Compensation Consultant....................................</w:t>
            </w:r>
          </w:p>
        </w:tc>
        <w:tc>
          <w:tcPr>
            <w:tcW w:w="540" w:type="dxa"/>
            <w:vAlign w:val="bottom"/>
            <w:vMerge w:val="continue"/>
          </w:tcPr>
          <w:p>
            <w:pPr>
              <w:spacing w:after="0"/>
              <w:rPr>
                <w:sz w:val="9"/>
                <w:szCs w:val="9"/>
                <w:color w:val="auto"/>
              </w:rPr>
            </w:pPr>
          </w:p>
        </w:tc>
        <w:tc>
          <w:tcPr>
            <w:tcW w:w="3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3860" w:type="dxa"/>
            <w:vAlign w:val="bottom"/>
            <w:vMerge w:val="restart"/>
          </w:tcPr>
          <w:p>
            <w:pPr>
              <w:ind w:left="660"/>
              <w:spacing w:after="0"/>
              <w:rPr>
                <w:sz w:val="20"/>
                <w:szCs w:val="20"/>
                <w:color w:val="auto"/>
              </w:rPr>
            </w:pPr>
            <w:r>
              <w:rPr>
                <w:rFonts w:ascii="Arial" w:cs="Arial" w:eastAsia="Arial" w:hAnsi="Arial"/>
                <w:sz w:val="16"/>
                <w:szCs w:val="16"/>
                <w:b w:val="1"/>
                <w:bCs w:val="1"/>
                <w:color w:val="065BAA"/>
              </w:rPr>
              <w:t>Proposal No. 3:</w:t>
            </w:r>
          </w:p>
        </w:tc>
        <w:tc>
          <w:tcPr>
            <w:tcW w:w="0" w:type="dxa"/>
            <w:vAlign w:val="bottom"/>
          </w:tcPr>
          <w:p>
            <w:pPr>
              <w:spacing w:after="0"/>
              <w:rPr>
                <w:sz w:val="1"/>
                <w:szCs w:val="1"/>
                <w:color w:val="auto"/>
              </w:rPr>
            </w:pPr>
          </w:p>
        </w:tc>
      </w:tr>
      <w:tr>
        <w:trPr>
          <w:trHeight w:val="178"/>
        </w:trPr>
        <w:tc>
          <w:tcPr>
            <w:tcW w:w="3820" w:type="dxa"/>
            <w:vAlign w:val="bottom"/>
          </w:tcPr>
          <w:p>
            <w:pPr>
              <w:ind w:left="200"/>
              <w:spacing w:after="0" w:line="178" w:lineRule="exact"/>
              <w:rPr>
                <w:sz w:val="20"/>
                <w:szCs w:val="20"/>
                <w:color w:val="auto"/>
              </w:rPr>
            </w:pPr>
            <w:r>
              <w:rPr>
                <w:rFonts w:ascii="Arial" w:cs="Arial" w:eastAsia="Arial" w:hAnsi="Arial"/>
                <w:sz w:val="16"/>
                <w:szCs w:val="16"/>
                <w:color w:val="231F20"/>
              </w:rPr>
              <w:t>Shareholder Input and Outreach and the</w:t>
            </w:r>
          </w:p>
        </w:tc>
        <w:tc>
          <w:tcPr>
            <w:tcW w:w="540" w:type="dxa"/>
            <w:vAlign w:val="bottom"/>
            <w:vMerge w:val="restart"/>
          </w:tcPr>
          <w:p>
            <w:pPr>
              <w:jc w:val="right"/>
              <w:ind w:right="159"/>
              <w:spacing w:after="0"/>
              <w:rPr>
                <w:sz w:val="20"/>
                <w:szCs w:val="20"/>
                <w:color w:val="auto"/>
              </w:rPr>
            </w:pPr>
            <w:r>
              <w:rPr>
                <w:rFonts w:ascii="Arial" w:cs="Arial" w:eastAsia="Arial" w:hAnsi="Arial"/>
                <w:sz w:val="16"/>
                <w:szCs w:val="16"/>
                <w:color w:val="auto"/>
              </w:rPr>
              <w:t>74</w:t>
            </w:r>
          </w:p>
        </w:tc>
        <w:tc>
          <w:tcPr>
            <w:tcW w:w="3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20" w:type="dxa"/>
            <w:vAlign w:val="bottom"/>
            <w:vMerge w:val="restart"/>
          </w:tcPr>
          <w:p>
            <w:pPr>
              <w:ind w:left="200"/>
              <w:spacing w:after="0"/>
              <w:rPr>
                <w:sz w:val="20"/>
                <w:szCs w:val="20"/>
                <w:color w:val="auto"/>
              </w:rPr>
            </w:pPr>
            <w:r>
              <w:rPr>
                <w:rFonts w:ascii="Arial" w:cs="Arial" w:eastAsia="Arial" w:hAnsi="Arial"/>
                <w:sz w:val="16"/>
                <w:szCs w:val="16"/>
                <w:color w:val="231F20"/>
              </w:rPr>
              <w:t>2025 Say-on-Pay Vote Result..............................</w:t>
            </w:r>
          </w:p>
        </w:tc>
        <w:tc>
          <w:tcPr>
            <w:tcW w:w="540" w:type="dxa"/>
            <w:vAlign w:val="bottom"/>
            <w:vMerge w:val="continue"/>
          </w:tcPr>
          <w:p>
            <w:pPr>
              <w:spacing w:after="0"/>
              <w:rPr>
                <w:sz w:val="12"/>
                <w:szCs w:val="12"/>
                <w:color w:val="auto"/>
              </w:rPr>
            </w:pPr>
          </w:p>
        </w:tc>
        <w:tc>
          <w:tcPr>
            <w:tcW w:w="3860" w:type="dxa"/>
            <w:vAlign w:val="bottom"/>
          </w:tcPr>
          <w:p>
            <w:pPr>
              <w:ind w:left="660"/>
              <w:spacing w:after="0" w:line="148" w:lineRule="exact"/>
              <w:rPr>
                <w:sz w:val="20"/>
                <w:szCs w:val="20"/>
                <w:color w:val="auto"/>
              </w:rPr>
            </w:pPr>
            <w:r>
              <w:rPr>
                <w:rFonts w:ascii="Arial" w:cs="Arial" w:eastAsia="Arial" w:hAnsi="Arial"/>
                <w:sz w:val="16"/>
                <w:szCs w:val="16"/>
                <w:b w:val="1"/>
                <w:bCs w:val="1"/>
                <w:color w:val="auto"/>
              </w:rPr>
              <w:t>Advisory Vote on Compensation of</w:t>
            </w:r>
          </w:p>
        </w:tc>
        <w:tc>
          <w:tcPr>
            <w:tcW w:w="0" w:type="dxa"/>
            <w:vAlign w:val="bottom"/>
          </w:tcPr>
          <w:p>
            <w:pPr>
              <w:spacing w:after="0"/>
              <w:rPr>
                <w:sz w:val="1"/>
                <w:szCs w:val="1"/>
                <w:color w:val="auto"/>
              </w:rPr>
            </w:pPr>
          </w:p>
        </w:tc>
      </w:tr>
      <w:tr>
        <w:trPr>
          <w:trHeight w:val="107"/>
        </w:trPr>
        <w:tc>
          <w:tcPr>
            <w:tcW w:w="38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386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Named Executive Officers</w:t>
            </w:r>
          </w:p>
        </w:tc>
        <w:tc>
          <w:tcPr>
            <w:tcW w:w="0" w:type="dxa"/>
            <w:vAlign w:val="bottom"/>
          </w:tcPr>
          <w:p>
            <w:pPr>
              <w:spacing w:after="0"/>
              <w:rPr>
                <w:sz w:val="1"/>
                <w:szCs w:val="1"/>
                <w:color w:val="auto"/>
              </w:rPr>
            </w:pPr>
          </w:p>
        </w:tc>
      </w:tr>
      <w:tr>
        <w:trPr>
          <w:trHeight w:val="82"/>
        </w:trPr>
        <w:tc>
          <w:tcPr>
            <w:tcW w:w="3820" w:type="dxa"/>
            <w:vAlign w:val="bottom"/>
            <w:vMerge w:val="restart"/>
          </w:tcPr>
          <w:p>
            <w:pPr>
              <w:ind w:left="200"/>
              <w:spacing w:after="0"/>
              <w:rPr>
                <w:sz w:val="20"/>
                <w:szCs w:val="20"/>
                <w:color w:val="auto"/>
              </w:rPr>
            </w:pPr>
            <w:r>
              <w:rPr>
                <w:rFonts w:ascii="Arial" w:cs="Arial" w:eastAsia="Arial" w:hAnsi="Arial"/>
                <w:sz w:val="16"/>
                <w:szCs w:val="16"/>
                <w:color w:val="231F20"/>
              </w:rPr>
              <w:t>Independent Compensation Consultant...............</w:t>
            </w:r>
          </w:p>
        </w:tc>
        <w:tc>
          <w:tcPr>
            <w:tcW w:w="540" w:type="dxa"/>
            <w:vAlign w:val="bottom"/>
            <w:vMerge w:val="restart"/>
          </w:tcPr>
          <w:p>
            <w:pPr>
              <w:jc w:val="right"/>
              <w:ind w:right="159"/>
              <w:spacing w:after="0"/>
              <w:rPr>
                <w:sz w:val="20"/>
                <w:szCs w:val="20"/>
                <w:color w:val="auto"/>
              </w:rPr>
            </w:pPr>
            <w:r>
              <w:rPr>
                <w:rFonts w:ascii="Arial" w:cs="Arial" w:eastAsia="Arial" w:hAnsi="Arial"/>
                <w:sz w:val="16"/>
                <w:szCs w:val="16"/>
                <w:color w:val="auto"/>
              </w:rPr>
              <w:t>76</w:t>
            </w:r>
          </w:p>
        </w:tc>
        <w:tc>
          <w:tcPr>
            <w:tcW w:w="3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38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86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(Say-on-Pay)</w:t>
            </w:r>
          </w:p>
        </w:tc>
        <w:tc>
          <w:tcPr>
            <w:tcW w:w="0" w:type="dxa"/>
            <w:vAlign w:val="bottom"/>
          </w:tcPr>
          <w:p>
            <w:pPr>
              <w:spacing w:after="0"/>
              <w:rPr>
                <w:sz w:val="1"/>
                <w:szCs w:val="1"/>
                <w:color w:val="auto"/>
              </w:rPr>
            </w:pPr>
          </w:p>
        </w:tc>
      </w:tr>
      <w:tr>
        <w:trPr>
          <w:trHeight w:val="75"/>
        </w:trPr>
        <w:tc>
          <w:tcPr>
            <w:tcW w:w="3820" w:type="dxa"/>
            <w:vAlign w:val="bottom"/>
            <w:vMerge w:val="restart"/>
          </w:tcPr>
          <w:p>
            <w:pPr>
              <w:ind w:left="200"/>
              <w:spacing w:after="0"/>
              <w:rPr>
                <w:sz w:val="20"/>
                <w:szCs w:val="20"/>
                <w:color w:val="auto"/>
              </w:rPr>
            </w:pPr>
            <w:r>
              <w:rPr>
                <w:rFonts w:ascii="Arial" w:cs="Arial" w:eastAsia="Arial" w:hAnsi="Arial"/>
                <w:sz w:val="16"/>
                <w:szCs w:val="16"/>
                <w:color w:val="231F20"/>
              </w:rPr>
              <w:t>Peer and Other Market Data................................</w:t>
            </w:r>
          </w:p>
        </w:tc>
        <w:tc>
          <w:tcPr>
            <w:tcW w:w="540" w:type="dxa"/>
            <w:vAlign w:val="bottom"/>
            <w:vMerge w:val="restart"/>
          </w:tcPr>
          <w:p>
            <w:pPr>
              <w:jc w:val="right"/>
              <w:ind w:right="159"/>
              <w:spacing w:after="0"/>
              <w:rPr>
                <w:sz w:val="20"/>
                <w:szCs w:val="20"/>
                <w:color w:val="auto"/>
              </w:rPr>
            </w:pPr>
            <w:r>
              <w:rPr>
                <w:rFonts w:ascii="Arial" w:cs="Arial" w:eastAsia="Arial" w:hAnsi="Arial"/>
                <w:sz w:val="16"/>
                <w:szCs w:val="16"/>
                <w:color w:val="auto"/>
              </w:rPr>
              <w:t>76</w:t>
            </w:r>
          </w:p>
        </w:tc>
        <w:tc>
          <w:tcPr>
            <w:tcW w:w="3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38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3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0"/>
              <w:spacing w:after="0"/>
              <w:rPr>
                <w:sz w:val="20"/>
                <w:szCs w:val="20"/>
                <w:color w:val="auto"/>
              </w:rPr>
            </w:pPr>
            <w:r>
              <w:rPr>
                <w:rFonts w:ascii="Arial" w:cs="Arial" w:eastAsia="Arial" w:hAnsi="Arial"/>
                <w:sz w:val="16"/>
                <w:szCs w:val="16"/>
                <w:color w:val="231F20"/>
              </w:rPr>
              <w:t>Risk Assessment..................................................</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78</w:t>
            </w: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Compensation Discussion and Analysis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78</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95EA3"/>
        </w:rPr>
        <w:t>79</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95EA3"/>
        </w:rPr>
        <w:t>79</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95EA3"/>
        </w:rPr>
        <w:t>80</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31F20"/>
        </w:rPr>
        <w:t>80</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80</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81</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82</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85</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85</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86</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31F20"/>
        </w:rPr>
        <w:t>90</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90</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92</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93</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94</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95</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98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3B5AA4"/>
        </w:rPr>
        <w:t>101</w:t>
      </w:r>
    </w:p>
    <w:p>
      <w:pPr>
        <w:spacing w:after="0" w:line="1293" w:lineRule="exact"/>
        <w:rPr>
          <w:sz w:val="20"/>
          <w:szCs w:val="20"/>
          <w:color w:val="auto"/>
        </w:rPr>
      </w:pPr>
    </w:p>
    <w:p>
      <w:pPr>
        <w:sectPr>
          <w:pgSz w:w="11900" w:h="16838" w:orient="portrait"/>
          <w:cols w:equalWidth="0" w:num="2">
            <w:col w:w="8420" w:space="160"/>
            <w:col w:w="439"/>
          </w:cols>
          <w:pgMar w:left="1440" w:top="657" w:right="1440" w:bottom="1440" w:gutter="0" w:footer="0" w:header="0"/>
          <w:type w:val="continuous"/>
        </w:sectPr>
      </w:pPr>
    </w:p>
    <w:p>
      <w:pPr>
        <w:ind w:left="140" w:right="219"/>
        <w:spacing w:after="0" w:line="273" w:lineRule="auto"/>
        <w:rPr>
          <w:sz w:val="20"/>
          <w:szCs w:val="20"/>
          <w:color w:val="auto"/>
        </w:rPr>
      </w:pPr>
      <w:r>
        <w:rPr>
          <w:rFonts w:ascii="Arial" w:cs="Arial" w:eastAsia="Arial" w:hAnsi="Arial"/>
          <w:sz w:val="16"/>
          <w:szCs w:val="16"/>
          <w:color w:val="auto"/>
        </w:rPr>
        <w:t>The following Compensation Discussion and Analysis (“CD&amp;A”) describes the philosophy, objectives, and structure of our 2025 executive compensation program</w:t>
      </w:r>
      <w:r>
        <w:rPr>
          <w:rFonts w:ascii="Arial" w:cs="Arial" w:eastAsia="Arial" w:hAnsi="Arial"/>
          <w:sz w:val="15"/>
          <w:szCs w:val="15"/>
          <w:color w:val="auto"/>
        </w:rPr>
        <w:t>.</w:t>
      </w:r>
      <w:r>
        <w:rPr>
          <w:rFonts w:ascii="Arial" w:cs="Arial" w:eastAsia="Arial" w:hAnsi="Arial"/>
          <w:sz w:val="19"/>
          <w:szCs w:val="19"/>
          <w:color w:val="auto"/>
          <w:vertAlign w:val="superscript"/>
        </w:rPr>
        <w:t>1</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Our Named Executive Officers</w:t>
      </w:r>
    </w:p>
    <w:p>
      <w:pPr>
        <w:spacing w:after="0" w:line="65" w:lineRule="exact"/>
        <w:rPr>
          <w:sz w:val="20"/>
          <w:szCs w:val="20"/>
          <w:color w:val="auto"/>
        </w:rPr>
      </w:pPr>
    </w:p>
    <w:p>
      <w:pPr>
        <w:jc w:val="both"/>
        <w:ind w:left="140" w:right="179"/>
        <w:spacing w:after="0" w:line="275" w:lineRule="auto"/>
        <w:rPr>
          <w:sz w:val="20"/>
          <w:szCs w:val="20"/>
          <w:color w:val="auto"/>
        </w:rPr>
      </w:pPr>
      <w:r>
        <w:rPr>
          <w:rFonts w:ascii="Arial" w:cs="Arial" w:eastAsia="Arial" w:hAnsi="Arial"/>
          <w:sz w:val="16"/>
          <w:szCs w:val="16"/>
          <w:color w:val="auto"/>
        </w:rPr>
        <w:t>Our “Named Executive Officers” or “NEOs” for 2025 are identified below. The NEOs were determined in accordance with SEC rules, with the exception of Dr. Yancopoulos. Dr. Yancopoulos has been included as an NEO voluntarily in light of his role at Regeneron and historical inclusion as an NEO in our proxy statements.</w:t>
      </w:r>
    </w:p>
    <w:p>
      <w:pPr>
        <w:sectPr>
          <w:pgSz w:w="11900" w:h="16838" w:orient="portrait"/>
          <w:cols w:equalWidth="0" w:num="1">
            <w:col w:w="9019"/>
          </w:cols>
          <w:pgMar w:left="1440" w:top="657" w:right="1440" w:bottom="1440" w:gutter="0" w:footer="0" w:header="0"/>
          <w:type w:val="continuous"/>
        </w:sectPr>
      </w:pPr>
    </w:p>
    <w:p>
      <w:pPr>
        <w:spacing w:after="0" w:line="263" w:lineRule="exact"/>
        <w:rPr>
          <w:sz w:val="20"/>
          <w:szCs w:val="20"/>
          <w:color w:val="auto"/>
        </w:rPr>
      </w:pPr>
    </w:p>
    <w:p>
      <w:pPr>
        <w:ind w:left="1460" w:right="620"/>
        <w:spacing w:after="0" w:line="287" w:lineRule="auto"/>
        <w:rPr>
          <w:sz w:val="20"/>
          <w:szCs w:val="20"/>
          <w:color w:val="auto"/>
        </w:rPr>
      </w:pPr>
      <w:r>
        <w:rPr>
          <w:rFonts w:ascii="Arial" w:cs="Arial" w:eastAsia="Arial" w:hAnsi="Arial"/>
          <w:sz w:val="14"/>
          <w:szCs w:val="14"/>
          <w:b w:val="1"/>
          <w:bCs w:val="1"/>
          <w:color w:val="3B5AA4"/>
        </w:rPr>
        <w:t>Leonard S. Schleifer, M.D., Ph.D.</w:t>
      </w:r>
    </w:p>
    <w:p>
      <w:pPr>
        <w:ind w:left="1460" w:right="780"/>
        <w:spacing w:after="0" w:line="298" w:lineRule="auto"/>
        <w:rPr>
          <w:sz w:val="20"/>
          <w:szCs w:val="20"/>
          <w:color w:val="auto"/>
        </w:rPr>
      </w:pPr>
      <w:r>
        <w:rPr>
          <w:rFonts w:ascii="Arial" w:cs="Arial" w:eastAsia="Arial" w:hAnsi="Arial"/>
          <w:sz w:val="14"/>
          <w:szCs w:val="14"/>
          <w:color w:val="231F20"/>
        </w:rPr>
        <w:t>Board co-Chair, President and Chief Executive Officer</w:t>
      </w:r>
    </w:p>
    <w:p>
      <w:pPr>
        <w:spacing w:after="0" w:line="203"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3B5AA4"/>
        </w:rPr>
        <w:t>Christopher Fenimore</w:t>
      </w:r>
    </w:p>
    <w:p>
      <w:pPr>
        <w:spacing w:after="0" w:line="35" w:lineRule="exact"/>
        <w:rPr>
          <w:sz w:val="20"/>
          <w:szCs w:val="20"/>
          <w:color w:val="auto"/>
        </w:rPr>
      </w:pPr>
    </w:p>
    <w:p>
      <w:pPr>
        <w:ind w:left="1460" w:right="840"/>
        <w:spacing w:after="0" w:line="292" w:lineRule="auto"/>
        <w:rPr>
          <w:sz w:val="20"/>
          <w:szCs w:val="20"/>
          <w:color w:val="auto"/>
        </w:rPr>
      </w:pPr>
      <w:r>
        <w:rPr>
          <w:rFonts w:ascii="Arial" w:cs="Arial" w:eastAsia="Arial" w:hAnsi="Arial"/>
          <w:sz w:val="14"/>
          <w:szCs w:val="14"/>
          <w:color w:val="231F20"/>
        </w:rPr>
        <w:t>Executive Vice President, Finance and Chief Financial Officer</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right="720"/>
        <w:spacing w:after="0" w:line="261" w:lineRule="auto"/>
        <w:rPr>
          <w:sz w:val="20"/>
          <w:szCs w:val="20"/>
          <w:color w:val="auto"/>
        </w:rPr>
      </w:pPr>
      <w:r>
        <w:rPr>
          <w:rFonts w:ascii="Arial" w:cs="Arial" w:eastAsia="Arial" w:hAnsi="Arial"/>
          <w:sz w:val="14"/>
          <w:szCs w:val="14"/>
          <w:b w:val="1"/>
          <w:bCs w:val="1"/>
          <w:color w:val="295EA3"/>
        </w:rPr>
        <w:t>George D. Yancopoulos, M.D.,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295EA3"/>
        </w:rPr>
        <w:t>Ph.D.</w:t>
      </w:r>
    </w:p>
    <w:p>
      <w:pPr>
        <w:spacing w:after="0" w:line="15" w:lineRule="exact"/>
        <w:rPr>
          <w:sz w:val="20"/>
          <w:szCs w:val="20"/>
          <w:color w:val="auto"/>
        </w:rPr>
      </w:pPr>
    </w:p>
    <w:p>
      <w:pPr>
        <w:ind w:right="780"/>
        <w:spacing w:after="0" w:line="272" w:lineRule="auto"/>
        <w:rPr>
          <w:sz w:val="20"/>
          <w:szCs w:val="20"/>
          <w:color w:val="auto"/>
        </w:rPr>
      </w:pPr>
      <w:r>
        <w:rPr>
          <w:rFonts w:ascii="Arial" w:cs="Arial" w:eastAsia="Arial" w:hAnsi="Arial"/>
          <w:sz w:val="14"/>
          <w:szCs w:val="14"/>
          <w:color w:val="231F20"/>
        </w:rPr>
        <w:t>Board co-Chair, President and Chief Scientific Officer</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3B5AA4"/>
        </w:rPr>
        <w:t>Daniel P. Van Plew</w:t>
      </w:r>
    </w:p>
    <w:p>
      <w:pPr>
        <w:spacing w:after="0" w:line="35" w:lineRule="exact"/>
        <w:rPr>
          <w:sz w:val="20"/>
          <w:szCs w:val="20"/>
          <w:color w:val="auto"/>
        </w:rPr>
      </w:pPr>
    </w:p>
    <w:p>
      <w:pPr>
        <w:ind w:right="600"/>
        <w:spacing w:after="0" w:line="284" w:lineRule="auto"/>
        <w:rPr>
          <w:sz w:val="20"/>
          <w:szCs w:val="20"/>
          <w:color w:val="auto"/>
        </w:rPr>
      </w:pPr>
      <w:r>
        <w:rPr>
          <w:rFonts w:ascii="Arial" w:cs="Arial" w:eastAsia="Arial" w:hAnsi="Arial"/>
          <w:sz w:val="14"/>
          <w:szCs w:val="14"/>
          <w:color w:val="231F20"/>
        </w:rPr>
        <w:t>Executive Vice President and General Manager, Industrial Operations and</w:t>
      </w:r>
    </w:p>
    <w:p>
      <w:pPr>
        <w:spacing w:after="0"/>
        <w:rPr>
          <w:sz w:val="20"/>
          <w:szCs w:val="20"/>
          <w:color w:val="auto"/>
        </w:rPr>
      </w:pPr>
      <w:r>
        <w:rPr>
          <w:rFonts w:ascii="Arial" w:cs="Arial" w:eastAsia="Arial" w:hAnsi="Arial"/>
          <w:sz w:val="14"/>
          <w:szCs w:val="14"/>
          <w:color w:val="231F20"/>
        </w:rPr>
        <w:t>Product Supply</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right="759"/>
        <w:spacing w:after="0" w:line="287" w:lineRule="auto"/>
        <w:rPr>
          <w:sz w:val="20"/>
          <w:szCs w:val="20"/>
          <w:color w:val="auto"/>
        </w:rPr>
      </w:pPr>
      <w:r>
        <w:rPr>
          <w:rFonts w:ascii="Arial" w:cs="Arial" w:eastAsia="Arial" w:hAnsi="Arial"/>
          <w:sz w:val="14"/>
          <w:szCs w:val="14"/>
          <w:b w:val="1"/>
          <w:bCs w:val="1"/>
          <w:color w:val="3B5AA4"/>
        </w:rPr>
        <w:t>Andrew J. Murphy, Ph.D.</w:t>
      </w:r>
    </w:p>
    <w:p>
      <w:pPr>
        <w:ind w:right="779"/>
        <w:spacing w:after="0" w:line="298" w:lineRule="auto"/>
        <w:rPr>
          <w:sz w:val="20"/>
          <w:szCs w:val="20"/>
          <w:color w:val="auto"/>
        </w:rPr>
      </w:pPr>
      <w:r>
        <w:rPr>
          <w:rFonts w:ascii="Arial" w:cs="Arial" w:eastAsia="Arial" w:hAnsi="Arial"/>
          <w:sz w:val="14"/>
          <w:szCs w:val="14"/>
          <w:color w:val="231F20"/>
        </w:rPr>
        <w:t>Executive Vice President, Co-Chief Scientific Officer</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3B5AA4"/>
        </w:rPr>
        <w:t>Joseph J. LaRosa</w:t>
      </w:r>
    </w:p>
    <w:p>
      <w:pPr>
        <w:spacing w:after="0" w:line="35" w:lineRule="exact"/>
        <w:rPr>
          <w:sz w:val="20"/>
          <w:szCs w:val="20"/>
          <w:color w:val="auto"/>
        </w:rPr>
      </w:pPr>
    </w:p>
    <w:p>
      <w:pPr>
        <w:ind w:right="559"/>
        <w:spacing w:after="0" w:line="298" w:lineRule="auto"/>
        <w:rPr>
          <w:sz w:val="20"/>
          <w:szCs w:val="20"/>
          <w:color w:val="auto"/>
        </w:rPr>
      </w:pPr>
      <w:r>
        <w:rPr>
          <w:rFonts w:ascii="Arial" w:cs="Arial" w:eastAsia="Arial" w:hAnsi="Arial"/>
          <w:sz w:val="14"/>
          <w:szCs w:val="14"/>
          <w:color w:val="231F20"/>
        </w:rPr>
        <w:t>Executive Vice President, General Counsel and Secretary</w:t>
      </w:r>
    </w:p>
    <w:p>
      <w:pPr>
        <w:spacing w:after="0" w:line="523" w:lineRule="exact"/>
        <w:rPr>
          <w:sz w:val="20"/>
          <w:szCs w:val="20"/>
          <w:color w:val="auto"/>
        </w:rPr>
      </w:pPr>
    </w:p>
    <w:p>
      <w:pPr>
        <w:sectPr>
          <w:pgSz w:w="11900" w:h="16838" w:orient="portrait"/>
          <w:cols w:equalWidth="0" w:num="3">
            <w:col w:w="3500" w:space="720"/>
            <w:col w:w="2040" w:space="720"/>
            <w:col w:w="2039"/>
          </w:cols>
          <w:pgMar w:left="1440" w:top="657" w:right="1440" w:bottom="1440" w:gutter="0" w:footer="0" w:header="0"/>
          <w:type w:val="continuous"/>
        </w:sectPr>
      </w:pPr>
    </w:p>
    <w:p>
      <w:pPr>
        <w:spacing w:after="0" w:line="123" w:lineRule="exact"/>
        <w:rPr>
          <w:sz w:val="20"/>
          <w:szCs w:val="20"/>
          <w:color w:val="auto"/>
        </w:rPr>
      </w:pPr>
    </w:p>
    <w:p>
      <w:pPr>
        <w:ind w:left="320" w:hanging="190"/>
        <w:spacing w:after="0"/>
        <w:tabs>
          <w:tab w:leader="none" w:pos="320" w:val="left"/>
        </w:tabs>
        <w:numPr>
          <w:ilvl w:val="0"/>
          <w:numId w:val="87"/>
        </w:numPr>
        <w:rPr>
          <w:rFonts w:ascii="Arial" w:cs="Arial" w:eastAsia="Arial" w:hAnsi="Arial"/>
          <w:sz w:val="15"/>
          <w:szCs w:val="15"/>
          <w:color w:val="auto"/>
          <w:vertAlign w:val="superscript"/>
        </w:rPr>
      </w:pPr>
      <w:r>
        <w:rPr>
          <w:rFonts w:ascii="Arial" w:cs="Arial" w:eastAsia="Arial" w:hAnsi="Arial"/>
          <w:sz w:val="12"/>
          <w:szCs w:val="12"/>
          <w:color w:val="auto"/>
        </w:rPr>
        <w:t>In this section, “we,” “us,” and “our” refer to the Company and, where applicable, to the Compensation Committee of the Company’s board of directors.</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56</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65" w:name="page66"/>
    <w:bookmarkEnd w:id="65"/>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Executive Summary</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Introduction to Our Compensation Program</w:t>
      </w:r>
    </w:p>
    <w:p>
      <w:pPr>
        <w:spacing w:after="0" w:line="180" w:lineRule="exact"/>
        <w:rPr>
          <w:sz w:val="20"/>
          <w:szCs w:val="20"/>
          <w:color w:val="auto"/>
        </w:rPr>
      </w:pPr>
    </w:p>
    <w:p>
      <w:pPr>
        <w:ind w:left="140" w:right="219"/>
        <w:spacing w:after="0" w:line="283" w:lineRule="auto"/>
        <w:rPr>
          <w:sz w:val="20"/>
          <w:szCs w:val="20"/>
          <w:color w:val="auto"/>
        </w:rPr>
      </w:pPr>
      <w:r>
        <w:rPr>
          <w:rFonts w:ascii="Arial" w:cs="Arial" w:eastAsia="Arial" w:hAnsi="Arial"/>
          <w:sz w:val="16"/>
          <w:szCs w:val="16"/>
          <w:color w:val="auto"/>
        </w:rPr>
        <w:t>The starting premise for compensation at Regeneron is that our compensation practices must be “fit for purpose” and reinforce the long-term outlook necessary to fulfill the Company’s mission – to turn rigorous scientific research into groundbreaking medicines. This mission is the ultimate driver of sustainable, long-term value creation for our shareholders. Regeneron’s pay philosophy has been designed to incentivize our employees to pursue this mission and to nurture the Company’s distinct culture. While we are committed to our long-standing compensation philosophy, we also actively seek the views of our shareholders on compensation matters. Therefore, Regeneron’s compensation program discussed in this CD&amp;A is both the product of our pay philosophy and a reflection of compensation feedback from our shareholders. Since our company became public in 1991 through the end of 2025, Regeneron delivered an aggregate total shareholder return (“TSR”) of nearly 3,600%, outperforming the S&amp;P 500 over this period. We believe this long-term performance demonstrates the effectiveness of our approach to incentivizing our employees and aligning their interests with those of our shareholders.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065BAA"/>
        </w:rPr>
        <w:t>Company Culture</w:t>
      </w:r>
    </w:p>
    <w:p>
      <w:pPr>
        <w:spacing w:after="0" w:line="51" w:lineRule="exact"/>
        <w:rPr>
          <w:sz w:val="20"/>
          <w:szCs w:val="20"/>
          <w:color w:val="auto"/>
        </w:rPr>
      </w:pPr>
    </w:p>
    <w:p>
      <w:pPr>
        <w:ind w:left="540" w:right="2240" w:hanging="187"/>
        <w:spacing w:after="0" w:line="205" w:lineRule="exact"/>
        <w:tabs>
          <w:tab w:leader="none" w:pos="540" w:val="left"/>
        </w:tabs>
        <w:numPr>
          <w:ilvl w:val="0"/>
          <w:numId w:val="88"/>
        </w:numPr>
        <w:rPr>
          <w:rFonts w:ascii="Arial" w:cs="Arial" w:eastAsia="Arial" w:hAnsi="Arial"/>
          <w:sz w:val="16"/>
          <w:szCs w:val="16"/>
          <w:color w:val="065BAA"/>
        </w:rPr>
      </w:pPr>
      <w:r>
        <w:rPr>
          <w:rFonts w:ascii="Arial" w:cs="Arial" w:eastAsia="Arial" w:hAnsi="Arial"/>
          <w:sz w:val="14"/>
          <w:szCs w:val="14"/>
          <w:color w:val="auto"/>
        </w:rPr>
        <w:t>Relentless focus on long</w:t>
      </w:r>
      <w:r>
        <w:rPr>
          <w:rFonts w:ascii="MS PGothic" w:cs="MS PGothic" w:eastAsia="MS PGothic" w:hAnsi="MS PGothic"/>
          <w:sz w:val="14"/>
          <w:szCs w:val="14"/>
          <w:color w:val="auto"/>
        </w:rPr>
        <w:t>‑</w:t>
      </w:r>
      <w:r>
        <w:rPr>
          <w:rFonts w:ascii="Arial" w:cs="Arial" w:eastAsia="Arial" w:hAnsi="Arial"/>
          <w:sz w:val="14"/>
          <w:szCs w:val="14"/>
          <w:color w:val="auto"/>
        </w:rPr>
        <w:t>term growth through internal innovation</w:t>
      </w:r>
    </w:p>
    <w:p>
      <w:pPr>
        <w:spacing w:after="0" w:line="53" w:lineRule="exact"/>
        <w:rPr>
          <w:sz w:val="20"/>
          <w:szCs w:val="20"/>
          <w:color w:val="auto"/>
        </w:rPr>
      </w:pPr>
    </w:p>
    <w:tbl>
      <w:tblPr>
        <w:tblLayout w:type="fixed"/>
        <w:tblInd w:w="360" w:type="dxa"/>
        <w:tblCellMar>
          <w:top w:w="0" w:type="dxa"/>
          <w:left w:w="0" w:type="dxa"/>
          <w:bottom w:w="0" w:type="dxa"/>
          <w:right w:w="0" w:type="dxa"/>
        </w:tblCellMar>
      </w:tblPr>
      <w:tr>
        <w:trPr>
          <w:trHeight w:val="244"/>
        </w:trPr>
        <w:tc>
          <w:tcPr>
            <w:tcW w:w="120" w:type="dxa"/>
            <w:vAlign w:val="bottom"/>
          </w:tcPr>
          <w:p>
            <w:pPr>
              <w:spacing w:after="0"/>
              <w:rPr>
                <w:sz w:val="20"/>
                <w:szCs w:val="20"/>
                <w:color w:val="auto"/>
              </w:rPr>
            </w:pPr>
            <w:r>
              <w:rPr>
                <w:rFonts w:ascii="Arial" w:cs="Arial" w:eastAsia="Arial" w:hAnsi="Arial"/>
                <w:sz w:val="16"/>
                <w:szCs w:val="16"/>
                <w:color w:val="065BAA"/>
              </w:rPr>
              <w:t>•</w:t>
            </w:r>
          </w:p>
        </w:tc>
        <w:tc>
          <w:tcPr>
            <w:tcW w:w="3460" w:type="dxa"/>
            <w:vAlign w:val="bottom"/>
          </w:tcPr>
          <w:p>
            <w:pPr>
              <w:ind w:left="60"/>
              <w:spacing w:after="0" w:line="161" w:lineRule="exact"/>
              <w:rPr>
                <w:sz w:val="20"/>
                <w:szCs w:val="20"/>
                <w:color w:val="auto"/>
              </w:rPr>
            </w:pPr>
            <w:r>
              <w:rPr>
                <w:rFonts w:ascii="Arial" w:cs="Arial" w:eastAsia="Arial" w:hAnsi="Arial"/>
                <w:sz w:val="14"/>
                <w:szCs w:val="14"/>
                <w:color w:val="auto"/>
              </w:rPr>
              <w:t>Single</w:t>
            </w:r>
            <w:r>
              <w:rPr>
                <w:rFonts w:ascii="MS PGothic" w:cs="MS PGothic" w:eastAsia="MS PGothic" w:hAnsi="MS PGothic"/>
                <w:sz w:val="14"/>
                <w:szCs w:val="14"/>
                <w:color w:val="auto"/>
              </w:rPr>
              <w:t>‑</w:t>
            </w:r>
            <w:r>
              <w:rPr>
                <w:rFonts w:ascii="Arial" w:cs="Arial" w:eastAsia="Arial" w:hAnsi="Arial"/>
                <w:sz w:val="14"/>
                <w:szCs w:val="14"/>
                <w:color w:val="auto"/>
              </w:rPr>
              <w:t>minded purpose to accelerate discovery</w:t>
            </w:r>
          </w:p>
        </w:tc>
        <w:tc>
          <w:tcPr>
            <w:tcW w:w="1760" w:type="dxa"/>
            <w:vAlign w:val="bottom"/>
          </w:tcPr>
          <w:p>
            <w:pPr>
              <w:ind w:left="380"/>
              <w:spacing w:after="0"/>
              <w:rPr>
                <w:sz w:val="20"/>
                <w:szCs w:val="20"/>
                <w:color w:val="auto"/>
              </w:rPr>
            </w:pPr>
            <w:r>
              <w:rPr>
                <w:rFonts w:ascii="Arial" w:cs="Arial" w:eastAsia="Arial" w:hAnsi="Arial"/>
                <w:sz w:val="20"/>
                <w:szCs w:val="20"/>
                <w:b w:val="1"/>
                <w:bCs w:val="1"/>
                <w:color w:val="auto"/>
              </w:rPr>
              <w:t>Effective</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3460" w:type="dxa"/>
            <w:vAlign w:val="bottom"/>
          </w:tcPr>
          <w:p>
            <w:pPr>
              <w:ind w:left="60"/>
              <w:spacing w:after="0"/>
              <w:rPr>
                <w:sz w:val="20"/>
                <w:szCs w:val="20"/>
                <w:color w:val="auto"/>
              </w:rPr>
            </w:pPr>
            <w:r>
              <w:rPr>
                <w:rFonts w:ascii="Arial" w:cs="Arial" w:eastAsia="Arial" w:hAnsi="Arial"/>
                <w:sz w:val="14"/>
                <w:szCs w:val="14"/>
                <w:color w:val="auto"/>
              </w:rPr>
              <w:t>and development of innovative medicines</w:t>
            </w:r>
          </w:p>
        </w:tc>
        <w:tc>
          <w:tcPr>
            <w:tcW w:w="1760" w:type="dxa"/>
            <w:vAlign w:val="bottom"/>
            <w:vMerge w:val="restart"/>
          </w:tcPr>
          <w:p>
            <w:pPr>
              <w:ind w:left="380"/>
              <w:spacing w:after="0"/>
              <w:rPr>
                <w:sz w:val="20"/>
                <w:szCs w:val="20"/>
                <w:color w:val="auto"/>
              </w:rPr>
            </w:pPr>
            <w:r>
              <w:rPr>
                <w:rFonts w:ascii="Arial" w:cs="Arial" w:eastAsia="Arial" w:hAnsi="Arial"/>
                <w:sz w:val="20"/>
                <w:szCs w:val="20"/>
                <w:b w:val="1"/>
                <w:bCs w:val="1"/>
                <w:color w:val="auto"/>
                <w:w w:val="97"/>
              </w:rPr>
              <w:t>Compensation</w:t>
            </w:r>
          </w:p>
        </w:tc>
        <w:tc>
          <w:tcPr>
            <w:tcW w:w="0" w:type="dxa"/>
            <w:vAlign w:val="bottom"/>
          </w:tcPr>
          <w:p>
            <w:pPr>
              <w:spacing w:after="0"/>
              <w:rPr>
                <w:sz w:val="1"/>
                <w:szCs w:val="1"/>
                <w:color w:val="auto"/>
              </w:rPr>
            </w:pPr>
          </w:p>
        </w:tc>
      </w:tr>
      <w:tr>
        <w:trPr>
          <w:trHeight w:val="92"/>
        </w:trPr>
        <w:tc>
          <w:tcPr>
            <w:tcW w:w="120" w:type="dxa"/>
            <w:vAlign w:val="bottom"/>
            <w:vMerge w:val="restart"/>
          </w:tcPr>
          <w:p>
            <w:pPr>
              <w:spacing w:after="0"/>
              <w:rPr>
                <w:sz w:val="20"/>
                <w:szCs w:val="20"/>
                <w:color w:val="auto"/>
              </w:rPr>
            </w:pPr>
            <w:r>
              <w:rPr>
                <w:rFonts w:ascii="Arial" w:cs="Arial" w:eastAsia="Arial" w:hAnsi="Arial"/>
                <w:sz w:val="16"/>
                <w:szCs w:val="16"/>
                <w:color w:val="065BAA"/>
              </w:rPr>
              <w:t>•</w:t>
            </w:r>
          </w:p>
        </w:tc>
        <w:tc>
          <w:tcPr>
            <w:tcW w:w="346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120" w:type="dxa"/>
            <w:vAlign w:val="bottom"/>
            <w:vMerge w:val="continue"/>
          </w:tcPr>
          <w:p>
            <w:pPr>
              <w:spacing w:after="0"/>
              <w:rPr>
                <w:sz w:val="23"/>
                <w:szCs w:val="23"/>
                <w:color w:val="auto"/>
              </w:rPr>
            </w:pPr>
          </w:p>
        </w:tc>
        <w:tc>
          <w:tcPr>
            <w:tcW w:w="3460" w:type="dxa"/>
            <w:vAlign w:val="bottom"/>
          </w:tcPr>
          <w:p>
            <w:pPr>
              <w:ind w:left="60"/>
              <w:spacing w:after="0"/>
              <w:rPr>
                <w:sz w:val="20"/>
                <w:szCs w:val="20"/>
                <w:color w:val="auto"/>
              </w:rPr>
            </w:pPr>
            <w:r>
              <w:rPr>
                <w:rFonts w:ascii="Arial" w:cs="Arial" w:eastAsia="Arial" w:hAnsi="Arial"/>
                <w:sz w:val="14"/>
                <w:szCs w:val="14"/>
                <w:color w:val="auto"/>
              </w:rPr>
              <w:t>Substantial and patient capital investment</w:t>
            </w:r>
          </w:p>
        </w:tc>
        <w:tc>
          <w:tcPr>
            <w:tcW w:w="1760" w:type="dxa"/>
            <w:vAlign w:val="bottom"/>
          </w:tcPr>
          <w:p>
            <w:pPr>
              <w:ind w:left="380"/>
              <w:spacing w:after="0"/>
              <w:rPr>
                <w:sz w:val="20"/>
                <w:szCs w:val="20"/>
                <w:color w:val="auto"/>
              </w:rPr>
            </w:pPr>
            <w:r>
              <w:rPr>
                <w:rFonts w:ascii="Arial" w:cs="Arial" w:eastAsia="Arial" w:hAnsi="Arial"/>
                <w:sz w:val="20"/>
                <w:szCs w:val="20"/>
                <w:b w:val="1"/>
                <w:bCs w:val="1"/>
                <w:color w:val="auto"/>
              </w:rPr>
              <w:t>Structure</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540" w:hanging="187"/>
        <w:spacing w:after="0"/>
        <w:tabs>
          <w:tab w:leader="none" w:pos="540" w:val="left"/>
        </w:tabs>
        <w:numPr>
          <w:ilvl w:val="0"/>
          <w:numId w:val="89"/>
        </w:numPr>
        <w:rPr>
          <w:rFonts w:ascii="Arial" w:cs="Arial" w:eastAsia="Arial" w:hAnsi="Arial"/>
          <w:sz w:val="16"/>
          <w:szCs w:val="16"/>
          <w:color w:val="065BAA"/>
        </w:rPr>
      </w:pPr>
      <w:r>
        <w:rPr>
          <w:rFonts w:ascii="Arial" w:cs="Arial" w:eastAsia="Arial" w:hAnsi="Arial"/>
          <w:sz w:val="14"/>
          <w:szCs w:val="14"/>
          <w:color w:val="auto"/>
        </w:rPr>
        <w:t>Remarkable consistency of leadership</w:t>
      </w:r>
    </w:p>
    <w:p>
      <w:pPr>
        <w:spacing w:after="0" w:line="99" w:lineRule="exact"/>
        <w:rPr>
          <w:rFonts w:ascii="Arial" w:cs="Arial" w:eastAsia="Arial" w:hAnsi="Arial"/>
          <w:sz w:val="16"/>
          <w:szCs w:val="16"/>
          <w:color w:val="065BAA"/>
        </w:rPr>
      </w:pPr>
    </w:p>
    <w:p>
      <w:pPr>
        <w:ind w:left="540" w:right="2080" w:hanging="187"/>
        <w:spacing w:after="0" w:line="291" w:lineRule="auto"/>
        <w:tabs>
          <w:tab w:leader="none" w:pos="540" w:val="left"/>
        </w:tabs>
        <w:numPr>
          <w:ilvl w:val="0"/>
          <w:numId w:val="89"/>
        </w:numPr>
        <w:rPr>
          <w:rFonts w:ascii="Arial" w:cs="Arial" w:eastAsia="Arial" w:hAnsi="Arial"/>
          <w:sz w:val="16"/>
          <w:szCs w:val="16"/>
          <w:color w:val="065BAA"/>
        </w:rPr>
      </w:pPr>
      <w:r>
        <w:rPr>
          <w:rFonts w:ascii="Arial" w:cs="Arial" w:eastAsia="Arial" w:hAnsi="Arial"/>
          <w:sz w:val="14"/>
          <w:szCs w:val="14"/>
          <w:color w:val="auto"/>
        </w:rPr>
        <w:t>Loyal and motivated employees with the drive of an entrepreneur and the mind of a scientist</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065BAA"/>
        </w:rPr>
        <w:t>Pay Philosophy</w:t>
      </w:r>
    </w:p>
    <w:p>
      <w:pPr>
        <w:spacing w:after="0" w:line="82" w:lineRule="exact"/>
        <w:rPr>
          <w:sz w:val="20"/>
          <w:szCs w:val="20"/>
          <w:color w:val="auto"/>
        </w:rPr>
      </w:pPr>
    </w:p>
    <w:p>
      <w:pPr>
        <w:ind w:left="540" w:right="2360" w:hanging="187"/>
        <w:spacing w:after="0" w:line="292" w:lineRule="auto"/>
        <w:tabs>
          <w:tab w:leader="none" w:pos="540" w:val="left"/>
        </w:tabs>
        <w:numPr>
          <w:ilvl w:val="0"/>
          <w:numId w:val="90"/>
        </w:numPr>
        <w:rPr>
          <w:rFonts w:ascii="Arial" w:cs="Arial" w:eastAsia="Arial" w:hAnsi="Arial"/>
          <w:sz w:val="16"/>
          <w:szCs w:val="16"/>
          <w:color w:val="065BAA"/>
        </w:rPr>
      </w:pPr>
      <w:r>
        <w:rPr>
          <w:rFonts w:ascii="Arial" w:cs="Arial" w:eastAsia="Arial" w:hAnsi="Arial"/>
          <w:sz w:val="14"/>
          <w:szCs w:val="14"/>
          <w:color w:val="auto"/>
        </w:rPr>
        <w:t>Reinforce a culture where employees are empowered to pursue fulfilling careers while focusing on the Company’s mission</w:t>
      </w:r>
    </w:p>
    <w:p>
      <w:pPr>
        <w:spacing w:after="0" w:line="41" w:lineRule="exact"/>
        <w:rPr>
          <w:rFonts w:ascii="Arial" w:cs="Arial" w:eastAsia="Arial" w:hAnsi="Arial"/>
          <w:sz w:val="16"/>
          <w:szCs w:val="16"/>
          <w:color w:val="065BAA"/>
        </w:rPr>
      </w:pPr>
    </w:p>
    <w:p>
      <w:pPr>
        <w:ind w:left="540" w:hanging="187"/>
        <w:spacing w:after="0" w:line="184" w:lineRule="exact"/>
        <w:tabs>
          <w:tab w:leader="none" w:pos="540" w:val="left"/>
        </w:tabs>
        <w:numPr>
          <w:ilvl w:val="0"/>
          <w:numId w:val="90"/>
        </w:numPr>
        <w:rPr>
          <w:rFonts w:ascii="Arial" w:cs="Arial" w:eastAsia="Arial" w:hAnsi="Arial"/>
          <w:sz w:val="16"/>
          <w:szCs w:val="16"/>
          <w:color w:val="065BAA"/>
        </w:rPr>
      </w:pPr>
      <w:r>
        <w:rPr>
          <w:rFonts w:ascii="Arial" w:cs="Arial" w:eastAsia="Arial" w:hAnsi="Arial"/>
          <w:sz w:val="14"/>
          <w:szCs w:val="14"/>
          <w:color w:val="auto"/>
        </w:rPr>
        <w:t>Reward long</w:t>
      </w:r>
      <w:r>
        <w:rPr>
          <w:rFonts w:ascii="MS PGothic" w:cs="MS PGothic" w:eastAsia="MS PGothic" w:hAnsi="MS PGothic"/>
          <w:sz w:val="14"/>
          <w:szCs w:val="14"/>
          <w:color w:val="auto"/>
        </w:rPr>
        <w:t>‑</w:t>
      </w:r>
      <w:r>
        <w:rPr>
          <w:rFonts w:ascii="Arial" w:cs="Arial" w:eastAsia="Arial" w:hAnsi="Arial"/>
          <w:sz w:val="14"/>
          <w:szCs w:val="14"/>
          <w:color w:val="auto"/>
        </w:rPr>
        <w:t>term, sustainable performance</w:t>
      </w:r>
    </w:p>
    <w:p>
      <w:pPr>
        <w:spacing w:after="0" w:line="117" w:lineRule="exact"/>
        <w:rPr>
          <w:rFonts w:ascii="Arial" w:cs="Arial" w:eastAsia="Arial" w:hAnsi="Arial"/>
          <w:sz w:val="16"/>
          <w:szCs w:val="16"/>
          <w:color w:val="065BAA"/>
        </w:rPr>
      </w:pPr>
    </w:p>
    <w:p>
      <w:pPr>
        <w:ind w:left="540" w:right="2340" w:hanging="187"/>
        <w:spacing w:after="0" w:line="194" w:lineRule="exact"/>
        <w:tabs>
          <w:tab w:leader="none" w:pos="540" w:val="left"/>
        </w:tabs>
        <w:numPr>
          <w:ilvl w:val="0"/>
          <w:numId w:val="90"/>
        </w:numPr>
        <w:rPr>
          <w:rFonts w:ascii="Arial" w:cs="Arial" w:eastAsia="Arial" w:hAnsi="Arial"/>
          <w:sz w:val="16"/>
          <w:szCs w:val="16"/>
          <w:color w:val="065BAA"/>
        </w:rPr>
      </w:pPr>
      <w:r>
        <w:rPr>
          <w:rFonts w:ascii="Arial" w:cs="Arial" w:eastAsia="Arial" w:hAnsi="Arial"/>
          <w:sz w:val="14"/>
          <w:szCs w:val="14"/>
          <w:color w:val="auto"/>
        </w:rPr>
        <w:t>Encourage experimentation, innovation, and long</w:t>
      </w:r>
      <w:r>
        <w:rPr>
          <w:rFonts w:ascii="MS PGothic" w:cs="MS PGothic" w:eastAsia="MS PGothic" w:hAnsi="MS PGothic"/>
          <w:sz w:val="14"/>
          <w:szCs w:val="14"/>
          <w:color w:val="auto"/>
        </w:rPr>
        <w:t>‑</w:t>
      </w:r>
      <w:r>
        <w:rPr>
          <w:rFonts w:ascii="Arial" w:cs="Arial" w:eastAsia="Arial" w:hAnsi="Arial"/>
          <w:sz w:val="14"/>
          <w:szCs w:val="14"/>
          <w:color w:val="auto"/>
        </w:rPr>
        <w:t>term thinking within an appropriate governance framework</w:t>
      </w:r>
    </w:p>
    <w:p>
      <w:pPr>
        <w:spacing w:after="0" w:line="63" w:lineRule="exact"/>
        <w:rPr>
          <w:rFonts w:ascii="Arial" w:cs="Arial" w:eastAsia="Arial" w:hAnsi="Arial"/>
          <w:sz w:val="16"/>
          <w:szCs w:val="16"/>
          <w:color w:val="065BAA"/>
        </w:rPr>
      </w:pPr>
    </w:p>
    <w:p>
      <w:pPr>
        <w:jc w:val="both"/>
        <w:ind w:left="540" w:right="2060" w:hanging="187"/>
        <w:spacing w:after="0" w:line="204" w:lineRule="exact"/>
        <w:tabs>
          <w:tab w:leader="none" w:pos="540" w:val="left"/>
        </w:tabs>
        <w:numPr>
          <w:ilvl w:val="0"/>
          <w:numId w:val="90"/>
        </w:numPr>
        <w:rPr>
          <w:rFonts w:ascii="Arial" w:cs="Arial" w:eastAsia="Arial" w:hAnsi="Arial"/>
          <w:sz w:val="16"/>
          <w:szCs w:val="16"/>
          <w:color w:val="065BAA"/>
        </w:rPr>
      </w:pPr>
      <w:r>
        <w:rPr>
          <w:rFonts w:ascii="Arial" w:cs="Arial" w:eastAsia="Arial" w:hAnsi="Arial"/>
          <w:sz w:val="14"/>
          <w:szCs w:val="14"/>
          <w:color w:val="auto"/>
        </w:rPr>
        <w:t xml:space="preserve">Align </w:t>
      </w:r>
      <w:r>
        <w:rPr>
          <w:rFonts w:ascii="Arial" w:cs="Arial" w:eastAsia="Arial" w:hAnsi="Arial"/>
          <w:sz w:val="14"/>
          <w:szCs w:val="14"/>
          <w:i w:val="1"/>
          <w:iCs w:val="1"/>
          <w:color w:val="auto"/>
        </w:rPr>
        <w:t>all</w:t>
      </w:r>
      <w:r>
        <w:rPr>
          <w:rFonts w:ascii="Arial" w:cs="Arial" w:eastAsia="Arial" w:hAnsi="Arial"/>
          <w:sz w:val="14"/>
          <w:szCs w:val="14"/>
          <w:color w:val="auto"/>
        </w:rPr>
        <w:t xml:space="preserve"> employees’ interests with our long</w:t>
      </w:r>
      <w:r>
        <w:rPr>
          <w:rFonts w:ascii="MS PGothic" w:cs="MS PGothic" w:eastAsia="MS PGothic" w:hAnsi="MS PGothic"/>
          <w:sz w:val="14"/>
          <w:szCs w:val="14"/>
          <w:color w:val="auto"/>
        </w:rPr>
        <w:t>‑</w:t>
      </w:r>
      <w:r>
        <w:rPr>
          <w:rFonts w:ascii="Arial" w:cs="Arial" w:eastAsia="Arial" w:hAnsi="Arial"/>
          <w:sz w:val="14"/>
          <w:szCs w:val="14"/>
          <w:color w:val="auto"/>
        </w:rPr>
        <w:t>term success by deploying exceptionally broad-based equity program</w:t>
      </w:r>
    </w:p>
    <w:p>
      <w:pPr>
        <w:spacing w:after="0" w:line="24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065BAA"/>
        </w:rPr>
        <w:t>Shareholder Engagement &amp; Feedback</w:t>
      </w:r>
    </w:p>
    <w:p>
      <w:pPr>
        <w:spacing w:after="0" w:line="82" w:lineRule="exact"/>
        <w:rPr>
          <w:sz w:val="20"/>
          <w:szCs w:val="20"/>
          <w:color w:val="auto"/>
        </w:rPr>
      </w:pPr>
    </w:p>
    <w:p>
      <w:pPr>
        <w:ind w:left="540" w:right="2340" w:hanging="187"/>
        <w:spacing w:after="0" w:line="291" w:lineRule="auto"/>
        <w:tabs>
          <w:tab w:leader="none" w:pos="540" w:val="left"/>
        </w:tabs>
        <w:numPr>
          <w:ilvl w:val="0"/>
          <w:numId w:val="91"/>
        </w:numPr>
        <w:rPr>
          <w:rFonts w:ascii="Arial" w:cs="Arial" w:eastAsia="Arial" w:hAnsi="Arial"/>
          <w:sz w:val="16"/>
          <w:szCs w:val="16"/>
          <w:color w:val="065BAA"/>
        </w:rPr>
      </w:pPr>
      <w:r>
        <w:rPr>
          <w:rFonts w:ascii="Arial" w:cs="Arial" w:eastAsia="Arial" w:hAnsi="Arial"/>
          <w:sz w:val="14"/>
          <w:szCs w:val="14"/>
          <w:color w:val="auto"/>
        </w:rPr>
        <w:t>Seek and carefully consider the views of our shareholders</w:t>
      </w:r>
    </w:p>
    <w:p>
      <w:pPr>
        <w:spacing w:after="0" w:line="36" w:lineRule="exact"/>
        <w:rPr>
          <w:rFonts w:ascii="Arial" w:cs="Arial" w:eastAsia="Arial" w:hAnsi="Arial"/>
          <w:sz w:val="16"/>
          <w:szCs w:val="16"/>
          <w:color w:val="065BAA"/>
        </w:rPr>
      </w:pPr>
    </w:p>
    <w:p>
      <w:pPr>
        <w:ind w:left="540" w:right="2340" w:hanging="187"/>
        <w:spacing w:after="0" w:line="205" w:lineRule="exact"/>
        <w:tabs>
          <w:tab w:leader="none" w:pos="540" w:val="left"/>
        </w:tabs>
        <w:numPr>
          <w:ilvl w:val="0"/>
          <w:numId w:val="91"/>
        </w:numPr>
        <w:rPr>
          <w:rFonts w:ascii="Arial" w:cs="Arial" w:eastAsia="Arial" w:hAnsi="Arial"/>
          <w:sz w:val="16"/>
          <w:szCs w:val="16"/>
          <w:color w:val="065BAA"/>
        </w:rPr>
      </w:pPr>
      <w:r>
        <w:rPr>
          <w:rFonts w:ascii="Arial" w:cs="Arial" w:eastAsia="Arial" w:hAnsi="Arial"/>
          <w:sz w:val="14"/>
          <w:szCs w:val="14"/>
          <w:color w:val="auto"/>
        </w:rPr>
        <w:t>Foster long</w:t>
      </w:r>
      <w:r>
        <w:rPr>
          <w:rFonts w:ascii="MS PGothic" w:cs="MS PGothic" w:eastAsia="MS PGothic" w:hAnsi="MS PGothic"/>
          <w:sz w:val="14"/>
          <w:szCs w:val="14"/>
          <w:color w:val="auto"/>
        </w:rPr>
        <w:t>‑</w:t>
      </w:r>
      <w:r>
        <w:rPr>
          <w:rFonts w:ascii="Arial" w:cs="Arial" w:eastAsia="Arial" w:hAnsi="Arial"/>
          <w:sz w:val="14"/>
          <w:szCs w:val="14"/>
          <w:color w:val="auto"/>
        </w:rPr>
        <w:t>term relationships and trust with our shareholders</w:t>
      </w:r>
    </w:p>
    <w:p>
      <w:pPr>
        <w:spacing w:after="0" w:line="94" w:lineRule="exact"/>
        <w:rPr>
          <w:rFonts w:ascii="Arial" w:cs="Arial" w:eastAsia="Arial" w:hAnsi="Arial"/>
          <w:sz w:val="16"/>
          <w:szCs w:val="16"/>
          <w:color w:val="065BAA"/>
        </w:rPr>
      </w:pPr>
    </w:p>
    <w:p>
      <w:pPr>
        <w:ind w:left="540" w:right="1920" w:hanging="187"/>
        <w:spacing w:after="0" w:line="297" w:lineRule="auto"/>
        <w:tabs>
          <w:tab w:leader="none" w:pos="540" w:val="left"/>
        </w:tabs>
        <w:numPr>
          <w:ilvl w:val="0"/>
          <w:numId w:val="91"/>
        </w:numPr>
        <w:rPr>
          <w:rFonts w:ascii="Arial" w:cs="Arial" w:eastAsia="Arial" w:hAnsi="Arial"/>
          <w:sz w:val="16"/>
          <w:szCs w:val="16"/>
          <w:color w:val="065BAA"/>
        </w:rPr>
      </w:pPr>
      <w:r>
        <w:rPr>
          <w:rFonts w:ascii="Arial" w:cs="Arial" w:eastAsia="Arial" w:hAnsi="Arial"/>
          <w:sz w:val="14"/>
          <w:szCs w:val="14"/>
          <w:color w:val="auto"/>
        </w:rPr>
        <w:t>Strengthen the alignment of our executive compensation program with investor perspectives and interests without disrupting the unique and effective relationship between the program and our company culture and pay philosophy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ind w:right="499"/>
        <w:spacing w:after="0" w:line="332" w:lineRule="auto"/>
        <w:rPr>
          <w:sz w:val="20"/>
          <w:szCs w:val="20"/>
          <w:color w:val="auto"/>
        </w:rPr>
      </w:pPr>
      <w:r>
        <w:rPr>
          <w:rFonts w:ascii="Arial" w:cs="Arial" w:eastAsia="Arial" w:hAnsi="Arial"/>
          <w:sz w:val="16"/>
          <w:szCs w:val="16"/>
          <w:b w:val="1"/>
          <w:bCs w:val="1"/>
          <w:color w:val="065BAA"/>
        </w:rPr>
        <w:t>Talented, Engaged, and Loyal Workforce</w:t>
      </w:r>
    </w:p>
    <w:p>
      <w:pPr>
        <w:spacing w:after="0" w:line="9" w:lineRule="exact"/>
        <w:rPr>
          <w:sz w:val="20"/>
          <w:szCs w:val="20"/>
          <w:color w:val="auto"/>
        </w:rPr>
      </w:pPr>
    </w:p>
    <w:p>
      <w:pPr>
        <w:ind w:left="200" w:right="579" w:hanging="190"/>
        <w:spacing w:after="0" w:line="325" w:lineRule="auto"/>
        <w:tabs>
          <w:tab w:leader="none" w:pos="200" w:val="left"/>
        </w:tabs>
        <w:numPr>
          <w:ilvl w:val="0"/>
          <w:numId w:val="92"/>
        </w:numPr>
        <w:rPr>
          <w:rFonts w:ascii="Arial" w:cs="Arial" w:eastAsia="Arial" w:hAnsi="Arial"/>
          <w:sz w:val="14"/>
          <w:szCs w:val="14"/>
          <w:color w:val="065BAA"/>
        </w:rPr>
      </w:pPr>
      <w:r>
        <w:rPr>
          <w:rFonts w:ascii="Arial" w:cs="Arial" w:eastAsia="Arial" w:hAnsi="Arial"/>
          <w:sz w:val="14"/>
          <w:szCs w:val="14"/>
          <w:color w:val="auto"/>
        </w:rPr>
        <w:t>Over 1,800 full-time employees with a Ph.D. and/or M.D.</w:t>
      </w:r>
    </w:p>
    <w:p>
      <w:pPr>
        <w:spacing w:after="0" w:line="9" w:lineRule="exact"/>
        <w:rPr>
          <w:rFonts w:ascii="Arial" w:cs="Arial" w:eastAsia="Arial" w:hAnsi="Arial"/>
          <w:sz w:val="14"/>
          <w:szCs w:val="14"/>
          <w:color w:val="065BAA"/>
        </w:rPr>
      </w:pPr>
    </w:p>
    <w:p>
      <w:pPr>
        <w:ind w:left="200" w:right="859" w:hanging="190"/>
        <w:spacing w:after="0" w:line="302" w:lineRule="auto"/>
        <w:tabs>
          <w:tab w:leader="none" w:pos="200" w:val="left"/>
        </w:tabs>
        <w:numPr>
          <w:ilvl w:val="0"/>
          <w:numId w:val="92"/>
        </w:numPr>
        <w:rPr>
          <w:rFonts w:ascii="Arial" w:cs="Arial" w:eastAsia="Arial" w:hAnsi="Arial"/>
          <w:sz w:val="14"/>
          <w:szCs w:val="14"/>
          <w:color w:val="065BAA"/>
        </w:rPr>
      </w:pPr>
      <w:r>
        <w:rPr>
          <w:rFonts w:ascii="Arial" w:cs="Arial" w:eastAsia="Arial" w:hAnsi="Arial"/>
          <w:sz w:val="14"/>
          <w:szCs w:val="14"/>
          <w:color w:val="auto"/>
        </w:rPr>
        <w:t>81% of our employees view Regeneron as a great place to work based on a 2025 internal survey</w:t>
      </w:r>
    </w:p>
    <w:p>
      <w:pPr>
        <w:spacing w:after="0" w:line="8" w:lineRule="exact"/>
        <w:rPr>
          <w:rFonts w:ascii="Arial" w:cs="Arial" w:eastAsia="Arial" w:hAnsi="Arial"/>
          <w:sz w:val="14"/>
          <w:szCs w:val="14"/>
          <w:color w:val="065BAA"/>
        </w:rPr>
      </w:pPr>
    </w:p>
    <w:p>
      <w:pPr>
        <w:ind w:left="200" w:right="619" w:hanging="190"/>
        <w:spacing w:after="0" w:line="206" w:lineRule="exact"/>
        <w:tabs>
          <w:tab w:leader="none" w:pos="200" w:val="left"/>
        </w:tabs>
        <w:numPr>
          <w:ilvl w:val="0"/>
          <w:numId w:val="92"/>
        </w:numPr>
        <w:rPr>
          <w:rFonts w:ascii="Arial" w:cs="Arial" w:eastAsia="Arial" w:hAnsi="Arial"/>
          <w:sz w:val="14"/>
          <w:szCs w:val="14"/>
          <w:color w:val="065BAA"/>
        </w:rPr>
      </w:pPr>
      <w:r>
        <w:rPr>
          <w:rFonts w:ascii="Arial" w:cs="Arial" w:eastAsia="Arial" w:hAnsi="Arial"/>
          <w:sz w:val="14"/>
          <w:szCs w:val="14"/>
          <w:color w:val="auto"/>
        </w:rPr>
        <w:t>Industry</w:t>
      </w:r>
      <w:r>
        <w:rPr>
          <w:rFonts w:ascii="MS PGothic" w:cs="MS PGothic" w:eastAsia="MS PGothic" w:hAnsi="MS PGothic"/>
          <w:sz w:val="14"/>
          <w:szCs w:val="14"/>
          <w:color w:val="auto"/>
        </w:rPr>
        <w:t>‑</w:t>
      </w:r>
      <w:r>
        <w:rPr>
          <w:rFonts w:ascii="Arial" w:cs="Arial" w:eastAsia="Arial" w:hAnsi="Arial"/>
          <w:sz w:val="14"/>
          <w:szCs w:val="14"/>
          <w:color w:val="auto"/>
        </w:rPr>
        <w:t>leading 93% retention rate in 2025²</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065BAA"/>
        </w:rPr>
        <w:t>Sustained Pipeline Success</w:t>
      </w:r>
    </w:p>
    <w:p>
      <w:pPr>
        <w:spacing w:after="0" w:line="100" w:lineRule="exact"/>
        <w:rPr>
          <w:sz w:val="20"/>
          <w:szCs w:val="20"/>
          <w:color w:val="auto"/>
        </w:rPr>
      </w:pPr>
    </w:p>
    <w:p>
      <w:pPr>
        <w:jc w:val="both"/>
        <w:ind w:left="200" w:right="459" w:hanging="190"/>
        <w:spacing w:after="0" w:line="213" w:lineRule="exact"/>
        <w:tabs>
          <w:tab w:leader="none" w:pos="200" w:val="left"/>
        </w:tabs>
        <w:numPr>
          <w:ilvl w:val="0"/>
          <w:numId w:val="93"/>
        </w:numPr>
        <w:rPr>
          <w:rFonts w:ascii="Arial" w:cs="Arial" w:eastAsia="Arial" w:hAnsi="Arial"/>
          <w:sz w:val="16"/>
          <w:szCs w:val="16"/>
          <w:color w:val="065BAA"/>
        </w:rPr>
      </w:pPr>
      <w:r>
        <w:rPr>
          <w:rFonts w:ascii="Arial" w:cs="Arial" w:eastAsia="Arial" w:hAnsi="Arial"/>
          <w:sz w:val="14"/>
          <w:szCs w:val="14"/>
          <w:color w:val="auto"/>
        </w:rPr>
        <w:t>13 FDA</w:t>
      </w:r>
      <w:r>
        <w:rPr>
          <w:rFonts w:ascii="MS PGothic" w:cs="MS PGothic" w:eastAsia="MS PGothic" w:hAnsi="MS PGothic"/>
          <w:sz w:val="14"/>
          <w:szCs w:val="14"/>
          <w:color w:val="auto"/>
        </w:rPr>
        <w:t>‑</w:t>
      </w:r>
      <w:r>
        <w:rPr>
          <w:rFonts w:ascii="Arial" w:cs="Arial" w:eastAsia="Arial" w:hAnsi="Arial"/>
          <w:sz w:val="14"/>
          <w:szCs w:val="14"/>
          <w:color w:val="auto"/>
        </w:rPr>
        <w:t>approved products since inception, all internally developed</w:t>
      </w:r>
    </w:p>
    <w:p>
      <w:pPr>
        <w:spacing w:after="0" w:line="106" w:lineRule="exact"/>
        <w:rPr>
          <w:rFonts w:ascii="Arial" w:cs="Arial" w:eastAsia="Arial" w:hAnsi="Arial"/>
          <w:sz w:val="16"/>
          <w:szCs w:val="16"/>
          <w:color w:val="065BAA"/>
        </w:rPr>
      </w:pPr>
    </w:p>
    <w:p>
      <w:pPr>
        <w:ind w:left="200" w:hanging="190"/>
        <w:spacing w:after="0"/>
        <w:tabs>
          <w:tab w:leader="none" w:pos="200" w:val="left"/>
        </w:tabs>
        <w:numPr>
          <w:ilvl w:val="0"/>
          <w:numId w:val="93"/>
        </w:numPr>
        <w:rPr>
          <w:rFonts w:ascii="Arial" w:cs="Arial" w:eastAsia="Arial" w:hAnsi="Arial"/>
          <w:sz w:val="16"/>
          <w:szCs w:val="16"/>
          <w:color w:val="065BAA"/>
        </w:rPr>
      </w:pPr>
      <w:r>
        <w:rPr>
          <w:rFonts w:ascii="Arial" w:cs="Arial" w:eastAsia="Arial" w:hAnsi="Arial"/>
          <w:sz w:val="14"/>
          <w:szCs w:val="14"/>
          <w:color w:val="auto"/>
        </w:rPr>
        <w:t>4 current blockbuster products</w:t>
      </w:r>
    </w:p>
    <w:p>
      <w:pPr>
        <w:spacing w:after="0" w:line="99" w:lineRule="exact"/>
        <w:rPr>
          <w:rFonts w:ascii="Arial" w:cs="Arial" w:eastAsia="Arial" w:hAnsi="Arial"/>
          <w:sz w:val="16"/>
          <w:szCs w:val="16"/>
          <w:color w:val="065BAA"/>
        </w:rPr>
      </w:pPr>
    </w:p>
    <w:p>
      <w:pPr>
        <w:ind w:left="200" w:right="559" w:hanging="190"/>
        <w:spacing w:after="0" w:line="311" w:lineRule="auto"/>
        <w:tabs>
          <w:tab w:leader="none" w:pos="200" w:val="left"/>
        </w:tabs>
        <w:numPr>
          <w:ilvl w:val="0"/>
          <w:numId w:val="93"/>
        </w:numPr>
        <w:rPr>
          <w:rFonts w:ascii="Arial" w:cs="Arial" w:eastAsia="Arial" w:hAnsi="Arial"/>
          <w:sz w:val="16"/>
          <w:szCs w:val="16"/>
          <w:color w:val="065BAA"/>
        </w:rPr>
      </w:pPr>
      <w:r>
        <w:rPr>
          <w:rFonts w:ascii="Arial" w:cs="Arial" w:eastAsia="Arial" w:hAnsi="Arial"/>
          <w:sz w:val="14"/>
          <w:szCs w:val="14"/>
          <w:color w:val="auto"/>
        </w:rPr>
        <w:t>Nearly 50 product candidates in clinical development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065BAA"/>
        </w:rPr>
        <w:t>Shareholder Value Creation</w:t>
      </w:r>
    </w:p>
    <w:p>
      <w:pPr>
        <w:spacing w:after="0" w:line="320" w:lineRule="exact"/>
        <w:rPr>
          <w:sz w:val="20"/>
          <w:szCs w:val="20"/>
          <w:color w:val="auto"/>
        </w:rPr>
      </w:pPr>
    </w:p>
    <w:p>
      <w:pPr>
        <w:ind w:left="200" w:right="519" w:hanging="190"/>
        <w:spacing w:after="0" w:line="207" w:lineRule="exact"/>
        <w:tabs>
          <w:tab w:leader="none" w:pos="200" w:val="left"/>
        </w:tabs>
        <w:numPr>
          <w:ilvl w:val="0"/>
          <w:numId w:val="94"/>
        </w:numPr>
        <w:rPr>
          <w:rFonts w:ascii="Arial" w:cs="Arial" w:eastAsia="Arial" w:hAnsi="Arial"/>
          <w:sz w:val="16"/>
          <w:szCs w:val="16"/>
          <w:color w:val="065BAA"/>
        </w:rPr>
      </w:pPr>
      <w:r>
        <w:rPr>
          <w:rFonts w:ascii="Arial" w:cs="Arial" w:eastAsia="Arial" w:hAnsi="Arial"/>
          <w:sz w:val="14"/>
          <w:szCs w:val="14"/>
          <w:color w:val="auto"/>
        </w:rPr>
        <w:t>~3,600% TSR since becoming a public company (1991</w:t>
      </w:r>
      <w:r>
        <w:rPr>
          <w:rFonts w:ascii="MS PGothic" w:cs="MS PGothic" w:eastAsia="MS PGothic" w:hAnsi="MS PGothic"/>
          <w:sz w:val="14"/>
          <w:szCs w:val="14"/>
          <w:color w:val="auto"/>
        </w:rPr>
        <w:t>‑</w:t>
      </w:r>
      <w:r>
        <w:rPr>
          <w:rFonts w:ascii="Arial" w:cs="Arial" w:eastAsia="Arial" w:hAnsi="Arial"/>
          <w:sz w:val="14"/>
          <w:szCs w:val="14"/>
          <w:color w:val="auto"/>
        </w:rPr>
        <w:t>2025)</w:t>
      </w:r>
    </w:p>
    <w:p>
      <w:pPr>
        <w:spacing w:after="0" w:line="100" w:lineRule="exact"/>
        <w:rPr>
          <w:rFonts w:ascii="Arial" w:cs="Arial" w:eastAsia="Arial" w:hAnsi="Arial"/>
          <w:sz w:val="16"/>
          <w:szCs w:val="16"/>
          <w:color w:val="065BAA"/>
        </w:rPr>
      </w:pPr>
    </w:p>
    <w:p>
      <w:pPr>
        <w:ind w:left="200" w:hanging="190"/>
        <w:spacing w:after="0"/>
        <w:tabs>
          <w:tab w:leader="none" w:pos="200" w:val="left"/>
        </w:tabs>
        <w:numPr>
          <w:ilvl w:val="0"/>
          <w:numId w:val="94"/>
        </w:numPr>
        <w:rPr>
          <w:rFonts w:ascii="Arial" w:cs="Arial" w:eastAsia="Arial" w:hAnsi="Arial"/>
          <w:sz w:val="16"/>
          <w:szCs w:val="16"/>
          <w:color w:val="065BAA"/>
        </w:rPr>
      </w:pPr>
      <w:r>
        <w:rPr>
          <w:rFonts w:ascii="Arial" w:cs="Arial" w:eastAsia="Arial" w:hAnsi="Arial"/>
          <w:sz w:val="14"/>
          <w:szCs w:val="14"/>
          <w:color w:val="auto"/>
        </w:rPr>
        <w:t>60% TSR over the last five years</w:t>
      </w:r>
    </w:p>
    <w:p>
      <w:pPr>
        <w:spacing w:after="0" w:line="12" w:lineRule="exact"/>
        <w:rPr>
          <w:rFonts w:ascii="Arial" w:cs="Arial" w:eastAsia="Arial" w:hAnsi="Arial"/>
          <w:sz w:val="16"/>
          <w:szCs w:val="16"/>
          <w:color w:val="065BAA"/>
        </w:rPr>
      </w:pPr>
    </w:p>
    <w:p>
      <w:pPr>
        <w:ind w:left="200"/>
        <w:spacing w:after="0" w:line="161" w:lineRule="exact"/>
        <w:rPr>
          <w:rFonts w:ascii="Arial" w:cs="Arial" w:eastAsia="Arial" w:hAnsi="Arial"/>
          <w:sz w:val="16"/>
          <w:szCs w:val="16"/>
          <w:color w:val="065BAA"/>
        </w:rPr>
      </w:pPr>
      <w:r>
        <w:rPr>
          <w:rFonts w:ascii="Arial" w:cs="Arial" w:eastAsia="Arial" w:hAnsi="Arial"/>
          <w:sz w:val="14"/>
          <w:szCs w:val="14"/>
          <w:color w:val="auto"/>
        </w:rPr>
        <w:t>(2020</w:t>
      </w:r>
      <w:r>
        <w:rPr>
          <w:rFonts w:ascii="MS PGothic" w:cs="MS PGothic" w:eastAsia="MS PGothic" w:hAnsi="MS PGothic"/>
          <w:sz w:val="14"/>
          <w:szCs w:val="14"/>
          <w:color w:val="auto"/>
        </w:rPr>
        <w:t>‑</w:t>
      </w:r>
      <w:r>
        <w:rPr>
          <w:rFonts w:ascii="Arial" w:cs="Arial" w:eastAsia="Arial" w:hAnsi="Arial"/>
          <w:sz w:val="14"/>
          <w:szCs w:val="14"/>
          <w:color w:val="auto"/>
        </w:rPr>
        <w:t>2025)</w:t>
      </w:r>
    </w:p>
    <w:p>
      <w:pPr>
        <w:spacing w:after="0" w:line="128" w:lineRule="exact"/>
        <w:rPr>
          <w:rFonts w:ascii="Arial" w:cs="Arial" w:eastAsia="Arial" w:hAnsi="Arial"/>
          <w:sz w:val="16"/>
          <w:szCs w:val="16"/>
          <w:color w:val="065BAA"/>
        </w:rPr>
      </w:pPr>
    </w:p>
    <w:p>
      <w:pPr>
        <w:ind w:left="200" w:right="699" w:hanging="190"/>
        <w:spacing w:after="0" w:line="302" w:lineRule="auto"/>
        <w:tabs>
          <w:tab w:leader="none" w:pos="200" w:val="left"/>
        </w:tabs>
        <w:numPr>
          <w:ilvl w:val="0"/>
          <w:numId w:val="94"/>
        </w:numPr>
        <w:rPr>
          <w:rFonts w:ascii="Arial" w:cs="Arial" w:eastAsia="Arial" w:hAnsi="Arial"/>
          <w:sz w:val="14"/>
          <w:szCs w:val="14"/>
          <w:color w:val="065BAA"/>
        </w:rPr>
      </w:pPr>
      <w:r>
        <w:rPr>
          <w:rFonts w:ascii="Arial" w:cs="Arial" w:eastAsia="Arial" w:hAnsi="Arial"/>
          <w:sz w:val="14"/>
          <w:szCs w:val="14"/>
          <w:color w:val="auto"/>
        </w:rPr>
        <w:t>$3.8 billion of capital returned to shareholders in 2025 through share repurchase and dividend programs</w:t>
      </w:r>
    </w:p>
    <w:p>
      <w:pPr>
        <w:spacing w:after="0" w:line="200" w:lineRule="exact"/>
        <w:rPr>
          <w:sz w:val="20"/>
          <w:szCs w:val="20"/>
          <w:color w:val="auto"/>
        </w:rPr>
      </w:pPr>
    </w:p>
    <w:p>
      <w:pPr>
        <w:sectPr>
          <w:pgSz w:w="11900" w:h="16838" w:orient="portrait"/>
          <w:cols w:equalWidth="0" w:num="2">
            <w:col w:w="5700" w:space="540"/>
            <w:col w:w="2779"/>
          </w:cols>
          <w:pgMar w:left="1440" w:top="657" w:right="1440" w:bottom="1440" w:gutter="0" w:footer="0" w:header="0"/>
          <w:type w:val="continuous"/>
        </w:sectPr>
      </w:pPr>
    </w:p>
    <w:p>
      <w:pPr>
        <w:spacing w:after="0" w:line="398" w:lineRule="exact"/>
        <w:rPr>
          <w:sz w:val="20"/>
          <w:szCs w:val="20"/>
          <w:color w:val="auto"/>
        </w:rPr>
      </w:pPr>
    </w:p>
    <w:p>
      <w:pPr>
        <w:ind w:left="320" w:right="239" w:hanging="190"/>
        <w:spacing w:after="0" w:line="236" w:lineRule="auto"/>
        <w:tabs>
          <w:tab w:leader="none" w:pos="320" w:val="left"/>
        </w:tabs>
        <w:numPr>
          <w:ilvl w:val="0"/>
          <w:numId w:val="95"/>
        </w:numPr>
        <w:rPr>
          <w:rFonts w:ascii="Arial" w:cs="Arial" w:eastAsia="Arial" w:hAnsi="Arial"/>
          <w:sz w:val="16"/>
          <w:szCs w:val="16"/>
          <w:color w:val="auto"/>
          <w:vertAlign w:val="superscript"/>
        </w:rPr>
      </w:pPr>
      <w:r>
        <w:rPr>
          <w:rFonts w:ascii="Arial" w:cs="Arial" w:eastAsia="Arial" w:hAnsi="Arial"/>
          <w:sz w:val="13"/>
          <w:szCs w:val="13"/>
          <w:color w:val="auto"/>
        </w:rPr>
        <w:t>Based on Regeneron’s turnover rate compared to the industry average. In 2025, our turnover rate was 7.4% compared to an industry average of 20.2%. Industry average is based on data of U.S. life sciences companies reported in Aon’s 2025 Salary Increase and Turnover Study.</w:t>
      </w:r>
    </w:p>
    <w:p>
      <w:pPr>
        <w:spacing w:after="0" w:line="8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57</w:t>
            </w:r>
          </w:p>
        </w:tc>
      </w:tr>
    </w:tbl>
    <w:p>
      <w:pPr>
        <w:sectPr>
          <w:pgSz w:w="11900" w:h="16838" w:orient="portrait"/>
          <w:cols w:equalWidth="0" w:num="1">
            <w:col w:w="9019"/>
          </w:cols>
          <w:pgMar w:left="1440" w:top="657" w:right="1440" w:bottom="1440" w:gutter="0" w:footer="0" w:header="0"/>
          <w:type w:val="continuous"/>
        </w:sectPr>
      </w:pPr>
    </w:p>
    <w:bookmarkStart w:id="66" w:name="page67"/>
    <w:bookmarkEnd w:id="66"/>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What’s New</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2025 Business Developments</w:t>
      </w:r>
    </w:p>
    <w:p>
      <w:pPr>
        <w:spacing w:after="0" w:line="97" w:lineRule="exact"/>
        <w:rPr>
          <w:sz w:val="20"/>
          <w:szCs w:val="20"/>
          <w:color w:val="auto"/>
        </w:rPr>
      </w:pPr>
    </w:p>
    <w:p>
      <w:pPr>
        <w:ind w:left="140" w:right="219"/>
        <w:spacing w:after="0" w:line="265" w:lineRule="auto"/>
        <w:rPr>
          <w:sz w:val="20"/>
          <w:szCs w:val="20"/>
          <w:color w:val="auto"/>
        </w:rPr>
      </w:pPr>
      <w:r>
        <w:rPr>
          <w:rFonts w:ascii="Arial" w:cs="Arial" w:eastAsia="Arial" w:hAnsi="Arial"/>
          <w:sz w:val="16"/>
          <w:szCs w:val="16"/>
          <w:color w:val="auto"/>
        </w:rPr>
        <w:t>In 2025, we had many notable scientific, financial, and operational achievements and also faced several significant challenges. We highlight key 2025 accomplishments and challenges below and provide a comprehensive overview of our 2025 performance, as well as the Compensation Committee’s assessment of this performance, in the subsection “Components of Executive Pay: What We Pay and Why We Pay It—Annual Cash Incentives.”</w:t>
      </w:r>
    </w:p>
    <w:p>
      <w:pPr>
        <w:sectPr>
          <w:pgSz w:w="11900" w:h="16838" w:orient="portrait"/>
          <w:cols w:equalWidth="0" w:num="1">
            <w:col w:w="9019"/>
          </w:cols>
          <w:pgMar w:left="1440" w:top="657" w:right="1440" w:bottom="1440" w:gutter="0" w:footer="0" w:header="0"/>
        </w:sectPr>
      </w:pPr>
    </w:p>
    <w:p>
      <w:pPr>
        <w:spacing w:after="0" w:line="14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3B5AA4"/>
        </w:rPr>
        <w:t>Regulatory Actions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EYLEA HD:</w:t>
      </w:r>
    </w:p>
    <w:p>
      <w:pPr>
        <w:spacing w:after="0" w:line="40" w:lineRule="exact"/>
        <w:rPr>
          <w:sz w:val="20"/>
          <w:szCs w:val="20"/>
          <w:color w:val="auto"/>
        </w:rPr>
      </w:pPr>
    </w:p>
    <w:p>
      <w:pPr>
        <w:ind w:left="540" w:right="40" w:hanging="187"/>
        <w:spacing w:after="0"/>
        <w:rPr>
          <w:sz w:val="20"/>
          <w:szCs w:val="20"/>
          <w:color w:val="auto"/>
        </w:rPr>
      </w:pPr>
      <w:r>
        <w:rPr>
          <w:sz w:val="1"/>
          <w:szCs w:val="1"/>
          <w:color w:val="auto"/>
        </w:rPr>
        <w:drawing>
          <wp:inline distT="0" distB="0" distL="0" distR="0">
            <wp:extent cx="76835" cy="6858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3"/>
          <w:szCs w:val="13"/>
          <w:color w:val="auto"/>
        </w:rPr>
        <w:t xml:space="preserve"> Obtained FDA approval for the treatment of macular edema following retinal vein occlusion (“RVO”) and a positive opinion by the European Medicines Agency for the same indication</w:t>
      </w:r>
    </w:p>
    <w:p>
      <w:pPr>
        <w:spacing w:after="0" w:line="37" w:lineRule="exact"/>
        <w:rPr>
          <w:sz w:val="20"/>
          <w:szCs w:val="20"/>
          <w:color w:val="auto"/>
        </w:rPr>
      </w:pPr>
    </w:p>
    <w:p>
      <w:pPr>
        <w:ind w:left="540" w:right="260" w:hanging="187"/>
        <w:spacing w:after="0"/>
        <w:rPr>
          <w:sz w:val="20"/>
          <w:szCs w:val="20"/>
          <w:color w:val="auto"/>
        </w:rPr>
      </w:pPr>
      <w:r>
        <w:rPr>
          <w:sz w:val="1"/>
          <w:szCs w:val="1"/>
          <w:color w:val="auto"/>
        </w:rPr>
        <w:drawing>
          <wp:inline distT="0" distB="0" distL="0" distR="0">
            <wp:extent cx="76835" cy="6858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3"/>
          <w:szCs w:val="13"/>
          <w:color w:val="auto"/>
        </w:rPr>
        <w:t xml:space="preserve"> Obtained FDA approval for every 4-week dosing regimen for approved indications</w:t>
      </w:r>
    </w:p>
    <w:p>
      <w:pPr>
        <w:spacing w:after="0" w:line="37" w:lineRule="exact"/>
        <w:rPr>
          <w:sz w:val="20"/>
          <w:szCs w:val="20"/>
          <w:color w:val="auto"/>
        </w:rPr>
      </w:pPr>
    </w:p>
    <w:p>
      <w:pPr>
        <w:ind w:left="540" w:right="160" w:hanging="187"/>
        <w:spacing w:after="0" w:line="159" w:lineRule="exact"/>
        <w:rPr>
          <w:sz w:val="20"/>
          <w:szCs w:val="20"/>
          <w:color w:val="auto"/>
        </w:rPr>
      </w:pPr>
      <w:r>
        <w:rPr>
          <w:sz w:val="1"/>
          <w:szCs w:val="1"/>
          <w:color w:val="auto"/>
        </w:rPr>
        <w:drawing>
          <wp:inline distT="0" distB="0" distL="0" distR="0">
            <wp:extent cx="76835" cy="6858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3"/>
          <w:szCs w:val="13"/>
          <w:color w:val="auto"/>
        </w:rPr>
        <w:t xml:space="preserve"> Obtained European Commission (“EC”) approval for extended dosing intervals in wet age</w:t>
      </w:r>
      <w:r>
        <w:rPr>
          <w:rFonts w:ascii="MS PGothic" w:cs="MS PGothic" w:eastAsia="MS PGothic" w:hAnsi="MS PGothic"/>
          <w:sz w:val="13"/>
          <w:szCs w:val="13"/>
          <w:color w:val="auto"/>
        </w:rPr>
        <w:t>‑</w:t>
      </w:r>
      <w:r>
        <w:rPr>
          <w:rFonts w:ascii="Arial" w:cs="Arial" w:eastAsia="Arial" w:hAnsi="Arial"/>
          <w:sz w:val="13"/>
          <w:szCs w:val="13"/>
          <w:color w:val="auto"/>
        </w:rPr>
        <w:t>related macular degeneration (“wAMD”) and diabetic macular edema (“DME”)</w:t>
      </w:r>
    </w:p>
    <w:p>
      <w:pPr>
        <w:spacing w:after="0" w:line="37" w:lineRule="exact"/>
        <w:rPr>
          <w:sz w:val="20"/>
          <w:szCs w:val="20"/>
          <w:color w:val="auto"/>
        </w:rPr>
      </w:pPr>
    </w:p>
    <w:p>
      <w:pPr>
        <w:ind w:left="360"/>
        <w:spacing w:after="0"/>
        <w:rPr>
          <w:sz w:val="20"/>
          <w:szCs w:val="20"/>
          <w:color w:val="auto"/>
        </w:rPr>
      </w:pPr>
      <w:r>
        <w:rPr>
          <w:sz w:val="1"/>
          <w:szCs w:val="1"/>
          <w:color w:val="auto"/>
        </w:rPr>
        <w:drawing>
          <wp:inline distT="0" distB="0" distL="0" distR="0">
            <wp:extent cx="76835" cy="7747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Arial" w:cs="Arial" w:eastAsia="Arial" w:hAnsi="Arial"/>
          <w:sz w:val="13"/>
          <w:szCs w:val="13"/>
          <w:color w:val="auto"/>
        </w:rPr>
        <w:t xml:space="preserve"> Received Complete Response Letters (“CRLs”) from FDA for</w:t>
      </w:r>
    </w:p>
    <w:p>
      <w:pPr>
        <w:spacing w:after="0" w:line="40" w:lineRule="exact"/>
        <w:rPr>
          <w:sz w:val="20"/>
          <w:szCs w:val="20"/>
          <w:color w:val="auto"/>
        </w:rPr>
      </w:pPr>
    </w:p>
    <w:p>
      <w:pPr>
        <w:ind w:left="540" w:right="60"/>
        <w:spacing w:after="0" w:line="251" w:lineRule="auto"/>
        <w:rPr>
          <w:sz w:val="20"/>
          <w:szCs w:val="20"/>
          <w:color w:val="auto"/>
        </w:rPr>
      </w:pPr>
      <w:r>
        <w:rPr>
          <w:rFonts w:ascii="Arial" w:cs="Arial" w:eastAsia="Arial" w:hAnsi="Arial"/>
          <w:sz w:val="13"/>
          <w:szCs w:val="13"/>
          <w:color w:val="auto"/>
        </w:rPr>
        <w:t>supplemental Biologics License Application (“sBLA”) for addition of extended dosing intervals and for regulatory application for pre-filled syringe*</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Dupixent:</w:t>
      </w:r>
    </w:p>
    <w:p>
      <w:pPr>
        <w:spacing w:after="0" w:line="53" w:lineRule="exact"/>
        <w:rPr>
          <w:sz w:val="20"/>
          <w:szCs w:val="20"/>
          <w:color w:val="auto"/>
        </w:rPr>
      </w:pPr>
    </w:p>
    <w:p>
      <w:pPr>
        <w:ind w:left="540" w:right="260" w:hanging="187"/>
        <w:spacing w:after="0"/>
        <w:rPr>
          <w:sz w:val="20"/>
          <w:szCs w:val="20"/>
          <w:color w:val="auto"/>
        </w:rPr>
      </w:pPr>
      <w:r>
        <w:rPr>
          <w:sz w:val="1"/>
          <w:szCs w:val="1"/>
          <w:color w:val="auto"/>
        </w:rPr>
        <w:drawing>
          <wp:inline distT="0" distB="0" distL="0" distR="0">
            <wp:extent cx="76835" cy="6032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3"/>
          <w:szCs w:val="13"/>
          <w:color w:val="auto"/>
        </w:rPr>
        <w:t xml:space="preserve"> Obtained FDA and EC approvals for the treatment of chronic spontaneous urticaria (“CSU”) in adults and adolescents</w:t>
      </w:r>
    </w:p>
    <w:p>
      <w:pPr>
        <w:spacing w:after="0" w:line="37" w:lineRule="exact"/>
        <w:rPr>
          <w:sz w:val="20"/>
          <w:szCs w:val="20"/>
          <w:color w:val="auto"/>
        </w:rPr>
      </w:pPr>
    </w:p>
    <w:p>
      <w:pPr>
        <w:ind w:left="360"/>
        <w:spacing w:after="0"/>
        <w:rPr>
          <w:sz w:val="20"/>
          <w:szCs w:val="20"/>
          <w:color w:val="auto"/>
        </w:rPr>
      </w:pPr>
      <w:r>
        <w:rPr>
          <w:sz w:val="1"/>
          <w:szCs w:val="1"/>
          <w:color w:val="auto"/>
        </w:rPr>
        <w:drawing>
          <wp:inline distT="0" distB="0" distL="0" distR="0">
            <wp:extent cx="76835" cy="5969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2"/>
          <w:szCs w:val="12"/>
          <w:color w:val="auto"/>
        </w:rPr>
        <w:t xml:space="preserve"> Obtained FDA approval for the treatment of bullous pemphigoid</w:t>
      </w:r>
    </w:p>
    <w:p>
      <w:pPr>
        <w:spacing w:after="0" w:line="51" w:lineRule="exact"/>
        <w:rPr>
          <w:sz w:val="20"/>
          <w:szCs w:val="20"/>
          <w:color w:val="auto"/>
        </w:rPr>
      </w:pPr>
    </w:p>
    <w:p>
      <w:pPr>
        <w:ind w:left="540" w:hanging="187"/>
        <w:spacing w:after="0"/>
        <w:rPr>
          <w:sz w:val="20"/>
          <w:szCs w:val="20"/>
          <w:color w:val="auto"/>
        </w:rPr>
      </w:pPr>
      <w:r>
        <w:rPr>
          <w:sz w:val="1"/>
          <w:szCs w:val="1"/>
          <w:color w:val="auto"/>
        </w:rPr>
        <w:drawing>
          <wp:inline distT="0" distB="0" distL="0" distR="0">
            <wp:extent cx="76835" cy="6858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3"/>
          <w:szCs w:val="13"/>
          <w:color w:val="auto"/>
        </w:rPr>
        <w:t xml:space="preserve"> Obtained approvals by Japan’s Ministry of Health, Labour and Welfare (“MHLW”) for the treatment of asthma in pediatrics and the treatment of chronic obstructive pulmonary disease (“COPD”)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Oncology &amp; Hematology:</w:t>
      </w:r>
    </w:p>
    <w:p>
      <w:pPr>
        <w:spacing w:after="0" w:line="40" w:lineRule="exact"/>
        <w:rPr>
          <w:sz w:val="20"/>
          <w:szCs w:val="20"/>
          <w:color w:val="auto"/>
        </w:rPr>
      </w:pPr>
    </w:p>
    <w:p>
      <w:pPr>
        <w:ind w:left="540" w:right="520" w:hanging="187"/>
        <w:spacing w:after="0"/>
        <w:rPr>
          <w:sz w:val="20"/>
          <w:szCs w:val="20"/>
          <w:color w:val="auto"/>
        </w:rPr>
      </w:pPr>
      <w:r>
        <w:rPr>
          <w:sz w:val="1"/>
          <w:szCs w:val="1"/>
          <w:color w:val="auto"/>
        </w:rPr>
        <w:drawing>
          <wp:inline distT="0" distB="0" distL="0" distR="0">
            <wp:extent cx="76835" cy="6858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3"/>
          <w:szCs w:val="13"/>
          <w:color w:val="auto"/>
        </w:rPr>
        <w:t xml:space="preserve"> Obtained FDA and EC approvals for Libtayo in adjuvant cutaneous squamous cell carcinoma (“CSCC”)</w:t>
      </w:r>
    </w:p>
    <w:p>
      <w:pPr>
        <w:spacing w:after="0" w:line="13" w:lineRule="exact"/>
        <w:rPr>
          <w:sz w:val="20"/>
          <w:szCs w:val="20"/>
          <w:color w:val="auto"/>
        </w:rPr>
      </w:pPr>
    </w:p>
    <w:p>
      <w:pPr>
        <w:ind w:left="360"/>
        <w:spacing w:after="0"/>
        <w:rPr>
          <w:sz w:val="20"/>
          <w:szCs w:val="20"/>
          <w:color w:val="auto"/>
        </w:rPr>
      </w:pPr>
      <w:r>
        <w:rPr>
          <w:sz w:val="1"/>
          <w:szCs w:val="1"/>
          <w:color w:val="auto"/>
        </w:rPr>
        <w:drawing>
          <wp:inline distT="0" distB="0" distL="0" distR="0">
            <wp:extent cx="76835" cy="6858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2"/>
          <w:szCs w:val="12"/>
          <w:color w:val="auto"/>
        </w:rPr>
        <w:t xml:space="preserve"> Obtained FDA and EC approvals for Lynozyfic</w:t>
      </w:r>
      <w:r>
        <w:rPr>
          <w:rFonts w:ascii="Arial" w:cs="Arial" w:eastAsia="Arial" w:hAnsi="Arial"/>
          <w:sz w:val="15"/>
          <w:szCs w:val="15"/>
          <w:color w:val="auto"/>
          <w:vertAlign w:val="superscript"/>
        </w:rPr>
        <w:t>®</w:t>
      </w:r>
      <w:r>
        <w:rPr>
          <w:rFonts w:ascii="Arial" w:cs="Arial" w:eastAsia="Arial" w:hAnsi="Arial"/>
          <w:sz w:val="12"/>
          <w:szCs w:val="12"/>
          <w:color w:val="auto"/>
        </w:rPr>
        <w:t xml:space="preserve"> (linvoseltamab)</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 relapsed/refractory (“R/R”) multiple myeloma</w:t>
      </w:r>
    </w:p>
    <w:p>
      <w:pPr>
        <w:spacing w:after="0" w:line="4" w:lineRule="exact"/>
        <w:rPr>
          <w:sz w:val="20"/>
          <w:szCs w:val="20"/>
          <w:color w:val="auto"/>
        </w:rPr>
      </w:pPr>
    </w:p>
    <w:p>
      <w:pPr>
        <w:ind w:left="540" w:right="460" w:hanging="187"/>
        <w:spacing w:after="0"/>
        <w:rPr>
          <w:sz w:val="20"/>
          <w:szCs w:val="20"/>
          <w:color w:val="auto"/>
        </w:rPr>
      </w:pPr>
      <w:r>
        <w:rPr>
          <w:sz w:val="1"/>
          <w:szCs w:val="1"/>
          <w:color w:val="auto"/>
        </w:rPr>
        <w:drawing>
          <wp:inline distT="0" distB="0" distL="0" distR="0">
            <wp:extent cx="59690" cy="6858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68580"/>
                    </a:xfrm>
                    <a:prstGeom prst="rect">
                      <a:avLst/>
                    </a:prstGeom>
                    <a:noFill/>
                    <a:ln>
                      <a:noFill/>
                    </a:ln>
                  </pic:spPr>
                </pic:pic>
              </a:graphicData>
            </a:graphic>
          </wp:inline>
        </w:drawing>
      </w:r>
      <w:r>
        <w:rPr>
          <w:rFonts w:ascii="Arial" w:cs="Arial" w:eastAsia="Arial" w:hAnsi="Arial"/>
          <w:sz w:val="13"/>
          <w:szCs w:val="13"/>
          <w:color w:val="auto"/>
        </w:rPr>
        <w:t xml:space="preserve"> Received CRL from FDA for Ordspono</w:t>
      </w:r>
      <w:r>
        <w:rPr>
          <w:rFonts w:ascii="Arial" w:cs="Arial" w:eastAsia="Arial" w:hAnsi="Arial"/>
          <w:sz w:val="16"/>
          <w:szCs w:val="16"/>
          <w:color w:val="auto"/>
          <w:vertAlign w:val="superscript"/>
        </w:rPr>
        <w:t>TM</w:t>
      </w:r>
      <w:r>
        <w:rPr>
          <w:rFonts w:ascii="Arial" w:cs="Arial" w:eastAsia="Arial" w:hAnsi="Arial"/>
          <w:sz w:val="13"/>
          <w:szCs w:val="13"/>
          <w:color w:val="auto"/>
        </w:rPr>
        <w:t xml:space="preserve"> (odronextamab) Biologics License Application (“BLA”) for R/R follicular lymphoma*</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3B5AA4"/>
        </w:rPr>
        <w:t>Clinical and Significant Pipeline Developments</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EYLEA HD:</w:t>
      </w:r>
    </w:p>
    <w:p>
      <w:pPr>
        <w:spacing w:after="0" w:line="24" w:lineRule="exact"/>
        <w:rPr>
          <w:sz w:val="20"/>
          <w:szCs w:val="20"/>
          <w:color w:val="auto"/>
        </w:rPr>
      </w:pPr>
    </w:p>
    <w:p>
      <w:pPr>
        <w:ind w:left="200" w:right="759" w:hanging="187"/>
        <w:spacing w:after="0" w:line="165" w:lineRule="exact"/>
        <w:rPr>
          <w:sz w:val="20"/>
          <w:szCs w:val="20"/>
          <w:color w:val="auto"/>
        </w:rPr>
      </w:pPr>
      <w:r>
        <w:rPr>
          <w:sz w:val="1"/>
          <w:szCs w:val="1"/>
          <w:color w:val="auto"/>
        </w:rPr>
        <w:drawing>
          <wp:inline distT="0" distB="0" distL="0" distR="0">
            <wp:extent cx="76835" cy="6858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3"/>
          <w:szCs w:val="13"/>
          <w:color w:val="auto"/>
        </w:rPr>
        <w:t xml:space="preserve"> Presented positive three</w:t>
      </w:r>
      <w:r>
        <w:rPr>
          <w:rFonts w:ascii="MS PGothic" w:cs="MS PGothic" w:eastAsia="MS PGothic" w:hAnsi="MS PGothic"/>
          <w:sz w:val="13"/>
          <w:szCs w:val="13"/>
          <w:color w:val="auto"/>
        </w:rPr>
        <w:t>‑</w:t>
      </w:r>
      <w:r>
        <w:rPr>
          <w:rFonts w:ascii="Arial" w:cs="Arial" w:eastAsia="Arial" w:hAnsi="Arial"/>
          <w:sz w:val="13"/>
          <w:szCs w:val="13"/>
          <w:color w:val="auto"/>
        </w:rPr>
        <w:t>year data from extension study of Phase 3 wAMD trial</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Immunology &amp; Inflammation:</w:t>
      </w:r>
    </w:p>
    <w:p>
      <w:pPr>
        <w:spacing w:after="0" w:line="53" w:lineRule="exact"/>
        <w:rPr>
          <w:sz w:val="20"/>
          <w:szCs w:val="20"/>
          <w:color w:val="auto"/>
        </w:rPr>
      </w:pPr>
    </w:p>
    <w:p>
      <w:pPr>
        <w:ind w:left="200" w:right="799" w:hanging="187"/>
        <w:spacing w:after="0"/>
        <w:rPr>
          <w:sz w:val="20"/>
          <w:szCs w:val="20"/>
          <w:color w:val="auto"/>
        </w:rPr>
      </w:pPr>
      <w:r>
        <w:rPr>
          <w:sz w:val="1"/>
          <w:szCs w:val="1"/>
          <w:color w:val="auto"/>
        </w:rPr>
        <w:drawing>
          <wp:inline distT="0" distB="0" distL="0" distR="0">
            <wp:extent cx="76835" cy="5969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3"/>
          <w:szCs w:val="13"/>
          <w:color w:val="auto"/>
        </w:rPr>
        <w:t xml:space="preserve"> Reported that Phase 3 trial of Dupixent in allergic fungal rhinosinusitis (“AFRS”) met its primary and key secondary endpoints</w:t>
      </w:r>
    </w:p>
    <w:p>
      <w:pPr>
        <w:spacing w:after="0" w:line="37" w:lineRule="exact"/>
        <w:rPr>
          <w:sz w:val="20"/>
          <w:szCs w:val="20"/>
          <w:color w:val="auto"/>
        </w:rPr>
      </w:pPr>
    </w:p>
    <w:p>
      <w:pPr>
        <w:jc w:val="both"/>
        <w:ind w:left="200" w:right="559" w:hanging="187"/>
        <w:spacing w:after="0"/>
        <w:rPr>
          <w:sz w:val="20"/>
          <w:szCs w:val="20"/>
          <w:color w:val="auto"/>
        </w:rPr>
      </w:pPr>
      <w:r>
        <w:rPr>
          <w:sz w:val="1"/>
          <w:szCs w:val="1"/>
          <w:color w:val="auto"/>
        </w:rPr>
        <w:drawing>
          <wp:inline distT="0" distB="0" distL="0" distR="0">
            <wp:extent cx="76835" cy="6858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3"/>
          <w:szCs w:val="13"/>
          <w:color w:val="auto"/>
        </w:rPr>
        <w:t xml:space="preserve"> Reported that Phase 3 trial of cemdisiran (siRNA therapeutic targeting C5) in generalized myasthenia gravis met its primary and key secondary endpoints</w:t>
      </w:r>
    </w:p>
    <w:p>
      <w:pPr>
        <w:spacing w:after="0" w:line="37" w:lineRule="exact"/>
        <w:rPr>
          <w:sz w:val="20"/>
          <w:szCs w:val="20"/>
          <w:color w:val="auto"/>
        </w:rPr>
      </w:pPr>
    </w:p>
    <w:p>
      <w:pPr>
        <w:ind w:left="200" w:right="459" w:hanging="187"/>
        <w:spacing w:after="0"/>
        <w:rPr>
          <w:sz w:val="20"/>
          <w:szCs w:val="20"/>
          <w:color w:val="auto"/>
        </w:rPr>
      </w:pPr>
      <w:r>
        <w:rPr>
          <w:sz w:val="1"/>
          <w:szCs w:val="1"/>
          <w:color w:val="auto"/>
        </w:rPr>
        <w:drawing>
          <wp:inline distT="0" distB="0" distL="0" distR="0">
            <wp:extent cx="76835" cy="7747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Arial" w:cs="Arial" w:eastAsia="Arial" w:hAnsi="Arial"/>
          <w:sz w:val="13"/>
          <w:szCs w:val="13"/>
          <w:color w:val="auto"/>
        </w:rPr>
        <w:t xml:space="preserve"> Reported that one of two Phase 3 trials evaluating itepekimab (IL-33 antibody) in adults who were former smokers with inadequately controlled COPD did not meet its primary endpoint</w:t>
      </w:r>
    </w:p>
    <w:p>
      <w:pPr>
        <w:spacing w:after="0" w:line="23" w:lineRule="exact"/>
        <w:rPr>
          <w:sz w:val="20"/>
          <w:szCs w:val="20"/>
          <w:color w:val="auto"/>
        </w:rPr>
      </w:pPr>
    </w:p>
    <w:p>
      <w:pPr>
        <w:ind w:left="200" w:right="439" w:hanging="187"/>
        <w:spacing w:after="0"/>
        <w:rPr>
          <w:sz w:val="20"/>
          <w:szCs w:val="20"/>
          <w:color w:val="auto"/>
        </w:rPr>
      </w:pPr>
      <w:r>
        <w:rPr>
          <w:sz w:val="1"/>
          <w:szCs w:val="1"/>
          <w:color w:val="auto"/>
        </w:rPr>
        <w:drawing>
          <wp:inline distT="0" distB="0" distL="0" distR="0">
            <wp:extent cx="76835" cy="6858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3"/>
          <w:szCs w:val="13"/>
          <w:color w:val="auto"/>
        </w:rPr>
        <w:t xml:space="preserve"> Reported that Phase 3 trials evaluating REGN5713-5715 (multi-antibody therapy to Bet v 1) and REGN1908-1909 (multi-antibody therapy to Fel d 1) for birch allergy and cat allergy, respectively, met their primary and key secondary endpoints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Neurology &amp; Rare Diseases:</w:t>
      </w:r>
    </w:p>
    <w:p>
      <w:pPr>
        <w:spacing w:after="0" w:line="40" w:lineRule="exact"/>
        <w:rPr>
          <w:sz w:val="20"/>
          <w:szCs w:val="20"/>
          <w:color w:val="auto"/>
        </w:rPr>
      </w:pPr>
    </w:p>
    <w:p>
      <w:pPr>
        <w:ind w:left="200" w:right="419" w:hanging="187"/>
        <w:spacing w:after="0"/>
        <w:rPr>
          <w:sz w:val="20"/>
          <w:szCs w:val="20"/>
          <w:color w:val="auto"/>
        </w:rPr>
      </w:pPr>
      <w:r>
        <w:rPr>
          <w:sz w:val="1"/>
          <w:szCs w:val="1"/>
          <w:color w:val="auto"/>
        </w:rPr>
        <w:drawing>
          <wp:inline distT="0" distB="0" distL="0" distR="0">
            <wp:extent cx="76835" cy="6858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3"/>
          <w:szCs w:val="13"/>
          <w:color w:val="auto"/>
        </w:rPr>
        <w:t xml:space="preserve"> Reported that Phase 3 trial of garetosmab (antibody to Activin A) in fibrodysplasia ossificans progressiva (“FOP”) met its primary endpoint; submitted a BLA to the FDA and a regulatory application in the EU for this indication</w:t>
      </w:r>
    </w:p>
    <w:p>
      <w:pPr>
        <w:spacing w:after="0" w:line="37" w:lineRule="exact"/>
        <w:rPr>
          <w:sz w:val="20"/>
          <w:szCs w:val="20"/>
          <w:color w:val="auto"/>
        </w:rPr>
      </w:pPr>
    </w:p>
    <w:p>
      <w:pPr>
        <w:ind w:left="200" w:right="439" w:hanging="187"/>
        <w:spacing w:after="0"/>
        <w:rPr>
          <w:sz w:val="20"/>
          <w:szCs w:val="20"/>
          <w:color w:val="auto"/>
        </w:rPr>
      </w:pPr>
      <w:r>
        <w:rPr>
          <w:sz w:val="1"/>
          <w:szCs w:val="1"/>
          <w:color w:val="auto"/>
        </w:rPr>
        <w:drawing>
          <wp:inline distT="0" distB="0" distL="0" distR="0">
            <wp:extent cx="76835" cy="6032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3"/>
          <w:szCs w:val="13"/>
          <w:color w:val="auto"/>
        </w:rPr>
        <w:t xml:space="preserve"> Reported updated data from pivotal trial of DB-OTO (AAV-based gene therapy) for profound genetic hearing loss; submitted BLA to the FDA for this indication, for which the FDA granted a Commissioner’s National Priority Voucher</w:t>
      </w:r>
    </w:p>
    <w:p>
      <w:pPr>
        <w:spacing w:after="0" w:line="645" w:lineRule="exact"/>
        <w:rPr>
          <w:sz w:val="20"/>
          <w:szCs w:val="20"/>
          <w:color w:val="auto"/>
        </w:rPr>
      </w:pPr>
    </w:p>
    <w:p>
      <w:pPr>
        <w:sectPr>
          <w:pgSz w:w="11900" w:h="16838" w:orient="portrait"/>
          <w:cols w:equalWidth="0" w:num="2">
            <w:col w:w="4180" w:space="620"/>
            <w:col w:w="4219"/>
          </w:cols>
          <w:pgMar w:left="1440" w:top="657" w:right="1440" w:bottom="1440" w:gutter="0" w:footer="0" w:header="0"/>
          <w:type w:val="continuous"/>
        </w:sectPr>
      </w:pPr>
    </w:p>
    <w:p>
      <w:pPr>
        <w:spacing w:after="0" w:line="13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3B5AA4"/>
        </w:rPr>
        <w:t>Commercial and Operational Execution</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EYLEA HD:</w:t>
      </w:r>
    </w:p>
    <w:p>
      <w:pPr>
        <w:spacing w:after="0" w:line="24" w:lineRule="exact"/>
        <w:rPr>
          <w:sz w:val="20"/>
          <w:szCs w:val="20"/>
          <w:color w:val="auto"/>
        </w:rPr>
      </w:pPr>
    </w:p>
    <w:p>
      <w:pPr>
        <w:ind w:left="540" w:right="500" w:hanging="187"/>
        <w:spacing w:after="0" w:line="165" w:lineRule="exact"/>
        <w:rPr>
          <w:sz w:val="20"/>
          <w:szCs w:val="20"/>
          <w:color w:val="auto"/>
        </w:rPr>
      </w:pPr>
      <w:r>
        <w:rPr>
          <w:sz w:val="1"/>
          <w:szCs w:val="1"/>
          <w:color w:val="auto"/>
        </w:rPr>
        <w:drawing>
          <wp:inline distT="0" distB="0" distL="0" distR="0">
            <wp:extent cx="76835" cy="6858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3"/>
          <w:szCs w:val="13"/>
          <w:color w:val="auto"/>
        </w:rPr>
        <w:t xml:space="preserve"> Increased full</w:t>
      </w:r>
      <w:r>
        <w:rPr>
          <w:rFonts w:ascii="MS PGothic" w:cs="MS PGothic" w:eastAsia="MS PGothic" w:hAnsi="MS PGothic"/>
          <w:sz w:val="13"/>
          <w:szCs w:val="13"/>
          <w:color w:val="auto"/>
        </w:rPr>
        <w:t>‑</w:t>
      </w:r>
      <w:r>
        <w:rPr>
          <w:rFonts w:ascii="Arial" w:cs="Arial" w:eastAsia="Arial" w:hAnsi="Arial"/>
          <w:sz w:val="13"/>
          <w:szCs w:val="13"/>
          <w:color w:val="auto"/>
        </w:rPr>
        <w:t>year 2025 U.S. net product sales 36% to $1.64 billion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Dupixent:</w:t>
      </w:r>
    </w:p>
    <w:p>
      <w:pPr>
        <w:spacing w:after="0" w:line="38" w:lineRule="exact"/>
        <w:rPr>
          <w:sz w:val="20"/>
          <w:szCs w:val="20"/>
          <w:color w:val="auto"/>
        </w:rPr>
      </w:pPr>
    </w:p>
    <w:p>
      <w:pPr>
        <w:ind w:left="540" w:right="100" w:hanging="187"/>
        <w:spacing w:after="0" w:line="165" w:lineRule="exact"/>
        <w:rPr>
          <w:sz w:val="20"/>
          <w:szCs w:val="20"/>
          <w:color w:val="auto"/>
        </w:rPr>
      </w:pPr>
      <w:r>
        <w:rPr>
          <w:sz w:val="1"/>
          <w:szCs w:val="1"/>
          <w:color w:val="auto"/>
        </w:rPr>
        <w:drawing>
          <wp:inline distT="0" distB="0" distL="0" distR="0">
            <wp:extent cx="76835" cy="6858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3"/>
          <w:szCs w:val="13"/>
          <w:color w:val="auto"/>
        </w:rPr>
        <w:t xml:space="preserve"> Increased full</w:t>
      </w:r>
      <w:r>
        <w:rPr>
          <w:rFonts w:ascii="MS PGothic" w:cs="MS PGothic" w:eastAsia="MS PGothic" w:hAnsi="MS PGothic"/>
          <w:sz w:val="13"/>
          <w:szCs w:val="13"/>
          <w:color w:val="auto"/>
        </w:rPr>
        <w:t>‑</w:t>
      </w:r>
      <w:r>
        <w:rPr>
          <w:rFonts w:ascii="Arial" w:cs="Arial" w:eastAsia="Arial" w:hAnsi="Arial"/>
          <w:sz w:val="13"/>
          <w:szCs w:val="13"/>
          <w:color w:val="auto"/>
        </w:rPr>
        <w:t>year 2025 global net product sales (recorded by our collaborator Sanofi) 26% to $17.81 billion versus 2024</w:t>
      </w:r>
    </w:p>
    <w:p>
      <w:pPr>
        <w:spacing w:after="0" w:line="37" w:lineRule="exact"/>
        <w:rPr>
          <w:sz w:val="20"/>
          <w:szCs w:val="20"/>
          <w:color w:val="auto"/>
        </w:rPr>
      </w:pPr>
    </w:p>
    <w:p>
      <w:pPr>
        <w:ind w:left="540" w:hanging="187"/>
        <w:spacing w:after="0"/>
        <w:rPr>
          <w:sz w:val="20"/>
          <w:szCs w:val="20"/>
          <w:color w:val="auto"/>
        </w:rPr>
      </w:pPr>
      <w:r>
        <w:rPr>
          <w:sz w:val="1"/>
          <w:szCs w:val="1"/>
          <w:color w:val="auto"/>
        </w:rPr>
        <w:drawing>
          <wp:inline distT="0" distB="0" distL="0" distR="0">
            <wp:extent cx="76835" cy="6858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3"/>
          <w:szCs w:val="13"/>
          <w:color w:val="auto"/>
        </w:rPr>
        <w:t xml:space="preserve"> Recognized as the “Best Biotechnology Product” of 2025 by the Galien Foundation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Libtayo:</w:t>
      </w:r>
    </w:p>
    <w:p>
      <w:pPr>
        <w:spacing w:after="0" w:line="38" w:lineRule="exact"/>
        <w:rPr>
          <w:sz w:val="20"/>
          <w:szCs w:val="20"/>
          <w:color w:val="auto"/>
        </w:rPr>
      </w:pPr>
    </w:p>
    <w:p>
      <w:pPr>
        <w:ind w:left="540" w:right="60" w:hanging="187"/>
        <w:spacing w:after="0" w:line="165" w:lineRule="exact"/>
        <w:rPr>
          <w:sz w:val="20"/>
          <w:szCs w:val="20"/>
          <w:color w:val="auto"/>
        </w:rPr>
      </w:pPr>
      <w:r>
        <w:rPr>
          <w:sz w:val="1"/>
          <w:szCs w:val="1"/>
          <w:color w:val="auto"/>
        </w:rPr>
        <w:drawing>
          <wp:inline distT="0" distB="0" distL="0" distR="0">
            <wp:extent cx="76835" cy="6032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3"/>
          <w:szCs w:val="13"/>
          <w:color w:val="auto"/>
        </w:rPr>
        <w:t xml:space="preserve"> Increased full</w:t>
      </w:r>
      <w:r>
        <w:rPr>
          <w:rFonts w:ascii="MS PGothic" w:cs="MS PGothic" w:eastAsia="MS PGothic" w:hAnsi="MS PGothic"/>
          <w:sz w:val="13"/>
          <w:szCs w:val="13"/>
          <w:color w:val="auto"/>
        </w:rPr>
        <w:t>‑</w:t>
      </w:r>
      <w:r>
        <w:rPr>
          <w:rFonts w:ascii="Arial" w:cs="Arial" w:eastAsia="Arial" w:hAnsi="Arial"/>
          <w:sz w:val="13"/>
          <w:szCs w:val="13"/>
          <w:color w:val="auto"/>
        </w:rPr>
        <w:t>year 2025 global net product sales 19% to $1.45 billion versus 2024</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Other Operational Achievements:</w:t>
      </w:r>
    </w:p>
    <w:p>
      <w:pPr>
        <w:spacing w:after="0" w:line="53" w:lineRule="exact"/>
        <w:rPr>
          <w:sz w:val="20"/>
          <w:szCs w:val="20"/>
          <w:color w:val="auto"/>
        </w:rPr>
      </w:pPr>
    </w:p>
    <w:p>
      <w:pPr>
        <w:ind w:left="540" w:hanging="187"/>
        <w:spacing w:after="0"/>
        <w:rPr>
          <w:sz w:val="20"/>
          <w:szCs w:val="20"/>
          <w:color w:val="auto"/>
        </w:rPr>
      </w:pPr>
      <w:r>
        <w:rPr>
          <w:sz w:val="1"/>
          <w:szCs w:val="1"/>
          <w:color w:val="auto"/>
        </w:rPr>
        <w:drawing>
          <wp:inline distT="0" distB="0" distL="0" distR="0">
            <wp:extent cx="76835" cy="6032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3"/>
          <w:szCs w:val="13"/>
          <w:color w:val="auto"/>
        </w:rPr>
        <w:t xml:space="preserve"> Expanded U.S. manufacturing capabilities internally and in partnership with Fujifilm Diosynth Biotechnologies; made progress toward reducing reliance on third-party manufacturing fillers by advancing process validation of the Company’s first fill/ finish facility located in Rensselaer, New York</w:t>
      </w:r>
    </w:p>
    <w:p>
      <w:pPr>
        <w:ind w:left="540" w:right="40" w:hanging="187"/>
        <w:spacing w:after="0"/>
        <w:rPr>
          <w:sz w:val="20"/>
          <w:szCs w:val="20"/>
          <w:color w:val="auto"/>
        </w:rPr>
      </w:pPr>
      <w:r>
        <w:rPr>
          <w:sz w:val="1"/>
          <w:szCs w:val="1"/>
          <w:color w:val="auto"/>
        </w:rPr>
        <w:drawing>
          <wp:inline distT="0" distB="0" distL="0" distR="0">
            <wp:extent cx="76835" cy="6858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3"/>
          <w:szCs w:val="13"/>
          <w:color w:val="auto"/>
        </w:rPr>
        <w:t xml:space="preserve"> Announced donation of Inmazeb</w:t>
      </w:r>
      <w:r>
        <w:rPr>
          <w:rFonts w:ascii="Arial" w:cs="Arial" w:eastAsia="Arial" w:hAnsi="Arial"/>
          <w:sz w:val="16"/>
          <w:szCs w:val="16"/>
          <w:color w:val="auto"/>
          <w:vertAlign w:val="superscript"/>
        </w:rPr>
        <w:t>®</w:t>
      </w:r>
      <w:r>
        <w:rPr>
          <w:rFonts w:ascii="Arial" w:cs="Arial" w:eastAsia="Arial" w:hAnsi="Arial"/>
          <w:sz w:val="13"/>
          <w:szCs w:val="13"/>
          <w:color w:val="auto"/>
        </w:rPr>
        <w:t xml:space="preserve"> (atoltivimab, maftivimab, and odesivimab-ebgn), an Ebola treatment, to the World Health Organization for exclusive use by governments of low- and lower-middle income countries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3B5AA4"/>
        </w:rPr>
        <w:t>Financial Execution and Talent Management</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Results:</w:t>
      </w:r>
    </w:p>
    <w:p>
      <w:pPr>
        <w:spacing w:after="0" w:line="24" w:lineRule="exact"/>
        <w:rPr>
          <w:sz w:val="20"/>
          <w:szCs w:val="20"/>
          <w:color w:val="auto"/>
        </w:rPr>
      </w:pPr>
    </w:p>
    <w:p>
      <w:pPr>
        <w:ind w:left="20"/>
        <w:spacing w:after="0" w:line="138" w:lineRule="exact"/>
        <w:rPr>
          <w:sz w:val="20"/>
          <w:szCs w:val="20"/>
          <w:color w:val="auto"/>
        </w:rPr>
      </w:pPr>
      <w:r>
        <w:rPr>
          <w:sz w:val="1"/>
          <w:szCs w:val="1"/>
          <w:color w:val="auto"/>
        </w:rPr>
        <w:drawing>
          <wp:inline distT="0" distB="0" distL="0" distR="0">
            <wp:extent cx="76835" cy="6858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2"/>
          <w:szCs w:val="12"/>
          <w:color w:val="auto"/>
        </w:rPr>
        <w:t xml:space="preserve"> Grew full</w:t>
      </w:r>
      <w:r>
        <w:rPr>
          <w:rFonts w:ascii="MS PGothic" w:cs="MS PGothic" w:eastAsia="MS PGothic" w:hAnsi="MS PGothic"/>
          <w:sz w:val="12"/>
          <w:szCs w:val="12"/>
          <w:color w:val="auto"/>
        </w:rPr>
        <w:t>‑</w:t>
      </w:r>
      <w:r>
        <w:rPr>
          <w:rFonts w:ascii="Arial" w:cs="Arial" w:eastAsia="Arial" w:hAnsi="Arial"/>
          <w:sz w:val="12"/>
          <w:szCs w:val="12"/>
          <w:color w:val="auto"/>
        </w:rPr>
        <w:t>year 2025 revenues 1% to $14.34 billion versus 2024</w:t>
      </w:r>
    </w:p>
    <w:p>
      <w:pPr>
        <w:spacing w:after="0" w:line="75" w:lineRule="exact"/>
        <w:rPr>
          <w:sz w:val="20"/>
          <w:szCs w:val="20"/>
          <w:color w:val="auto"/>
        </w:rPr>
      </w:pPr>
    </w:p>
    <w:p>
      <w:pPr>
        <w:ind w:left="200" w:right="579" w:hanging="187"/>
        <w:spacing w:after="0" w:line="160" w:lineRule="exact"/>
        <w:rPr>
          <w:sz w:val="20"/>
          <w:szCs w:val="20"/>
          <w:color w:val="auto"/>
        </w:rPr>
      </w:pPr>
      <w:r>
        <w:rPr>
          <w:sz w:val="1"/>
          <w:szCs w:val="1"/>
          <w:color w:val="auto"/>
        </w:rPr>
        <w:drawing>
          <wp:inline distT="0" distB="0" distL="0" distR="0">
            <wp:extent cx="76835" cy="6858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3"/>
          <w:szCs w:val="13"/>
          <w:color w:val="auto"/>
        </w:rPr>
        <w:t xml:space="preserve"> Achieved GAAP and non</w:t>
      </w:r>
      <w:r>
        <w:rPr>
          <w:rFonts w:ascii="MS PGothic" w:cs="MS PGothic" w:eastAsia="MS PGothic" w:hAnsi="MS PGothic"/>
          <w:sz w:val="13"/>
          <w:szCs w:val="13"/>
          <w:color w:val="auto"/>
        </w:rPr>
        <w:t>‑</w:t>
      </w:r>
      <w:r>
        <w:rPr>
          <w:rFonts w:ascii="Arial" w:cs="Arial" w:eastAsia="Arial" w:hAnsi="Arial"/>
          <w:sz w:val="13"/>
          <w:szCs w:val="13"/>
          <w:color w:val="auto"/>
        </w:rPr>
        <w:t>GAAP diluted net income per share, or EPS, of $41.48 and $44.31,** respectively</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Capital Allocation:</w:t>
      </w:r>
    </w:p>
    <w:p>
      <w:pPr>
        <w:spacing w:after="0" w:line="53" w:lineRule="exact"/>
        <w:rPr>
          <w:sz w:val="20"/>
          <w:szCs w:val="20"/>
          <w:color w:val="auto"/>
        </w:rPr>
      </w:pPr>
    </w:p>
    <w:p>
      <w:pPr>
        <w:ind w:left="200" w:right="479" w:hanging="187"/>
        <w:spacing w:after="0"/>
        <w:rPr>
          <w:sz w:val="20"/>
          <w:szCs w:val="20"/>
          <w:color w:val="auto"/>
        </w:rPr>
      </w:pPr>
      <w:r>
        <w:rPr>
          <w:sz w:val="1"/>
          <w:szCs w:val="1"/>
          <w:color w:val="auto"/>
        </w:rPr>
        <w:drawing>
          <wp:inline distT="0" distB="0" distL="0" distR="0">
            <wp:extent cx="76835" cy="6858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3"/>
          <w:szCs w:val="13"/>
          <w:color w:val="auto"/>
        </w:rPr>
        <w:t xml:space="preserve"> Invested $5.9 billion in research and development (“R&amp;D”); deployed nearly $900 million in capital expenditures primarily to expand our U.S.-based research and manufacturing facilities</w:t>
      </w:r>
    </w:p>
    <w:p>
      <w:pPr>
        <w:spacing w:after="0" w:line="37" w:lineRule="exact"/>
        <w:rPr>
          <w:sz w:val="20"/>
          <w:szCs w:val="20"/>
          <w:color w:val="auto"/>
        </w:rPr>
      </w:pPr>
    </w:p>
    <w:p>
      <w:pPr>
        <w:jc w:val="right"/>
        <w:ind w:left="20" w:right="719"/>
        <w:spacing w:after="0" w:line="330" w:lineRule="auto"/>
        <w:rPr>
          <w:sz w:val="20"/>
          <w:szCs w:val="20"/>
          <w:color w:val="auto"/>
        </w:rPr>
      </w:pPr>
      <w:r>
        <w:rPr>
          <w:sz w:val="1"/>
          <w:szCs w:val="1"/>
          <w:color w:val="auto"/>
        </w:rPr>
        <w:drawing>
          <wp:inline distT="0" distB="0" distL="0" distR="0">
            <wp:extent cx="76835" cy="6858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2"/>
          <w:szCs w:val="12"/>
          <w:color w:val="auto"/>
        </w:rPr>
        <w:t xml:space="preserve"> Invested in significant business development opportunities, including the in-licensing of a late-stage GLP-1/GIP agonist</w:t>
      </w:r>
    </w:p>
    <w:p>
      <w:pPr>
        <w:spacing w:after="0" w:line="12" w:lineRule="exact"/>
        <w:rPr>
          <w:sz w:val="20"/>
          <w:szCs w:val="20"/>
          <w:color w:val="auto"/>
        </w:rPr>
      </w:pPr>
    </w:p>
    <w:p>
      <w:pPr>
        <w:ind w:left="20" w:right="1219"/>
        <w:spacing w:after="0" w:line="314" w:lineRule="auto"/>
        <w:rPr>
          <w:sz w:val="20"/>
          <w:szCs w:val="20"/>
          <w:color w:val="auto"/>
        </w:rPr>
      </w:pPr>
      <w:r>
        <w:rPr>
          <w:sz w:val="1"/>
          <w:szCs w:val="1"/>
          <w:color w:val="auto"/>
        </w:rPr>
        <w:drawing>
          <wp:inline distT="0" distB="0" distL="0" distR="0">
            <wp:extent cx="76835" cy="6858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3"/>
          <w:szCs w:val="13"/>
          <w:color w:val="auto"/>
        </w:rPr>
        <w:t xml:space="preserve"> Repurchased $3.5 billion of common stock </w:t>
      </w:r>
      <w:r>
        <w:rPr>
          <w:sz w:val="1"/>
          <w:szCs w:val="1"/>
          <w:color w:val="auto"/>
        </w:rPr>
        <w:drawing>
          <wp:inline distT="0" distB="0" distL="0" distR="0">
            <wp:extent cx="76835" cy="6858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3"/>
          <w:szCs w:val="13"/>
          <w:color w:val="auto"/>
        </w:rPr>
        <w:t xml:space="preserve"> Initiated first-ever quarterly cash dividend program</w:t>
      </w:r>
    </w:p>
    <w:p>
      <w:pPr>
        <w:spacing w:after="0"/>
        <w:rPr>
          <w:sz w:val="20"/>
          <w:szCs w:val="20"/>
          <w:color w:val="auto"/>
        </w:rPr>
      </w:pPr>
      <w:r>
        <w:rPr>
          <w:rFonts w:ascii="Arial" w:cs="Arial" w:eastAsia="Arial" w:hAnsi="Arial"/>
          <w:sz w:val="13"/>
          <w:szCs w:val="13"/>
          <w:b w:val="1"/>
          <w:bCs w:val="1"/>
          <w:color w:val="auto"/>
        </w:rPr>
        <w:t>Talent Management:</w:t>
      </w:r>
    </w:p>
    <w:p>
      <w:pPr>
        <w:spacing w:after="0" w:line="53" w:lineRule="exact"/>
        <w:rPr>
          <w:sz w:val="20"/>
          <w:szCs w:val="20"/>
          <w:color w:val="auto"/>
        </w:rPr>
      </w:pPr>
    </w:p>
    <w:p>
      <w:pPr>
        <w:ind w:left="20"/>
        <w:spacing w:after="0"/>
        <w:rPr>
          <w:sz w:val="20"/>
          <w:szCs w:val="20"/>
          <w:color w:val="auto"/>
        </w:rPr>
      </w:pPr>
      <w:r>
        <w:rPr>
          <w:sz w:val="1"/>
          <w:szCs w:val="1"/>
          <w:color w:val="auto"/>
        </w:rPr>
        <w:drawing>
          <wp:inline distT="0" distB="0" distL="0" distR="0">
            <wp:extent cx="76835" cy="6032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2"/>
          <w:szCs w:val="12"/>
          <w:color w:val="auto"/>
        </w:rPr>
        <w:t xml:space="preserve"> Achieved industry-leading retention rate of nearly 93% in 2025</w:t>
      </w:r>
    </w:p>
    <w:p>
      <w:pPr>
        <w:spacing w:after="0" w:line="51" w:lineRule="exact"/>
        <w:rPr>
          <w:sz w:val="20"/>
          <w:szCs w:val="20"/>
          <w:color w:val="auto"/>
        </w:rPr>
      </w:pPr>
    </w:p>
    <w:p>
      <w:pPr>
        <w:jc w:val="both"/>
        <w:ind w:left="200" w:right="539" w:hanging="187"/>
        <w:spacing w:after="0" w:line="159" w:lineRule="exact"/>
        <w:rPr>
          <w:sz w:val="20"/>
          <w:szCs w:val="20"/>
          <w:color w:val="auto"/>
        </w:rPr>
      </w:pPr>
      <w:r>
        <w:rPr>
          <w:sz w:val="1"/>
          <w:szCs w:val="1"/>
          <w:color w:val="auto"/>
        </w:rPr>
        <w:drawing>
          <wp:inline distT="0" distB="0" distL="0" distR="0">
            <wp:extent cx="76835" cy="6858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3"/>
          <w:szCs w:val="13"/>
          <w:color w:val="auto"/>
        </w:rPr>
        <w:t xml:space="preserve"> Received positive employee feedback, with 81% of employees indicating in a company</w:t>
      </w:r>
      <w:r>
        <w:rPr>
          <w:rFonts w:ascii="MS PGothic" w:cs="MS PGothic" w:eastAsia="MS PGothic" w:hAnsi="MS PGothic"/>
          <w:sz w:val="13"/>
          <w:szCs w:val="13"/>
          <w:color w:val="auto"/>
        </w:rPr>
        <w:t>‑</w:t>
      </w:r>
      <w:r>
        <w:rPr>
          <w:rFonts w:ascii="Arial" w:cs="Arial" w:eastAsia="Arial" w:hAnsi="Arial"/>
          <w:sz w:val="13"/>
          <w:szCs w:val="13"/>
          <w:color w:val="auto"/>
        </w:rPr>
        <w:t>wide survey that Regeneron is a great place to work</w:t>
      </w:r>
    </w:p>
    <w:p>
      <w:pPr>
        <w:spacing w:after="0" w:line="23" w:lineRule="exact"/>
        <w:rPr>
          <w:sz w:val="20"/>
          <w:szCs w:val="20"/>
          <w:color w:val="auto"/>
        </w:rPr>
      </w:pPr>
    </w:p>
    <w:p>
      <w:pPr>
        <w:ind w:left="200" w:right="739" w:hanging="187"/>
        <w:spacing w:after="0"/>
        <w:rPr>
          <w:sz w:val="20"/>
          <w:szCs w:val="20"/>
          <w:color w:val="auto"/>
        </w:rPr>
      </w:pPr>
      <w:r>
        <w:rPr>
          <w:sz w:val="1"/>
          <w:szCs w:val="1"/>
          <w:color w:val="auto"/>
        </w:rPr>
        <w:drawing>
          <wp:inline distT="0" distB="0" distL="0" distR="0">
            <wp:extent cx="76835" cy="6858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3"/>
          <w:szCs w:val="13"/>
          <w:color w:val="auto"/>
        </w:rPr>
        <w:t xml:space="preserve"> For the 15th year in a row, placed in the top five in Science magazine’s annual “Top Employers Survey” of the global biotechnology and pharmaceutical industry</w:t>
      </w:r>
    </w:p>
    <w:p>
      <w:pPr>
        <w:spacing w:after="0" w:line="200" w:lineRule="exact"/>
        <w:rPr>
          <w:sz w:val="20"/>
          <w:szCs w:val="20"/>
          <w:color w:val="auto"/>
        </w:rPr>
      </w:pPr>
    </w:p>
    <w:p>
      <w:pPr>
        <w:sectPr>
          <w:pgSz w:w="11900" w:h="16838" w:orient="portrait"/>
          <w:cols w:equalWidth="0" w:num="2">
            <w:col w:w="4100" w:space="700"/>
            <w:col w:w="4219"/>
          </w:cols>
          <w:pgMar w:left="1440" w:top="657" w:right="1440" w:bottom="1440" w:gutter="0" w:footer="0" w:header="0"/>
          <w:type w:val="continuous"/>
        </w:sectPr>
      </w:pPr>
    </w:p>
    <w:p>
      <w:pPr>
        <w:spacing w:after="0" w:line="39" w:lineRule="exact"/>
        <w:rPr>
          <w:sz w:val="20"/>
          <w:szCs w:val="20"/>
          <w:color w:val="auto"/>
        </w:rPr>
      </w:pPr>
    </w:p>
    <w:p>
      <w:pPr>
        <w:ind w:left="360" w:right="239" w:hanging="230"/>
        <w:spacing w:after="0" w:line="251" w:lineRule="auto"/>
        <w:tabs>
          <w:tab w:leader="none" w:pos="36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CRLs for the EYLEA HD pre-filled syringe regulatory application and the Ordspono BLA cited unresolved inspection findings at a third-party manufacturer responsible for filling drug product. In April 2026, the FDA approved the extension of dosing intervals for EYLEA HD up to every 20 weeks for wAMD and DME.</w:t>
      </w:r>
    </w:p>
    <w:p>
      <w:pPr>
        <w:spacing w:after="0" w:line="17" w:lineRule="exact"/>
        <w:rPr>
          <w:sz w:val="20"/>
          <w:szCs w:val="20"/>
          <w:color w:val="auto"/>
        </w:rPr>
      </w:pPr>
    </w:p>
    <w:p>
      <w:pPr>
        <w:ind w:left="360" w:right="459" w:hanging="230"/>
        <w:spacing w:after="0" w:line="264" w:lineRule="auto"/>
        <w:tabs>
          <w:tab w:leader="none" w:pos="360" w:val="left"/>
        </w:tabs>
        <w:numPr>
          <w:ilvl w:val="0"/>
          <w:numId w:val="97"/>
        </w:numPr>
        <w:rPr>
          <w:rFonts w:ascii="Arial" w:cs="Arial" w:eastAsia="Arial" w:hAnsi="Arial"/>
          <w:sz w:val="13"/>
          <w:szCs w:val="13"/>
          <w:color w:val="auto"/>
        </w:rPr>
      </w:pPr>
      <w:r>
        <w:rPr>
          <w:rFonts w:ascii="Arial" w:cs="Arial" w:eastAsia="Arial" w:hAnsi="Arial"/>
          <w:sz w:val="13"/>
          <w:szCs w:val="13"/>
          <w:color w:val="auto"/>
        </w:rPr>
        <w:t>Non-GAAP net income and non-GAAP net income per share, or EPS, are not measures calculated in accordance with GAAP. See Appendix A for a definition of these measures and a reconciliation of each of these measures to the most directly comparable GAAP financial measure.</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58</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67" w:name="page68"/>
    <w:bookmarkEnd w:id="67"/>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2025 Compensation Program</w:t>
      </w:r>
    </w:p>
    <w:p>
      <w:pPr>
        <w:spacing w:after="0" w:line="97" w:lineRule="exact"/>
        <w:rPr>
          <w:sz w:val="20"/>
          <w:szCs w:val="20"/>
          <w:color w:val="auto"/>
        </w:rPr>
      </w:pPr>
    </w:p>
    <w:p>
      <w:pPr>
        <w:ind w:left="140" w:right="319"/>
        <w:spacing w:after="0" w:line="292" w:lineRule="auto"/>
        <w:rPr>
          <w:sz w:val="20"/>
          <w:szCs w:val="20"/>
          <w:color w:val="auto"/>
        </w:rPr>
      </w:pPr>
      <w:r>
        <w:rPr>
          <w:rFonts w:ascii="Arial" w:cs="Arial" w:eastAsia="Arial" w:hAnsi="Arial"/>
          <w:sz w:val="16"/>
          <w:szCs w:val="16"/>
          <w:color w:val="auto"/>
        </w:rPr>
        <w:t>We remained committed to our compensation philosophy and compensation program, the most important objective of which is to support the long-term success of Regeneron. As a result, there were no fundamental changes to the way we compensated our NEOs in 2025 compared to the prior year.</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Key compensation decisions and compensation-related outcomes in 2025 are highlighted below.</w:t>
      </w:r>
    </w:p>
    <w:p>
      <w:pPr>
        <w:spacing w:after="0" w:line="200" w:lineRule="exact"/>
        <w:rPr>
          <w:sz w:val="20"/>
          <w:szCs w:val="20"/>
          <w:color w:val="auto"/>
        </w:rPr>
      </w:pPr>
    </w:p>
    <w:p>
      <w:pPr>
        <w:spacing w:after="0" w:line="3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Modest Increases to Cash Compensation</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Annual Cash Incentives</w:t>
      </w:r>
    </w:p>
    <w:p>
      <w:pPr>
        <w:spacing w:after="0" w:line="125" w:lineRule="exact"/>
        <w:rPr>
          <w:sz w:val="20"/>
          <w:szCs w:val="20"/>
          <w:color w:val="auto"/>
        </w:rPr>
      </w:pPr>
    </w:p>
    <w:p>
      <w:pPr>
        <w:ind w:left="640" w:right="759" w:hanging="193"/>
        <w:spacing w:after="0" w:line="321" w:lineRule="auto"/>
        <w:tabs>
          <w:tab w:leader="none" w:pos="640" w:val="left"/>
        </w:tabs>
        <w:numPr>
          <w:ilvl w:val="0"/>
          <w:numId w:val="98"/>
        </w:numPr>
        <w:rPr>
          <w:rFonts w:ascii="Arial" w:cs="Arial" w:eastAsia="Arial" w:hAnsi="Arial"/>
          <w:sz w:val="16"/>
          <w:szCs w:val="16"/>
          <w:i w:val="1"/>
          <w:iCs w:val="1"/>
          <w:color w:val="065BAA"/>
        </w:rPr>
      </w:pPr>
      <w:r>
        <w:rPr>
          <w:rFonts w:ascii="Arial" w:cs="Arial" w:eastAsia="Arial" w:hAnsi="Arial"/>
          <w:sz w:val="16"/>
          <w:szCs w:val="16"/>
          <w:color w:val="auto"/>
        </w:rPr>
        <w:t>Based on 2025 achievements, Company performance multiplier set at 1.55 for 2025 annual cash incentive awards</w:t>
      </w:r>
      <w:r>
        <w:rPr>
          <w:rFonts w:ascii="Arial" w:cs="Arial" w:eastAsia="Arial" w:hAnsi="Arial"/>
          <w:sz w:val="12"/>
          <w:szCs w:val="12"/>
          <w:color w:val="auto"/>
        </w:rPr>
        <w:t>—</w:t>
      </w:r>
      <w:r>
        <w:rPr>
          <w:rFonts w:ascii="Arial" w:cs="Arial" w:eastAsia="Arial" w:hAnsi="Arial"/>
          <w:sz w:val="16"/>
          <w:szCs w:val="16"/>
          <w:color w:val="auto"/>
        </w:rPr>
        <w:t>up slightly from 1.50 for 2024 but below trailing 10-year average of 1.83</w:t>
      </w:r>
    </w:p>
    <w:p>
      <w:pPr>
        <w:spacing w:after="0" w:line="47" w:lineRule="exact"/>
        <w:rPr>
          <w:rFonts w:ascii="Arial" w:cs="Arial" w:eastAsia="Arial" w:hAnsi="Arial"/>
          <w:sz w:val="16"/>
          <w:szCs w:val="16"/>
          <w:i w:val="1"/>
          <w:iCs w:val="1"/>
          <w:color w:val="065BAA"/>
        </w:rPr>
      </w:pPr>
    </w:p>
    <w:p>
      <w:pPr>
        <w:ind w:left="840" w:right="459" w:hanging="194"/>
        <w:spacing w:after="0" w:line="301" w:lineRule="auto"/>
        <w:rPr>
          <w:rFonts w:ascii="Arial" w:cs="Arial" w:eastAsia="Arial" w:hAnsi="Arial"/>
          <w:sz w:val="16"/>
          <w:szCs w:val="16"/>
          <w:i w:val="1"/>
          <w:iCs w:val="1"/>
          <w:color w:val="065BAA"/>
        </w:rPr>
      </w:pPr>
      <w:r>
        <w:rPr>
          <w:rFonts w:ascii="Arial" w:cs="Arial" w:eastAsia="Arial" w:hAnsi="Arial"/>
          <w:sz w:val="16"/>
          <w:szCs w:val="16"/>
          <w:color w:val="065BAA"/>
        </w:rPr>
        <w:t xml:space="preserve">– </w:t>
      </w:r>
      <w:r>
        <w:rPr>
          <w:rFonts w:ascii="Arial" w:cs="Arial" w:eastAsia="Arial" w:hAnsi="Arial"/>
          <w:sz w:val="16"/>
          <w:szCs w:val="16"/>
          <w:color w:val="000000"/>
        </w:rPr>
        <w:t>Upward adjustments for “transformational” achievements related to the U.S. approval and launch of Libtayo</w:t>
      </w:r>
      <w:r>
        <w:rPr>
          <w:rFonts w:ascii="Arial" w:cs="Arial" w:eastAsia="Arial" w:hAnsi="Arial"/>
          <w:sz w:val="16"/>
          <w:szCs w:val="16"/>
          <w:color w:val="065BAA"/>
        </w:rPr>
        <w:t xml:space="preserve"> </w:t>
      </w:r>
      <w:r>
        <w:rPr>
          <w:rFonts w:ascii="Arial" w:cs="Arial" w:eastAsia="Arial" w:hAnsi="Arial"/>
          <w:sz w:val="16"/>
          <w:szCs w:val="16"/>
          <w:color w:val="000000"/>
        </w:rPr>
        <w:t>for the treatment of adjuvant CSCC, the strength of Libtayo in ongoing clinical trials in adjuvant settings, and the potentially transformational impact of Regeneron’s C5 program for the treatment of myasthenia gravis</w:t>
      </w:r>
    </w:p>
    <w:p>
      <w:pPr>
        <w:spacing w:after="0" w:line="63" w:lineRule="exact"/>
        <w:rPr>
          <w:rFonts w:ascii="Arial" w:cs="Arial" w:eastAsia="Arial" w:hAnsi="Arial"/>
          <w:sz w:val="16"/>
          <w:szCs w:val="16"/>
          <w:i w:val="1"/>
          <w:iCs w:val="1"/>
          <w:color w:val="065BAA"/>
        </w:rPr>
      </w:pPr>
    </w:p>
    <w:p>
      <w:pPr>
        <w:ind w:left="840" w:right="559" w:hanging="194"/>
        <w:spacing w:after="0" w:line="302" w:lineRule="auto"/>
        <w:rPr>
          <w:rFonts w:ascii="Arial" w:cs="Arial" w:eastAsia="Arial" w:hAnsi="Arial"/>
          <w:sz w:val="16"/>
          <w:szCs w:val="16"/>
          <w:i w:val="1"/>
          <w:iCs w:val="1"/>
          <w:color w:val="065BAA"/>
        </w:rPr>
      </w:pPr>
      <w:r>
        <w:rPr>
          <w:rFonts w:ascii="Arial" w:cs="Arial" w:eastAsia="Arial" w:hAnsi="Arial"/>
          <w:sz w:val="16"/>
          <w:szCs w:val="16"/>
          <w:color w:val="065BAA"/>
        </w:rPr>
        <w:t xml:space="preserve">– </w:t>
      </w:r>
      <w:r>
        <w:rPr>
          <w:rFonts w:ascii="Arial" w:cs="Arial" w:eastAsia="Arial" w:hAnsi="Arial"/>
          <w:sz w:val="16"/>
          <w:szCs w:val="16"/>
          <w:color w:val="000000"/>
        </w:rPr>
        <w:t>Downward adjustments for underperformance related to ongoing challenges with third-party manufacturing</w:t>
      </w:r>
      <w:r>
        <w:rPr>
          <w:rFonts w:ascii="Arial" w:cs="Arial" w:eastAsia="Arial" w:hAnsi="Arial"/>
          <w:sz w:val="16"/>
          <w:szCs w:val="16"/>
          <w:color w:val="065BAA"/>
        </w:rPr>
        <w:t xml:space="preserve"> </w:t>
      </w:r>
      <w:r>
        <w:rPr>
          <w:rFonts w:ascii="Arial" w:cs="Arial" w:eastAsia="Arial" w:hAnsi="Arial"/>
          <w:sz w:val="16"/>
          <w:szCs w:val="16"/>
          <w:color w:val="000000"/>
        </w:rPr>
        <w:t>fillers and the results of a second Phase 3 trial for itepekimab that did not meet its primary endpoint</w:t>
      </w:r>
      <w:r>
        <w:rPr>
          <w:rFonts w:ascii="Arial" w:cs="Arial" w:eastAsia="Arial" w:hAnsi="Arial"/>
          <w:sz w:val="21"/>
          <w:szCs w:val="21"/>
          <w:color w:val="000000"/>
          <w:vertAlign w:val="superscript"/>
        </w:rPr>
        <w:t>3</w:t>
      </w:r>
    </w:p>
    <w:p>
      <w:pPr>
        <w:spacing w:after="0" w:line="4" w:lineRule="exact"/>
        <w:rPr>
          <w:rFonts w:ascii="Arial" w:cs="Arial" w:eastAsia="Arial" w:hAnsi="Arial"/>
          <w:sz w:val="16"/>
          <w:szCs w:val="16"/>
          <w:i w:val="1"/>
          <w:iCs w:val="1"/>
          <w:color w:val="065BAA"/>
        </w:rPr>
      </w:pPr>
    </w:p>
    <w:p>
      <w:pPr>
        <w:ind w:left="640" w:right="619" w:hanging="193"/>
        <w:spacing w:after="0" w:line="301" w:lineRule="auto"/>
        <w:tabs>
          <w:tab w:leader="none" w:pos="6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Each NEO’s cash incentive target as a percentage of base salary remained the same for the last three years with the exception of Mr. Fenimore, our Chief Financial Officer (“CFO”), in light of his 2025 promotion to Executive Vice President</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Base Salaries</w:t>
      </w:r>
    </w:p>
    <w:p>
      <w:pPr>
        <w:spacing w:after="0" w:line="138" w:lineRule="exact"/>
        <w:rPr>
          <w:sz w:val="20"/>
          <w:szCs w:val="20"/>
          <w:color w:val="auto"/>
        </w:rPr>
      </w:pPr>
    </w:p>
    <w:p>
      <w:pPr>
        <w:ind w:left="640" w:right="639" w:hanging="193"/>
        <w:spacing w:after="0" w:line="301" w:lineRule="auto"/>
        <w:tabs>
          <w:tab w:leader="none" w:pos="640" w:val="left"/>
        </w:tabs>
        <w:numPr>
          <w:ilvl w:val="0"/>
          <w:numId w:val="99"/>
        </w:numPr>
        <w:rPr>
          <w:rFonts w:ascii="Arial" w:cs="Arial" w:eastAsia="Arial" w:hAnsi="Arial"/>
          <w:sz w:val="16"/>
          <w:szCs w:val="16"/>
          <w:i w:val="1"/>
          <w:iCs w:val="1"/>
          <w:color w:val="065BAA"/>
        </w:rPr>
      </w:pPr>
      <w:r>
        <w:rPr>
          <w:rFonts w:ascii="Arial" w:cs="Arial" w:eastAsia="Arial" w:hAnsi="Arial"/>
          <w:sz w:val="16"/>
          <w:szCs w:val="16"/>
          <w:color w:val="auto"/>
        </w:rPr>
        <w:t>Merit base salary increases for each NEO of 2.5% for 2026, consistent with merit increases for other officers and below merit increases for other employees; additional 7.8% base salary adjustment for our CFO to enhance market competitiveness</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 CEO/CSO Year-End Equity Awards; Generally Flat Year-End Equity Awards for Other NEOs</w:t>
      </w:r>
    </w:p>
    <w:p>
      <w:pPr>
        <w:spacing w:after="0" w:line="108" w:lineRule="exact"/>
        <w:rPr>
          <w:sz w:val="20"/>
          <w:szCs w:val="20"/>
          <w:color w:val="auto"/>
        </w:rPr>
      </w:pPr>
    </w:p>
    <w:p>
      <w:pPr>
        <w:ind w:left="640" w:right="859" w:hanging="193"/>
        <w:spacing w:after="0" w:line="321" w:lineRule="auto"/>
        <w:tabs>
          <w:tab w:leader="none" w:pos="640" w:val="left"/>
        </w:tabs>
        <w:numPr>
          <w:ilvl w:val="0"/>
          <w:numId w:val="100"/>
        </w:numPr>
        <w:rPr>
          <w:rFonts w:ascii="Arial" w:cs="Arial" w:eastAsia="Arial" w:hAnsi="Arial"/>
          <w:sz w:val="16"/>
          <w:szCs w:val="16"/>
          <w:color w:val="065BAA"/>
        </w:rPr>
      </w:pPr>
      <w:r>
        <w:rPr>
          <w:rFonts w:ascii="Arial" w:cs="Arial" w:eastAsia="Arial" w:hAnsi="Arial"/>
          <w:sz w:val="16"/>
          <w:szCs w:val="16"/>
          <w:color w:val="auto"/>
        </w:rPr>
        <w:t>No equity awards to CEO or CSO in 2025 as the Committee continued to actively discuss and consider a potential new CEO/CSO equity program design</w:t>
      </w:r>
    </w:p>
    <w:p>
      <w:pPr>
        <w:spacing w:after="0" w:line="47" w:lineRule="exact"/>
        <w:rPr>
          <w:rFonts w:ascii="Arial" w:cs="Arial" w:eastAsia="Arial" w:hAnsi="Arial"/>
          <w:sz w:val="16"/>
          <w:szCs w:val="16"/>
          <w:color w:val="065BAA"/>
        </w:rPr>
      </w:pPr>
    </w:p>
    <w:p>
      <w:pPr>
        <w:ind w:left="640" w:right="559" w:hanging="193"/>
        <w:spacing w:after="0" w:line="293" w:lineRule="auto"/>
        <w:tabs>
          <w:tab w:leader="none" w:pos="640" w:val="left"/>
        </w:tabs>
        <w:numPr>
          <w:ilvl w:val="0"/>
          <w:numId w:val="100"/>
        </w:numPr>
        <w:rPr>
          <w:rFonts w:ascii="Arial" w:cs="Arial" w:eastAsia="Arial" w:hAnsi="Arial"/>
          <w:sz w:val="16"/>
          <w:szCs w:val="16"/>
          <w:color w:val="065BAA"/>
        </w:rPr>
      </w:pPr>
      <w:r>
        <w:rPr>
          <w:rFonts w:ascii="Arial" w:cs="Arial" w:eastAsia="Arial" w:hAnsi="Arial"/>
          <w:sz w:val="16"/>
          <w:szCs w:val="16"/>
          <w:color w:val="auto"/>
        </w:rPr>
        <w:t>Other NEO 2025 year-end equity awards with values equal to corresponding 2024 year-end awards; 2025 year-end CFO equity award value increased 10% to enhance market competitiveness and to reflect expected future contributions to corporate performance</w:t>
      </w:r>
      <w:r>
        <w:rPr>
          <w:rFonts w:ascii="Arial" w:cs="Arial" w:eastAsia="Arial" w:hAnsi="Arial"/>
          <w:sz w:val="21"/>
          <w:szCs w:val="21"/>
          <w:color w:val="auto"/>
          <w:vertAlign w:val="superscript"/>
        </w:rPr>
        <w:t>4</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Record-Low Burn Rate</w:t>
      </w:r>
    </w:p>
    <w:p>
      <w:pPr>
        <w:spacing w:after="0" w:line="135" w:lineRule="exact"/>
        <w:rPr>
          <w:sz w:val="20"/>
          <w:szCs w:val="20"/>
          <w:color w:val="auto"/>
        </w:rPr>
      </w:pPr>
    </w:p>
    <w:p>
      <w:pPr>
        <w:ind w:left="640" w:right="859" w:hanging="193"/>
        <w:spacing w:after="0" w:line="304" w:lineRule="auto"/>
        <w:tabs>
          <w:tab w:leader="none" w:pos="640" w:val="left"/>
        </w:tabs>
        <w:numPr>
          <w:ilvl w:val="0"/>
          <w:numId w:val="101"/>
        </w:numPr>
        <w:rPr>
          <w:rFonts w:ascii="Arial" w:cs="Arial" w:eastAsia="Arial" w:hAnsi="Arial"/>
          <w:sz w:val="16"/>
          <w:szCs w:val="16"/>
          <w:color w:val="065BAA"/>
        </w:rPr>
      </w:pPr>
      <w:r>
        <w:rPr>
          <w:rFonts w:ascii="Arial" w:cs="Arial" w:eastAsia="Arial" w:hAnsi="Arial"/>
          <w:sz w:val="16"/>
          <w:szCs w:val="16"/>
          <w:color w:val="auto"/>
        </w:rPr>
        <w:t>Burn rate of 2.00% in 2025, a record-low for the Company despite maintaining one of the broadest equity programs among our peers and increasing the number of our employees year-over-year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0" w:right="899"/>
        <w:spacing w:after="0" w:line="304" w:lineRule="auto"/>
        <w:rPr>
          <w:sz w:val="20"/>
          <w:szCs w:val="20"/>
          <w:color w:val="auto"/>
        </w:rPr>
      </w:pPr>
      <w:r>
        <w:rPr>
          <w:rFonts w:ascii="Arial" w:cs="Arial" w:eastAsia="Arial" w:hAnsi="Arial"/>
          <w:sz w:val="18"/>
          <w:szCs w:val="18"/>
          <w:b w:val="1"/>
          <w:bCs w:val="1"/>
          <w:color w:val="065BAA"/>
        </w:rPr>
        <w:t>The Compensation Committee’s year-end decisions in 2025 reflected pay-for performance principles while also staying true to a pay philosophy designed to support the long-term success of Regeneron.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20" w:right="379" w:hanging="190"/>
        <w:spacing w:after="0" w:line="236" w:lineRule="auto"/>
        <w:tabs>
          <w:tab w:leader="none" w:pos="320" w:val="left"/>
        </w:tabs>
        <w:numPr>
          <w:ilvl w:val="0"/>
          <w:numId w:val="102"/>
        </w:numPr>
        <w:rPr>
          <w:rFonts w:ascii="Arial" w:cs="Arial" w:eastAsia="Arial" w:hAnsi="Arial"/>
          <w:sz w:val="16"/>
          <w:szCs w:val="16"/>
          <w:color w:val="auto"/>
          <w:vertAlign w:val="superscript"/>
        </w:rPr>
      </w:pPr>
      <w:r>
        <w:rPr>
          <w:rFonts w:ascii="Arial" w:cs="Arial" w:eastAsia="Arial" w:hAnsi="Arial"/>
          <w:sz w:val="13"/>
          <w:szCs w:val="13"/>
          <w:color w:val="auto"/>
        </w:rPr>
        <w:t>See “Components of Executive Pay: What We Pay and Why We Pay It—Annual Cash Incentives” for more information on the Committee’s process in setting the Company performance multiplier for 2025.</w:t>
      </w:r>
    </w:p>
    <w:p>
      <w:pPr>
        <w:spacing w:after="0" w:line="19" w:lineRule="exact"/>
        <w:rPr>
          <w:sz w:val="20"/>
          <w:szCs w:val="20"/>
          <w:color w:val="auto"/>
        </w:rPr>
      </w:pPr>
    </w:p>
    <w:p>
      <w:pPr>
        <w:ind w:left="320" w:hanging="190"/>
        <w:spacing w:after="0"/>
        <w:tabs>
          <w:tab w:leader="none" w:pos="320" w:val="left"/>
        </w:tabs>
        <w:numPr>
          <w:ilvl w:val="0"/>
          <w:numId w:val="103"/>
        </w:numPr>
        <w:rPr>
          <w:rFonts w:ascii="Arial" w:cs="Arial" w:eastAsia="Arial" w:hAnsi="Arial"/>
          <w:sz w:val="16"/>
          <w:szCs w:val="16"/>
          <w:color w:val="auto"/>
          <w:vertAlign w:val="superscript"/>
        </w:rPr>
      </w:pPr>
      <w:r>
        <w:rPr>
          <w:rFonts w:ascii="Arial" w:cs="Arial" w:eastAsia="Arial" w:hAnsi="Arial"/>
          <w:sz w:val="13"/>
          <w:szCs w:val="13"/>
          <w:color w:val="auto"/>
        </w:rPr>
        <w:t>See “Components of Executive Pay: What We Pay and Why We Pay It—Annual Equity Awards” for more information on these 2025 equity awards.</w:t>
      </w:r>
    </w:p>
    <w:p>
      <w:pPr>
        <w:spacing w:after="0" w:line="7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59</w:t>
            </w:r>
          </w:p>
        </w:tc>
      </w:tr>
    </w:tbl>
    <w:p>
      <w:pPr>
        <w:sectPr>
          <w:pgSz w:w="11900" w:h="16838" w:orient="portrait"/>
          <w:cols w:equalWidth="0" w:num="1">
            <w:col w:w="9019"/>
          </w:cols>
          <w:pgMar w:left="1440" w:top="657" w:right="1440" w:bottom="1440" w:gutter="0" w:footer="0" w:header="0"/>
        </w:sectPr>
      </w:pPr>
    </w:p>
    <w:bookmarkStart w:id="68" w:name="page69"/>
    <w:bookmarkEnd w:id="68"/>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2025 Shareholder Engagement and Feedback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80"/>
        <w:spacing w:after="0"/>
        <w:tabs>
          <w:tab w:leader="none" w:pos="7880" w:val="left"/>
        </w:tabs>
        <w:rPr>
          <w:sz w:val="20"/>
          <w:szCs w:val="20"/>
          <w:color w:val="auto"/>
        </w:rPr>
      </w:pPr>
      <w:r>
        <w:rPr>
          <w:rFonts w:ascii="Arial" w:cs="Arial" w:eastAsia="Arial" w:hAnsi="Arial"/>
          <w:sz w:val="29"/>
          <w:szCs w:val="29"/>
          <w:b w:val="1"/>
          <w:bCs w:val="1"/>
          <w:color w:val="065BAA"/>
        </w:rPr>
        <w:t>42%</w:t>
      </w:r>
      <w:r>
        <w:rPr>
          <w:sz w:val="20"/>
          <w:szCs w:val="20"/>
          <w:color w:val="auto"/>
        </w:rPr>
        <w:tab/>
      </w:r>
      <w:r>
        <w:rPr>
          <w:rFonts w:ascii="Arial" w:cs="Arial" w:eastAsia="Arial" w:hAnsi="Arial"/>
          <w:sz w:val="29"/>
          <w:szCs w:val="29"/>
          <w:b w:val="1"/>
          <w:bCs w:val="1"/>
          <w:color w:val="065BAA"/>
        </w:rPr>
        <w:t>51%</w:t>
      </w:r>
    </w:p>
    <w:p>
      <w:pPr>
        <w:spacing w:after="0" w:line="54" w:lineRule="exact"/>
        <w:rPr>
          <w:sz w:val="20"/>
          <w:szCs w:val="20"/>
          <w:color w:val="auto"/>
        </w:rPr>
      </w:pPr>
    </w:p>
    <w:p>
      <w:pPr>
        <w:ind w:left="5080"/>
        <w:spacing w:after="0"/>
        <w:tabs>
          <w:tab w:leader="none" w:pos="7760" w:val="left"/>
        </w:tabs>
        <w:rPr>
          <w:sz w:val="20"/>
          <w:szCs w:val="20"/>
          <w:color w:val="auto"/>
        </w:rPr>
      </w:pPr>
      <w:r>
        <w:rPr>
          <w:rFonts w:ascii="Arial" w:cs="Arial" w:eastAsia="Arial" w:hAnsi="Arial"/>
          <w:sz w:val="16"/>
          <w:szCs w:val="16"/>
          <w:color w:val="auto"/>
        </w:rPr>
        <w:t>engaged</w:t>
      </w:r>
      <w:r>
        <w:rPr>
          <w:sz w:val="20"/>
          <w:szCs w:val="20"/>
          <w:color w:val="auto"/>
        </w:rPr>
        <w:tab/>
      </w:r>
      <w:r>
        <w:rPr>
          <w:rFonts w:ascii="Arial" w:cs="Arial" w:eastAsia="Arial" w:hAnsi="Arial"/>
          <w:sz w:val="16"/>
          <w:szCs w:val="16"/>
          <w:color w:val="auto"/>
        </w:rPr>
        <w:t>contacted</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2025 Say-on-Pay Vote</w:t>
      </w:r>
    </w:p>
    <w:p>
      <w:pPr>
        <w:spacing w:after="0" w:line="68" w:lineRule="exact"/>
        <w:rPr>
          <w:sz w:val="20"/>
          <w:szCs w:val="20"/>
          <w:color w:val="auto"/>
        </w:rPr>
      </w:pPr>
    </w:p>
    <w:p>
      <w:pPr>
        <w:ind w:left="520" w:right="20" w:hanging="196"/>
        <w:spacing w:after="0" w:line="321" w:lineRule="auto"/>
        <w:tabs>
          <w:tab w:leader="none" w:pos="520" w:val="left"/>
        </w:tabs>
        <w:numPr>
          <w:ilvl w:val="0"/>
          <w:numId w:val="104"/>
        </w:numPr>
        <w:rPr>
          <w:rFonts w:ascii="Arial" w:cs="Arial" w:eastAsia="Arial" w:hAnsi="Arial"/>
          <w:sz w:val="14"/>
          <w:szCs w:val="14"/>
          <w:color w:val="3B5AA4"/>
        </w:rPr>
      </w:pPr>
      <w:r>
        <w:rPr>
          <w:rFonts w:ascii="Arial" w:cs="Arial" w:eastAsia="Arial" w:hAnsi="Arial"/>
          <w:sz w:val="16"/>
          <w:szCs w:val="16"/>
          <w:color w:val="auto"/>
        </w:rPr>
        <w:t>2025 say-on-pay proposal received the support of 93% of votes cast</w:t>
      </w:r>
    </w:p>
    <w:p>
      <w:pPr>
        <w:spacing w:after="0" w:line="7" w:lineRule="exact"/>
        <w:rPr>
          <w:rFonts w:ascii="Arial" w:cs="Arial" w:eastAsia="Arial" w:hAnsi="Arial"/>
          <w:sz w:val="14"/>
          <w:szCs w:val="14"/>
          <w:color w:val="3B5AA4"/>
        </w:rPr>
      </w:pPr>
    </w:p>
    <w:p>
      <w:pPr>
        <w:ind w:left="520" w:hanging="196"/>
        <w:spacing w:after="0"/>
        <w:tabs>
          <w:tab w:leader="none" w:pos="520" w:val="left"/>
        </w:tabs>
        <w:numPr>
          <w:ilvl w:val="0"/>
          <w:numId w:val="104"/>
        </w:numPr>
        <w:rPr>
          <w:rFonts w:ascii="Arial" w:cs="Arial" w:eastAsia="Arial" w:hAnsi="Arial"/>
          <w:sz w:val="14"/>
          <w:szCs w:val="14"/>
          <w:color w:val="3B5AA4"/>
        </w:rPr>
      </w:pPr>
      <w:r>
        <w:rPr>
          <w:rFonts w:ascii="Arial" w:cs="Arial" w:eastAsia="Arial" w:hAnsi="Arial"/>
          <w:sz w:val="16"/>
          <w:szCs w:val="16"/>
          <w:color w:val="auto"/>
        </w:rPr>
        <w:t>Fourth consecutive year of ~90% support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Engagement</w:t>
      </w:r>
    </w:p>
    <w:p>
      <w:pPr>
        <w:spacing w:after="0" w:line="81" w:lineRule="exact"/>
        <w:rPr>
          <w:sz w:val="20"/>
          <w:szCs w:val="20"/>
          <w:color w:val="auto"/>
        </w:rPr>
      </w:pPr>
    </w:p>
    <w:p>
      <w:pPr>
        <w:ind w:left="200" w:right="439" w:hanging="192"/>
        <w:spacing w:after="0" w:line="281" w:lineRule="auto"/>
        <w:tabs>
          <w:tab w:leader="none" w:pos="200" w:val="left"/>
        </w:tabs>
        <w:numPr>
          <w:ilvl w:val="0"/>
          <w:numId w:val="105"/>
        </w:numPr>
        <w:rPr>
          <w:rFonts w:ascii="Arial" w:cs="Arial" w:eastAsia="Arial" w:hAnsi="Arial"/>
          <w:sz w:val="14"/>
          <w:szCs w:val="14"/>
          <w:color w:val="3B5AA4"/>
        </w:rPr>
      </w:pPr>
      <w:r>
        <w:rPr>
          <w:rFonts w:ascii="Arial" w:cs="Arial" w:eastAsia="Arial" w:hAnsi="Arial"/>
          <w:sz w:val="16"/>
          <w:szCs w:val="16"/>
          <w:color w:val="auto"/>
        </w:rPr>
        <w:t>Invited engagement with shareholders collectively representing 51% of our public shares</w:t>
      </w:r>
      <w:r>
        <w:rPr>
          <w:rFonts w:ascii="Arial" w:cs="Arial" w:eastAsia="Arial" w:hAnsi="Arial"/>
          <w:sz w:val="21"/>
          <w:szCs w:val="21"/>
          <w:color w:val="auto"/>
          <w:vertAlign w:val="superscript"/>
        </w:rPr>
        <w:t>5</w:t>
      </w:r>
    </w:p>
    <w:p>
      <w:pPr>
        <w:spacing w:after="0" w:line="1" w:lineRule="exact"/>
        <w:rPr>
          <w:rFonts w:ascii="Arial" w:cs="Arial" w:eastAsia="Arial" w:hAnsi="Arial"/>
          <w:sz w:val="14"/>
          <w:szCs w:val="14"/>
          <w:color w:val="3B5AA4"/>
        </w:rPr>
      </w:pPr>
    </w:p>
    <w:p>
      <w:pPr>
        <w:ind w:left="200" w:right="279" w:hanging="192"/>
        <w:spacing w:after="0" w:line="321" w:lineRule="auto"/>
        <w:tabs>
          <w:tab w:leader="none" w:pos="200" w:val="left"/>
        </w:tabs>
        <w:numPr>
          <w:ilvl w:val="0"/>
          <w:numId w:val="105"/>
        </w:numPr>
        <w:rPr>
          <w:rFonts w:ascii="Arial" w:cs="Arial" w:eastAsia="Arial" w:hAnsi="Arial"/>
          <w:sz w:val="14"/>
          <w:szCs w:val="14"/>
          <w:color w:val="3B5AA4"/>
        </w:rPr>
      </w:pPr>
      <w:r>
        <w:rPr>
          <w:rFonts w:ascii="Arial" w:cs="Arial" w:eastAsia="Arial" w:hAnsi="Arial"/>
          <w:sz w:val="16"/>
          <w:szCs w:val="16"/>
          <w:color w:val="auto"/>
        </w:rPr>
        <w:t>Engaged in direct one-on-one discussions with shareholders representing 42% of our public shares</w:t>
      </w:r>
    </w:p>
    <w:p>
      <w:pPr>
        <w:spacing w:after="0" w:line="200" w:lineRule="exact"/>
        <w:rPr>
          <w:sz w:val="20"/>
          <w:szCs w:val="20"/>
          <w:color w:val="auto"/>
        </w:rPr>
      </w:pPr>
    </w:p>
    <w:p>
      <w:pPr>
        <w:sectPr>
          <w:pgSz w:w="11900" w:h="16838" w:orient="portrait"/>
          <w:cols w:equalWidth="0" w:num="2">
            <w:col w:w="4100" w:space="720"/>
            <w:col w:w="4199"/>
          </w:cols>
          <w:pgMar w:left="1440" w:top="657" w:right="1440" w:bottom="1440" w:gutter="0" w:footer="0" w:header="0"/>
          <w:type w:val="continuous"/>
        </w:sectPr>
      </w:pPr>
    </w:p>
    <w:p>
      <w:pPr>
        <w:spacing w:after="0" w:line="35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What We Heard                           </w:t>
      </w:r>
      <w:r>
        <w:rPr>
          <w:sz w:val="1"/>
          <w:szCs w:val="1"/>
          <w:color w:val="auto"/>
        </w:rPr>
        <w:drawing>
          <wp:inline distT="0" distB="0" distL="0" distR="0">
            <wp:extent cx="68580" cy="14541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45415"/>
                    </a:xfrm>
                    <a:prstGeom prst="rect">
                      <a:avLst/>
                    </a:prstGeom>
                    <a:noFill/>
                    <a:ln>
                      <a:noFill/>
                    </a:ln>
                  </pic:spPr>
                </pic:pic>
              </a:graphicData>
            </a:graphic>
          </wp:inline>
        </w:drawing>
      </w:r>
      <w:r>
        <w:rPr>
          <w:rFonts w:ascii="Arial" w:cs="Arial" w:eastAsia="Arial" w:hAnsi="Arial"/>
          <w:sz w:val="18"/>
          <w:szCs w:val="18"/>
          <w:b w:val="1"/>
          <w:bCs w:val="1"/>
          <w:color w:val="auto"/>
        </w:rPr>
        <w:t xml:space="preserve">  How We Responded</w:t>
      </w:r>
    </w:p>
    <w:p>
      <w:pPr>
        <w:sectPr>
          <w:pgSz w:w="11900" w:h="16838" w:orient="portrait"/>
          <w:cols w:equalWidth="0" w:num="1">
            <w:col w:w="9019"/>
          </w:cols>
          <w:pgMar w:left="1440" w:top="657" w:right="1440" w:bottom="1440" w:gutter="0" w:footer="0" w:header="0"/>
          <w:type w:val="continuous"/>
        </w:sectPr>
      </w:pPr>
    </w:p>
    <w:p>
      <w:pPr>
        <w:spacing w:after="0" w:line="283" w:lineRule="exact"/>
        <w:rPr>
          <w:sz w:val="20"/>
          <w:szCs w:val="20"/>
          <w:color w:val="auto"/>
        </w:rPr>
      </w:pPr>
    </w:p>
    <w:p>
      <w:pPr>
        <w:ind w:left="540" w:right="860" w:hanging="187"/>
        <w:spacing w:after="0" w:line="321" w:lineRule="auto"/>
        <w:tabs>
          <w:tab w:leader="none" w:pos="540" w:val="left"/>
        </w:tabs>
        <w:numPr>
          <w:ilvl w:val="0"/>
          <w:numId w:val="106"/>
        </w:numPr>
        <w:rPr>
          <w:rFonts w:ascii="Arial" w:cs="Arial" w:eastAsia="Arial" w:hAnsi="Arial"/>
          <w:sz w:val="16"/>
          <w:szCs w:val="16"/>
          <w:color w:val="065BAA"/>
        </w:rPr>
      </w:pPr>
      <w:r>
        <w:rPr>
          <w:rFonts w:ascii="Arial" w:cs="Arial" w:eastAsia="Arial" w:hAnsi="Arial"/>
          <w:sz w:val="16"/>
          <w:szCs w:val="16"/>
          <w:color w:val="auto"/>
        </w:rPr>
        <w:t>Positive feedback on several aspects of Regeneron’s executive pay program</w:t>
      </w:r>
    </w:p>
    <w:p>
      <w:pPr>
        <w:spacing w:after="0" w:line="7" w:lineRule="exact"/>
        <w:rPr>
          <w:rFonts w:ascii="Arial" w:cs="Arial" w:eastAsia="Arial" w:hAnsi="Arial"/>
          <w:sz w:val="16"/>
          <w:szCs w:val="16"/>
          <w:color w:val="065BAA"/>
        </w:rPr>
      </w:pPr>
    </w:p>
    <w:p>
      <w:pPr>
        <w:ind w:left="540" w:right="40" w:hanging="187"/>
        <w:spacing w:after="0" w:line="291" w:lineRule="auto"/>
        <w:tabs>
          <w:tab w:leader="none" w:pos="540" w:val="left"/>
        </w:tabs>
        <w:numPr>
          <w:ilvl w:val="0"/>
          <w:numId w:val="106"/>
        </w:numPr>
        <w:rPr>
          <w:rFonts w:ascii="Arial" w:cs="Arial" w:eastAsia="Arial" w:hAnsi="Arial"/>
          <w:sz w:val="16"/>
          <w:szCs w:val="16"/>
          <w:color w:val="065BAA"/>
        </w:rPr>
      </w:pPr>
      <w:r>
        <w:rPr>
          <w:rFonts w:ascii="Arial" w:cs="Arial" w:eastAsia="Arial" w:hAnsi="Arial"/>
          <w:sz w:val="16"/>
          <w:szCs w:val="16"/>
          <w:color w:val="auto"/>
        </w:rPr>
        <w:t>Increased focus on equity compensation design planning for CEO and CSO in light of their eligibility for new awards commencing in December 2025; several inquiries regarding any “lessons learned” from the experience with the 2020 PSU awards</w:t>
      </w:r>
    </w:p>
    <w:p>
      <w:pPr>
        <w:spacing w:after="0" w:line="32" w:lineRule="exact"/>
        <w:rPr>
          <w:rFonts w:ascii="Arial" w:cs="Arial" w:eastAsia="Arial" w:hAnsi="Arial"/>
          <w:sz w:val="16"/>
          <w:szCs w:val="16"/>
          <w:color w:val="065BAA"/>
        </w:rPr>
      </w:pPr>
    </w:p>
    <w:p>
      <w:pPr>
        <w:ind w:left="540" w:right="20" w:hanging="187"/>
        <w:spacing w:after="0" w:line="291" w:lineRule="auto"/>
        <w:tabs>
          <w:tab w:leader="none" w:pos="540" w:val="left"/>
        </w:tabs>
        <w:numPr>
          <w:ilvl w:val="0"/>
          <w:numId w:val="106"/>
        </w:numPr>
        <w:rPr>
          <w:rFonts w:ascii="Arial" w:cs="Arial" w:eastAsia="Arial" w:hAnsi="Arial"/>
          <w:sz w:val="16"/>
          <w:szCs w:val="16"/>
          <w:color w:val="065BAA"/>
        </w:rPr>
      </w:pPr>
      <w:r>
        <w:rPr>
          <w:rFonts w:ascii="Arial" w:cs="Arial" w:eastAsia="Arial" w:hAnsi="Arial"/>
          <w:sz w:val="16"/>
          <w:szCs w:val="16"/>
          <w:color w:val="auto"/>
        </w:rPr>
        <w:t>Strong support for Regeneron’s broad-based equity program; broad utilization seen as a mitigating factor for burn rate that in certain years may be higher compared to the burn rates reported by many similarly sized companies</w:t>
      </w:r>
    </w:p>
    <w:p>
      <w:pPr>
        <w:spacing w:after="0" w:line="32" w:lineRule="exact"/>
        <w:rPr>
          <w:rFonts w:ascii="Arial" w:cs="Arial" w:eastAsia="Arial" w:hAnsi="Arial"/>
          <w:sz w:val="16"/>
          <w:szCs w:val="16"/>
          <w:color w:val="065BAA"/>
        </w:rPr>
      </w:pPr>
    </w:p>
    <w:p>
      <w:pPr>
        <w:ind w:left="540" w:hanging="187"/>
        <w:spacing w:after="0" w:line="321" w:lineRule="auto"/>
        <w:tabs>
          <w:tab w:leader="none" w:pos="540" w:val="left"/>
        </w:tabs>
        <w:numPr>
          <w:ilvl w:val="0"/>
          <w:numId w:val="106"/>
        </w:numPr>
        <w:rPr>
          <w:rFonts w:ascii="Arial" w:cs="Arial" w:eastAsia="Arial" w:hAnsi="Arial"/>
          <w:sz w:val="16"/>
          <w:szCs w:val="16"/>
          <w:color w:val="065BAA"/>
        </w:rPr>
      </w:pPr>
      <w:r>
        <w:rPr>
          <w:rFonts w:ascii="Arial" w:cs="Arial" w:eastAsia="Arial" w:hAnsi="Arial"/>
          <w:sz w:val="16"/>
          <w:szCs w:val="16"/>
          <w:color w:val="auto"/>
        </w:rPr>
        <w:t>Positive feedback on redesigned and revised CD&amp;A in last year’s proxy statement</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193" w:right="379" w:hanging="193"/>
        <w:spacing w:after="0" w:line="291" w:lineRule="auto"/>
        <w:tabs>
          <w:tab w:leader="none" w:pos="193" w:val="left"/>
        </w:tabs>
        <w:numPr>
          <w:ilvl w:val="0"/>
          <w:numId w:val="107"/>
        </w:numPr>
        <w:rPr>
          <w:rFonts w:ascii="Arial" w:cs="Arial" w:eastAsia="Arial" w:hAnsi="Arial"/>
          <w:sz w:val="16"/>
          <w:szCs w:val="16"/>
          <w:color w:val="065BAA"/>
        </w:rPr>
      </w:pPr>
      <w:r>
        <w:rPr>
          <w:rFonts w:ascii="Arial" w:cs="Arial" w:eastAsia="Arial" w:hAnsi="Arial"/>
          <w:sz w:val="16"/>
          <w:szCs w:val="16"/>
          <w:color w:val="auto"/>
        </w:rPr>
        <w:t>No material changes to the executive compensation program in 2025 in light of the program’s continued alignment with business strategy and overall support from our shareholders evidenced by the 2025 say-on-pay vote results</w:t>
      </w:r>
    </w:p>
    <w:p>
      <w:pPr>
        <w:spacing w:after="0" w:line="32" w:lineRule="exact"/>
        <w:rPr>
          <w:rFonts w:ascii="Arial" w:cs="Arial" w:eastAsia="Arial" w:hAnsi="Arial"/>
          <w:sz w:val="16"/>
          <w:szCs w:val="16"/>
          <w:color w:val="065BAA"/>
        </w:rPr>
      </w:pPr>
    </w:p>
    <w:p>
      <w:pPr>
        <w:ind w:left="193" w:right="359" w:hanging="193"/>
        <w:spacing w:after="0" w:line="281" w:lineRule="auto"/>
        <w:tabs>
          <w:tab w:leader="none" w:pos="193" w:val="left"/>
        </w:tabs>
        <w:numPr>
          <w:ilvl w:val="0"/>
          <w:numId w:val="107"/>
        </w:numPr>
        <w:rPr>
          <w:rFonts w:ascii="Arial" w:cs="Arial" w:eastAsia="Arial" w:hAnsi="Arial"/>
          <w:sz w:val="16"/>
          <w:szCs w:val="16"/>
          <w:color w:val="065BAA"/>
        </w:rPr>
      </w:pPr>
      <w:r>
        <w:rPr>
          <w:rFonts w:ascii="Arial" w:cs="Arial" w:eastAsia="Arial" w:hAnsi="Arial"/>
          <w:sz w:val="16"/>
          <w:szCs w:val="16"/>
          <w:color w:val="auto"/>
        </w:rPr>
        <w:t>2025 feedback thoroughly discussed by the Compensation Committee and considered for pay decisions and equity compensation design for future years, including for the CEO/CSO equity program</w:t>
      </w:r>
      <w:r>
        <w:rPr>
          <w:rFonts w:ascii="Arial" w:cs="Arial" w:eastAsia="Arial" w:hAnsi="Arial"/>
          <w:sz w:val="21"/>
          <w:szCs w:val="21"/>
          <w:color w:val="auto"/>
          <w:vertAlign w:val="superscript"/>
        </w:rPr>
        <w:t>6</w:t>
      </w:r>
    </w:p>
    <w:p>
      <w:pPr>
        <w:spacing w:after="0" w:line="2" w:lineRule="exact"/>
        <w:rPr>
          <w:rFonts w:ascii="Arial" w:cs="Arial" w:eastAsia="Arial" w:hAnsi="Arial"/>
          <w:sz w:val="16"/>
          <w:szCs w:val="16"/>
          <w:color w:val="065BAA"/>
        </w:rPr>
      </w:pPr>
    </w:p>
    <w:p>
      <w:pPr>
        <w:ind w:left="193" w:right="359" w:hanging="193"/>
        <w:spacing w:after="0" w:line="301" w:lineRule="auto"/>
        <w:tabs>
          <w:tab w:leader="none" w:pos="193" w:val="left"/>
        </w:tabs>
        <w:numPr>
          <w:ilvl w:val="0"/>
          <w:numId w:val="107"/>
        </w:numPr>
        <w:rPr>
          <w:rFonts w:ascii="Arial" w:cs="Arial" w:eastAsia="Arial" w:hAnsi="Arial"/>
          <w:sz w:val="16"/>
          <w:szCs w:val="16"/>
          <w:color w:val="065BAA"/>
        </w:rPr>
      </w:pPr>
      <w:r>
        <w:rPr>
          <w:rFonts w:ascii="Arial" w:cs="Arial" w:eastAsia="Arial" w:hAnsi="Arial"/>
          <w:sz w:val="16"/>
          <w:szCs w:val="16"/>
          <w:color w:val="auto"/>
        </w:rPr>
        <w:t>Further streamlined CD&amp;A in this proxy statement to respond to demand for simpler, more straightforward disclosure</w:t>
      </w:r>
    </w:p>
    <w:p>
      <w:pPr>
        <w:spacing w:after="0" w:line="715" w:lineRule="exact"/>
        <w:rPr>
          <w:sz w:val="20"/>
          <w:szCs w:val="20"/>
          <w:color w:val="auto"/>
        </w:rPr>
      </w:pPr>
    </w:p>
    <w:p>
      <w:pPr>
        <w:sectPr>
          <w:pgSz w:w="11900" w:h="16838" w:orient="portrait"/>
          <w:cols w:equalWidth="0" w:num="2">
            <w:col w:w="4260" w:space="467"/>
            <w:col w:w="4292"/>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right="439" w:hanging="190"/>
        <w:spacing w:after="0" w:line="236" w:lineRule="auto"/>
        <w:tabs>
          <w:tab w:leader="none" w:pos="320" w:val="left"/>
        </w:tabs>
        <w:numPr>
          <w:ilvl w:val="0"/>
          <w:numId w:val="108"/>
        </w:numPr>
        <w:rPr>
          <w:rFonts w:ascii="Arial" w:cs="Arial" w:eastAsia="Arial" w:hAnsi="Arial"/>
          <w:sz w:val="16"/>
          <w:szCs w:val="16"/>
          <w:color w:val="auto"/>
          <w:vertAlign w:val="superscript"/>
        </w:rPr>
      </w:pPr>
      <w:r>
        <w:rPr>
          <w:rFonts w:ascii="Arial" w:cs="Arial" w:eastAsia="Arial" w:hAnsi="Arial"/>
          <w:sz w:val="13"/>
          <w:szCs w:val="13"/>
          <w:color w:val="auto"/>
        </w:rPr>
        <w:t>The term “public shares” refers to the shares of our common stock outstanding as of December 31, 2025, excluding shares held by our directors and executive officers.</w:t>
      </w:r>
    </w:p>
    <w:p>
      <w:pPr>
        <w:spacing w:after="0" w:line="37" w:lineRule="exact"/>
        <w:rPr>
          <w:sz w:val="20"/>
          <w:szCs w:val="20"/>
          <w:color w:val="auto"/>
        </w:rPr>
      </w:pPr>
    </w:p>
    <w:p>
      <w:pPr>
        <w:ind w:left="320" w:right="399" w:hanging="190"/>
        <w:spacing w:after="0" w:line="245" w:lineRule="auto"/>
        <w:tabs>
          <w:tab w:leader="none" w:pos="320" w:val="left"/>
        </w:tabs>
        <w:numPr>
          <w:ilvl w:val="0"/>
          <w:numId w:val="109"/>
        </w:numPr>
        <w:rPr>
          <w:rFonts w:ascii="Arial" w:cs="Arial" w:eastAsia="Arial" w:hAnsi="Arial"/>
          <w:sz w:val="16"/>
          <w:szCs w:val="16"/>
          <w:color w:val="auto"/>
          <w:vertAlign w:val="superscript"/>
        </w:rPr>
      </w:pPr>
      <w:r>
        <w:rPr>
          <w:rFonts w:ascii="Arial" w:cs="Arial" w:eastAsia="Arial" w:hAnsi="Arial"/>
          <w:sz w:val="13"/>
          <w:szCs w:val="13"/>
          <w:color w:val="auto"/>
        </w:rPr>
        <w:t>See the subsection “Compensation Discussion and Analysis—Compensation Processes—Shareholder Input and Outreach and the 2025 Say-on-Pay Vote Result” for a more detailed discussion of our shareholder engagement program as well as a summary of recent actions taken in response to shareholder feedback.</w:t>
      </w:r>
    </w:p>
    <w:p>
      <w:pPr>
        <w:spacing w:after="0" w:line="7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60</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69" w:name="page70"/>
    <w:bookmarkEnd w:id="69"/>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Compensation Program Overview</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Compensation Program Objectives and Principles</w:t>
      </w:r>
    </w:p>
    <w:p>
      <w:pPr>
        <w:spacing w:after="0" w:line="180" w:lineRule="exact"/>
        <w:rPr>
          <w:sz w:val="20"/>
          <w:szCs w:val="20"/>
          <w:color w:val="auto"/>
        </w:rPr>
      </w:pPr>
    </w:p>
    <w:p>
      <w:pPr>
        <w:ind w:left="140" w:right="239"/>
        <w:spacing w:after="0" w:line="284" w:lineRule="auto"/>
        <w:rPr>
          <w:sz w:val="20"/>
          <w:szCs w:val="20"/>
          <w:color w:val="auto"/>
        </w:rPr>
      </w:pPr>
      <w:r>
        <w:rPr>
          <w:rFonts w:ascii="Arial" w:cs="Arial" w:eastAsia="Arial" w:hAnsi="Arial"/>
          <w:sz w:val="16"/>
          <w:szCs w:val="16"/>
          <w:color w:val="auto"/>
        </w:rPr>
        <w:t>Regeneron’s executive compensation program is designed to pay for performance, drive the creation of long-term, sustainable shareholder value, deliver compensation that is competitively positioned amongst Regeneron’s peers, encourage a shareholder mindset, and align with the pursuit and achievement of both our short-term and long-term strategic goals. Managing our business for the long term is core to our culture, as demonstrated by our history of growing through innovation and through a pipeline of internally developed medicines. A key objective of the pay program at Regeneron is to attract and retain talented leaders who can innovate and execute effectively. The compensation program must further support the board’s and management’s broader objectives, such as those relating to research and product development; access to our medicines; quality and compliance; and human capital management.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 strive to achieve these objectives by following the core principles of compensation design set out below:</w:t>
      </w:r>
    </w:p>
    <w:p>
      <w:pPr>
        <w:sectPr>
          <w:pgSz w:w="11900" w:h="16838" w:orient="portrait"/>
          <w:cols w:equalWidth="0" w:num="1">
            <w:col w:w="9019"/>
          </w:cols>
          <w:pgMar w:left="1440" w:top="657" w:right="1440" w:bottom="1440" w:gutter="0" w:footer="0" w:header="0"/>
        </w:sectPr>
      </w:pPr>
    </w:p>
    <w:p>
      <w:pPr>
        <w:spacing w:after="0" w:line="39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65BAA"/>
        </w:rPr>
        <w:t>Drive innovation through ownership culture</w:t>
      </w:r>
    </w:p>
    <w:p>
      <w:pPr>
        <w:spacing w:after="0" w:line="50" w:lineRule="exact"/>
        <w:rPr>
          <w:sz w:val="20"/>
          <w:szCs w:val="20"/>
          <w:color w:val="auto"/>
        </w:rPr>
      </w:pPr>
    </w:p>
    <w:p>
      <w:pPr>
        <w:ind w:left="360"/>
        <w:spacing w:after="0" w:line="292" w:lineRule="auto"/>
        <w:rPr>
          <w:sz w:val="20"/>
          <w:szCs w:val="20"/>
          <w:color w:val="auto"/>
        </w:rPr>
      </w:pPr>
      <w:r>
        <w:rPr>
          <w:rFonts w:ascii="Arial" w:cs="Arial" w:eastAsia="Arial" w:hAnsi="Arial"/>
          <w:sz w:val="14"/>
          <w:szCs w:val="14"/>
          <w:color w:val="auto"/>
        </w:rPr>
        <w:t>Our objective is to create and reinforce a culture where employees think and act like owners, are empowered to pursue fulfilling careers, and focus on our mission of drug discovery and development. We believe a broad-based equity program that incentivizes long-term performance and promotes employee retention is a key ingredient in achieving this culture of ownership and innovation. Every one of the more than 15,000 Regeneron full-time employees has an ownership interest in Regeneron.</w:t>
      </w:r>
    </w:p>
    <w:p>
      <w:pPr>
        <w:spacing w:after="0" w:line="33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65BAA"/>
        </w:rPr>
        <w:t>Provide at-risk, equity-based pay to all employees</w:t>
      </w:r>
    </w:p>
    <w:p>
      <w:pPr>
        <w:spacing w:after="0" w:line="50" w:lineRule="exact"/>
        <w:rPr>
          <w:sz w:val="20"/>
          <w:szCs w:val="20"/>
          <w:color w:val="auto"/>
        </w:rPr>
      </w:pPr>
    </w:p>
    <w:p>
      <w:pPr>
        <w:ind w:left="360" w:right="120"/>
        <w:spacing w:after="0" w:line="291" w:lineRule="auto"/>
        <w:rPr>
          <w:sz w:val="20"/>
          <w:szCs w:val="20"/>
          <w:color w:val="auto"/>
        </w:rPr>
      </w:pPr>
      <w:r>
        <w:rPr>
          <w:rFonts w:ascii="Arial" w:cs="Arial" w:eastAsia="Arial" w:hAnsi="Arial"/>
          <w:sz w:val="14"/>
          <w:szCs w:val="14"/>
          <w:color w:val="auto"/>
        </w:rPr>
        <w:t>A key part of our pay philosophy since our inception has been to award equity-based pay to all employees, not just senior executives, to ensure that when we deliver for patients and for shareholders, everyone shares in our success. In line with this goal, approximately 90% of the employee equity grants in each of the last five years were awarded to our employees other than our NEOs. We believe this approach represents one of our competitive advantages and has resulted in an engaged workforce and high retention rates.</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065BAA"/>
        </w:rPr>
        <w:t>Prioritize design simplicity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065BAA"/>
        </w:rPr>
        <w:t>long-term orientation</w:t>
      </w:r>
    </w:p>
    <w:p>
      <w:pPr>
        <w:spacing w:after="0" w:line="34" w:lineRule="exact"/>
        <w:rPr>
          <w:sz w:val="20"/>
          <w:szCs w:val="20"/>
          <w:color w:val="auto"/>
        </w:rPr>
      </w:pPr>
    </w:p>
    <w:p>
      <w:pPr>
        <w:ind w:right="559"/>
        <w:spacing w:after="0" w:line="290" w:lineRule="auto"/>
        <w:rPr>
          <w:sz w:val="20"/>
          <w:szCs w:val="20"/>
          <w:color w:val="auto"/>
        </w:rPr>
      </w:pPr>
      <w:r>
        <w:rPr>
          <w:rFonts w:ascii="Arial" w:cs="Arial" w:eastAsia="Arial" w:hAnsi="Arial"/>
          <w:sz w:val="14"/>
          <w:szCs w:val="14"/>
          <w:color w:val="auto"/>
        </w:rPr>
        <w:t>Tying compensation to long-term, Company-wide success and straightforward Company goals has enabled us to encourage decision-making that we believe is consistent with the long-term sustainability of our Company and our reputation. Our objective is to remain nimble, to encourage evolutionary ideas when strategies need to change, and to have the ability to pivot quickly if needed, without being hindered by overly complex compensation structures.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065BAA"/>
        </w:rPr>
        <w:t>Align with shareholder interests</w:t>
      </w:r>
    </w:p>
    <w:p>
      <w:pPr>
        <w:spacing w:after="0" w:line="50" w:lineRule="exact"/>
        <w:rPr>
          <w:sz w:val="20"/>
          <w:szCs w:val="20"/>
          <w:color w:val="auto"/>
        </w:rPr>
      </w:pPr>
    </w:p>
    <w:p>
      <w:pPr>
        <w:ind w:right="539"/>
        <w:spacing w:after="0" w:line="282" w:lineRule="auto"/>
        <w:rPr>
          <w:sz w:val="20"/>
          <w:szCs w:val="20"/>
          <w:color w:val="auto"/>
        </w:rPr>
      </w:pPr>
      <w:r>
        <w:rPr>
          <w:rFonts w:ascii="Arial" w:cs="Arial" w:eastAsia="Arial" w:hAnsi="Arial"/>
          <w:sz w:val="14"/>
          <w:szCs w:val="14"/>
          <w:color w:val="auto"/>
        </w:rPr>
        <w:t>Our objective has always been to ensure close alignment with shareholder interests. All of the direct pay</w:t>
      </w:r>
      <w:r>
        <w:rPr>
          <w:rFonts w:ascii="Arial" w:cs="Arial" w:eastAsia="Arial" w:hAnsi="Arial"/>
          <w:sz w:val="18"/>
          <w:szCs w:val="18"/>
          <w:color w:val="auto"/>
          <w:vertAlign w:val="superscript"/>
        </w:rPr>
        <w:t>7</w:t>
      </w:r>
      <w:r>
        <w:rPr>
          <w:rFonts w:ascii="Arial" w:cs="Arial" w:eastAsia="Arial" w:hAnsi="Arial"/>
          <w:sz w:val="14"/>
          <w:szCs w:val="14"/>
          <w:color w:val="auto"/>
        </w:rPr>
        <w:t xml:space="preserve"> of our CEO and CSO, except for base salaries, depends on performance and is “at-risk.” More broadly, the long-term nature of our equity program is consistent with the drug discovery and development cycle, and, therefore, helps drive the creation of long-term shareholder value. Further information about pay-versus-performance alignment is provided in the subsection “Compensation Dashboard— Additional Compensation Information —Pay Versus Performance.”</w:t>
      </w:r>
    </w:p>
    <w:p>
      <w:pPr>
        <w:spacing w:after="0" w:line="200" w:lineRule="exact"/>
        <w:rPr>
          <w:sz w:val="20"/>
          <w:szCs w:val="20"/>
          <w:color w:val="auto"/>
        </w:rPr>
      </w:pPr>
    </w:p>
    <w:p>
      <w:pPr>
        <w:sectPr>
          <w:pgSz w:w="11900" w:h="16838" w:orient="portrait"/>
          <w:cols w:equalWidth="0" w:num="2">
            <w:col w:w="4220" w:space="500"/>
            <w:col w:w="429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right="579" w:hanging="190"/>
        <w:spacing w:after="0" w:line="245" w:lineRule="auto"/>
        <w:tabs>
          <w:tab w:leader="none" w:pos="320" w:val="left"/>
        </w:tabs>
        <w:numPr>
          <w:ilvl w:val="0"/>
          <w:numId w:val="110"/>
        </w:numPr>
        <w:rPr>
          <w:rFonts w:ascii="Arial" w:cs="Arial" w:eastAsia="Arial" w:hAnsi="Arial"/>
          <w:sz w:val="16"/>
          <w:szCs w:val="16"/>
          <w:color w:val="auto"/>
          <w:vertAlign w:val="superscript"/>
        </w:rPr>
      </w:pPr>
      <w:r>
        <w:rPr>
          <w:rFonts w:ascii="Arial" w:cs="Arial" w:eastAsia="Arial" w:hAnsi="Arial"/>
          <w:sz w:val="13"/>
          <w:szCs w:val="13"/>
          <w:color w:val="auto"/>
        </w:rPr>
        <w:t>We define “direct pay” or “direct compensation” as total compensation as reported in the Summary Compensation Table in the applicable proxy statement, other than the amounts reported as “All other compensation” and (if applicable) amounts reported under “Change in pension value and nonqualified deferred compensation earnings.”</w:t>
      </w:r>
    </w:p>
    <w:p>
      <w:pPr>
        <w:spacing w:after="0" w:line="7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61</w:t>
            </w:r>
          </w:p>
        </w:tc>
      </w:tr>
    </w:tbl>
    <w:p>
      <w:pPr>
        <w:sectPr>
          <w:pgSz w:w="11900" w:h="16838" w:orient="portrait"/>
          <w:cols w:equalWidth="0" w:num="1">
            <w:col w:w="9019"/>
          </w:cols>
          <w:pgMar w:left="1440" w:top="657" w:right="1440" w:bottom="1440" w:gutter="0" w:footer="0" w:header="0"/>
          <w:type w:val="continuous"/>
        </w:sectPr>
      </w:pPr>
    </w:p>
    <w:bookmarkStart w:id="70" w:name="page71"/>
    <w:bookmarkEnd w:id="70"/>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How Our Compensation Program Works</w:t>
      </w:r>
    </w:p>
    <w:p>
      <w:pPr>
        <w:spacing w:after="0" w:line="180" w:lineRule="exact"/>
        <w:rPr>
          <w:sz w:val="20"/>
          <w:szCs w:val="20"/>
          <w:color w:val="auto"/>
        </w:rPr>
      </w:pPr>
    </w:p>
    <w:p>
      <w:pPr>
        <w:ind w:left="140" w:right="159"/>
        <w:spacing w:after="0" w:line="321" w:lineRule="auto"/>
        <w:rPr>
          <w:sz w:val="20"/>
          <w:szCs w:val="20"/>
          <w:color w:val="auto"/>
        </w:rPr>
      </w:pPr>
      <w:r>
        <w:rPr>
          <w:rFonts w:ascii="Arial" w:cs="Arial" w:eastAsia="Arial" w:hAnsi="Arial"/>
          <w:sz w:val="16"/>
          <w:szCs w:val="16"/>
          <w:color w:val="auto"/>
        </w:rPr>
        <w:t>To create an effective executive compensation structure, the Compensation Committee relied on the following elements of direct pay for our NEOs in 2025.</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tbl>
      <w:tblPr>
        <w:tblLayout w:type="fixed"/>
        <w:tblInd w:w="225" w:type="dxa"/>
        <w:tblCellMar>
          <w:top w:w="0" w:type="dxa"/>
          <w:left w:w="0" w:type="dxa"/>
          <w:bottom w:w="0" w:type="dxa"/>
          <w:right w:w="0" w:type="dxa"/>
        </w:tblCellMar>
      </w:tblPr>
      <w:tr>
        <w:trPr>
          <w:trHeight w:val="480"/>
        </w:trPr>
        <w:tc>
          <w:tcPr>
            <w:tcW w:w="184" w:type="dxa"/>
            <w:vAlign w:val="bottom"/>
            <w:textDirection w:val="btLr"/>
          </w:tcPr>
          <w:p>
            <w:pPr>
              <w:spacing w:after="0"/>
              <w:rPr>
                <w:sz w:val="20"/>
                <w:szCs w:val="20"/>
                <w:color w:val="auto"/>
              </w:rPr>
            </w:pPr>
            <w:r>
              <w:rPr>
                <w:rFonts w:ascii="Arial" w:cs="Arial" w:eastAsia="Arial" w:hAnsi="Arial"/>
                <w:sz w:val="16"/>
                <w:szCs w:val="16"/>
                <w:b w:val="1"/>
                <w:bCs w:val="1"/>
                <w:color w:val="3B5AA4"/>
              </w:rPr>
              <w:t>FIXED</w:t>
            </w: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540" w:type="dxa"/>
            <w:vAlign w:val="bottom"/>
          </w:tcPr>
          <w:p>
            <w:pPr>
              <w:ind w:left="220"/>
              <w:spacing w:after="0"/>
              <w:rPr>
                <w:sz w:val="20"/>
                <w:szCs w:val="20"/>
                <w:color w:val="auto"/>
              </w:rPr>
            </w:pPr>
            <w:r>
              <w:rPr>
                <w:rFonts w:ascii="Arial" w:cs="Arial" w:eastAsia="Arial" w:hAnsi="Arial"/>
                <w:sz w:val="14"/>
                <w:szCs w:val="14"/>
                <w:b w:val="1"/>
                <w:bCs w:val="1"/>
                <w:color w:val="065BAA"/>
              </w:rPr>
              <w:t>Element</w:t>
            </w:r>
          </w:p>
        </w:tc>
        <w:tc>
          <w:tcPr>
            <w:tcW w:w="1720" w:type="dxa"/>
            <w:vAlign w:val="bottom"/>
          </w:tcPr>
          <w:p>
            <w:pPr>
              <w:ind w:left="220"/>
              <w:spacing w:after="0"/>
              <w:rPr>
                <w:sz w:val="20"/>
                <w:szCs w:val="20"/>
                <w:color w:val="auto"/>
              </w:rPr>
            </w:pPr>
            <w:r>
              <w:rPr>
                <w:rFonts w:ascii="Arial" w:cs="Arial" w:eastAsia="Arial" w:hAnsi="Arial"/>
                <w:sz w:val="14"/>
                <w:szCs w:val="14"/>
                <w:b w:val="1"/>
                <w:bCs w:val="1"/>
                <w:color w:val="065BAA"/>
              </w:rPr>
              <w:t>Performance Period</w:t>
            </w:r>
          </w:p>
        </w:tc>
        <w:tc>
          <w:tcPr>
            <w:tcW w:w="2720" w:type="dxa"/>
            <w:vAlign w:val="bottom"/>
          </w:tcPr>
          <w:p>
            <w:pPr>
              <w:ind w:left="120"/>
              <w:spacing w:after="0"/>
              <w:rPr>
                <w:sz w:val="20"/>
                <w:szCs w:val="20"/>
                <w:color w:val="auto"/>
              </w:rPr>
            </w:pPr>
            <w:r>
              <w:rPr>
                <w:rFonts w:ascii="Arial" w:cs="Arial" w:eastAsia="Arial" w:hAnsi="Arial"/>
                <w:sz w:val="14"/>
                <w:szCs w:val="14"/>
                <w:b w:val="1"/>
                <w:bCs w:val="1"/>
                <w:color w:val="065BAA"/>
              </w:rPr>
              <w:t>Objective/Link to Shareholder Value</w:t>
            </w:r>
          </w:p>
        </w:tc>
        <w:tc>
          <w:tcPr>
            <w:tcW w:w="2400" w:type="dxa"/>
            <w:vAlign w:val="bottom"/>
          </w:tcPr>
          <w:p>
            <w:pPr>
              <w:ind w:left="120"/>
              <w:spacing w:after="0"/>
              <w:rPr>
                <w:sz w:val="20"/>
                <w:szCs w:val="20"/>
                <w:color w:val="auto"/>
              </w:rPr>
            </w:pPr>
            <w:r>
              <w:rPr>
                <w:rFonts w:ascii="Arial" w:cs="Arial" w:eastAsia="Arial" w:hAnsi="Arial"/>
                <w:sz w:val="14"/>
                <w:szCs w:val="14"/>
                <w:b w:val="1"/>
                <w:bCs w:val="1"/>
                <w:color w:val="065BAA"/>
              </w:rPr>
              <w:t>How We Determine Amount</w:t>
            </w:r>
          </w:p>
        </w:tc>
      </w:tr>
      <w:tr>
        <w:trPr>
          <w:trHeight w:val="176"/>
        </w:trPr>
        <w:tc>
          <w:tcPr>
            <w:tcW w:w="1540" w:type="dxa"/>
            <w:vAlign w:val="bottom"/>
          </w:tcPr>
          <w:p>
            <w:pPr>
              <w:ind w:left="220"/>
              <w:spacing w:after="0"/>
              <w:rPr>
                <w:sz w:val="20"/>
                <w:szCs w:val="20"/>
                <w:color w:val="auto"/>
              </w:rPr>
            </w:pPr>
            <w:r>
              <w:rPr>
                <w:rFonts w:ascii="Arial" w:cs="Arial" w:eastAsia="Arial" w:hAnsi="Arial"/>
                <w:sz w:val="14"/>
                <w:szCs w:val="14"/>
                <w:b w:val="1"/>
                <w:bCs w:val="1"/>
                <w:color w:val="auto"/>
              </w:rPr>
              <w:t>Base Salaries</w:t>
            </w:r>
          </w:p>
        </w:tc>
        <w:tc>
          <w:tcPr>
            <w:tcW w:w="1720" w:type="dxa"/>
            <w:vAlign w:val="bottom"/>
          </w:tcPr>
          <w:p>
            <w:pPr>
              <w:ind w:left="220"/>
              <w:spacing w:after="0"/>
              <w:rPr>
                <w:sz w:val="20"/>
                <w:szCs w:val="20"/>
                <w:color w:val="auto"/>
              </w:rPr>
            </w:pPr>
            <w:r>
              <w:rPr>
                <w:rFonts w:ascii="Arial" w:cs="Arial" w:eastAsia="Arial" w:hAnsi="Arial"/>
                <w:sz w:val="14"/>
                <w:szCs w:val="14"/>
                <w:color w:val="auto"/>
              </w:rPr>
              <w:t>Ongoing</w:t>
            </w:r>
          </w:p>
        </w:tc>
        <w:tc>
          <w:tcPr>
            <w:tcW w:w="2720" w:type="dxa"/>
            <w:vAlign w:val="bottom"/>
          </w:tcPr>
          <w:p>
            <w:pPr>
              <w:ind w:left="120"/>
              <w:spacing w:after="0"/>
              <w:rPr>
                <w:sz w:val="20"/>
                <w:szCs w:val="20"/>
                <w:color w:val="auto"/>
              </w:rPr>
            </w:pPr>
            <w:r>
              <w:rPr>
                <w:rFonts w:ascii="Arial" w:cs="Arial" w:eastAsia="Arial" w:hAnsi="Arial"/>
                <w:sz w:val="14"/>
                <w:szCs w:val="14"/>
                <w:color w:val="auto"/>
              </w:rPr>
              <w:t>Attract and retain top talent</w:t>
            </w:r>
          </w:p>
        </w:tc>
        <w:tc>
          <w:tcPr>
            <w:tcW w:w="2400" w:type="dxa"/>
            <w:vAlign w:val="bottom"/>
          </w:tcPr>
          <w:p>
            <w:pPr>
              <w:ind w:left="120"/>
              <w:spacing w:after="0"/>
              <w:rPr>
                <w:sz w:val="20"/>
                <w:szCs w:val="20"/>
                <w:color w:val="auto"/>
              </w:rPr>
            </w:pPr>
            <w:r>
              <w:rPr>
                <w:rFonts w:ascii="Arial" w:cs="Arial" w:eastAsia="Arial" w:hAnsi="Arial"/>
                <w:sz w:val="14"/>
                <w:szCs w:val="14"/>
                <w:color w:val="auto"/>
              </w:rPr>
              <w:t>Scope of responsibilities,</w:t>
            </w:r>
          </w:p>
        </w:tc>
      </w:tr>
      <w:tr>
        <w:trPr>
          <w:trHeight w:val="175"/>
        </w:trPr>
        <w:tc>
          <w:tcPr>
            <w:tcW w:w="15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400" w:type="dxa"/>
            <w:vAlign w:val="bottom"/>
          </w:tcPr>
          <w:p>
            <w:pPr>
              <w:ind w:left="120"/>
              <w:spacing w:after="0"/>
              <w:rPr>
                <w:sz w:val="20"/>
                <w:szCs w:val="20"/>
                <w:color w:val="auto"/>
              </w:rPr>
            </w:pPr>
            <w:r>
              <w:rPr>
                <w:rFonts w:ascii="Arial" w:cs="Arial" w:eastAsia="Arial" w:hAnsi="Arial"/>
                <w:sz w:val="14"/>
                <w:szCs w:val="14"/>
                <w:color w:val="auto"/>
              </w:rPr>
              <w:t>experience, annual performance,</w:t>
            </w:r>
          </w:p>
        </w:tc>
      </w:tr>
      <w:tr>
        <w:trPr>
          <w:trHeight w:val="176"/>
        </w:trPr>
        <w:tc>
          <w:tcPr>
            <w:tcW w:w="15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400" w:type="dxa"/>
            <w:vAlign w:val="bottom"/>
          </w:tcPr>
          <w:p>
            <w:pPr>
              <w:ind w:left="120"/>
              <w:spacing w:after="0"/>
              <w:rPr>
                <w:sz w:val="20"/>
                <w:szCs w:val="20"/>
                <w:color w:val="auto"/>
              </w:rPr>
            </w:pPr>
            <w:r>
              <w:rPr>
                <w:rFonts w:ascii="Arial" w:cs="Arial" w:eastAsia="Arial" w:hAnsi="Arial"/>
                <w:sz w:val="14"/>
                <w:szCs w:val="14"/>
                <w:color w:val="auto"/>
              </w:rPr>
              <w:t>significance of the role, and</w:t>
            </w:r>
          </w:p>
        </w:tc>
      </w:tr>
      <w:tr>
        <w:trPr>
          <w:trHeight w:val="190"/>
        </w:trPr>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400" w:type="dxa"/>
            <w:vAlign w:val="bottom"/>
          </w:tcPr>
          <w:p>
            <w:pPr>
              <w:ind w:left="120"/>
              <w:spacing w:after="0"/>
              <w:rPr>
                <w:sz w:val="20"/>
                <w:szCs w:val="20"/>
                <w:color w:val="auto"/>
              </w:rPr>
            </w:pPr>
            <w:r>
              <w:rPr>
                <w:rFonts w:ascii="Arial" w:cs="Arial" w:eastAsia="Arial" w:hAnsi="Arial"/>
                <w:sz w:val="14"/>
                <w:szCs w:val="14"/>
                <w:color w:val="auto"/>
              </w:rPr>
              <w:t>market competitiveness</w:t>
            </w:r>
          </w:p>
        </w:tc>
      </w:tr>
      <w:tr>
        <w:trPr>
          <w:trHeight w:val="309"/>
        </w:trPr>
        <w:tc>
          <w:tcPr>
            <w:tcW w:w="1540" w:type="dxa"/>
            <w:vAlign w:val="bottom"/>
          </w:tcPr>
          <w:p>
            <w:pPr>
              <w:ind w:left="220"/>
              <w:spacing w:after="0"/>
              <w:rPr>
                <w:sz w:val="20"/>
                <w:szCs w:val="20"/>
                <w:color w:val="auto"/>
              </w:rPr>
            </w:pPr>
            <w:r>
              <w:rPr>
                <w:rFonts w:ascii="Arial" w:cs="Arial" w:eastAsia="Arial" w:hAnsi="Arial"/>
                <w:sz w:val="14"/>
                <w:szCs w:val="14"/>
                <w:b w:val="1"/>
                <w:bCs w:val="1"/>
                <w:color w:val="auto"/>
              </w:rPr>
              <w:t>Cash Incentives</w:t>
            </w:r>
          </w:p>
        </w:tc>
        <w:tc>
          <w:tcPr>
            <w:tcW w:w="1720" w:type="dxa"/>
            <w:vAlign w:val="bottom"/>
          </w:tcPr>
          <w:p>
            <w:pPr>
              <w:ind w:left="220"/>
              <w:spacing w:after="0"/>
              <w:rPr>
                <w:sz w:val="20"/>
                <w:szCs w:val="20"/>
                <w:color w:val="auto"/>
              </w:rPr>
            </w:pPr>
            <w:r>
              <w:rPr>
                <w:rFonts w:ascii="Arial" w:cs="Arial" w:eastAsia="Arial" w:hAnsi="Arial"/>
                <w:sz w:val="14"/>
                <w:szCs w:val="14"/>
                <w:color w:val="auto"/>
              </w:rPr>
              <w:t>Annual</w:t>
            </w:r>
          </w:p>
        </w:tc>
        <w:tc>
          <w:tcPr>
            <w:tcW w:w="2720" w:type="dxa"/>
            <w:vAlign w:val="bottom"/>
          </w:tcPr>
          <w:p>
            <w:pPr>
              <w:ind w:left="120"/>
              <w:spacing w:after="0"/>
              <w:rPr>
                <w:sz w:val="20"/>
                <w:szCs w:val="20"/>
                <w:color w:val="auto"/>
              </w:rPr>
            </w:pPr>
            <w:r>
              <w:rPr>
                <w:rFonts w:ascii="Arial" w:cs="Arial" w:eastAsia="Arial" w:hAnsi="Arial"/>
                <w:sz w:val="14"/>
                <w:szCs w:val="14"/>
                <w:color w:val="auto"/>
              </w:rPr>
              <w:t>Motivate and reward our executives for</w:t>
            </w:r>
          </w:p>
        </w:tc>
        <w:tc>
          <w:tcPr>
            <w:tcW w:w="2400" w:type="dxa"/>
            <w:vAlign w:val="bottom"/>
          </w:tcPr>
          <w:p>
            <w:pPr>
              <w:ind w:left="120"/>
              <w:spacing w:after="0"/>
              <w:rPr>
                <w:sz w:val="20"/>
                <w:szCs w:val="20"/>
                <w:color w:val="auto"/>
              </w:rPr>
            </w:pPr>
            <w:r>
              <w:rPr>
                <w:rFonts w:ascii="Arial" w:cs="Arial" w:eastAsia="Arial" w:hAnsi="Arial"/>
                <w:sz w:val="14"/>
                <w:szCs w:val="14"/>
                <w:color w:val="auto"/>
              </w:rPr>
              <w:t>Corporate performance (CEO and</w:t>
            </w:r>
          </w:p>
        </w:tc>
      </w:tr>
      <w:tr>
        <w:trPr>
          <w:trHeight w:val="176"/>
        </w:trPr>
        <w:tc>
          <w:tcPr>
            <w:tcW w:w="15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720" w:type="dxa"/>
            <w:vAlign w:val="bottom"/>
          </w:tcPr>
          <w:p>
            <w:pPr>
              <w:ind w:left="120"/>
              <w:spacing w:after="0"/>
              <w:rPr>
                <w:sz w:val="20"/>
                <w:szCs w:val="20"/>
                <w:color w:val="auto"/>
              </w:rPr>
            </w:pPr>
            <w:r>
              <w:rPr>
                <w:rFonts w:ascii="Arial" w:cs="Arial" w:eastAsia="Arial" w:hAnsi="Arial"/>
                <w:sz w:val="14"/>
                <w:szCs w:val="14"/>
                <w:color w:val="auto"/>
              </w:rPr>
              <w:t>short-term achievements and</w:t>
            </w:r>
          </w:p>
        </w:tc>
        <w:tc>
          <w:tcPr>
            <w:tcW w:w="2400" w:type="dxa"/>
            <w:vAlign w:val="bottom"/>
          </w:tcPr>
          <w:p>
            <w:pPr>
              <w:ind w:left="120"/>
              <w:spacing w:after="0"/>
              <w:rPr>
                <w:sz w:val="20"/>
                <w:szCs w:val="20"/>
                <w:color w:val="auto"/>
              </w:rPr>
            </w:pPr>
            <w:r>
              <w:rPr>
                <w:rFonts w:ascii="Arial" w:cs="Arial" w:eastAsia="Arial" w:hAnsi="Arial"/>
                <w:sz w:val="14"/>
                <w:szCs w:val="14"/>
                <w:color w:val="auto"/>
              </w:rPr>
              <w:t>CSO); corporate performance and</w:t>
            </w:r>
          </w:p>
        </w:tc>
      </w:tr>
      <w:tr>
        <w:trPr>
          <w:trHeight w:val="175"/>
        </w:trPr>
        <w:tc>
          <w:tcPr>
            <w:tcW w:w="15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720" w:type="dxa"/>
            <w:vAlign w:val="bottom"/>
          </w:tcPr>
          <w:p>
            <w:pPr>
              <w:ind w:left="120"/>
              <w:spacing w:after="0"/>
              <w:rPr>
                <w:sz w:val="20"/>
                <w:szCs w:val="20"/>
                <w:color w:val="auto"/>
              </w:rPr>
            </w:pPr>
            <w:r>
              <w:rPr>
                <w:rFonts w:ascii="Arial" w:cs="Arial" w:eastAsia="Arial" w:hAnsi="Arial"/>
                <w:sz w:val="14"/>
                <w:szCs w:val="14"/>
                <w:color w:val="auto"/>
              </w:rPr>
              <w:t>milestones towards long-term</w:t>
            </w:r>
          </w:p>
        </w:tc>
        <w:tc>
          <w:tcPr>
            <w:tcW w:w="2400" w:type="dxa"/>
            <w:vAlign w:val="bottom"/>
          </w:tcPr>
          <w:p>
            <w:pPr>
              <w:ind w:left="120"/>
              <w:spacing w:after="0"/>
              <w:rPr>
                <w:sz w:val="20"/>
                <w:szCs w:val="20"/>
                <w:color w:val="auto"/>
              </w:rPr>
            </w:pPr>
            <w:r>
              <w:rPr>
                <w:rFonts w:ascii="Arial" w:cs="Arial" w:eastAsia="Arial" w:hAnsi="Arial"/>
                <w:sz w:val="14"/>
                <w:szCs w:val="14"/>
                <w:color w:val="auto"/>
              </w:rPr>
              <w:t>individual contributions to such</w:t>
            </w:r>
          </w:p>
        </w:tc>
      </w:tr>
      <w:tr>
        <w:trPr>
          <w:trHeight w:val="190"/>
        </w:trPr>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720" w:type="dxa"/>
            <w:vAlign w:val="bottom"/>
          </w:tcPr>
          <w:p>
            <w:pPr>
              <w:ind w:left="120"/>
              <w:spacing w:after="0"/>
              <w:rPr>
                <w:sz w:val="20"/>
                <w:szCs w:val="20"/>
                <w:color w:val="auto"/>
              </w:rPr>
            </w:pPr>
            <w:r>
              <w:rPr>
                <w:rFonts w:ascii="Arial" w:cs="Arial" w:eastAsia="Arial" w:hAnsi="Arial"/>
                <w:sz w:val="14"/>
                <w:szCs w:val="14"/>
                <w:color w:val="auto"/>
              </w:rPr>
              <w:t>achievements</w:t>
            </w:r>
          </w:p>
        </w:tc>
        <w:tc>
          <w:tcPr>
            <w:tcW w:w="2400" w:type="dxa"/>
            <w:vAlign w:val="bottom"/>
          </w:tcPr>
          <w:p>
            <w:pPr>
              <w:ind w:left="120"/>
              <w:spacing w:after="0"/>
              <w:rPr>
                <w:sz w:val="20"/>
                <w:szCs w:val="20"/>
                <w:color w:val="auto"/>
              </w:rPr>
            </w:pPr>
            <w:r>
              <w:rPr>
                <w:rFonts w:ascii="Arial" w:cs="Arial" w:eastAsia="Arial" w:hAnsi="Arial"/>
                <w:sz w:val="14"/>
                <w:szCs w:val="14"/>
                <w:color w:val="auto"/>
              </w:rPr>
              <w:t>performance (other NEOs)</w:t>
            </w:r>
          </w:p>
        </w:tc>
      </w:tr>
      <w:tr>
        <w:trPr>
          <w:trHeight w:val="62"/>
        </w:trPr>
        <w:tc>
          <w:tcPr>
            <w:tcW w:w="1540" w:type="dxa"/>
            <w:vAlign w:val="bottom"/>
            <w:tcBorders>
              <w:bottom w:val="single" w:sz="8" w:color="808080"/>
            </w:tcBorders>
          </w:tcPr>
          <w:p>
            <w:pPr>
              <w:spacing w:after="0"/>
              <w:rPr>
                <w:sz w:val="5"/>
                <w:szCs w:val="5"/>
                <w:color w:val="auto"/>
              </w:rPr>
            </w:pPr>
          </w:p>
        </w:tc>
        <w:tc>
          <w:tcPr>
            <w:tcW w:w="1720" w:type="dxa"/>
            <w:vAlign w:val="bottom"/>
            <w:tcBorders>
              <w:bottom w:val="single" w:sz="8" w:color="808080"/>
            </w:tcBorders>
          </w:tcPr>
          <w:p>
            <w:pPr>
              <w:spacing w:after="0"/>
              <w:rPr>
                <w:sz w:val="5"/>
                <w:szCs w:val="5"/>
                <w:color w:val="auto"/>
              </w:rPr>
            </w:pPr>
          </w:p>
        </w:tc>
        <w:tc>
          <w:tcPr>
            <w:tcW w:w="2720" w:type="dxa"/>
            <w:vAlign w:val="bottom"/>
            <w:tcBorders>
              <w:bottom w:val="single" w:sz="8" w:color="808080"/>
            </w:tcBorders>
          </w:tcPr>
          <w:p>
            <w:pPr>
              <w:spacing w:after="0"/>
              <w:rPr>
                <w:sz w:val="5"/>
                <w:szCs w:val="5"/>
                <w:color w:val="auto"/>
              </w:rPr>
            </w:pPr>
          </w:p>
        </w:tc>
        <w:tc>
          <w:tcPr>
            <w:tcW w:w="2400" w:type="dxa"/>
            <w:vAlign w:val="bottom"/>
            <w:tcBorders>
              <w:bottom w:val="single" w:sz="8" w:color="808080"/>
            </w:tcBorders>
          </w:tcPr>
          <w:p>
            <w:pPr>
              <w:spacing w:after="0"/>
              <w:rPr>
                <w:sz w:val="5"/>
                <w:szCs w:val="5"/>
                <w:color w:val="auto"/>
              </w:rPr>
            </w:pPr>
          </w:p>
        </w:tc>
      </w:tr>
      <w:tr>
        <w:trPr>
          <w:trHeight w:val="248"/>
        </w:trPr>
        <w:tc>
          <w:tcPr>
            <w:tcW w:w="1540" w:type="dxa"/>
            <w:vAlign w:val="bottom"/>
          </w:tcPr>
          <w:p>
            <w:pPr>
              <w:ind w:left="220"/>
              <w:spacing w:after="0"/>
              <w:rPr>
                <w:sz w:val="20"/>
                <w:szCs w:val="20"/>
                <w:color w:val="auto"/>
              </w:rPr>
            </w:pPr>
            <w:r>
              <w:rPr>
                <w:rFonts w:ascii="Arial" w:cs="Arial" w:eastAsia="Arial" w:hAnsi="Arial"/>
                <w:sz w:val="14"/>
                <w:szCs w:val="14"/>
                <w:b w:val="1"/>
                <w:bCs w:val="1"/>
                <w:color w:val="auto"/>
              </w:rPr>
              <w:t>Equity Awards*</w:t>
            </w:r>
          </w:p>
        </w:tc>
        <w:tc>
          <w:tcPr>
            <w:tcW w:w="17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400" w:type="dxa"/>
            <w:vAlign w:val="bottom"/>
          </w:tcPr>
          <w:p>
            <w:pPr>
              <w:spacing w:after="0"/>
              <w:rPr>
                <w:sz w:val="21"/>
                <w:szCs w:val="21"/>
                <w:color w:val="auto"/>
              </w:rPr>
            </w:pPr>
          </w:p>
        </w:tc>
      </w:tr>
    </w:tbl>
    <w:p>
      <w:pPr>
        <w:spacing w:after="0" w:line="87" w:lineRule="exact"/>
        <w:rPr>
          <w:sz w:val="20"/>
          <w:szCs w:val="20"/>
          <w:color w:val="auto"/>
        </w:rPr>
      </w:pPr>
    </w:p>
    <w:p>
      <w:pPr>
        <w:sectPr>
          <w:pgSz w:w="11900" w:h="16838" w:orient="portrait"/>
          <w:cols w:equalWidth="0" w:num="2">
            <w:col w:w="409" w:space="91"/>
            <w:col w:w="8519"/>
          </w:cols>
          <w:pgMar w:left="1440" w:top="657" w:right="1440" w:bottom="1440" w:gutter="0" w:footer="0" w:header="0"/>
          <w:type w:val="continuous"/>
        </w:sectPr>
      </w:pPr>
    </w:p>
    <w:p>
      <w:pPr>
        <w:spacing w:after="0" w:line="10" w:lineRule="exact"/>
        <w:rPr>
          <w:sz w:val="20"/>
          <w:szCs w:val="20"/>
          <w:color w:val="auto"/>
        </w:rPr>
      </w:pPr>
    </w:p>
    <w:tbl>
      <w:tblPr>
        <w:tblLayout w:type="fixed"/>
        <w:tblInd w:w="264" w:type="dxa"/>
        <w:tblCellMar>
          <w:top w:w="0" w:type="dxa"/>
          <w:left w:w="0" w:type="dxa"/>
          <w:bottom w:w="0" w:type="dxa"/>
          <w:right w:w="0" w:type="dxa"/>
        </w:tblCellMar>
      </w:tblPr>
      <w:tr>
        <w:trPr>
          <w:trHeight w:val="620"/>
        </w:trPr>
        <w:tc>
          <w:tcPr>
            <w:tcW w:w="138" w:type="dxa"/>
            <w:vAlign w:val="bottom"/>
            <w:textDirection w:val="btLr"/>
          </w:tcPr>
          <w:p>
            <w:pPr>
              <w:spacing w:after="0"/>
              <w:rPr>
                <w:sz w:val="20"/>
                <w:szCs w:val="20"/>
                <w:color w:val="auto"/>
              </w:rPr>
            </w:pPr>
            <w:r>
              <w:rPr>
                <w:rFonts w:ascii="Arial" w:cs="Arial" w:eastAsia="Arial" w:hAnsi="Arial"/>
                <w:sz w:val="12"/>
                <w:szCs w:val="12"/>
                <w:b w:val="1"/>
                <w:bCs w:val="1"/>
                <w:color w:val="FFFFFF"/>
              </w:rPr>
              <w:t>VARIABLE</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340" w:type="dxa"/>
            <w:vAlign w:val="bottom"/>
          </w:tcPr>
          <w:p>
            <w:pPr>
              <w:ind w:left="220"/>
              <w:spacing w:after="0"/>
              <w:rPr>
                <w:sz w:val="20"/>
                <w:szCs w:val="20"/>
                <w:color w:val="auto"/>
              </w:rPr>
            </w:pPr>
            <w:r>
              <w:rPr>
                <w:rFonts w:ascii="Arial" w:cs="Arial" w:eastAsia="Arial" w:hAnsi="Arial"/>
                <w:sz w:val="14"/>
                <w:szCs w:val="14"/>
                <w:b w:val="1"/>
                <w:bCs w:val="1"/>
                <w:color w:val="FFFFFF"/>
              </w:rPr>
              <w:t>•</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Stock Options</w:t>
            </w:r>
          </w:p>
        </w:tc>
        <w:tc>
          <w:tcPr>
            <w:tcW w:w="1560" w:type="dxa"/>
            <w:vAlign w:val="bottom"/>
          </w:tcPr>
          <w:p>
            <w:pPr>
              <w:ind w:left="180"/>
              <w:spacing w:after="0"/>
              <w:rPr>
                <w:sz w:val="20"/>
                <w:szCs w:val="20"/>
                <w:color w:val="auto"/>
              </w:rPr>
            </w:pPr>
            <w:r>
              <w:rPr>
                <w:rFonts w:ascii="Arial" w:cs="Arial" w:eastAsia="Arial" w:hAnsi="Arial"/>
                <w:sz w:val="14"/>
                <w:szCs w:val="14"/>
                <w:color w:val="auto"/>
              </w:rPr>
              <w:t>Four-year vesting</w:t>
            </w:r>
          </w:p>
        </w:tc>
        <w:tc>
          <w:tcPr>
            <w:tcW w:w="2860" w:type="dxa"/>
            <w:vAlign w:val="bottom"/>
          </w:tcPr>
          <w:p>
            <w:pPr>
              <w:ind w:left="240"/>
              <w:spacing w:after="0"/>
              <w:rPr>
                <w:sz w:val="20"/>
                <w:szCs w:val="20"/>
                <w:color w:val="auto"/>
              </w:rPr>
            </w:pPr>
            <w:r>
              <w:rPr>
                <w:rFonts w:ascii="Arial" w:cs="Arial" w:eastAsia="Arial" w:hAnsi="Arial"/>
                <w:sz w:val="14"/>
                <w:szCs w:val="14"/>
                <w:color w:val="auto"/>
              </w:rPr>
              <w:t>Motivate and reward our executives for</w:t>
            </w:r>
          </w:p>
        </w:tc>
      </w:tr>
      <w:tr>
        <w:trPr>
          <w:trHeight w:val="175"/>
        </w:trPr>
        <w:tc>
          <w:tcPr>
            <w:tcW w:w="3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(60% of value</w:t>
            </w:r>
          </w:p>
        </w:tc>
        <w:tc>
          <w:tcPr>
            <w:tcW w:w="1560" w:type="dxa"/>
            <w:vAlign w:val="bottom"/>
          </w:tcPr>
          <w:p>
            <w:pPr>
              <w:ind w:left="180"/>
              <w:spacing w:after="0"/>
              <w:rPr>
                <w:sz w:val="20"/>
                <w:szCs w:val="20"/>
                <w:color w:val="auto"/>
              </w:rPr>
            </w:pPr>
            <w:r>
              <w:rPr>
                <w:rFonts w:ascii="Arial" w:cs="Arial" w:eastAsia="Arial" w:hAnsi="Arial"/>
                <w:sz w:val="14"/>
                <w:szCs w:val="14"/>
                <w:color w:val="auto"/>
              </w:rPr>
              <w:t>schedule</w:t>
            </w:r>
          </w:p>
        </w:tc>
        <w:tc>
          <w:tcPr>
            <w:tcW w:w="2860" w:type="dxa"/>
            <w:vAlign w:val="bottom"/>
          </w:tcPr>
          <w:p>
            <w:pPr>
              <w:ind w:left="240"/>
              <w:spacing w:after="0"/>
              <w:rPr>
                <w:sz w:val="20"/>
                <w:szCs w:val="20"/>
                <w:color w:val="auto"/>
              </w:rPr>
            </w:pPr>
            <w:r>
              <w:rPr>
                <w:rFonts w:ascii="Arial" w:cs="Arial" w:eastAsia="Arial" w:hAnsi="Arial"/>
                <w:sz w:val="14"/>
                <w:szCs w:val="14"/>
                <w:color w:val="auto"/>
              </w:rPr>
              <w:t>long-term achievements and</w:t>
            </w:r>
          </w:p>
        </w:tc>
      </w:tr>
      <w:tr>
        <w:trPr>
          <w:trHeight w:val="176"/>
        </w:trPr>
        <w:tc>
          <w:tcPr>
            <w:tcW w:w="3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awarded)</w:t>
            </w:r>
          </w:p>
        </w:tc>
        <w:tc>
          <w:tcPr>
            <w:tcW w:w="1560" w:type="dxa"/>
            <w:vAlign w:val="bottom"/>
          </w:tcPr>
          <w:p>
            <w:pPr>
              <w:ind w:left="180"/>
              <w:spacing w:after="0"/>
              <w:rPr>
                <w:sz w:val="20"/>
                <w:szCs w:val="20"/>
                <w:color w:val="auto"/>
              </w:rPr>
            </w:pPr>
            <w:r>
              <w:rPr>
                <w:rFonts w:ascii="Arial" w:cs="Arial" w:eastAsia="Arial" w:hAnsi="Arial"/>
                <w:sz w:val="14"/>
                <w:szCs w:val="14"/>
                <w:color w:val="auto"/>
              </w:rPr>
              <w:t>(25% per year);</w:t>
            </w:r>
          </w:p>
        </w:tc>
        <w:tc>
          <w:tcPr>
            <w:tcW w:w="2860" w:type="dxa"/>
            <w:vAlign w:val="bottom"/>
          </w:tcPr>
          <w:p>
            <w:pPr>
              <w:ind w:left="240"/>
              <w:spacing w:after="0"/>
              <w:rPr>
                <w:sz w:val="20"/>
                <w:szCs w:val="20"/>
                <w:color w:val="auto"/>
              </w:rPr>
            </w:pPr>
            <w:r>
              <w:rPr>
                <w:rFonts w:ascii="Arial" w:cs="Arial" w:eastAsia="Arial" w:hAnsi="Arial"/>
                <w:sz w:val="14"/>
                <w:szCs w:val="14"/>
                <w:color w:val="auto"/>
              </w:rPr>
              <w:t>shareholder value creation</w:t>
            </w:r>
          </w:p>
        </w:tc>
      </w:tr>
      <w:tr>
        <w:trPr>
          <w:trHeight w:val="190"/>
        </w:trPr>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60" w:type="dxa"/>
            <w:vAlign w:val="bottom"/>
          </w:tcPr>
          <w:p>
            <w:pPr>
              <w:ind w:left="180"/>
              <w:spacing w:after="0"/>
              <w:rPr>
                <w:sz w:val="20"/>
                <w:szCs w:val="20"/>
                <w:color w:val="auto"/>
              </w:rPr>
            </w:pPr>
            <w:r>
              <w:rPr>
                <w:rFonts w:ascii="Arial" w:cs="Arial" w:eastAsia="Arial" w:hAnsi="Arial"/>
                <w:sz w:val="14"/>
                <w:szCs w:val="14"/>
                <w:color w:val="auto"/>
              </w:rPr>
              <w:t>10-year term</w:t>
            </w:r>
          </w:p>
        </w:tc>
        <w:tc>
          <w:tcPr>
            <w:tcW w:w="2860" w:type="dxa"/>
            <w:vAlign w:val="bottom"/>
          </w:tcPr>
          <w:p>
            <w:pPr>
              <w:spacing w:after="0"/>
              <w:rPr>
                <w:sz w:val="16"/>
                <w:szCs w:val="16"/>
                <w:color w:val="auto"/>
              </w:rPr>
            </w:pPr>
          </w:p>
        </w:tc>
      </w:tr>
      <w:tr>
        <w:trPr>
          <w:trHeight w:val="62"/>
        </w:trPr>
        <w:tc>
          <w:tcPr>
            <w:tcW w:w="340" w:type="dxa"/>
            <w:vAlign w:val="bottom"/>
            <w:tcBorders>
              <w:bottom w:val="single" w:sz="8" w:color="808080"/>
            </w:tcBorders>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1560" w:type="dxa"/>
            <w:vAlign w:val="bottom"/>
            <w:tcBorders>
              <w:bottom w:val="single" w:sz="8" w:color="808080"/>
            </w:tcBorders>
          </w:tcPr>
          <w:p>
            <w:pPr>
              <w:spacing w:after="0"/>
              <w:rPr>
                <w:sz w:val="5"/>
                <w:szCs w:val="5"/>
                <w:color w:val="auto"/>
              </w:rPr>
            </w:pPr>
          </w:p>
        </w:tc>
        <w:tc>
          <w:tcPr>
            <w:tcW w:w="2860" w:type="dxa"/>
            <w:vAlign w:val="bottom"/>
            <w:tcBorders>
              <w:bottom w:val="single" w:sz="8" w:color="808080"/>
            </w:tcBorders>
          </w:tcPr>
          <w:p>
            <w:pPr>
              <w:spacing w:after="0"/>
              <w:rPr>
                <w:sz w:val="5"/>
                <w:szCs w:val="5"/>
                <w:color w:val="auto"/>
              </w:rPr>
            </w:pPr>
          </w:p>
        </w:tc>
      </w:tr>
      <w:tr>
        <w:trPr>
          <w:trHeight w:val="227"/>
        </w:trPr>
        <w:tc>
          <w:tcPr>
            <w:tcW w:w="340" w:type="dxa"/>
            <w:vAlign w:val="bottom"/>
          </w:tcPr>
          <w:p>
            <w:pPr>
              <w:ind w:left="220"/>
              <w:spacing w:after="0"/>
              <w:rPr>
                <w:sz w:val="20"/>
                <w:szCs w:val="20"/>
                <w:color w:val="auto"/>
              </w:rPr>
            </w:pPr>
            <w:r>
              <w:rPr>
                <w:rFonts w:ascii="Arial" w:cs="Arial" w:eastAsia="Arial" w:hAnsi="Arial"/>
                <w:sz w:val="14"/>
                <w:szCs w:val="14"/>
                <w:b w:val="1"/>
                <w:bCs w:val="1"/>
                <w:color w:val="FFFFFF"/>
              </w:rPr>
              <w:t>•</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RSAs</w:t>
            </w:r>
          </w:p>
        </w:tc>
        <w:tc>
          <w:tcPr>
            <w:tcW w:w="1560" w:type="dxa"/>
            <w:vAlign w:val="bottom"/>
          </w:tcPr>
          <w:p>
            <w:pPr>
              <w:ind w:left="180"/>
              <w:spacing w:after="0"/>
              <w:rPr>
                <w:sz w:val="20"/>
                <w:szCs w:val="20"/>
                <w:color w:val="auto"/>
              </w:rPr>
            </w:pPr>
            <w:r>
              <w:rPr>
                <w:rFonts w:ascii="Arial" w:cs="Arial" w:eastAsia="Arial" w:hAnsi="Arial"/>
                <w:sz w:val="14"/>
                <w:szCs w:val="14"/>
                <w:color w:val="auto"/>
              </w:rPr>
              <w:t>Four-year vesting</w:t>
            </w:r>
          </w:p>
        </w:tc>
        <w:tc>
          <w:tcPr>
            <w:tcW w:w="2860" w:type="dxa"/>
            <w:vAlign w:val="bottom"/>
          </w:tcPr>
          <w:p>
            <w:pPr>
              <w:ind w:left="240"/>
              <w:spacing w:after="0"/>
              <w:rPr>
                <w:sz w:val="20"/>
                <w:szCs w:val="20"/>
                <w:color w:val="auto"/>
              </w:rPr>
            </w:pPr>
            <w:r>
              <w:rPr>
                <w:rFonts w:ascii="Arial" w:cs="Arial" w:eastAsia="Arial" w:hAnsi="Arial"/>
                <w:sz w:val="14"/>
                <w:szCs w:val="14"/>
                <w:color w:val="auto"/>
              </w:rPr>
              <w:t>Reinforce long-term focus, reward high</w:t>
            </w:r>
          </w:p>
        </w:tc>
      </w:tr>
      <w:tr>
        <w:trPr>
          <w:trHeight w:val="176"/>
        </w:trPr>
        <w:tc>
          <w:tcPr>
            <w:tcW w:w="340" w:type="dxa"/>
            <w:vAlign w:val="bottom"/>
          </w:tcPr>
          <w:p>
            <w:pPr>
              <w:ind w:left="220"/>
              <w:spacing w:after="0"/>
              <w:rPr>
                <w:sz w:val="20"/>
                <w:szCs w:val="20"/>
                <w:color w:val="auto"/>
              </w:rPr>
            </w:pPr>
            <w:r>
              <w:rPr>
                <w:rFonts w:ascii="Arial" w:cs="Arial" w:eastAsia="Arial" w:hAnsi="Arial"/>
                <w:sz w:val="14"/>
                <w:szCs w:val="14"/>
                <w:color w:val="FFFFFF"/>
              </w:rPr>
              <w:t>•</w:t>
            </w:r>
          </w:p>
        </w:tc>
        <w:tc>
          <w:tcPr>
            <w:tcW w:w="1240" w:type="dxa"/>
            <w:vAlign w:val="bottom"/>
          </w:tcPr>
          <w:p>
            <w:pPr>
              <w:ind w:left="80"/>
              <w:spacing w:after="0"/>
              <w:rPr>
                <w:sz w:val="20"/>
                <w:szCs w:val="20"/>
                <w:color w:val="auto"/>
              </w:rPr>
            </w:pPr>
            <w:r>
              <w:rPr>
                <w:rFonts w:ascii="Arial" w:cs="Arial" w:eastAsia="Arial" w:hAnsi="Arial"/>
                <w:sz w:val="14"/>
                <w:szCs w:val="14"/>
                <w:color w:val="auto"/>
              </w:rPr>
              <w:t>(40% of value</w:t>
            </w:r>
          </w:p>
        </w:tc>
        <w:tc>
          <w:tcPr>
            <w:tcW w:w="1560" w:type="dxa"/>
            <w:vAlign w:val="bottom"/>
          </w:tcPr>
          <w:p>
            <w:pPr>
              <w:ind w:left="180"/>
              <w:spacing w:after="0"/>
              <w:rPr>
                <w:sz w:val="20"/>
                <w:szCs w:val="20"/>
                <w:color w:val="auto"/>
              </w:rPr>
            </w:pPr>
            <w:r>
              <w:rPr>
                <w:rFonts w:ascii="Arial" w:cs="Arial" w:eastAsia="Arial" w:hAnsi="Arial"/>
                <w:sz w:val="14"/>
                <w:szCs w:val="14"/>
                <w:color w:val="auto"/>
              </w:rPr>
              <w:t>schedule (50%</w:t>
            </w:r>
          </w:p>
        </w:tc>
        <w:tc>
          <w:tcPr>
            <w:tcW w:w="2860" w:type="dxa"/>
            <w:vAlign w:val="bottom"/>
          </w:tcPr>
          <w:p>
            <w:pPr>
              <w:ind w:left="240"/>
              <w:spacing w:after="0"/>
              <w:rPr>
                <w:sz w:val="20"/>
                <w:szCs w:val="20"/>
                <w:color w:val="auto"/>
              </w:rPr>
            </w:pPr>
            <w:r>
              <w:rPr>
                <w:rFonts w:ascii="Arial" w:cs="Arial" w:eastAsia="Arial" w:hAnsi="Arial"/>
                <w:sz w:val="14"/>
                <w:szCs w:val="14"/>
                <w:color w:val="auto"/>
              </w:rPr>
              <w:t>performance, and promote long-term</w:t>
            </w:r>
          </w:p>
        </w:tc>
      </w:tr>
      <w:tr>
        <w:trPr>
          <w:trHeight w:val="190"/>
        </w:trPr>
        <w:tc>
          <w:tcPr>
            <w:tcW w:w="3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awarded)</w:t>
            </w:r>
          </w:p>
        </w:tc>
        <w:tc>
          <w:tcPr>
            <w:tcW w:w="1560" w:type="dxa"/>
            <w:vAlign w:val="bottom"/>
          </w:tcPr>
          <w:p>
            <w:pPr>
              <w:ind w:left="180"/>
              <w:spacing w:after="0"/>
              <w:rPr>
                <w:sz w:val="20"/>
                <w:szCs w:val="20"/>
                <w:color w:val="auto"/>
              </w:rPr>
            </w:pPr>
            <w:r>
              <w:rPr>
                <w:rFonts w:ascii="Arial" w:cs="Arial" w:eastAsia="Arial" w:hAnsi="Arial"/>
                <w:sz w:val="14"/>
                <w:szCs w:val="14"/>
                <w:color w:val="auto"/>
              </w:rPr>
              <w:t>every two years)</w:t>
            </w:r>
          </w:p>
        </w:tc>
        <w:tc>
          <w:tcPr>
            <w:tcW w:w="2860" w:type="dxa"/>
            <w:vAlign w:val="bottom"/>
          </w:tcPr>
          <w:p>
            <w:pPr>
              <w:ind w:left="240"/>
              <w:spacing w:after="0"/>
              <w:rPr>
                <w:sz w:val="20"/>
                <w:szCs w:val="20"/>
                <w:color w:val="auto"/>
              </w:rPr>
            </w:pPr>
            <w:r>
              <w:rPr>
                <w:rFonts w:ascii="Arial" w:cs="Arial" w:eastAsia="Arial" w:hAnsi="Arial"/>
                <w:sz w:val="14"/>
                <w:szCs w:val="14"/>
                <w:color w:val="auto"/>
              </w:rPr>
              <w:t>retention</w:t>
            </w: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319"/>
        <w:spacing w:after="0" w:line="267" w:lineRule="auto"/>
        <w:rPr>
          <w:sz w:val="20"/>
          <w:szCs w:val="20"/>
          <w:color w:val="auto"/>
        </w:rPr>
      </w:pPr>
      <w:r>
        <w:rPr>
          <w:rFonts w:ascii="Arial" w:cs="Arial" w:eastAsia="Arial" w:hAnsi="Arial"/>
          <w:sz w:val="14"/>
          <w:szCs w:val="14"/>
          <w:color w:val="auto"/>
        </w:rPr>
        <w:t>Past and expected future individual contributions to corporate performance, retention considerations, market data, and historical grant amounts</w:t>
      </w:r>
    </w:p>
    <w:p>
      <w:pPr>
        <w:spacing w:after="0" w:line="345" w:lineRule="exact"/>
        <w:rPr>
          <w:sz w:val="20"/>
          <w:szCs w:val="20"/>
          <w:color w:val="auto"/>
        </w:rPr>
      </w:pPr>
    </w:p>
    <w:p>
      <w:pPr>
        <w:sectPr>
          <w:pgSz w:w="11900" w:h="16838" w:orient="portrait"/>
          <w:cols w:equalWidth="0" w:num="3">
            <w:col w:w="402" w:space="98"/>
            <w:col w:w="6000" w:space="100"/>
            <w:col w:w="2419"/>
          </w:cols>
          <w:pgMar w:left="1440" w:top="657" w:right="1440" w:bottom="1440" w:gutter="0" w:footer="0" w:header="0"/>
          <w:type w:val="continuous"/>
        </w:sectPr>
      </w:pPr>
    </w:p>
    <w:p>
      <w:pPr>
        <w:spacing w:after="0" w:line="168" w:lineRule="exact"/>
        <w:rPr>
          <w:sz w:val="20"/>
          <w:szCs w:val="20"/>
          <w:color w:val="auto"/>
        </w:rPr>
      </w:pPr>
    </w:p>
    <w:p>
      <w:pPr>
        <w:ind w:left="320" w:right="299" w:hanging="190"/>
        <w:spacing w:after="0" w:line="286" w:lineRule="auto"/>
        <w:tabs>
          <w:tab w:leader="none" w:pos="32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Drs. Schleifer and Yancopoulos did not receive any equity awards in 2025 as the Committee continued to actively discuss and consider a potential new CEO/CSO equity program design.</w:t>
      </w:r>
    </w:p>
    <w:p>
      <w:pPr>
        <w:spacing w:after="0" w:line="107" w:lineRule="exact"/>
        <w:rPr>
          <w:sz w:val="20"/>
          <w:szCs w:val="20"/>
          <w:color w:val="auto"/>
        </w:rPr>
      </w:pPr>
    </w:p>
    <w:p>
      <w:pPr>
        <w:ind w:left="140" w:right="139"/>
        <w:spacing w:after="0" w:line="291" w:lineRule="auto"/>
        <w:rPr>
          <w:sz w:val="20"/>
          <w:szCs w:val="20"/>
          <w:color w:val="auto"/>
        </w:rPr>
      </w:pPr>
      <w:r>
        <w:rPr>
          <w:rFonts w:ascii="Arial" w:cs="Arial" w:eastAsia="Arial" w:hAnsi="Arial"/>
          <w:sz w:val="16"/>
          <w:szCs w:val="16"/>
          <w:color w:val="auto"/>
        </w:rPr>
        <w:t>Our executive compensation structure emphasizes at-risk, performance-based pay, with increased performance accountability as responsibility increases. In the case of our CEO and CSO, all of their direct pay, except for base salaries, depends on performance and is “at-risk.” We also emphasize at-risk pay for our other NEOs, with stock options (which are inherently performance-based) continuing to represent 60% of the grant date fair value of their annual equity awards in 2025.</w:t>
      </w:r>
    </w:p>
    <w:p>
      <w:pPr>
        <w:sectPr>
          <w:pgSz w:w="11900" w:h="16838" w:orient="portrait"/>
          <w:cols w:equalWidth="0" w:num="1">
            <w:col w:w="901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65BAA"/>
        </w:rPr>
        <w:t xml:space="preserve">62  </w:t>
      </w:r>
      <w:r>
        <w:rPr>
          <w:sz w:val="1"/>
          <w:szCs w:val="1"/>
          <w:color w:val="auto"/>
        </w:rPr>
        <w:drawing>
          <wp:inline distT="0" distB="0" distL="0" distR="0">
            <wp:extent cx="8255" cy="1371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137160"/>
                    </a:xfrm>
                    <a:prstGeom prst="rect">
                      <a:avLst/>
                    </a:prstGeom>
                    <a:noFill/>
                    <a:ln>
                      <a:noFill/>
                    </a:ln>
                  </pic:spPr>
                </pic:pic>
              </a:graphicData>
            </a:graphic>
          </wp:inline>
        </w:drawing>
        <w:drawing>
          <wp:inline distT="0" distB="0" distL="0" distR="0">
            <wp:extent cx="531495" cy="5969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1495" cy="59690"/>
                    </a:xfrm>
                    <a:prstGeom prst="rect">
                      <a:avLst/>
                    </a:prstGeom>
                    <a:noFill/>
                    <a:ln>
                      <a:noFill/>
                    </a:ln>
                  </pic:spPr>
                </pic:pic>
              </a:graphicData>
            </a:graphic>
          </wp:inline>
        </w:drawing>
      </w:r>
      <w:r>
        <w:rPr>
          <w:rFonts w:ascii="Arial" w:cs="Arial" w:eastAsia="Arial" w:hAnsi="Arial"/>
          <w:sz w:val="14"/>
          <w:szCs w:val="14"/>
          <w:b w:val="1"/>
          <w:bCs w:val="1"/>
          <w:color w:val="065BAA"/>
        </w:rPr>
        <w:t xml:space="preserve">                                   2026 Proxy Statement and Notice of Annual Shareholder Meeting</w:t>
      </w:r>
    </w:p>
    <w:p>
      <w:pPr>
        <w:sectPr>
          <w:pgSz w:w="11900" w:h="16838" w:orient="portrait"/>
          <w:cols w:equalWidth="0" w:num="1">
            <w:col w:w="9019"/>
          </w:cols>
          <w:pgMar w:left="1440" w:top="657" w:right="1440" w:bottom="1440" w:gutter="0" w:footer="0" w:header="0"/>
          <w:type w:val="continuous"/>
        </w:sectPr>
      </w:pPr>
    </w:p>
    <w:bookmarkStart w:id="71" w:name="page72"/>
    <w:bookmarkEnd w:id="71"/>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Key Compensation Program Governance Features</w:t>
      </w:r>
    </w:p>
    <w:p>
      <w:pPr>
        <w:spacing w:after="0" w:line="180" w:lineRule="exact"/>
        <w:rPr>
          <w:sz w:val="20"/>
          <w:szCs w:val="20"/>
          <w:color w:val="auto"/>
        </w:rPr>
      </w:pPr>
    </w:p>
    <w:p>
      <w:pPr>
        <w:ind w:left="140" w:right="459"/>
        <w:spacing w:after="0" w:line="295" w:lineRule="auto"/>
        <w:rPr>
          <w:sz w:val="20"/>
          <w:szCs w:val="20"/>
          <w:color w:val="auto"/>
        </w:rPr>
      </w:pPr>
      <w:r>
        <w:rPr>
          <w:rFonts w:ascii="Arial" w:cs="Arial" w:eastAsia="Arial" w:hAnsi="Arial"/>
          <w:sz w:val="16"/>
          <w:szCs w:val="16"/>
          <w:color w:val="auto"/>
        </w:rPr>
        <w:t>The Compensation Committee oversees the executive compensation program with the support of an independent compensation consultant and management. Our compensation program demonstrates strong governance, minimizing inappropriate risk-taking behavior while protecting shareholder rights and interests. The following is a summary of Regeneron’s key executive compensation best practices and policies.</w:t>
      </w:r>
    </w:p>
    <w:p>
      <w:pPr>
        <w:sectPr>
          <w:pgSz w:w="11900" w:h="16838" w:orient="portrait"/>
          <w:cols w:equalWidth="0" w:num="1">
            <w:col w:w="9019"/>
          </w:cols>
          <w:pgMar w:left="1440" w:top="657" w:right="1440" w:bottom="1440" w:gutter="0" w:footer="0" w:header="0"/>
        </w:sectPr>
      </w:pPr>
    </w:p>
    <w:p>
      <w:pPr>
        <w:spacing w:after="0" w:line="175"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FFFFFF"/>
        </w:rPr>
        <w:t>What</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FFFFFF"/>
        </w:rPr>
        <w:t>We Do</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sz w:val="1"/>
          <w:szCs w:val="1"/>
          <w:color w:val="auto"/>
        </w:rPr>
        <w:drawing>
          <wp:inline distT="0" distB="0" distL="0" distR="0">
            <wp:extent cx="68580" cy="5969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b w:val="1"/>
          <w:bCs w:val="1"/>
          <w:color w:val="065BAA"/>
        </w:rPr>
        <w:t xml:space="preserve"> Align pay with performance</w:t>
      </w:r>
    </w:p>
    <w:p>
      <w:pPr>
        <w:spacing w:after="0" w:line="46" w:lineRule="exact"/>
        <w:rPr>
          <w:sz w:val="20"/>
          <w:szCs w:val="20"/>
          <w:color w:val="auto"/>
        </w:rPr>
      </w:pPr>
    </w:p>
    <w:p>
      <w:pPr>
        <w:ind w:left="380" w:right="220" w:hanging="198"/>
        <w:spacing w:after="0" w:line="301" w:lineRule="auto"/>
        <w:tabs>
          <w:tab w:leader="none" w:pos="380" w:val="left"/>
        </w:tabs>
        <w:numPr>
          <w:ilvl w:val="0"/>
          <w:numId w:val="112"/>
        </w:numPr>
        <w:rPr>
          <w:rFonts w:ascii="Arial" w:cs="Arial" w:eastAsia="Arial" w:hAnsi="Arial"/>
          <w:sz w:val="16"/>
          <w:szCs w:val="16"/>
          <w:color w:val="3B5AA4"/>
        </w:rPr>
      </w:pPr>
      <w:r>
        <w:rPr>
          <w:rFonts w:ascii="Arial" w:cs="Arial" w:eastAsia="Arial" w:hAnsi="Arial"/>
          <w:sz w:val="16"/>
          <w:szCs w:val="16"/>
          <w:color w:val="auto"/>
        </w:rPr>
        <w:t>All CEO and CSO direct pay is performance-based and “at-risk” (except for base salaries)</w:t>
      </w:r>
    </w:p>
    <w:p>
      <w:pPr>
        <w:spacing w:after="0" w:line="118" w:lineRule="exact"/>
        <w:rPr>
          <w:sz w:val="20"/>
          <w:szCs w:val="20"/>
          <w:color w:val="auto"/>
        </w:rPr>
      </w:pPr>
    </w:p>
    <w:p>
      <w:pPr>
        <w:spacing w:after="0"/>
        <w:rPr>
          <w:sz w:val="20"/>
          <w:szCs w:val="20"/>
          <w:color w:val="auto"/>
        </w:rPr>
      </w:pPr>
      <w:r>
        <w:rPr>
          <w:sz w:val="1"/>
          <w:szCs w:val="1"/>
          <w:color w:val="auto"/>
        </w:rPr>
        <w:drawing>
          <wp:inline distT="0" distB="0" distL="0" distR="0">
            <wp:extent cx="68580" cy="6858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68580"/>
                    </a:xfrm>
                    <a:prstGeom prst="rect">
                      <a:avLst/>
                    </a:prstGeom>
                    <a:noFill/>
                    <a:ln>
                      <a:noFill/>
                    </a:ln>
                  </pic:spPr>
                </pic:pic>
              </a:graphicData>
            </a:graphic>
          </wp:inline>
        </w:drawing>
      </w:r>
      <w:r>
        <w:rPr>
          <w:rFonts w:ascii="Arial" w:cs="Arial" w:eastAsia="Arial" w:hAnsi="Arial"/>
          <w:sz w:val="16"/>
          <w:szCs w:val="16"/>
          <w:b w:val="1"/>
          <w:bCs w:val="1"/>
          <w:color w:val="065BAA"/>
        </w:rPr>
        <w:t xml:space="preserve"> Align management and</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065BAA"/>
        </w:rPr>
        <w:t>shareholder interests</w:t>
      </w:r>
    </w:p>
    <w:p>
      <w:pPr>
        <w:spacing w:after="0" w:line="57" w:lineRule="exact"/>
        <w:rPr>
          <w:sz w:val="20"/>
          <w:szCs w:val="20"/>
          <w:color w:val="auto"/>
        </w:rPr>
      </w:pPr>
    </w:p>
    <w:p>
      <w:pPr>
        <w:ind w:left="380" w:right="160" w:hanging="198"/>
        <w:spacing w:after="0" w:line="304" w:lineRule="auto"/>
        <w:tabs>
          <w:tab w:leader="none" w:pos="380" w:val="left"/>
        </w:tabs>
        <w:numPr>
          <w:ilvl w:val="0"/>
          <w:numId w:val="113"/>
        </w:numPr>
        <w:rPr>
          <w:rFonts w:ascii="Arial" w:cs="Arial" w:eastAsia="Arial" w:hAnsi="Arial"/>
          <w:sz w:val="16"/>
          <w:szCs w:val="16"/>
          <w:color w:val="3B5AA4"/>
        </w:rPr>
      </w:pPr>
      <w:r>
        <w:rPr>
          <w:rFonts w:ascii="Arial" w:cs="Arial" w:eastAsia="Arial" w:hAnsi="Arial"/>
          <w:sz w:val="16"/>
          <w:szCs w:val="16"/>
          <w:color w:val="auto"/>
        </w:rPr>
        <w:t>Equity compensation is a key component of our compensation program</w:t>
      </w:r>
    </w:p>
    <w:p>
      <w:pPr>
        <w:spacing w:after="0" w:line="33" w:lineRule="exact"/>
        <w:rPr>
          <w:rFonts w:ascii="Arial" w:cs="Arial" w:eastAsia="Arial" w:hAnsi="Arial"/>
          <w:sz w:val="16"/>
          <w:szCs w:val="16"/>
          <w:color w:val="3B5AA4"/>
        </w:rPr>
      </w:pPr>
    </w:p>
    <w:p>
      <w:pPr>
        <w:ind w:left="380" w:hanging="198"/>
        <w:spacing w:after="0"/>
        <w:tabs>
          <w:tab w:leader="none" w:pos="380" w:val="left"/>
        </w:tabs>
        <w:numPr>
          <w:ilvl w:val="0"/>
          <w:numId w:val="113"/>
        </w:numPr>
        <w:rPr>
          <w:rFonts w:ascii="Arial" w:cs="Arial" w:eastAsia="Arial" w:hAnsi="Arial"/>
          <w:sz w:val="16"/>
          <w:szCs w:val="16"/>
          <w:color w:val="3B5AA4"/>
        </w:rPr>
      </w:pPr>
      <w:r>
        <w:rPr>
          <w:rFonts w:ascii="Arial" w:cs="Arial" w:eastAsia="Arial" w:hAnsi="Arial"/>
          <w:sz w:val="16"/>
          <w:szCs w:val="16"/>
          <w:color w:val="auto"/>
        </w:rPr>
        <w:t>Designed for long-term alignment:</w:t>
      </w:r>
    </w:p>
    <w:p>
      <w:pPr>
        <w:spacing w:after="0" w:line="99" w:lineRule="exact"/>
        <w:rPr>
          <w:rFonts w:ascii="Arial" w:cs="Arial" w:eastAsia="Arial" w:hAnsi="Arial"/>
          <w:sz w:val="16"/>
          <w:szCs w:val="16"/>
          <w:color w:val="3B5AA4"/>
        </w:rPr>
      </w:pPr>
    </w:p>
    <w:p>
      <w:pPr>
        <w:ind w:left="580" w:hanging="203"/>
        <w:spacing w:after="0" w:line="295" w:lineRule="auto"/>
        <w:tabs>
          <w:tab w:leader="none" w:pos="580" w:val="left"/>
        </w:tabs>
        <w:numPr>
          <w:ilvl w:val="1"/>
          <w:numId w:val="113"/>
        </w:numPr>
        <w:rPr>
          <w:rFonts w:ascii="Arial" w:cs="Arial" w:eastAsia="Arial" w:hAnsi="Arial"/>
          <w:sz w:val="14"/>
          <w:szCs w:val="14"/>
          <w:color w:val="3B5AA4"/>
        </w:rPr>
      </w:pPr>
      <w:r>
        <w:rPr>
          <w:rFonts w:ascii="Arial" w:cs="Arial" w:eastAsia="Arial" w:hAnsi="Arial"/>
          <w:sz w:val="16"/>
          <w:szCs w:val="16"/>
          <w:color w:val="auto"/>
        </w:rPr>
        <w:t>Stock options vest over four years with a ten-year term and only deliver value if Regeneron achieves stock price appreciation after grant</w:t>
      </w:r>
    </w:p>
    <w:p>
      <w:pPr>
        <w:spacing w:after="0" w:line="26" w:lineRule="exact"/>
        <w:rPr>
          <w:rFonts w:ascii="Arial" w:cs="Arial" w:eastAsia="Arial" w:hAnsi="Arial"/>
          <w:sz w:val="14"/>
          <w:szCs w:val="14"/>
          <w:color w:val="3B5AA4"/>
        </w:rPr>
      </w:pPr>
    </w:p>
    <w:p>
      <w:pPr>
        <w:ind w:left="580" w:hanging="203"/>
        <w:spacing w:after="0"/>
        <w:tabs>
          <w:tab w:leader="none" w:pos="580" w:val="left"/>
        </w:tabs>
        <w:numPr>
          <w:ilvl w:val="1"/>
          <w:numId w:val="113"/>
        </w:numPr>
        <w:rPr>
          <w:rFonts w:ascii="Arial" w:cs="Arial" w:eastAsia="Arial" w:hAnsi="Arial"/>
          <w:sz w:val="14"/>
          <w:szCs w:val="14"/>
          <w:color w:val="3B5AA4"/>
        </w:rPr>
      </w:pPr>
      <w:r>
        <w:rPr>
          <w:rFonts w:ascii="Arial" w:cs="Arial" w:eastAsia="Arial" w:hAnsi="Arial"/>
          <w:sz w:val="16"/>
          <w:szCs w:val="16"/>
          <w:color w:val="auto"/>
        </w:rPr>
        <w:t>RSAs vest over four years</w:t>
      </w:r>
    </w:p>
    <w:p>
      <w:pPr>
        <w:spacing w:after="0" w:line="113" w:lineRule="exact"/>
        <w:rPr>
          <w:rFonts w:ascii="Arial" w:cs="Arial" w:eastAsia="Arial" w:hAnsi="Arial"/>
          <w:sz w:val="14"/>
          <w:szCs w:val="14"/>
          <w:color w:val="3B5AA4"/>
        </w:rPr>
      </w:pPr>
    </w:p>
    <w:p>
      <w:pPr>
        <w:ind w:left="580" w:right="220" w:hanging="203"/>
        <w:spacing w:after="0" w:line="285" w:lineRule="auto"/>
        <w:tabs>
          <w:tab w:leader="none" w:pos="580" w:val="left"/>
        </w:tabs>
        <w:numPr>
          <w:ilvl w:val="1"/>
          <w:numId w:val="113"/>
        </w:numPr>
        <w:rPr>
          <w:rFonts w:ascii="Arial" w:cs="Arial" w:eastAsia="Arial" w:hAnsi="Arial"/>
          <w:sz w:val="14"/>
          <w:szCs w:val="14"/>
          <w:color w:val="3B5AA4"/>
        </w:rPr>
      </w:pPr>
      <w:r>
        <w:rPr>
          <w:rFonts w:ascii="Arial" w:cs="Arial" w:eastAsia="Arial" w:hAnsi="Arial"/>
          <w:sz w:val="16"/>
          <w:szCs w:val="16"/>
          <w:color w:val="auto"/>
        </w:rPr>
        <w:t>2020 CEO/CSO PSUs have an eight-year life consisting of five-year performance and vesting periods (December 2020 to December 2025) and a three-year post-vesting holding period (January 2026 to December 2028)</w:t>
      </w:r>
    </w:p>
    <w:p>
      <w:pPr>
        <w:spacing w:after="0" w:line="131" w:lineRule="exact"/>
        <w:rPr>
          <w:sz w:val="20"/>
          <w:szCs w:val="20"/>
          <w:color w:val="auto"/>
        </w:rPr>
      </w:pPr>
    </w:p>
    <w:p>
      <w:pPr>
        <w:ind w:left="180" w:right="760" w:hanging="187"/>
        <w:spacing w:after="0"/>
        <w:rPr>
          <w:sz w:val="20"/>
          <w:szCs w:val="20"/>
          <w:color w:val="auto"/>
        </w:rPr>
      </w:pPr>
      <w:r>
        <w:rPr>
          <w:sz w:val="1"/>
          <w:szCs w:val="1"/>
          <w:color w:val="auto"/>
        </w:rPr>
        <w:drawing>
          <wp:inline distT="0" distB="0" distL="0" distR="0">
            <wp:extent cx="68580" cy="6858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68580"/>
                    </a:xfrm>
                    <a:prstGeom prst="rect">
                      <a:avLst/>
                    </a:prstGeom>
                    <a:noFill/>
                    <a:ln>
                      <a:noFill/>
                    </a:ln>
                  </pic:spPr>
                </pic:pic>
              </a:graphicData>
            </a:graphic>
          </wp:inline>
        </w:drawing>
      </w:r>
      <w:r>
        <w:rPr>
          <w:rFonts w:ascii="Arial" w:cs="Arial" w:eastAsia="Arial" w:hAnsi="Arial"/>
          <w:sz w:val="16"/>
          <w:szCs w:val="16"/>
          <w:b w:val="1"/>
          <w:bCs w:val="1"/>
          <w:color w:val="065BAA"/>
        </w:rPr>
        <w:t xml:space="preserve"> Maintain robust stock ownership guidelines</w:t>
      </w:r>
    </w:p>
    <w:p>
      <w:pPr>
        <w:spacing w:after="0" w:line="20" w:lineRule="exact"/>
        <w:rPr>
          <w:sz w:val="20"/>
          <w:szCs w:val="20"/>
          <w:color w:val="auto"/>
        </w:rPr>
      </w:pPr>
    </w:p>
    <w:p>
      <w:pPr>
        <w:ind w:left="380" w:right="360" w:hanging="198"/>
        <w:spacing w:after="0" w:line="321" w:lineRule="auto"/>
        <w:tabs>
          <w:tab w:leader="none" w:pos="380" w:val="left"/>
        </w:tabs>
        <w:numPr>
          <w:ilvl w:val="0"/>
          <w:numId w:val="114"/>
        </w:numPr>
        <w:rPr>
          <w:rFonts w:ascii="Arial" w:cs="Arial" w:eastAsia="Arial" w:hAnsi="Arial"/>
          <w:sz w:val="16"/>
          <w:szCs w:val="16"/>
          <w:color w:val="3B5AA4"/>
        </w:rPr>
      </w:pPr>
      <w:r>
        <w:rPr>
          <w:rFonts w:ascii="Arial" w:cs="Arial" w:eastAsia="Arial" w:hAnsi="Arial"/>
          <w:sz w:val="16"/>
          <w:szCs w:val="16"/>
          <w:color w:val="auto"/>
        </w:rPr>
        <w:t>CEO and CSO: Shares with a value at least 6x base salary</w:t>
      </w:r>
    </w:p>
    <w:p>
      <w:pPr>
        <w:spacing w:after="0" w:line="20" w:lineRule="exact"/>
        <w:rPr>
          <w:rFonts w:ascii="Arial" w:cs="Arial" w:eastAsia="Arial" w:hAnsi="Arial"/>
          <w:sz w:val="16"/>
          <w:szCs w:val="16"/>
          <w:color w:val="3B5AA4"/>
        </w:rPr>
      </w:pPr>
    </w:p>
    <w:p>
      <w:pPr>
        <w:ind w:left="380" w:right="160" w:hanging="198"/>
        <w:spacing w:after="0" w:line="321" w:lineRule="auto"/>
        <w:tabs>
          <w:tab w:leader="none" w:pos="380" w:val="left"/>
        </w:tabs>
        <w:numPr>
          <w:ilvl w:val="0"/>
          <w:numId w:val="114"/>
        </w:numPr>
        <w:rPr>
          <w:rFonts w:ascii="Arial" w:cs="Arial" w:eastAsia="Arial" w:hAnsi="Arial"/>
          <w:sz w:val="16"/>
          <w:szCs w:val="16"/>
          <w:color w:val="3B5AA4"/>
        </w:rPr>
      </w:pPr>
      <w:r>
        <w:rPr>
          <w:rFonts w:ascii="Arial" w:cs="Arial" w:eastAsia="Arial" w:hAnsi="Arial"/>
          <w:sz w:val="16"/>
          <w:szCs w:val="16"/>
          <w:color w:val="auto"/>
        </w:rPr>
        <w:t>Other NEOs: Shares with a value at least 2x base salary</w:t>
      </w:r>
    </w:p>
    <w:p>
      <w:pPr>
        <w:spacing w:after="0" w:line="7" w:lineRule="exact"/>
        <w:rPr>
          <w:rFonts w:ascii="Arial" w:cs="Arial" w:eastAsia="Arial" w:hAnsi="Arial"/>
          <w:sz w:val="16"/>
          <w:szCs w:val="16"/>
          <w:color w:val="3B5AA4"/>
        </w:rPr>
      </w:pPr>
    </w:p>
    <w:p>
      <w:pPr>
        <w:ind w:left="380" w:right="240" w:hanging="198"/>
        <w:spacing w:after="0" w:line="301" w:lineRule="auto"/>
        <w:tabs>
          <w:tab w:leader="none" w:pos="380" w:val="left"/>
        </w:tabs>
        <w:numPr>
          <w:ilvl w:val="0"/>
          <w:numId w:val="114"/>
        </w:numPr>
        <w:rPr>
          <w:rFonts w:ascii="Arial" w:cs="Arial" w:eastAsia="Arial" w:hAnsi="Arial"/>
          <w:sz w:val="16"/>
          <w:szCs w:val="16"/>
          <w:color w:val="3B5AA4"/>
        </w:rPr>
      </w:pPr>
      <w:r>
        <w:rPr>
          <w:rFonts w:ascii="Arial" w:cs="Arial" w:eastAsia="Arial" w:hAnsi="Arial"/>
          <w:sz w:val="16"/>
          <w:szCs w:val="16"/>
          <w:color w:val="auto"/>
        </w:rPr>
        <w:t>See “Corporate Governance—Certain Governance Policies—Stock Ownership Guidelines” for more information</w:t>
      </w:r>
    </w:p>
    <w:p>
      <w:pPr>
        <w:spacing w:after="0" w:line="118" w:lineRule="exact"/>
        <w:rPr>
          <w:sz w:val="20"/>
          <w:szCs w:val="20"/>
          <w:color w:val="auto"/>
        </w:rPr>
      </w:pPr>
    </w:p>
    <w:p>
      <w:pPr>
        <w:spacing w:after="0"/>
        <w:rPr>
          <w:sz w:val="20"/>
          <w:szCs w:val="20"/>
          <w:color w:val="auto"/>
        </w:rPr>
      </w:pPr>
      <w:r>
        <w:rPr>
          <w:sz w:val="1"/>
          <w:szCs w:val="1"/>
          <w:color w:val="auto"/>
        </w:rPr>
        <w:drawing>
          <wp:inline distT="0" distB="0" distL="0" distR="0">
            <wp:extent cx="68580" cy="6032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b w:val="1"/>
          <w:bCs w:val="1"/>
          <w:color w:val="3B5AA4"/>
        </w:rPr>
        <w:t xml:space="preserve"> Hold a</w:t>
      </w:r>
      <w:r>
        <w:rPr>
          <w:rFonts w:ascii="Arial" w:cs="Arial" w:eastAsia="Arial" w:hAnsi="Arial"/>
          <w:sz w:val="16"/>
          <w:szCs w:val="16"/>
          <w:b w:val="1"/>
          <w:bCs w:val="1"/>
          <w:color w:val="065BAA"/>
        </w:rPr>
        <w:t>nnual say-on-pay votes</w:t>
      </w:r>
    </w:p>
    <w:p>
      <w:pPr>
        <w:spacing w:after="0" w:line="46" w:lineRule="exact"/>
        <w:rPr>
          <w:sz w:val="20"/>
          <w:szCs w:val="20"/>
          <w:color w:val="auto"/>
        </w:rPr>
      </w:pPr>
    </w:p>
    <w:p>
      <w:pPr>
        <w:ind w:left="380" w:right="520" w:hanging="198"/>
        <w:spacing w:after="0" w:line="301" w:lineRule="auto"/>
        <w:tabs>
          <w:tab w:leader="none" w:pos="380" w:val="left"/>
        </w:tabs>
        <w:numPr>
          <w:ilvl w:val="0"/>
          <w:numId w:val="115"/>
        </w:numPr>
        <w:rPr>
          <w:rFonts w:ascii="Arial" w:cs="Arial" w:eastAsia="Arial" w:hAnsi="Arial"/>
          <w:sz w:val="16"/>
          <w:szCs w:val="16"/>
          <w:color w:val="3B5AA4"/>
        </w:rPr>
      </w:pPr>
      <w:r>
        <w:rPr>
          <w:rFonts w:ascii="Arial" w:cs="Arial" w:eastAsia="Arial" w:hAnsi="Arial"/>
          <w:sz w:val="16"/>
          <w:szCs w:val="16"/>
          <w:color w:val="auto"/>
        </w:rPr>
        <w:t>Say-on-pay votes held annually in recognition of shareholder feedback and preference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5" w:right="399" w:hanging="187"/>
        <w:spacing w:after="0"/>
        <w:rPr>
          <w:sz w:val="20"/>
          <w:szCs w:val="20"/>
          <w:color w:val="auto"/>
        </w:rPr>
      </w:pPr>
      <w:r>
        <w:rPr>
          <w:sz w:val="1"/>
          <w:szCs w:val="1"/>
          <w:color w:val="auto"/>
        </w:rPr>
        <w:drawing>
          <wp:inline distT="0" distB="0" distL="0" distR="0">
            <wp:extent cx="68580" cy="5969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b w:val="1"/>
          <w:bCs w:val="1"/>
          <w:color w:val="065BAA"/>
        </w:rPr>
        <w:t xml:space="preserve"> Align our compensation philosophy and program design with our culture and business strategy</w:t>
      </w:r>
    </w:p>
    <w:p>
      <w:pPr>
        <w:spacing w:after="0" w:line="20" w:lineRule="exact"/>
        <w:rPr>
          <w:sz w:val="20"/>
          <w:szCs w:val="20"/>
          <w:color w:val="auto"/>
        </w:rPr>
      </w:pPr>
    </w:p>
    <w:p>
      <w:pPr>
        <w:ind w:left="185" w:hanging="185"/>
        <w:spacing w:after="0"/>
        <w:tabs>
          <w:tab w:leader="none" w:pos="185" w:val="left"/>
        </w:tabs>
        <w:numPr>
          <w:ilvl w:val="0"/>
          <w:numId w:val="116"/>
        </w:numPr>
        <w:rPr>
          <w:rFonts w:ascii="Arial" w:cs="Arial" w:eastAsia="Arial" w:hAnsi="Arial"/>
          <w:sz w:val="16"/>
          <w:szCs w:val="16"/>
          <w:color w:val="3B5AA4"/>
        </w:rPr>
      </w:pPr>
      <w:r>
        <w:rPr>
          <w:rFonts w:ascii="Arial" w:cs="Arial" w:eastAsia="Arial" w:hAnsi="Arial"/>
          <w:sz w:val="16"/>
          <w:szCs w:val="16"/>
          <w:color w:val="auto"/>
        </w:rPr>
        <w:t>Long-term oriented</w:t>
      </w:r>
    </w:p>
    <w:p>
      <w:pPr>
        <w:spacing w:after="0" w:line="113" w:lineRule="exact"/>
        <w:rPr>
          <w:rFonts w:ascii="Arial" w:cs="Arial" w:eastAsia="Arial" w:hAnsi="Arial"/>
          <w:sz w:val="16"/>
          <w:szCs w:val="16"/>
          <w:color w:val="3B5AA4"/>
        </w:rPr>
      </w:pPr>
    </w:p>
    <w:p>
      <w:pPr>
        <w:ind w:left="185" w:hanging="185"/>
        <w:spacing w:after="0"/>
        <w:tabs>
          <w:tab w:leader="none" w:pos="185" w:val="left"/>
        </w:tabs>
        <w:numPr>
          <w:ilvl w:val="0"/>
          <w:numId w:val="116"/>
        </w:numPr>
        <w:rPr>
          <w:rFonts w:ascii="Arial" w:cs="Arial" w:eastAsia="Arial" w:hAnsi="Arial"/>
          <w:sz w:val="16"/>
          <w:szCs w:val="16"/>
          <w:color w:val="3B5AA4"/>
        </w:rPr>
      </w:pPr>
      <w:r>
        <w:rPr>
          <w:rFonts w:ascii="Arial" w:cs="Arial" w:eastAsia="Arial" w:hAnsi="Arial"/>
          <w:sz w:val="16"/>
          <w:szCs w:val="16"/>
          <w:color w:val="auto"/>
        </w:rPr>
        <w:t>Focused on product pipeline</w:t>
      </w:r>
    </w:p>
    <w:p>
      <w:pPr>
        <w:spacing w:after="0" w:line="99" w:lineRule="exact"/>
        <w:rPr>
          <w:rFonts w:ascii="Arial" w:cs="Arial" w:eastAsia="Arial" w:hAnsi="Arial"/>
          <w:sz w:val="16"/>
          <w:szCs w:val="16"/>
          <w:color w:val="3B5AA4"/>
        </w:rPr>
      </w:pPr>
    </w:p>
    <w:p>
      <w:pPr>
        <w:ind w:left="185" w:hanging="185"/>
        <w:spacing w:after="0"/>
        <w:tabs>
          <w:tab w:leader="none" w:pos="185" w:val="left"/>
        </w:tabs>
        <w:numPr>
          <w:ilvl w:val="0"/>
          <w:numId w:val="116"/>
        </w:numPr>
        <w:rPr>
          <w:rFonts w:ascii="Arial" w:cs="Arial" w:eastAsia="Arial" w:hAnsi="Arial"/>
          <w:sz w:val="16"/>
          <w:szCs w:val="16"/>
          <w:color w:val="3B5AA4"/>
        </w:rPr>
      </w:pPr>
      <w:r>
        <w:rPr>
          <w:rFonts w:ascii="Arial" w:cs="Arial" w:eastAsia="Arial" w:hAnsi="Arial"/>
          <w:sz w:val="16"/>
          <w:szCs w:val="16"/>
          <w:color w:val="auto"/>
        </w:rPr>
        <w:t>Employee/shareholder mindset</w:t>
      </w:r>
    </w:p>
    <w:p>
      <w:pPr>
        <w:spacing w:after="0" w:line="194" w:lineRule="exact"/>
        <w:rPr>
          <w:sz w:val="20"/>
          <w:szCs w:val="20"/>
          <w:color w:val="auto"/>
        </w:rPr>
      </w:pPr>
    </w:p>
    <w:p>
      <w:pPr>
        <w:ind w:left="5" w:right="1179" w:hanging="187"/>
        <w:spacing w:after="0"/>
        <w:rPr>
          <w:sz w:val="20"/>
          <w:szCs w:val="20"/>
          <w:color w:val="auto"/>
        </w:rPr>
      </w:pPr>
      <w:r>
        <w:rPr>
          <w:sz w:val="1"/>
          <w:szCs w:val="1"/>
          <w:color w:val="auto"/>
        </w:rPr>
        <w:drawing>
          <wp:inline distT="0" distB="0" distL="0" distR="0">
            <wp:extent cx="68580" cy="5969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b w:val="1"/>
          <w:bCs w:val="1"/>
          <w:color w:val="065BAA"/>
        </w:rPr>
        <w:t xml:space="preserve"> Maintain a strong recoupment (clawback) policy</w:t>
      </w:r>
    </w:p>
    <w:p>
      <w:pPr>
        <w:spacing w:after="0" w:line="34" w:lineRule="exact"/>
        <w:rPr>
          <w:sz w:val="20"/>
          <w:szCs w:val="20"/>
          <w:color w:val="auto"/>
        </w:rPr>
      </w:pPr>
    </w:p>
    <w:p>
      <w:pPr>
        <w:ind w:left="185" w:right="179" w:hanging="185"/>
        <w:spacing w:after="0" w:line="289" w:lineRule="auto"/>
        <w:tabs>
          <w:tab w:leader="none" w:pos="185" w:val="left"/>
        </w:tabs>
        <w:numPr>
          <w:ilvl w:val="0"/>
          <w:numId w:val="117"/>
        </w:numPr>
        <w:rPr>
          <w:rFonts w:ascii="Arial" w:cs="Arial" w:eastAsia="Arial" w:hAnsi="Arial"/>
          <w:sz w:val="16"/>
          <w:szCs w:val="16"/>
          <w:color w:val="3B5AA4"/>
        </w:rPr>
      </w:pPr>
      <w:r>
        <w:rPr>
          <w:rFonts w:ascii="Arial" w:cs="Arial" w:eastAsia="Arial" w:hAnsi="Arial"/>
          <w:sz w:val="16"/>
          <w:szCs w:val="16"/>
          <w:color w:val="auto"/>
        </w:rPr>
        <w:t>Primary policy applies to bonus and other incentive compensation of our officers and certain other specified employees, regardless of whether paid or payable in cash, equity, or otherwise and regardless of whether earned or vested</w:t>
      </w:r>
    </w:p>
    <w:p>
      <w:pPr>
        <w:spacing w:after="0" w:line="34" w:lineRule="exact"/>
        <w:rPr>
          <w:rFonts w:ascii="Arial" w:cs="Arial" w:eastAsia="Arial" w:hAnsi="Arial"/>
          <w:sz w:val="16"/>
          <w:szCs w:val="16"/>
          <w:color w:val="3B5AA4"/>
        </w:rPr>
      </w:pPr>
    </w:p>
    <w:p>
      <w:pPr>
        <w:ind w:left="185" w:right="239" w:hanging="185"/>
        <w:spacing w:after="0" w:line="291" w:lineRule="auto"/>
        <w:tabs>
          <w:tab w:leader="none" w:pos="185" w:val="left"/>
        </w:tabs>
        <w:numPr>
          <w:ilvl w:val="0"/>
          <w:numId w:val="117"/>
        </w:numPr>
        <w:rPr>
          <w:rFonts w:ascii="Arial" w:cs="Arial" w:eastAsia="Arial" w:hAnsi="Arial"/>
          <w:sz w:val="16"/>
          <w:szCs w:val="16"/>
          <w:color w:val="3B5AA4"/>
        </w:rPr>
      </w:pPr>
      <w:r>
        <w:rPr>
          <w:rFonts w:ascii="Arial" w:cs="Arial" w:eastAsia="Arial" w:hAnsi="Arial"/>
          <w:sz w:val="16"/>
          <w:szCs w:val="16"/>
          <w:color w:val="auto"/>
        </w:rPr>
        <w:t>Primary policy supplemented to provide for recovery of incentive-based compensation of specified officers in the event an accounting restatement renders such compensation erroneously received</w:t>
      </w:r>
    </w:p>
    <w:p>
      <w:pPr>
        <w:spacing w:after="0" w:line="127" w:lineRule="exact"/>
        <w:rPr>
          <w:sz w:val="20"/>
          <w:szCs w:val="20"/>
          <w:color w:val="auto"/>
        </w:rPr>
      </w:pPr>
    </w:p>
    <w:p>
      <w:pPr>
        <w:ind w:left="5" w:right="619" w:hanging="187"/>
        <w:spacing w:after="0"/>
        <w:rPr>
          <w:sz w:val="20"/>
          <w:szCs w:val="20"/>
          <w:color w:val="auto"/>
        </w:rPr>
      </w:pPr>
      <w:r>
        <w:rPr>
          <w:sz w:val="1"/>
          <w:szCs w:val="1"/>
          <w:color w:val="auto"/>
        </w:rPr>
        <w:drawing>
          <wp:inline distT="0" distB="0" distL="0" distR="0">
            <wp:extent cx="68580" cy="6032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b w:val="1"/>
          <w:bCs w:val="1"/>
          <w:color w:val="065BAA"/>
        </w:rPr>
        <w:t xml:space="preserve"> Retain an independent compensation consultant</w:t>
      </w:r>
    </w:p>
    <w:p>
      <w:pPr>
        <w:spacing w:after="0" w:line="20" w:lineRule="exact"/>
        <w:rPr>
          <w:sz w:val="20"/>
          <w:szCs w:val="20"/>
          <w:color w:val="auto"/>
        </w:rPr>
      </w:pPr>
    </w:p>
    <w:p>
      <w:pPr>
        <w:ind w:left="185" w:right="259" w:hanging="185"/>
        <w:spacing w:after="0" w:line="289" w:lineRule="auto"/>
        <w:tabs>
          <w:tab w:leader="none" w:pos="185" w:val="left"/>
        </w:tabs>
        <w:numPr>
          <w:ilvl w:val="0"/>
          <w:numId w:val="118"/>
        </w:numPr>
        <w:rPr>
          <w:rFonts w:ascii="Arial" w:cs="Arial" w:eastAsia="Arial" w:hAnsi="Arial"/>
          <w:sz w:val="16"/>
          <w:szCs w:val="16"/>
          <w:color w:val="3B5AA4"/>
        </w:rPr>
      </w:pPr>
      <w:r>
        <w:rPr>
          <w:rFonts w:ascii="Arial" w:cs="Arial" w:eastAsia="Arial" w:hAnsi="Arial"/>
          <w:sz w:val="16"/>
          <w:szCs w:val="16"/>
          <w:color w:val="auto"/>
        </w:rPr>
        <w:t>Independent compensation consultant provides advice directly to the Compensation Committee on all key compensation decisions, as well as recommendations for compensation plans, budgets, and strategies</w:t>
      </w:r>
    </w:p>
    <w:p>
      <w:pPr>
        <w:spacing w:after="0" w:line="129" w:lineRule="exact"/>
        <w:rPr>
          <w:sz w:val="20"/>
          <w:szCs w:val="20"/>
          <w:color w:val="auto"/>
        </w:rPr>
      </w:pPr>
    </w:p>
    <w:p>
      <w:pPr>
        <w:ind w:left="5" w:right="819" w:hanging="187"/>
        <w:spacing w:after="0"/>
        <w:rPr>
          <w:sz w:val="20"/>
          <w:szCs w:val="20"/>
          <w:color w:val="auto"/>
        </w:rPr>
      </w:pPr>
      <w:r>
        <w:rPr>
          <w:sz w:val="1"/>
          <w:szCs w:val="1"/>
          <w:color w:val="auto"/>
        </w:rPr>
        <w:drawing>
          <wp:inline distT="0" distB="0" distL="0" distR="0">
            <wp:extent cx="68580" cy="6032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b w:val="1"/>
          <w:bCs w:val="1"/>
          <w:color w:val="065BAA"/>
        </w:rPr>
        <w:t xml:space="preserve"> Actively and regularly engage with shareholders on executive compensation matters</w:t>
      </w:r>
    </w:p>
    <w:p>
      <w:pPr>
        <w:spacing w:after="0" w:line="20" w:lineRule="exact"/>
        <w:rPr>
          <w:sz w:val="20"/>
          <w:szCs w:val="20"/>
          <w:color w:val="auto"/>
        </w:rPr>
      </w:pPr>
    </w:p>
    <w:p>
      <w:pPr>
        <w:ind w:left="185" w:right="759" w:hanging="185"/>
        <w:spacing w:after="0" w:line="321" w:lineRule="auto"/>
        <w:tabs>
          <w:tab w:leader="none" w:pos="185" w:val="left"/>
        </w:tabs>
        <w:numPr>
          <w:ilvl w:val="0"/>
          <w:numId w:val="119"/>
        </w:numPr>
        <w:rPr>
          <w:rFonts w:ascii="Arial" w:cs="Arial" w:eastAsia="Arial" w:hAnsi="Arial"/>
          <w:sz w:val="16"/>
          <w:szCs w:val="16"/>
          <w:color w:val="3B5AA4"/>
        </w:rPr>
      </w:pPr>
      <w:r>
        <w:rPr>
          <w:rFonts w:ascii="Arial" w:cs="Arial" w:eastAsia="Arial" w:hAnsi="Arial"/>
          <w:sz w:val="16"/>
          <w:szCs w:val="16"/>
          <w:color w:val="auto"/>
        </w:rPr>
        <w:t>Robust engagement program in the last 10+ years</w:t>
      </w:r>
    </w:p>
    <w:p>
      <w:pPr>
        <w:spacing w:after="0" w:line="7" w:lineRule="exact"/>
        <w:rPr>
          <w:rFonts w:ascii="Arial" w:cs="Arial" w:eastAsia="Arial" w:hAnsi="Arial"/>
          <w:sz w:val="16"/>
          <w:szCs w:val="16"/>
          <w:color w:val="3B5AA4"/>
        </w:rPr>
      </w:pPr>
    </w:p>
    <w:p>
      <w:pPr>
        <w:ind w:left="185" w:right="399" w:hanging="185"/>
        <w:spacing w:after="0" w:line="291" w:lineRule="auto"/>
        <w:tabs>
          <w:tab w:leader="none" w:pos="185" w:val="left"/>
        </w:tabs>
        <w:numPr>
          <w:ilvl w:val="0"/>
          <w:numId w:val="119"/>
        </w:numPr>
        <w:rPr>
          <w:rFonts w:ascii="Arial" w:cs="Arial" w:eastAsia="Arial" w:hAnsi="Arial"/>
          <w:sz w:val="16"/>
          <w:szCs w:val="16"/>
          <w:color w:val="3B5AA4"/>
        </w:rPr>
      </w:pPr>
      <w:r>
        <w:rPr>
          <w:rFonts w:ascii="Arial" w:cs="Arial" w:eastAsia="Arial" w:hAnsi="Arial"/>
          <w:sz w:val="16"/>
          <w:szCs w:val="16"/>
          <w:color w:val="auto"/>
        </w:rPr>
        <w:t>In 2025, reached out to shareholders collectively representing 51% of public shares and held one-on-one discussions with shareholders representing 42% of public shares</w:t>
      </w:r>
    </w:p>
    <w:p>
      <w:pPr>
        <w:spacing w:after="0" w:line="200" w:lineRule="exact"/>
        <w:rPr>
          <w:sz w:val="20"/>
          <w:szCs w:val="20"/>
          <w:color w:val="auto"/>
        </w:rPr>
      </w:pPr>
    </w:p>
    <w:p>
      <w:pPr>
        <w:sectPr>
          <w:pgSz w:w="11900" w:h="16838" w:orient="portrait"/>
          <w:cols w:equalWidth="0" w:num="3">
            <w:col w:w="980" w:space="600"/>
            <w:col w:w="3480" w:space="455"/>
            <w:col w:w="3504"/>
          </w:cols>
          <w:pgMar w:left="1440" w:top="657" w:right="1440" w:bottom="1440" w:gutter="0" w:footer="0" w:header="0"/>
          <w:type w:val="continuous"/>
        </w:sectPr>
      </w:pPr>
    </w:p>
    <w:p>
      <w:pPr>
        <w:spacing w:after="0" w:line="74" w:lineRule="exact"/>
        <w:rPr>
          <w:sz w:val="20"/>
          <w:szCs w:val="20"/>
          <w:color w:val="auto"/>
        </w:rPr>
      </w:pPr>
    </w:p>
    <w:p>
      <w:pPr>
        <w:ind w:left="320"/>
        <w:spacing w:after="0" w:line="337" w:lineRule="auto"/>
        <w:rPr>
          <w:sz w:val="20"/>
          <w:szCs w:val="20"/>
          <w:color w:val="auto"/>
        </w:rPr>
      </w:pPr>
      <w:r>
        <w:rPr>
          <w:rFonts w:ascii="Arial" w:cs="Arial" w:eastAsia="Arial" w:hAnsi="Arial"/>
          <w:sz w:val="21"/>
          <w:szCs w:val="21"/>
          <w:b w:val="1"/>
          <w:bCs w:val="1"/>
          <w:color w:val="auto"/>
        </w:rPr>
        <w:t>What We Don’t Do</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300" w:hanging="187"/>
        <w:spacing w:after="0"/>
        <w:rPr>
          <w:sz w:val="20"/>
          <w:szCs w:val="20"/>
          <w:color w:val="auto"/>
        </w:rPr>
      </w:pPr>
      <w:r>
        <w:rPr>
          <w:sz w:val="1"/>
          <w:szCs w:val="1"/>
          <w:color w:val="auto"/>
        </w:rPr>
        <w:drawing>
          <wp:inline distT="0" distB="0" distL="0" distR="0">
            <wp:extent cx="59690" cy="6032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60325"/>
                    </a:xfrm>
                    <a:prstGeom prst="rect">
                      <a:avLst/>
                    </a:prstGeom>
                    <a:noFill/>
                    <a:ln>
                      <a:noFill/>
                    </a:ln>
                  </pic:spPr>
                </pic:pic>
              </a:graphicData>
            </a:graphic>
          </wp:inline>
        </w:drawing>
      </w:r>
      <w:r>
        <w:rPr>
          <w:rFonts w:ascii="Arial" w:cs="Arial" w:eastAsia="Arial" w:hAnsi="Arial"/>
          <w:sz w:val="16"/>
          <w:szCs w:val="16"/>
          <w:b w:val="1"/>
          <w:bCs w:val="1"/>
          <w:color w:val="auto"/>
        </w:rPr>
        <w:t xml:space="preserve"> Reprice, exchange, or “spring-load” stock options</w:t>
      </w:r>
    </w:p>
    <w:p>
      <w:pPr>
        <w:spacing w:after="0" w:line="34" w:lineRule="exact"/>
        <w:rPr>
          <w:sz w:val="20"/>
          <w:szCs w:val="20"/>
          <w:color w:val="auto"/>
        </w:rPr>
      </w:pPr>
    </w:p>
    <w:p>
      <w:pPr>
        <w:ind w:hanging="187"/>
        <w:spacing w:after="0"/>
        <w:rPr>
          <w:sz w:val="20"/>
          <w:szCs w:val="20"/>
          <w:color w:val="auto"/>
        </w:rPr>
      </w:pPr>
      <w:r>
        <w:rPr>
          <w:sz w:val="1"/>
          <w:szCs w:val="1"/>
          <w:color w:val="auto"/>
        </w:rPr>
        <w:drawing>
          <wp:inline distT="0" distB="0" distL="0" distR="0">
            <wp:extent cx="59690" cy="6858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68580"/>
                    </a:xfrm>
                    <a:prstGeom prst="rect">
                      <a:avLst/>
                    </a:prstGeom>
                    <a:noFill/>
                    <a:ln>
                      <a:noFill/>
                    </a:ln>
                  </pic:spPr>
                </pic:pic>
              </a:graphicData>
            </a:graphic>
          </wp:inline>
        </w:drawing>
      </w:r>
      <w:r>
        <w:rPr>
          <w:rFonts w:ascii="Arial" w:cs="Arial" w:eastAsia="Arial" w:hAnsi="Arial"/>
          <w:sz w:val="16"/>
          <w:szCs w:val="16"/>
          <w:b w:val="1"/>
          <w:bCs w:val="1"/>
          <w:color w:val="auto"/>
        </w:rPr>
        <w:t xml:space="preserve"> Provide excessive perquisites without a compelling business rationale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200" w:right="399" w:hanging="187"/>
        <w:spacing w:after="0"/>
        <w:rPr>
          <w:sz w:val="20"/>
          <w:szCs w:val="20"/>
          <w:color w:val="auto"/>
        </w:rPr>
      </w:pPr>
      <w:r>
        <w:rPr>
          <w:sz w:val="1"/>
          <w:szCs w:val="1"/>
          <w:color w:val="auto"/>
        </w:rPr>
        <w:drawing>
          <wp:inline distT="0" distB="0" distL="0" distR="0">
            <wp:extent cx="60325" cy="6032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60325"/>
                    </a:xfrm>
                    <a:prstGeom prst="rect">
                      <a:avLst/>
                    </a:prstGeom>
                    <a:noFill/>
                    <a:ln>
                      <a:noFill/>
                    </a:ln>
                  </pic:spPr>
                </pic:pic>
              </a:graphicData>
            </a:graphic>
          </wp:inline>
        </w:drawing>
      </w:r>
      <w:r>
        <w:rPr>
          <w:rFonts w:ascii="Arial" w:cs="Arial" w:eastAsia="Arial" w:hAnsi="Arial"/>
          <w:sz w:val="16"/>
          <w:szCs w:val="16"/>
          <w:b w:val="1"/>
          <w:bCs w:val="1"/>
          <w:color w:val="auto"/>
        </w:rPr>
        <w:t xml:space="preserve"> Provide excise tax gross-ups in any new compensation plans or arrangements</w:t>
      </w:r>
    </w:p>
    <w:p>
      <w:pPr>
        <w:spacing w:after="0" w:line="34" w:lineRule="exact"/>
        <w:rPr>
          <w:sz w:val="20"/>
          <w:szCs w:val="20"/>
          <w:color w:val="auto"/>
        </w:rPr>
      </w:pPr>
    </w:p>
    <w:p>
      <w:pPr>
        <w:jc w:val="center"/>
        <w:ind w:right="479"/>
        <w:spacing w:after="0"/>
        <w:rPr>
          <w:sz w:val="20"/>
          <w:szCs w:val="20"/>
          <w:color w:val="auto"/>
        </w:rPr>
      </w:pPr>
      <w:r>
        <w:rPr>
          <w:sz w:val="1"/>
          <w:szCs w:val="1"/>
          <w:color w:val="auto"/>
        </w:rPr>
        <w:drawing>
          <wp:inline distT="0" distB="0" distL="0" distR="0">
            <wp:extent cx="60325" cy="6858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68580"/>
                    </a:xfrm>
                    <a:prstGeom prst="rect">
                      <a:avLst/>
                    </a:prstGeom>
                    <a:noFill/>
                    <a:ln>
                      <a:noFill/>
                    </a:ln>
                  </pic:spPr>
                </pic:pic>
              </a:graphicData>
            </a:graphic>
          </wp:inline>
        </w:drawing>
      </w:r>
      <w:r>
        <w:rPr>
          <w:rFonts w:ascii="Arial" w:cs="Arial" w:eastAsia="Arial" w:hAnsi="Arial"/>
          <w:sz w:val="16"/>
          <w:szCs w:val="16"/>
          <w:b w:val="1"/>
          <w:bCs w:val="1"/>
          <w:color w:val="auto"/>
        </w:rPr>
        <w:t xml:space="preserve"> Allow hedging or pledging of securities</w:t>
      </w:r>
    </w:p>
    <w:p>
      <w:pPr>
        <w:spacing w:after="0" w:line="441" w:lineRule="exact"/>
        <w:rPr>
          <w:sz w:val="20"/>
          <w:szCs w:val="20"/>
          <w:color w:val="auto"/>
        </w:rPr>
      </w:pPr>
    </w:p>
    <w:p>
      <w:pPr>
        <w:sectPr>
          <w:pgSz w:w="11900" w:h="16838" w:orient="portrait"/>
          <w:cols w:equalWidth="0" w:num="3">
            <w:col w:w="1220" w:space="540"/>
            <w:col w:w="3080" w:space="480"/>
            <w:col w:w="3699"/>
          </w:cols>
          <w:pgMar w:left="1440" w:top="657" w:right="1440" w:bottom="1440" w:gutter="0" w:footer="0" w:header="0"/>
          <w:type w:val="continuous"/>
        </w:sectPr>
      </w:pPr>
    </w:p>
    <w:p>
      <w:pPr>
        <w:spacing w:after="0" w:line="30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63</w:t>
            </w:r>
          </w:p>
        </w:tc>
      </w:tr>
    </w:tbl>
    <w:p>
      <w:pPr>
        <w:sectPr>
          <w:pgSz w:w="11900" w:h="16838" w:orient="portrait"/>
          <w:cols w:equalWidth="0" w:num="1">
            <w:col w:w="9019"/>
          </w:cols>
          <w:pgMar w:left="1440" w:top="657" w:right="1440" w:bottom="1440" w:gutter="0" w:footer="0" w:header="0"/>
          <w:type w:val="continuous"/>
        </w:sectPr>
      </w:pPr>
    </w:p>
    <w:bookmarkStart w:id="72" w:name="page73"/>
    <w:bookmarkEnd w:id="72"/>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065BAA"/>
        </w:rPr>
        <w:t>Components of Executive Pay: What We Pay and Why We Pay It</w:t>
      </w:r>
    </w:p>
    <w:p>
      <w:pPr>
        <w:spacing w:after="0" w:line="122"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Base Salaries</w:t>
      </w:r>
    </w:p>
    <w:p>
      <w:pPr>
        <w:spacing w:after="0" w:line="180" w:lineRule="exact"/>
        <w:rPr>
          <w:sz w:val="20"/>
          <w:szCs w:val="20"/>
          <w:color w:val="auto"/>
        </w:rPr>
      </w:pPr>
    </w:p>
    <w:p>
      <w:pPr>
        <w:ind w:left="140" w:right="159"/>
        <w:spacing w:after="0" w:line="301" w:lineRule="auto"/>
        <w:rPr>
          <w:sz w:val="20"/>
          <w:szCs w:val="20"/>
          <w:color w:val="auto"/>
        </w:rPr>
      </w:pPr>
      <w:r>
        <w:rPr>
          <w:rFonts w:ascii="Arial" w:cs="Arial" w:eastAsia="Arial" w:hAnsi="Arial"/>
          <w:sz w:val="16"/>
          <w:szCs w:val="16"/>
          <w:color w:val="auto"/>
        </w:rPr>
        <w:t>We provide competitive base salaries for our NEOs to ensure we attract and retain talented leaders. The base salary component of NEO pay represents the only fixed component of their direct pay and generally comprises a steadily smaller percentage of overall compensation as the executive’s level of responsibility rises.</w:t>
      </w:r>
    </w:p>
    <w:p>
      <w:pPr>
        <w:spacing w:after="0" w:line="91" w:lineRule="exact"/>
        <w:rPr>
          <w:sz w:val="20"/>
          <w:szCs w:val="20"/>
          <w:color w:val="auto"/>
        </w:rPr>
      </w:pPr>
    </w:p>
    <w:p>
      <w:pPr>
        <w:ind w:left="140" w:right="179"/>
        <w:spacing w:after="0" w:line="289" w:lineRule="auto"/>
        <w:rPr>
          <w:sz w:val="20"/>
          <w:szCs w:val="20"/>
          <w:color w:val="auto"/>
        </w:rPr>
      </w:pPr>
      <w:r>
        <w:rPr>
          <w:rFonts w:ascii="Arial" w:cs="Arial" w:eastAsia="Arial" w:hAnsi="Arial"/>
          <w:sz w:val="16"/>
          <w:szCs w:val="16"/>
          <w:color w:val="auto"/>
        </w:rPr>
        <w:t>We consider factors such as the executive’s scope of responsibilities, significance of the role, experience, and annual performance when setting base salaries. We also consider base salaries of comparable positions among our peers and in the broader biopharmaceutical industry. See the subsections “Compensation Processes—Independent Compensation Consultant” and “Compensation Processes—Peer and Other Market Data” for further information regarding the role of the Compensation Committee’s independent compensation consultant and our use of Peer Group and other market data for purposes of setting compensation of our NEOs.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2025 – 2026 Base Salaries</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2400" w:type="dxa"/>
            <w:vAlign w:val="bottom"/>
          </w:tcPr>
          <w:p>
            <w:pPr>
              <w:jc w:val="right"/>
              <w:ind w:right="68"/>
              <w:spacing w:after="0"/>
              <w:rPr>
                <w:sz w:val="20"/>
                <w:szCs w:val="20"/>
                <w:color w:val="auto"/>
              </w:rPr>
            </w:pPr>
            <w:r>
              <w:rPr>
                <w:rFonts w:ascii="Arial" w:cs="Arial" w:eastAsia="Arial" w:hAnsi="Arial"/>
                <w:sz w:val="14"/>
                <w:szCs w:val="14"/>
                <w:b w:val="1"/>
                <w:bCs w:val="1"/>
                <w:color w:val="065BAA"/>
              </w:rPr>
              <w:t>2025 Base</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065BAA"/>
              </w:rPr>
              <w:t>2026 Base</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065BAA"/>
              </w:rPr>
              <w:t>2026 vs. 2025</w:t>
            </w:r>
          </w:p>
        </w:tc>
        <w:tc>
          <w:tcPr>
            <w:tcW w:w="200" w:type="dxa"/>
            <w:vAlign w:val="bottom"/>
          </w:tcPr>
          <w:p>
            <w:pPr>
              <w:spacing w:after="0"/>
              <w:rPr>
                <w:sz w:val="15"/>
                <w:szCs w:val="15"/>
                <w:color w:val="auto"/>
              </w:rPr>
            </w:pPr>
          </w:p>
        </w:tc>
      </w:tr>
      <w:tr>
        <w:trPr>
          <w:trHeight w:val="171"/>
        </w:trPr>
        <w:tc>
          <w:tcPr>
            <w:tcW w:w="4080" w:type="dxa"/>
            <w:vAlign w:val="bottom"/>
            <w:tcBorders>
              <w:bottom w:val="single" w:sz="8" w:color="065BAA"/>
            </w:tcBorders>
          </w:tcPr>
          <w:p>
            <w:pPr>
              <w:ind w:left="80"/>
              <w:spacing w:after="0"/>
              <w:rPr>
                <w:sz w:val="20"/>
                <w:szCs w:val="20"/>
                <w:color w:val="auto"/>
              </w:rPr>
            </w:pPr>
            <w:r>
              <w:rPr>
                <w:rFonts w:ascii="Arial" w:cs="Arial" w:eastAsia="Arial" w:hAnsi="Arial"/>
                <w:sz w:val="14"/>
                <w:szCs w:val="14"/>
                <w:b w:val="1"/>
                <w:bCs w:val="1"/>
                <w:color w:val="065BAA"/>
              </w:rPr>
              <w:t>Named Executive Officer</w:t>
            </w:r>
          </w:p>
        </w:tc>
        <w:tc>
          <w:tcPr>
            <w:tcW w:w="2400" w:type="dxa"/>
            <w:vAlign w:val="bottom"/>
            <w:tcBorders>
              <w:bottom w:val="single" w:sz="8" w:color="065BAA"/>
            </w:tcBorders>
          </w:tcPr>
          <w:p>
            <w:pPr>
              <w:jc w:val="right"/>
              <w:ind w:right="68"/>
              <w:spacing w:after="0"/>
              <w:rPr>
                <w:sz w:val="20"/>
                <w:szCs w:val="20"/>
                <w:color w:val="auto"/>
              </w:rPr>
            </w:pPr>
            <w:r>
              <w:rPr>
                <w:rFonts w:ascii="Arial" w:cs="Arial" w:eastAsia="Arial" w:hAnsi="Arial"/>
                <w:sz w:val="14"/>
                <w:szCs w:val="14"/>
                <w:b w:val="1"/>
                <w:bCs w:val="1"/>
                <w:color w:val="065BAA"/>
              </w:rPr>
              <w:t>Salary ($)</w:t>
            </w:r>
          </w:p>
        </w:tc>
        <w:tc>
          <w:tcPr>
            <w:tcW w:w="980" w:type="dxa"/>
            <w:vAlign w:val="bottom"/>
            <w:tcBorders>
              <w:bottom w:val="single" w:sz="8" w:color="065BAA"/>
            </w:tcBorders>
          </w:tcPr>
          <w:p>
            <w:pPr>
              <w:jc w:val="right"/>
              <w:ind w:right="68"/>
              <w:spacing w:after="0"/>
              <w:rPr>
                <w:sz w:val="20"/>
                <w:szCs w:val="20"/>
                <w:color w:val="auto"/>
              </w:rPr>
            </w:pPr>
            <w:r>
              <w:rPr>
                <w:rFonts w:ascii="Arial" w:cs="Arial" w:eastAsia="Arial" w:hAnsi="Arial"/>
                <w:sz w:val="14"/>
                <w:szCs w:val="14"/>
                <w:b w:val="1"/>
                <w:bCs w:val="1"/>
                <w:color w:val="065BAA"/>
              </w:rPr>
              <w:t>Salary ($)</w:t>
            </w:r>
          </w:p>
        </w:tc>
        <w:tc>
          <w:tcPr>
            <w:tcW w:w="1100" w:type="dxa"/>
            <w:vAlign w:val="bottom"/>
            <w:tcBorders>
              <w:bottom w:val="single" w:sz="8" w:color="065BAA"/>
            </w:tcBorders>
          </w:tcPr>
          <w:p>
            <w:pPr>
              <w:jc w:val="right"/>
              <w:spacing w:after="0"/>
              <w:rPr>
                <w:sz w:val="20"/>
                <w:szCs w:val="20"/>
                <w:color w:val="auto"/>
              </w:rPr>
            </w:pPr>
            <w:r>
              <w:rPr>
                <w:rFonts w:ascii="Arial" w:cs="Arial" w:eastAsia="Arial" w:hAnsi="Arial"/>
                <w:sz w:val="14"/>
                <w:szCs w:val="14"/>
                <w:b w:val="1"/>
                <w:bCs w:val="1"/>
                <w:color w:val="065BAA"/>
              </w:rPr>
              <w:t>Change (%)</w:t>
            </w:r>
          </w:p>
        </w:tc>
        <w:tc>
          <w:tcPr>
            <w:tcW w:w="200" w:type="dxa"/>
            <w:vAlign w:val="bottom"/>
            <w:tcBorders>
              <w:bottom w:val="single" w:sz="8" w:color="065BAA"/>
            </w:tcBorders>
          </w:tcPr>
          <w:p>
            <w:pPr>
              <w:spacing w:after="0"/>
              <w:rPr>
                <w:sz w:val="14"/>
                <w:szCs w:val="14"/>
                <w:color w:val="auto"/>
              </w:rPr>
            </w:pPr>
          </w:p>
        </w:tc>
      </w:tr>
      <w:tr>
        <w:trPr>
          <w:trHeight w:val="196"/>
        </w:trPr>
        <w:tc>
          <w:tcPr>
            <w:tcW w:w="4080" w:type="dxa"/>
            <w:vAlign w:val="bottom"/>
          </w:tcPr>
          <w:p>
            <w:pPr>
              <w:ind w:left="80"/>
              <w:spacing w:after="0"/>
              <w:rPr>
                <w:sz w:val="20"/>
                <w:szCs w:val="20"/>
                <w:color w:val="auto"/>
              </w:rPr>
            </w:pPr>
            <w:r>
              <w:rPr>
                <w:rFonts w:ascii="Arial" w:cs="Arial" w:eastAsia="Arial" w:hAnsi="Arial"/>
                <w:sz w:val="14"/>
                <w:szCs w:val="14"/>
                <w:b w:val="1"/>
                <w:bCs w:val="1"/>
                <w:color w:val="auto"/>
              </w:rPr>
              <w:t>Leonard S. Schleifer, M.D., Ph.D.</w:t>
            </w:r>
          </w:p>
        </w:tc>
        <w:tc>
          <w:tcPr>
            <w:tcW w:w="2400" w:type="dxa"/>
            <w:vAlign w:val="bottom"/>
          </w:tcPr>
          <w:p>
            <w:pPr>
              <w:jc w:val="right"/>
              <w:ind w:right="68"/>
              <w:spacing w:after="0"/>
              <w:rPr>
                <w:sz w:val="20"/>
                <w:szCs w:val="20"/>
                <w:color w:val="auto"/>
              </w:rPr>
            </w:pPr>
            <w:r>
              <w:rPr>
                <w:rFonts w:ascii="Arial" w:cs="Arial" w:eastAsia="Arial" w:hAnsi="Arial"/>
                <w:sz w:val="14"/>
                <w:szCs w:val="14"/>
                <w:color w:val="auto"/>
              </w:rPr>
              <w:t>1,979,922</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2,029,420</w:t>
            </w:r>
          </w:p>
        </w:tc>
        <w:tc>
          <w:tcPr>
            <w:tcW w:w="1100" w:type="dxa"/>
            <w:vAlign w:val="bottom"/>
          </w:tcPr>
          <w:p>
            <w:pPr>
              <w:jc w:val="right"/>
              <w:spacing w:after="0"/>
              <w:rPr>
                <w:sz w:val="20"/>
                <w:szCs w:val="20"/>
                <w:color w:val="auto"/>
              </w:rPr>
            </w:pPr>
            <w:r>
              <w:rPr>
                <w:rFonts w:ascii="Arial" w:cs="Arial" w:eastAsia="Arial" w:hAnsi="Arial"/>
                <w:sz w:val="14"/>
                <w:szCs w:val="14"/>
                <w:color w:val="auto"/>
              </w:rPr>
              <w:t>2.5</w:t>
            </w:r>
          </w:p>
        </w:tc>
        <w:tc>
          <w:tcPr>
            <w:tcW w:w="200" w:type="dxa"/>
            <w:vAlign w:val="bottom"/>
          </w:tcPr>
          <w:p>
            <w:pPr>
              <w:jc w:val="right"/>
              <w:ind w:right="53"/>
              <w:spacing w:after="0"/>
              <w:rPr>
                <w:sz w:val="20"/>
                <w:szCs w:val="20"/>
                <w:color w:val="auto"/>
              </w:rPr>
            </w:pPr>
            <w:r>
              <w:rPr>
                <w:rFonts w:ascii="Arial" w:cs="Arial" w:eastAsia="Arial" w:hAnsi="Arial"/>
                <w:sz w:val="9"/>
                <w:szCs w:val="9"/>
                <w:color w:val="auto"/>
              </w:rPr>
              <w:t>1</w:t>
            </w:r>
          </w:p>
        </w:tc>
      </w:tr>
      <w:tr>
        <w:trPr>
          <w:trHeight w:val="216"/>
        </w:trPr>
        <w:tc>
          <w:tcPr>
            <w:tcW w:w="408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George D. Yancopoulos, M.D., Ph.D.</w:t>
            </w:r>
          </w:p>
        </w:tc>
        <w:tc>
          <w:tcPr>
            <w:tcW w:w="2400" w:type="dxa"/>
            <w:vAlign w:val="bottom"/>
            <w:shd w:val="clear" w:color="auto" w:fill="DAEBF8"/>
          </w:tcPr>
          <w:p>
            <w:pPr>
              <w:jc w:val="right"/>
              <w:ind w:right="68"/>
              <w:spacing w:after="0"/>
              <w:rPr>
                <w:sz w:val="20"/>
                <w:szCs w:val="20"/>
                <w:color w:val="auto"/>
              </w:rPr>
            </w:pPr>
            <w:r>
              <w:rPr>
                <w:rFonts w:ascii="Arial" w:cs="Arial" w:eastAsia="Arial" w:hAnsi="Arial"/>
                <w:sz w:val="14"/>
                <w:szCs w:val="14"/>
                <w:color w:val="auto"/>
              </w:rPr>
              <w:t>1,979,922</w:t>
            </w:r>
          </w:p>
        </w:tc>
        <w:tc>
          <w:tcPr>
            <w:tcW w:w="980" w:type="dxa"/>
            <w:vAlign w:val="bottom"/>
            <w:shd w:val="clear" w:color="auto" w:fill="DAEBF8"/>
          </w:tcPr>
          <w:p>
            <w:pPr>
              <w:jc w:val="right"/>
              <w:ind w:right="88"/>
              <w:spacing w:after="0"/>
              <w:rPr>
                <w:sz w:val="20"/>
                <w:szCs w:val="20"/>
                <w:color w:val="auto"/>
              </w:rPr>
            </w:pPr>
            <w:r>
              <w:rPr>
                <w:rFonts w:ascii="Arial" w:cs="Arial" w:eastAsia="Arial" w:hAnsi="Arial"/>
                <w:sz w:val="14"/>
                <w:szCs w:val="14"/>
                <w:color w:val="auto"/>
              </w:rPr>
              <w:t>2,029,420</w:t>
            </w:r>
          </w:p>
        </w:tc>
        <w:tc>
          <w:tcPr>
            <w:tcW w:w="11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2.5</w:t>
            </w:r>
          </w:p>
        </w:tc>
        <w:tc>
          <w:tcPr>
            <w:tcW w:w="200" w:type="dxa"/>
            <w:vAlign w:val="bottom"/>
            <w:shd w:val="clear" w:color="auto" w:fill="DAEBF8"/>
          </w:tcPr>
          <w:p>
            <w:pPr>
              <w:jc w:val="right"/>
              <w:ind w:right="53"/>
              <w:spacing w:after="0"/>
              <w:rPr>
                <w:sz w:val="20"/>
                <w:szCs w:val="20"/>
                <w:color w:val="auto"/>
              </w:rPr>
            </w:pPr>
            <w:r>
              <w:rPr>
                <w:rFonts w:ascii="Arial" w:cs="Arial" w:eastAsia="Arial" w:hAnsi="Arial"/>
                <w:sz w:val="9"/>
                <w:szCs w:val="9"/>
                <w:color w:val="auto"/>
              </w:rPr>
              <w:t>1</w:t>
            </w:r>
          </w:p>
        </w:tc>
      </w:tr>
      <w:tr>
        <w:trPr>
          <w:trHeight w:val="216"/>
        </w:trPr>
        <w:tc>
          <w:tcPr>
            <w:tcW w:w="4080" w:type="dxa"/>
            <w:vAlign w:val="bottom"/>
          </w:tcPr>
          <w:p>
            <w:pPr>
              <w:ind w:left="80"/>
              <w:spacing w:after="0"/>
              <w:rPr>
                <w:sz w:val="20"/>
                <w:szCs w:val="20"/>
                <w:color w:val="auto"/>
              </w:rPr>
            </w:pPr>
            <w:r>
              <w:rPr>
                <w:rFonts w:ascii="Arial" w:cs="Arial" w:eastAsia="Arial" w:hAnsi="Arial"/>
                <w:sz w:val="14"/>
                <w:szCs w:val="14"/>
                <w:b w:val="1"/>
                <w:bCs w:val="1"/>
                <w:color w:val="auto"/>
              </w:rPr>
              <w:t>Christopher Fenimore</w:t>
            </w:r>
          </w:p>
        </w:tc>
        <w:tc>
          <w:tcPr>
            <w:tcW w:w="2400" w:type="dxa"/>
            <w:vAlign w:val="bottom"/>
          </w:tcPr>
          <w:p>
            <w:pPr>
              <w:jc w:val="right"/>
              <w:ind w:right="68"/>
              <w:spacing w:after="0"/>
              <w:rPr>
                <w:sz w:val="20"/>
                <w:szCs w:val="20"/>
                <w:color w:val="auto"/>
              </w:rPr>
            </w:pPr>
            <w:r>
              <w:rPr>
                <w:rFonts w:ascii="Arial" w:cs="Arial" w:eastAsia="Arial" w:hAnsi="Arial"/>
                <w:sz w:val="14"/>
                <w:szCs w:val="14"/>
                <w:color w:val="auto"/>
              </w:rPr>
              <w:t>725,000</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800,000</w:t>
            </w:r>
          </w:p>
        </w:tc>
        <w:tc>
          <w:tcPr>
            <w:tcW w:w="1100" w:type="dxa"/>
            <w:vAlign w:val="bottom"/>
          </w:tcPr>
          <w:p>
            <w:pPr>
              <w:jc w:val="right"/>
              <w:spacing w:after="0"/>
              <w:rPr>
                <w:sz w:val="20"/>
                <w:szCs w:val="20"/>
                <w:color w:val="auto"/>
              </w:rPr>
            </w:pPr>
            <w:r>
              <w:rPr>
                <w:rFonts w:ascii="Arial" w:cs="Arial" w:eastAsia="Arial" w:hAnsi="Arial"/>
                <w:sz w:val="14"/>
                <w:szCs w:val="14"/>
                <w:color w:val="auto"/>
              </w:rPr>
              <w:t>10.3</w:t>
            </w:r>
          </w:p>
        </w:tc>
        <w:tc>
          <w:tcPr>
            <w:tcW w:w="200" w:type="dxa"/>
            <w:vAlign w:val="bottom"/>
          </w:tcPr>
          <w:p>
            <w:pPr>
              <w:jc w:val="right"/>
              <w:ind w:right="53"/>
              <w:spacing w:after="0"/>
              <w:rPr>
                <w:sz w:val="20"/>
                <w:szCs w:val="20"/>
                <w:color w:val="auto"/>
              </w:rPr>
            </w:pPr>
            <w:r>
              <w:rPr>
                <w:rFonts w:ascii="Arial" w:cs="Arial" w:eastAsia="Arial" w:hAnsi="Arial"/>
                <w:sz w:val="9"/>
                <w:szCs w:val="9"/>
                <w:color w:val="auto"/>
              </w:rPr>
              <w:t>2</w:t>
            </w:r>
          </w:p>
        </w:tc>
      </w:tr>
      <w:tr>
        <w:trPr>
          <w:trHeight w:val="216"/>
        </w:trPr>
        <w:tc>
          <w:tcPr>
            <w:tcW w:w="408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Daniel P. Van Plew</w:t>
            </w:r>
          </w:p>
        </w:tc>
        <w:tc>
          <w:tcPr>
            <w:tcW w:w="2400" w:type="dxa"/>
            <w:vAlign w:val="bottom"/>
            <w:shd w:val="clear" w:color="auto" w:fill="DAEBF8"/>
          </w:tcPr>
          <w:p>
            <w:pPr>
              <w:jc w:val="right"/>
              <w:ind w:right="68"/>
              <w:spacing w:after="0"/>
              <w:rPr>
                <w:sz w:val="20"/>
                <w:szCs w:val="20"/>
                <w:color w:val="auto"/>
              </w:rPr>
            </w:pPr>
            <w:r>
              <w:rPr>
                <w:rFonts w:ascii="Arial" w:cs="Arial" w:eastAsia="Arial" w:hAnsi="Arial"/>
                <w:sz w:val="14"/>
                <w:szCs w:val="14"/>
                <w:color w:val="auto"/>
              </w:rPr>
              <w:t>983,382</w:t>
            </w:r>
          </w:p>
        </w:tc>
        <w:tc>
          <w:tcPr>
            <w:tcW w:w="980" w:type="dxa"/>
            <w:vAlign w:val="bottom"/>
            <w:shd w:val="clear" w:color="auto" w:fill="DAEBF8"/>
          </w:tcPr>
          <w:p>
            <w:pPr>
              <w:jc w:val="right"/>
              <w:ind w:right="88"/>
              <w:spacing w:after="0"/>
              <w:rPr>
                <w:sz w:val="20"/>
                <w:szCs w:val="20"/>
                <w:color w:val="auto"/>
              </w:rPr>
            </w:pPr>
            <w:r>
              <w:rPr>
                <w:rFonts w:ascii="Arial" w:cs="Arial" w:eastAsia="Arial" w:hAnsi="Arial"/>
                <w:sz w:val="14"/>
                <w:szCs w:val="14"/>
                <w:color w:val="auto"/>
              </w:rPr>
              <w:t>1,007,967</w:t>
            </w:r>
          </w:p>
        </w:tc>
        <w:tc>
          <w:tcPr>
            <w:tcW w:w="11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2.5</w:t>
            </w:r>
          </w:p>
        </w:tc>
        <w:tc>
          <w:tcPr>
            <w:tcW w:w="200" w:type="dxa"/>
            <w:vAlign w:val="bottom"/>
            <w:shd w:val="clear" w:color="auto" w:fill="DAEBF8"/>
          </w:tcPr>
          <w:p>
            <w:pPr>
              <w:jc w:val="right"/>
              <w:ind w:right="53"/>
              <w:spacing w:after="0"/>
              <w:rPr>
                <w:sz w:val="20"/>
                <w:szCs w:val="20"/>
                <w:color w:val="auto"/>
              </w:rPr>
            </w:pPr>
            <w:r>
              <w:rPr>
                <w:rFonts w:ascii="Arial" w:cs="Arial" w:eastAsia="Arial" w:hAnsi="Arial"/>
                <w:sz w:val="9"/>
                <w:szCs w:val="9"/>
                <w:color w:val="auto"/>
              </w:rPr>
              <w:t>1</w:t>
            </w:r>
          </w:p>
        </w:tc>
      </w:tr>
      <w:tr>
        <w:trPr>
          <w:trHeight w:val="216"/>
        </w:trPr>
        <w:tc>
          <w:tcPr>
            <w:tcW w:w="4080" w:type="dxa"/>
            <w:vAlign w:val="bottom"/>
          </w:tcPr>
          <w:p>
            <w:pPr>
              <w:ind w:left="80"/>
              <w:spacing w:after="0"/>
              <w:rPr>
                <w:sz w:val="20"/>
                <w:szCs w:val="20"/>
                <w:color w:val="auto"/>
              </w:rPr>
            </w:pPr>
            <w:r>
              <w:rPr>
                <w:rFonts w:ascii="Arial" w:cs="Arial" w:eastAsia="Arial" w:hAnsi="Arial"/>
                <w:sz w:val="14"/>
                <w:szCs w:val="14"/>
                <w:b w:val="1"/>
                <w:bCs w:val="1"/>
                <w:color w:val="auto"/>
              </w:rPr>
              <w:t>Andrew J. Murphy, Ph.D.</w:t>
            </w:r>
          </w:p>
        </w:tc>
        <w:tc>
          <w:tcPr>
            <w:tcW w:w="2400" w:type="dxa"/>
            <w:vAlign w:val="bottom"/>
          </w:tcPr>
          <w:p>
            <w:pPr>
              <w:jc w:val="right"/>
              <w:ind w:right="68"/>
              <w:spacing w:after="0"/>
              <w:rPr>
                <w:sz w:val="20"/>
                <w:szCs w:val="20"/>
                <w:color w:val="auto"/>
              </w:rPr>
            </w:pPr>
            <w:r>
              <w:rPr>
                <w:rFonts w:ascii="Arial" w:cs="Arial" w:eastAsia="Arial" w:hAnsi="Arial"/>
                <w:sz w:val="14"/>
                <w:szCs w:val="14"/>
                <w:color w:val="auto"/>
              </w:rPr>
              <w:t>819,672</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840,164</w:t>
            </w:r>
          </w:p>
        </w:tc>
        <w:tc>
          <w:tcPr>
            <w:tcW w:w="1100" w:type="dxa"/>
            <w:vAlign w:val="bottom"/>
          </w:tcPr>
          <w:p>
            <w:pPr>
              <w:jc w:val="right"/>
              <w:spacing w:after="0"/>
              <w:rPr>
                <w:sz w:val="20"/>
                <w:szCs w:val="20"/>
                <w:color w:val="auto"/>
              </w:rPr>
            </w:pPr>
            <w:r>
              <w:rPr>
                <w:rFonts w:ascii="Arial" w:cs="Arial" w:eastAsia="Arial" w:hAnsi="Arial"/>
                <w:sz w:val="14"/>
                <w:szCs w:val="14"/>
                <w:color w:val="auto"/>
              </w:rPr>
              <w:t>2.5</w:t>
            </w:r>
          </w:p>
        </w:tc>
        <w:tc>
          <w:tcPr>
            <w:tcW w:w="200" w:type="dxa"/>
            <w:vAlign w:val="bottom"/>
          </w:tcPr>
          <w:p>
            <w:pPr>
              <w:jc w:val="right"/>
              <w:ind w:right="53"/>
              <w:spacing w:after="0"/>
              <w:rPr>
                <w:sz w:val="20"/>
                <w:szCs w:val="20"/>
                <w:color w:val="auto"/>
              </w:rPr>
            </w:pPr>
            <w:r>
              <w:rPr>
                <w:rFonts w:ascii="Arial" w:cs="Arial" w:eastAsia="Arial" w:hAnsi="Arial"/>
                <w:sz w:val="9"/>
                <w:szCs w:val="9"/>
                <w:color w:val="auto"/>
              </w:rPr>
              <w:t>1</w:t>
            </w:r>
          </w:p>
        </w:tc>
      </w:tr>
      <w:tr>
        <w:trPr>
          <w:trHeight w:val="216"/>
        </w:trPr>
        <w:tc>
          <w:tcPr>
            <w:tcW w:w="4080" w:type="dxa"/>
            <w:vAlign w:val="bottom"/>
            <w:tcBorders>
              <w:bottom w:val="single" w:sz="8" w:color="065BAA"/>
            </w:tcBorders>
            <w:shd w:val="clear" w:color="auto" w:fill="DAEBF8"/>
          </w:tcPr>
          <w:p>
            <w:pPr>
              <w:ind w:left="80"/>
              <w:spacing w:after="0"/>
              <w:rPr>
                <w:sz w:val="20"/>
                <w:szCs w:val="20"/>
                <w:color w:val="auto"/>
              </w:rPr>
            </w:pPr>
            <w:r>
              <w:rPr>
                <w:rFonts w:ascii="Arial" w:cs="Arial" w:eastAsia="Arial" w:hAnsi="Arial"/>
                <w:sz w:val="14"/>
                <w:szCs w:val="14"/>
                <w:b w:val="1"/>
                <w:bCs w:val="1"/>
                <w:color w:val="auto"/>
              </w:rPr>
              <w:t>Joseph J. LaRosa</w:t>
            </w:r>
          </w:p>
        </w:tc>
        <w:tc>
          <w:tcPr>
            <w:tcW w:w="2400" w:type="dxa"/>
            <w:vAlign w:val="bottom"/>
            <w:tcBorders>
              <w:bottom w:val="single" w:sz="8" w:color="065BAA"/>
            </w:tcBorders>
            <w:shd w:val="clear" w:color="auto" w:fill="DAEBF8"/>
          </w:tcPr>
          <w:p>
            <w:pPr>
              <w:jc w:val="right"/>
              <w:ind w:right="68"/>
              <w:spacing w:after="0"/>
              <w:rPr>
                <w:sz w:val="20"/>
                <w:szCs w:val="20"/>
                <w:color w:val="auto"/>
              </w:rPr>
            </w:pPr>
            <w:r>
              <w:rPr>
                <w:rFonts w:ascii="Arial" w:cs="Arial" w:eastAsia="Arial" w:hAnsi="Arial"/>
                <w:sz w:val="14"/>
                <w:szCs w:val="14"/>
                <w:color w:val="auto"/>
              </w:rPr>
              <w:t>916,062</w:t>
            </w:r>
          </w:p>
        </w:tc>
        <w:tc>
          <w:tcPr>
            <w:tcW w:w="980" w:type="dxa"/>
            <w:vAlign w:val="bottom"/>
            <w:tcBorders>
              <w:bottom w:val="single" w:sz="8" w:color="065BAA"/>
            </w:tcBorders>
            <w:shd w:val="clear" w:color="auto" w:fill="DAEBF8"/>
          </w:tcPr>
          <w:p>
            <w:pPr>
              <w:jc w:val="right"/>
              <w:ind w:right="88"/>
              <w:spacing w:after="0"/>
              <w:rPr>
                <w:sz w:val="20"/>
                <w:szCs w:val="20"/>
                <w:color w:val="auto"/>
              </w:rPr>
            </w:pPr>
            <w:r>
              <w:rPr>
                <w:rFonts w:ascii="Arial" w:cs="Arial" w:eastAsia="Arial" w:hAnsi="Arial"/>
                <w:sz w:val="14"/>
                <w:szCs w:val="14"/>
                <w:color w:val="auto"/>
              </w:rPr>
              <w:t>938,964</w:t>
            </w:r>
          </w:p>
        </w:tc>
        <w:tc>
          <w:tcPr>
            <w:tcW w:w="1100" w:type="dxa"/>
            <w:vAlign w:val="bottom"/>
            <w:tcBorders>
              <w:bottom w:val="single" w:sz="8" w:color="065BAA"/>
            </w:tcBorders>
            <w:shd w:val="clear" w:color="auto" w:fill="DAEBF8"/>
          </w:tcPr>
          <w:p>
            <w:pPr>
              <w:jc w:val="right"/>
              <w:spacing w:after="0"/>
              <w:rPr>
                <w:sz w:val="20"/>
                <w:szCs w:val="20"/>
                <w:color w:val="auto"/>
              </w:rPr>
            </w:pPr>
            <w:r>
              <w:rPr>
                <w:rFonts w:ascii="Arial" w:cs="Arial" w:eastAsia="Arial" w:hAnsi="Arial"/>
                <w:sz w:val="14"/>
                <w:szCs w:val="14"/>
                <w:color w:val="auto"/>
              </w:rPr>
              <w:t>2.5</w:t>
            </w:r>
          </w:p>
        </w:tc>
        <w:tc>
          <w:tcPr>
            <w:tcW w:w="200" w:type="dxa"/>
            <w:vAlign w:val="bottom"/>
            <w:tcBorders>
              <w:bottom w:val="single" w:sz="8" w:color="065BAA"/>
            </w:tcBorders>
            <w:shd w:val="clear" w:color="auto" w:fill="DAEBF8"/>
          </w:tcPr>
          <w:p>
            <w:pPr>
              <w:jc w:val="right"/>
              <w:ind w:right="53"/>
              <w:spacing w:after="0"/>
              <w:rPr>
                <w:sz w:val="20"/>
                <w:szCs w:val="20"/>
                <w:color w:val="auto"/>
              </w:rPr>
            </w:pPr>
            <w:r>
              <w:rPr>
                <w:rFonts w:ascii="Arial" w:cs="Arial" w:eastAsia="Arial" w:hAnsi="Arial"/>
                <w:sz w:val="9"/>
                <w:szCs w:val="9"/>
                <w:color w:val="auto"/>
              </w:rPr>
              <w:t>1</w:t>
            </w:r>
          </w:p>
        </w:tc>
      </w:tr>
    </w:tbl>
    <w:p>
      <w:pPr>
        <w:spacing w:after="0" w:line="99" w:lineRule="exact"/>
        <w:rPr>
          <w:sz w:val="20"/>
          <w:szCs w:val="20"/>
          <w:color w:val="auto"/>
        </w:rPr>
      </w:pPr>
    </w:p>
    <w:p>
      <w:pPr>
        <w:ind w:left="320" w:hanging="190"/>
        <w:spacing w:after="0"/>
        <w:tabs>
          <w:tab w:leader="none" w:pos="320" w:val="left"/>
        </w:tabs>
        <w:numPr>
          <w:ilvl w:val="0"/>
          <w:numId w:val="120"/>
        </w:numPr>
        <w:rPr>
          <w:rFonts w:ascii="Arial" w:cs="Arial" w:eastAsia="Arial" w:hAnsi="Arial"/>
          <w:sz w:val="16"/>
          <w:szCs w:val="16"/>
          <w:color w:val="auto"/>
          <w:vertAlign w:val="superscript"/>
        </w:rPr>
      </w:pPr>
      <w:r>
        <w:rPr>
          <w:rFonts w:ascii="Arial" w:cs="Arial" w:eastAsia="Arial" w:hAnsi="Arial"/>
          <w:sz w:val="13"/>
          <w:szCs w:val="13"/>
          <w:color w:val="auto"/>
        </w:rPr>
        <w:t>Reflects a 2.5% merit increase consistent with the Company’s salary budget for officers and below the merit increase for other employees.</w:t>
      </w:r>
    </w:p>
    <w:p>
      <w:pPr>
        <w:spacing w:after="0" w:line="34" w:lineRule="exact"/>
        <w:rPr>
          <w:sz w:val="20"/>
          <w:szCs w:val="20"/>
          <w:color w:val="auto"/>
        </w:rPr>
      </w:pPr>
    </w:p>
    <w:p>
      <w:pPr>
        <w:ind w:left="320" w:right="519" w:hanging="190"/>
        <w:spacing w:after="0" w:line="227" w:lineRule="auto"/>
        <w:tabs>
          <w:tab w:leader="none" w:pos="320" w:val="left"/>
        </w:tabs>
        <w:numPr>
          <w:ilvl w:val="0"/>
          <w:numId w:val="121"/>
        </w:numPr>
        <w:rPr>
          <w:rFonts w:ascii="Arial" w:cs="Arial" w:eastAsia="Arial" w:hAnsi="Arial"/>
          <w:sz w:val="16"/>
          <w:szCs w:val="16"/>
          <w:color w:val="auto"/>
          <w:vertAlign w:val="superscript"/>
        </w:rPr>
      </w:pPr>
      <w:r>
        <w:rPr>
          <w:rFonts w:ascii="Arial" w:cs="Arial" w:eastAsia="Arial" w:hAnsi="Arial"/>
          <w:sz w:val="13"/>
          <w:szCs w:val="13"/>
          <w:color w:val="auto"/>
        </w:rPr>
        <w:t>Reflects (i) a 2.5% merit increase consistent with the Company’s salary budget for officers and (ii) a base salary adjustment of $56,875 (or 7.8%) to enhance competitiveness and alignment with relevant market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64</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73" w:name="page74"/>
    <w:bookmarkEnd w:id="73"/>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Annual Cash Incentives</w:t>
      </w:r>
    </w:p>
    <w:p>
      <w:pPr>
        <w:spacing w:after="0" w:line="180" w:lineRule="exact"/>
        <w:rPr>
          <w:sz w:val="20"/>
          <w:szCs w:val="20"/>
          <w:color w:val="auto"/>
        </w:rPr>
      </w:pPr>
    </w:p>
    <w:p>
      <w:pPr>
        <w:ind w:left="140" w:right="279"/>
        <w:spacing w:after="0" w:line="321" w:lineRule="auto"/>
        <w:rPr>
          <w:sz w:val="20"/>
          <w:szCs w:val="20"/>
          <w:color w:val="auto"/>
        </w:rPr>
      </w:pPr>
      <w:r>
        <w:rPr>
          <w:rFonts w:ascii="Arial" w:cs="Arial" w:eastAsia="Arial" w:hAnsi="Arial"/>
          <w:sz w:val="16"/>
          <w:szCs w:val="16"/>
          <w:color w:val="auto"/>
        </w:rPr>
        <w:t>Our NEOs are eligible for cash incentives based on annual performance. We use these annual incentive opportunities to reward short-term achievements and milestones towards our long-term goals.</w:t>
      </w:r>
    </w:p>
    <w:p>
      <w:pPr>
        <w:spacing w:after="0" w:line="88" w:lineRule="exact"/>
        <w:rPr>
          <w:sz w:val="20"/>
          <w:szCs w:val="20"/>
          <w:color w:val="auto"/>
        </w:rPr>
      </w:pPr>
    </w:p>
    <w:p>
      <w:pPr>
        <w:ind w:left="140" w:right="319"/>
        <w:spacing w:after="0" w:line="285" w:lineRule="auto"/>
        <w:rPr>
          <w:sz w:val="20"/>
          <w:szCs w:val="20"/>
          <w:color w:val="auto"/>
        </w:rPr>
      </w:pPr>
      <w:r>
        <w:rPr>
          <w:rFonts w:ascii="Arial" w:cs="Arial" w:eastAsia="Arial" w:hAnsi="Arial"/>
          <w:sz w:val="16"/>
          <w:szCs w:val="16"/>
          <w:color w:val="auto"/>
        </w:rPr>
        <w:t>We focus on Regeneron’s overall corporate performance to determine the cash incentive payouts of our CEO and our CSO. Our other NEOs’ cash incentive payouts are assessed on both our overall corporate performance and on their individual contributions. As shown in the table below, the annual cash incentive opportunity for each NEO in 2025 was a function of the NEO’s cash incentive target (as a percentage of base salary); the weight and multiplier for the corporate performance component; and, if applicable, the weight and multiplier for the individual performance component. Each NEO’s cash incentive target as a percentage of base salary has remained the same for the last three years with the exception of Mr. Fenimore in light of his promotion to Executive Vice President effective January 1, 2025.</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How We Calculate Our Cash Incentive Awards</w:t>
      </w:r>
    </w:p>
    <w:p>
      <w:pPr>
        <w:spacing w:after="0" w:line="169"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10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tcPr>
          <w:p>
            <w:pPr>
              <w:ind w:left="20"/>
              <w:spacing w:after="0"/>
              <w:rPr>
                <w:sz w:val="20"/>
                <w:szCs w:val="20"/>
                <w:color w:val="auto"/>
              </w:rPr>
            </w:pPr>
            <w:r>
              <w:rPr>
                <w:rFonts w:ascii="Arial" w:cs="Arial" w:eastAsia="Arial" w:hAnsi="Arial"/>
                <w:sz w:val="14"/>
                <w:szCs w:val="14"/>
                <w:b w:val="1"/>
                <w:bCs w:val="1"/>
                <w:color w:val="065BAA"/>
              </w:rPr>
              <w:t>Performance Weight</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320" w:type="dxa"/>
            <w:vAlign w:val="bottom"/>
          </w:tcPr>
          <w:p>
            <w:pPr>
              <w:ind w:left="40"/>
              <w:spacing w:after="0"/>
              <w:rPr>
                <w:sz w:val="20"/>
                <w:szCs w:val="20"/>
                <w:color w:val="auto"/>
              </w:rPr>
            </w:pPr>
            <w:r>
              <w:rPr>
                <w:rFonts w:ascii="Arial" w:cs="Arial" w:eastAsia="Arial" w:hAnsi="Arial"/>
                <w:sz w:val="14"/>
                <w:szCs w:val="14"/>
                <w:b w:val="1"/>
                <w:bCs w:val="1"/>
                <w:color w:val="065BAA"/>
              </w:rPr>
              <w:t>Cash Incentive Target</w:t>
            </w:r>
          </w:p>
        </w:tc>
        <w:tc>
          <w:tcPr>
            <w:tcW w:w="320" w:type="dxa"/>
            <w:vAlign w:val="bottom"/>
          </w:tcPr>
          <w:p>
            <w:pPr>
              <w:spacing w:after="0"/>
              <w:rPr>
                <w:sz w:val="17"/>
                <w:szCs w:val="17"/>
                <w:color w:val="auto"/>
              </w:rPr>
            </w:pPr>
          </w:p>
        </w:tc>
        <w:tc>
          <w:tcPr>
            <w:tcW w:w="2300" w:type="dxa"/>
            <w:vAlign w:val="bottom"/>
          </w:tcPr>
          <w:p>
            <w:pPr>
              <w:ind w:left="20"/>
              <w:spacing w:after="0"/>
              <w:rPr>
                <w:sz w:val="20"/>
                <w:szCs w:val="20"/>
                <w:color w:val="auto"/>
              </w:rPr>
            </w:pPr>
            <w:r>
              <w:rPr>
                <w:rFonts w:ascii="Arial" w:cs="Arial" w:eastAsia="Arial" w:hAnsi="Arial"/>
                <w:sz w:val="14"/>
                <w:szCs w:val="14"/>
                <w:b w:val="1"/>
                <w:bCs w:val="1"/>
                <w:color w:val="065BAA"/>
              </w:rPr>
              <w:t>(multiplier range)</w:t>
            </w:r>
          </w:p>
        </w:tc>
        <w:tc>
          <w:tcPr>
            <w:tcW w:w="1900" w:type="dxa"/>
            <w:vAlign w:val="bottom"/>
          </w:tcPr>
          <w:p>
            <w:pPr>
              <w:ind w:left="340"/>
              <w:spacing w:after="0"/>
              <w:rPr>
                <w:sz w:val="20"/>
                <w:szCs w:val="20"/>
                <w:color w:val="auto"/>
              </w:rPr>
            </w:pPr>
            <w:r>
              <w:rPr>
                <w:rFonts w:ascii="Arial" w:cs="Arial" w:eastAsia="Arial" w:hAnsi="Arial"/>
                <w:sz w:val="14"/>
                <w:szCs w:val="14"/>
                <w:b w:val="1"/>
                <w:bCs w:val="1"/>
                <w:color w:val="065BAA"/>
              </w:rPr>
              <w:t>Potential Award Range</w:t>
            </w:r>
          </w:p>
        </w:tc>
        <w:tc>
          <w:tcPr>
            <w:tcW w:w="0" w:type="dxa"/>
            <w:vAlign w:val="bottom"/>
          </w:tcPr>
          <w:p>
            <w:pPr>
              <w:spacing w:after="0"/>
              <w:rPr>
                <w:sz w:val="1"/>
                <w:szCs w:val="1"/>
                <w:color w:val="auto"/>
              </w:rPr>
            </w:pPr>
          </w:p>
        </w:tc>
      </w:tr>
      <w:tr>
        <w:trPr>
          <w:trHeight w:val="29"/>
        </w:trPr>
        <w:tc>
          <w:tcPr>
            <w:tcW w:w="1080" w:type="dxa"/>
            <w:vAlign w:val="bottom"/>
          </w:tcPr>
          <w:p>
            <w:pPr>
              <w:spacing w:after="0"/>
              <w:rPr>
                <w:sz w:val="2"/>
                <w:szCs w:val="2"/>
                <w:color w:val="auto"/>
              </w:rPr>
            </w:pPr>
          </w:p>
        </w:tc>
        <w:tc>
          <w:tcPr>
            <w:tcW w:w="2320" w:type="dxa"/>
            <w:vAlign w:val="bottom"/>
            <w:tcBorders>
              <w:bottom w:val="single" w:sz="8" w:color="065BAA"/>
            </w:tcBorders>
          </w:tcPr>
          <w:p>
            <w:pPr>
              <w:spacing w:after="0"/>
              <w:rPr>
                <w:sz w:val="2"/>
                <w:szCs w:val="2"/>
                <w:color w:val="auto"/>
              </w:rPr>
            </w:pPr>
          </w:p>
        </w:tc>
        <w:tc>
          <w:tcPr>
            <w:tcW w:w="320" w:type="dxa"/>
            <w:vAlign w:val="bottom"/>
          </w:tcPr>
          <w:p>
            <w:pPr>
              <w:spacing w:after="0"/>
              <w:rPr>
                <w:sz w:val="2"/>
                <w:szCs w:val="2"/>
                <w:color w:val="auto"/>
              </w:rPr>
            </w:pPr>
          </w:p>
        </w:tc>
        <w:tc>
          <w:tcPr>
            <w:tcW w:w="2300" w:type="dxa"/>
            <w:vAlign w:val="bottom"/>
            <w:tcBorders>
              <w:bottom w:val="single" w:sz="8" w:color="065BAA"/>
            </w:tcBorders>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CEO/CSO:</w:t>
            </w:r>
          </w:p>
        </w:tc>
        <w:tc>
          <w:tcPr>
            <w:tcW w:w="2320" w:type="dxa"/>
            <w:vAlign w:val="bottom"/>
            <w:tcBorders>
              <w:left w:val="single" w:sz="8" w:color="065BAA"/>
              <w:right w:val="single" w:sz="8" w:color="065BAA"/>
            </w:tcBorders>
            <w:vMerge w:val="restart"/>
          </w:tcPr>
          <w:p>
            <w:pPr>
              <w:jc w:val="center"/>
              <w:spacing w:after="0"/>
              <w:rPr>
                <w:sz w:val="20"/>
                <w:szCs w:val="20"/>
                <w:color w:val="auto"/>
              </w:rPr>
            </w:pPr>
            <w:r>
              <w:rPr>
                <w:rFonts w:ascii="Arial" w:cs="Arial" w:eastAsia="Arial" w:hAnsi="Arial"/>
                <w:sz w:val="16"/>
                <w:szCs w:val="16"/>
                <w:b w:val="1"/>
                <w:bCs w:val="1"/>
                <w:color w:val="065BAA"/>
              </w:rPr>
              <w:t xml:space="preserve">120% </w:t>
            </w:r>
            <w:r>
              <w:rPr>
                <w:rFonts w:ascii="Arial" w:cs="Arial" w:eastAsia="Arial" w:hAnsi="Arial"/>
                <w:sz w:val="16"/>
                <w:szCs w:val="16"/>
                <w:color w:val="000000"/>
              </w:rPr>
              <w:t>of Base Salary</w:t>
            </w:r>
          </w:p>
        </w:tc>
        <w:tc>
          <w:tcPr>
            <w:tcW w:w="320" w:type="dxa"/>
            <w:vAlign w:val="bottom"/>
            <w:tcBorders>
              <w:bottom w:val="single" w:sz="8" w:color="065BAA"/>
              <w:right w:val="single" w:sz="8" w:color="065BAA"/>
            </w:tcBorders>
          </w:tcPr>
          <w:p>
            <w:pPr>
              <w:spacing w:after="0"/>
              <w:rPr>
                <w:sz w:val="20"/>
                <w:szCs w:val="20"/>
                <w:color w:val="auto"/>
              </w:rPr>
            </w:pPr>
          </w:p>
        </w:tc>
        <w:tc>
          <w:tcPr>
            <w:tcW w:w="2300" w:type="dxa"/>
            <w:vAlign w:val="bottom"/>
            <w:tcBorders>
              <w:right w:val="single" w:sz="8" w:color="065BAA"/>
            </w:tcBorders>
            <w:vMerge w:val="restart"/>
          </w:tcPr>
          <w:p>
            <w:pPr>
              <w:jc w:val="center"/>
              <w:spacing w:after="0"/>
              <w:rPr>
                <w:sz w:val="20"/>
                <w:szCs w:val="20"/>
                <w:color w:val="auto"/>
              </w:rPr>
            </w:pPr>
            <w:r>
              <w:rPr>
                <w:rFonts w:ascii="Arial" w:cs="Arial" w:eastAsia="Arial" w:hAnsi="Arial"/>
                <w:sz w:val="16"/>
                <w:szCs w:val="16"/>
                <w:b w:val="1"/>
                <w:bCs w:val="1"/>
                <w:color w:val="065BAA"/>
              </w:rPr>
              <w:t xml:space="preserve">100% </w:t>
            </w:r>
            <w:r>
              <w:rPr>
                <w:rFonts w:ascii="Arial" w:cs="Arial" w:eastAsia="Arial" w:hAnsi="Arial"/>
                <w:sz w:val="16"/>
                <w:szCs w:val="16"/>
                <w:color w:val="000000"/>
              </w:rPr>
              <w:t>Corporate (0 - 2.0x*)</w:t>
            </w:r>
          </w:p>
        </w:tc>
        <w:tc>
          <w:tcPr>
            <w:tcW w:w="1900" w:type="dxa"/>
            <w:vAlign w:val="bottom"/>
            <w:vMerge w:val="restart"/>
          </w:tcPr>
          <w:p>
            <w:pPr>
              <w:ind w:left="540"/>
              <w:spacing w:after="0"/>
              <w:rPr>
                <w:sz w:val="20"/>
                <w:szCs w:val="20"/>
                <w:color w:val="auto"/>
              </w:rPr>
            </w:pPr>
            <w:r>
              <w:rPr>
                <w:rFonts w:ascii="Arial" w:cs="Arial" w:eastAsia="Arial" w:hAnsi="Arial"/>
                <w:sz w:val="16"/>
                <w:szCs w:val="16"/>
                <w:b w:val="1"/>
                <w:bCs w:val="1"/>
                <w:color w:val="auto"/>
              </w:rPr>
              <w:t xml:space="preserve">0 - 200% </w:t>
            </w:r>
            <w:r>
              <w:rPr>
                <w:rFonts w:ascii="Arial" w:cs="Arial" w:eastAsia="Arial" w:hAnsi="Arial"/>
                <w:sz w:val="16"/>
                <w:szCs w:val="16"/>
                <w:color w:val="auto"/>
              </w:rPr>
              <w:t>of Target</w:t>
            </w:r>
          </w:p>
        </w:tc>
        <w:tc>
          <w:tcPr>
            <w:tcW w:w="0" w:type="dxa"/>
            <w:vAlign w:val="bottom"/>
          </w:tcPr>
          <w:p>
            <w:pPr>
              <w:spacing w:after="0"/>
              <w:rPr>
                <w:sz w:val="1"/>
                <w:szCs w:val="1"/>
                <w:color w:val="auto"/>
              </w:rPr>
            </w:pPr>
          </w:p>
        </w:tc>
      </w:tr>
      <w:tr>
        <w:trPr>
          <w:trHeight w:val="108"/>
        </w:trPr>
        <w:tc>
          <w:tcPr>
            <w:tcW w:w="1080" w:type="dxa"/>
            <w:vAlign w:val="bottom"/>
            <w:vMerge w:val="continue"/>
          </w:tcPr>
          <w:p>
            <w:pPr>
              <w:spacing w:after="0"/>
              <w:rPr>
                <w:sz w:val="9"/>
                <w:szCs w:val="9"/>
                <w:color w:val="auto"/>
              </w:rPr>
            </w:pPr>
          </w:p>
        </w:tc>
        <w:tc>
          <w:tcPr>
            <w:tcW w:w="2320" w:type="dxa"/>
            <w:vAlign w:val="bottom"/>
            <w:tcBorders>
              <w:left w:val="single" w:sz="8" w:color="065BAA"/>
              <w:right w:val="single" w:sz="8" w:color="065BAA"/>
            </w:tcBorders>
            <w:vMerge w:val="continue"/>
          </w:tcPr>
          <w:p>
            <w:pPr>
              <w:spacing w:after="0"/>
              <w:rPr>
                <w:sz w:val="9"/>
                <w:szCs w:val="9"/>
                <w:color w:val="auto"/>
              </w:rPr>
            </w:pPr>
          </w:p>
        </w:tc>
        <w:tc>
          <w:tcPr>
            <w:tcW w:w="320" w:type="dxa"/>
            <w:vAlign w:val="bottom"/>
            <w:tcBorders>
              <w:right w:val="single" w:sz="8" w:color="065BAA"/>
            </w:tcBorders>
          </w:tcPr>
          <w:p>
            <w:pPr>
              <w:spacing w:after="0"/>
              <w:rPr>
                <w:sz w:val="9"/>
                <w:szCs w:val="9"/>
                <w:color w:val="auto"/>
              </w:rPr>
            </w:pPr>
          </w:p>
        </w:tc>
        <w:tc>
          <w:tcPr>
            <w:tcW w:w="2300" w:type="dxa"/>
            <w:vAlign w:val="bottom"/>
            <w:tcBorders>
              <w:right w:val="single" w:sz="8" w:color="065BAA"/>
            </w:tcBorders>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2320" w:type="dxa"/>
            <w:vAlign w:val="bottom"/>
            <w:tcBorders>
              <w:left w:val="single" w:sz="8" w:color="065BAA"/>
              <w:bottom w:val="single" w:sz="8" w:color="065BAA"/>
              <w:right w:val="single" w:sz="8" w:color="065BAA"/>
            </w:tcBorders>
          </w:tcPr>
          <w:p>
            <w:pPr>
              <w:spacing w:after="0"/>
              <w:rPr>
                <w:sz w:val="11"/>
                <w:szCs w:val="11"/>
                <w:color w:val="auto"/>
              </w:rPr>
            </w:pPr>
          </w:p>
        </w:tc>
        <w:tc>
          <w:tcPr>
            <w:tcW w:w="320" w:type="dxa"/>
            <w:vAlign w:val="bottom"/>
            <w:tcBorders>
              <w:right w:val="single" w:sz="8" w:color="065BAA"/>
            </w:tcBorders>
          </w:tcPr>
          <w:p>
            <w:pPr>
              <w:spacing w:after="0"/>
              <w:rPr>
                <w:sz w:val="11"/>
                <w:szCs w:val="11"/>
                <w:color w:val="auto"/>
              </w:rPr>
            </w:pPr>
          </w:p>
        </w:tc>
        <w:tc>
          <w:tcPr>
            <w:tcW w:w="2300" w:type="dxa"/>
            <w:vAlign w:val="bottom"/>
            <w:tcBorders>
              <w:bottom w:val="single" w:sz="8" w:color="065BAA"/>
              <w:right w:val="single" w:sz="8" w:color="065BAA"/>
            </w:tcBorders>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00" w:type="dxa"/>
            <w:vAlign w:val="bottom"/>
            <w:tcBorders>
              <w:bottom w:val="single" w:sz="8" w:color="065BAA"/>
            </w:tcBorders>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Other NEOs:</w:t>
            </w:r>
          </w:p>
        </w:tc>
        <w:tc>
          <w:tcPr>
            <w:tcW w:w="2320" w:type="dxa"/>
            <w:vAlign w:val="bottom"/>
          </w:tcPr>
          <w:p>
            <w:pPr>
              <w:spacing w:after="0"/>
              <w:rPr>
                <w:sz w:val="19"/>
                <w:szCs w:val="19"/>
                <w:color w:val="auto"/>
              </w:rPr>
            </w:pPr>
          </w:p>
        </w:tc>
        <w:tc>
          <w:tcPr>
            <w:tcW w:w="320" w:type="dxa"/>
            <w:vAlign w:val="bottom"/>
            <w:tcBorders>
              <w:bottom w:val="single" w:sz="8" w:color="065BAA"/>
              <w:right w:val="single" w:sz="8" w:color="065BAA"/>
            </w:tcBorders>
          </w:tcPr>
          <w:p>
            <w:pPr>
              <w:spacing w:after="0"/>
              <w:rPr>
                <w:sz w:val="19"/>
                <w:szCs w:val="19"/>
                <w:color w:val="auto"/>
              </w:rPr>
            </w:pPr>
          </w:p>
        </w:tc>
        <w:tc>
          <w:tcPr>
            <w:tcW w:w="2300" w:type="dxa"/>
            <w:vAlign w:val="bottom"/>
            <w:tcBorders>
              <w:right w:val="single" w:sz="8" w:color="065BAA"/>
            </w:tcBorders>
            <w:vMerge w:val="restart"/>
          </w:tcPr>
          <w:p>
            <w:pPr>
              <w:jc w:val="center"/>
              <w:spacing w:after="0"/>
              <w:rPr>
                <w:sz w:val="20"/>
                <w:szCs w:val="20"/>
                <w:color w:val="auto"/>
              </w:rPr>
            </w:pPr>
            <w:r>
              <w:rPr>
                <w:rFonts w:ascii="Arial" w:cs="Arial" w:eastAsia="Arial" w:hAnsi="Arial"/>
                <w:sz w:val="16"/>
                <w:szCs w:val="16"/>
                <w:b w:val="1"/>
                <w:bCs w:val="1"/>
                <w:color w:val="065BAA"/>
              </w:rPr>
              <w:t xml:space="preserve">60% </w:t>
            </w:r>
            <w:r>
              <w:rPr>
                <w:rFonts w:ascii="Arial" w:cs="Arial" w:eastAsia="Arial" w:hAnsi="Arial"/>
                <w:sz w:val="16"/>
                <w:szCs w:val="16"/>
                <w:color w:val="000000"/>
              </w:rPr>
              <w:t>Corporate (0 - 2.0x*)</w:t>
            </w:r>
          </w:p>
        </w:tc>
        <w:tc>
          <w:tcPr>
            <w:tcW w:w="1900" w:type="dxa"/>
            <w:vAlign w:val="bottom"/>
            <w:vMerge w:val="restart"/>
          </w:tcPr>
          <w:p>
            <w:pPr>
              <w:ind w:left="540"/>
              <w:spacing w:after="0"/>
              <w:rPr>
                <w:sz w:val="20"/>
                <w:szCs w:val="20"/>
                <w:color w:val="auto"/>
              </w:rPr>
            </w:pPr>
            <w:r>
              <w:rPr>
                <w:rFonts w:ascii="Arial" w:cs="Arial" w:eastAsia="Arial" w:hAnsi="Arial"/>
                <w:sz w:val="16"/>
                <w:szCs w:val="16"/>
                <w:b w:val="1"/>
                <w:bCs w:val="1"/>
                <w:color w:val="auto"/>
              </w:rPr>
              <w:t xml:space="preserve">0 - 180% </w:t>
            </w:r>
            <w:r>
              <w:rPr>
                <w:rFonts w:ascii="Arial" w:cs="Arial" w:eastAsia="Arial" w:hAnsi="Arial"/>
                <w:sz w:val="16"/>
                <w:szCs w:val="16"/>
                <w:color w:val="auto"/>
              </w:rPr>
              <w:t>of Target</w:t>
            </w:r>
          </w:p>
        </w:tc>
        <w:tc>
          <w:tcPr>
            <w:tcW w:w="0" w:type="dxa"/>
            <w:vAlign w:val="bottom"/>
          </w:tcPr>
          <w:p>
            <w:pPr>
              <w:spacing w:after="0"/>
              <w:rPr>
                <w:sz w:val="1"/>
                <w:szCs w:val="1"/>
                <w:color w:val="auto"/>
              </w:rPr>
            </w:pPr>
          </w:p>
        </w:tc>
      </w:tr>
      <w:tr>
        <w:trPr>
          <w:trHeight w:val="102"/>
        </w:trPr>
        <w:tc>
          <w:tcPr>
            <w:tcW w:w="1080" w:type="dxa"/>
            <w:vAlign w:val="bottom"/>
            <w:vMerge w:val="continue"/>
          </w:tcPr>
          <w:p>
            <w:pPr>
              <w:spacing w:after="0"/>
              <w:rPr>
                <w:sz w:val="8"/>
                <w:szCs w:val="8"/>
                <w:color w:val="auto"/>
              </w:rPr>
            </w:pPr>
          </w:p>
        </w:tc>
        <w:tc>
          <w:tcPr>
            <w:tcW w:w="2320" w:type="dxa"/>
            <w:vAlign w:val="bottom"/>
            <w:tcBorders>
              <w:bottom w:val="single" w:sz="8" w:color="065BAA"/>
              <w:right w:val="single" w:sz="8" w:color="065BAA"/>
            </w:tcBorders>
          </w:tcPr>
          <w:p>
            <w:pPr>
              <w:spacing w:after="0"/>
              <w:rPr>
                <w:sz w:val="8"/>
                <w:szCs w:val="8"/>
                <w:color w:val="auto"/>
              </w:rPr>
            </w:pPr>
          </w:p>
        </w:tc>
        <w:tc>
          <w:tcPr>
            <w:tcW w:w="320" w:type="dxa"/>
            <w:vAlign w:val="bottom"/>
            <w:tcBorders>
              <w:right w:val="single" w:sz="8" w:color="065BAA"/>
            </w:tcBorders>
          </w:tcPr>
          <w:p>
            <w:pPr>
              <w:spacing w:after="0"/>
              <w:rPr>
                <w:sz w:val="8"/>
                <w:szCs w:val="8"/>
                <w:color w:val="auto"/>
              </w:rPr>
            </w:pPr>
          </w:p>
        </w:tc>
        <w:tc>
          <w:tcPr>
            <w:tcW w:w="2300" w:type="dxa"/>
            <w:vAlign w:val="bottom"/>
            <w:tcBorders>
              <w:right w:val="single" w:sz="8" w:color="065BAA"/>
            </w:tcBorders>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80" w:type="dxa"/>
            <w:vAlign w:val="bottom"/>
            <w:vMerge w:val="continue"/>
          </w:tcPr>
          <w:p>
            <w:pPr>
              <w:spacing w:after="0"/>
              <w:rPr>
                <w:sz w:val="8"/>
                <w:szCs w:val="8"/>
                <w:color w:val="auto"/>
              </w:rPr>
            </w:pPr>
          </w:p>
        </w:tc>
        <w:tc>
          <w:tcPr>
            <w:tcW w:w="2320" w:type="dxa"/>
            <w:vAlign w:val="bottom"/>
            <w:tcBorders>
              <w:left w:val="single" w:sz="8" w:color="065BAA"/>
              <w:right w:val="single" w:sz="8" w:color="065BAA"/>
            </w:tcBorders>
            <w:vMerge w:val="restart"/>
          </w:tcPr>
          <w:p>
            <w:pPr>
              <w:jc w:val="center"/>
              <w:spacing w:after="0"/>
              <w:rPr>
                <w:sz w:val="20"/>
                <w:szCs w:val="20"/>
                <w:color w:val="auto"/>
              </w:rPr>
            </w:pPr>
            <w:r>
              <w:rPr>
                <w:rFonts w:ascii="Arial" w:cs="Arial" w:eastAsia="Arial" w:hAnsi="Arial"/>
                <w:sz w:val="16"/>
                <w:szCs w:val="16"/>
                <w:b w:val="1"/>
                <w:bCs w:val="1"/>
                <w:color w:val="065BAA"/>
              </w:rPr>
              <w:t xml:space="preserve">65% </w:t>
            </w:r>
            <w:r>
              <w:rPr>
                <w:rFonts w:ascii="Arial" w:cs="Arial" w:eastAsia="Arial" w:hAnsi="Arial"/>
                <w:sz w:val="16"/>
                <w:szCs w:val="16"/>
                <w:color w:val="000000"/>
              </w:rPr>
              <w:t>of Base Salary</w:t>
            </w:r>
          </w:p>
        </w:tc>
        <w:tc>
          <w:tcPr>
            <w:tcW w:w="320" w:type="dxa"/>
            <w:vAlign w:val="bottom"/>
            <w:tcBorders>
              <w:right w:val="single" w:sz="8" w:color="065BAA"/>
            </w:tcBorders>
          </w:tcPr>
          <w:p>
            <w:pPr>
              <w:spacing w:after="0"/>
              <w:rPr>
                <w:sz w:val="8"/>
                <w:szCs w:val="8"/>
                <w:color w:val="auto"/>
              </w:rPr>
            </w:pPr>
          </w:p>
        </w:tc>
        <w:tc>
          <w:tcPr>
            <w:tcW w:w="2300" w:type="dxa"/>
            <w:vAlign w:val="bottom"/>
            <w:tcBorders>
              <w:bottom w:val="single" w:sz="8" w:color="065BAA"/>
              <w:right w:val="single" w:sz="8" w:color="065BAA"/>
            </w:tcBorders>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080" w:type="dxa"/>
            <w:vAlign w:val="bottom"/>
            <w:vMerge w:val="continue"/>
          </w:tcPr>
          <w:p>
            <w:pPr>
              <w:spacing w:after="0"/>
              <w:rPr>
                <w:sz w:val="8"/>
                <w:szCs w:val="8"/>
                <w:color w:val="auto"/>
              </w:rPr>
            </w:pPr>
          </w:p>
        </w:tc>
        <w:tc>
          <w:tcPr>
            <w:tcW w:w="2320" w:type="dxa"/>
            <w:vAlign w:val="bottom"/>
            <w:tcBorders>
              <w:left w:val="single" w:sz="8" w:color="065BAA"/>
              <w:right w:val="single" w:sz="8" w:color="065BAA"/>
            </w:tcBorders>
            <w:vMerge w:val="continue"/>
          </w:tcPr>
          <w:p>
            <w:pPr>
              <w:spacing w:after="0"/>
              <w:rPr>
                <w:sz w:val="8"/>
                <w:szCs w:val="8"/>
                <w:color w:val="auto"/>
              </w:rPr>
            </w:pPr>
          </w:p>
        </w:tc>
        <w:tc>
          <w:tcPr>
            <w:tcW w:w="320" w:type="dxa"/>
            <w:vAlign w:val="bottom"/>
          </w:tcPr>
          <w:p>
            <w:pPr>
              <w:spacing w:after="0"/>
              <w:rPr>
                <w:sz w:val="8"/>
                <w:szCs w:val="8"/>
                <w:color w:val="auto"/>
              </w:rPr>
            </w:pPr>
          </w:p>
        </w:tc>
        <w:tc>
          <w:tcPr>
            <w:tcW w:w="2300" w:type="dxa"/>
            <w:vAlign w:val="bottom"/>
            <w:tcBorders>
              <w:bottom w:val="single" w:sz="8" w:color="065BAA"/>
              <w:right w:val="single" w:sz="8" w:color="065BAA"/>
            </w:tcBorders>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80" w:type="dxa"/>
            <w:vAlign w:val="bottom"/>
            <w:vMerge w:val="continue"/>
          </w:tcPr>
          <w:p>
            <w:pPr>
              <w:spacing w:after="0"/>
              <w:rPr>
                <w:sz w:val="9"/>
                <w:szCs w:val="9"/>
                <w:color w:val="auto"/>
              </w:rPr>
            </w:pPr>
          </w:p>
        </w:tc>
        <w:tc>
          <w:tcPr>
            <w:tcW w:w="2320" w:type="dxa"/>
            <w:vAlign w:val="bottom"/>
            <w:tcBorders>
              <w:left w:val="single" w:sz="8" w:color="065BAA"/>
              <w:right w:val="single" w:sz="8" w:color="065BAA"/>
            </w:tcBorders>
            <w:vMerge w:val="continue"/>
          </w:tcPr>
          <w:p>
            <w:pPr>
              <w:spacing w:after="0"/>
              <w:rPr>
                <w:sz w:val="9"/>
                <w:szCs w:val="9"/>
                <w:color w:val="auto"/>
              </w:rPr>
            </w:pPr>
          </w:p>
        </w:tc>
        <w:tc>
          <w:tcPr>
            <w:tcW w:w="320" w:type="dxa"/>
            <w:vAlign w:val="bottom"/>
            <w:tcBorders>
              <w:right w:val="single" w:sz="8" w:color="065BAA"/>
            </w:tcBorders>
          </w:tcPr>
          <w:p>
            <w:pPr>
              <w:spacing w:after="0"/>
              <w:rPr>
                <w:sz w:val="9"/>
                <w:szCs w:val="9"/>
                <w:color w:val="auto"/>
              </w:rPr>
            </w:pPr>
          </w:p>
        </w:tc>
        <w:tc>
          <w:tcPr>
            <w:tcW w:w="2300" w:type="dxa"/>
            <w:vAlign w:val="bottom"/>
            <w:tcBorders>
              <w:right w:val="single" w:sz="8" w:color="065BAA"/>
            </w:tcBorders>
            <w:vMerge w:val="restart"/>
          </w:tcPr>
          <w:p>
            <w:pPr>
              <w:jc w:val="center"/>
              <w:spacing w:after="0"/>
              <w:rPr>
                <w:sz w:val="20"/>
                <w:szCs w:val="20"/>
                <w:color w:val="auto"/>
              </w:rPr>
            </w:pPr>
            <w:r>
              <w:rPr>
                <w:rFonts w:ascii="Arial" w:cs="Arial" w:eastAsia="Arial" w:hAnsi="Arial"/>
                <w:sz w:val="16"/>
                <w:szCs w:val="16"/>
                <w:b w:val="1"/>
                <w:bCs w:val="1"/>
                <w:color w:val="065BAA"/>
              </w:rPr>
              <w:t xml:space="preserve">40% </w:t>
            </w:r>
            <w:r>
              <w:rPr>
                <w:rFonts w:ascii="Arial" w:cs="Arial" w:eastAsia="Arial" w:hAnsi="Arial"/>
                <w:sz w:val="16"/>
                <w:szCs w:val="16"/>
                <w:color w:val="000000"/>
              </w:rPr>
              <w:t>Individual (0 - 1.5x*)</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080" w:type="dxa"/>
            <w:vAlign w:val="bottom"/>
          </w:tcPr>
          <w:p>
            <w:pPr>
              <w:spacing w:after="0"/>
              <w:rPr>
                <w:sz w:val="10"/>
                <w:szCs w:val="10"/>
                <w:color w:val="auto"/>
              </w:rPr>
            </w:pPr>
          </w:p>
        </w:tc>
        <w:tc>
          <w:tcPr>
            <w:tcW w:w="2320" w:type="dxa"/>
            <w:vAlign w:val="bottom"/>
            <w:tcBorders>
              <w:left w:val="single" w:sz="8" w:color="065BAA"/>
              <w:bottom w:val="single" w:sz="8" w:color="065BAA"/>
              <w:right w:val="single" w:sz="8" w:color="065BAA"/>
            </w:tcBorders>
          </w:tcPr>
          <w:p>
            <w:pPr>
              <w:spacing w:after="0"/>
              <w:rPr>
                <w:sz w:val="10"/>
                <w:szCs w:val="10"/>
                <w:color w:val="auto"/>
              </w:rPr>
            </w:pPr>
          </w:p>
        </w:tc>
        <w:tc>
          <w:tcPr>
            <w:tcW w:w="320" w:type="dxa"/>
            <w:vAlign w:val="bottom"/>
            <w:tcBorders>
              <w:right w:val="single" w:sz="8" w:color="065BAA"/>
            </w:tcBorders>
          </w:tcPr>
          <w:p>
            <w:pPr>
              <w:spacing w:after="0"/>
              <w:rPr>
                <w:sz w:val="10"/>
                <w:szCs w:val="10"/>
                <w:color w:val="auto"/>
              </w:rPr>
            </w:pPr>
          </w:p>
        </w:tc>
        <w:tc>
          <w:tcPr>
            <w:tcW w:w="2300" w:type="dxa"/>
            <w:vAlign w:val="bottom"/>
            <w:tcBorders>
              <w:right w:val="single" w:sz="8" w:color="065BAA"/>
            </w:tcBorders>
            <w:vMerge w:val="continue"/>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080" w:type="dxa"/>
            <w:vAlign w:val="bottom"/>
          </w:tcPr>
          <w:p>
            <w:pPr>
              <w:spacing w:after="0"/>
              <w:rPr>
                <w:sz w:val="8"/>
                <w:szCs w:val="8"/>
                <w:color w:val="auto"/>
              </w:rPr>
            </w:pPr>
          </w:p>
        </w:tc>
        <w:tc>
          <w:tcPr>
            <w:tcW w:w="2320" w:type="dxa"/>
            <w:vAlign w:val="bottom"/>
            <w:tcBorders>
              <w:right w:val="single" w:sz="8" w:color="065BAA"/>
            </w:tcBorders>
          </w:tcPr>
          <w:p>
            <w:pPr>
              <w:spacing w:after="0"/>
              <w:rPr>
                <w:sz w:val="8"/>
                <w:szCs w:val="8"/>
                <w:color w:val="auto"/>
              </w:rPr>
            </w:pPr>
          </w:p>
        </w:tc>
        <w:tc>
          <w:tcPr>
            <w:tcW w:w="320" w:type="dxa"/>
            <w:vAlign w:val="bottom"/>
            <w:tcBorders>
              <w:bottom w:val="single" w:sz="8" w:color="065BAA"/>
              <w:right w:val="single" w:sz="8" w:color="065BAA"/>
            </w:tcBorders>
          </w:tcPr>
          <w:p>
            <w:pPr>
              <w:spacing w:after="0"/>
              <w:rPr>
                <w:sz w:val="8"/>
                <w:szCs w:val="8"/>
                <w:color w:val="auto"/>
              </w:rPr>
            </w:pPr>
          </w:p>
        </w:tc>
        <w:tc>
          <w:tcPr>
            <w:tcW w:w="2300" w:type="dxa"/>
            <w:vAlign w:val="bottom"/>
            <w:tcBorders>
              <w:right w:val="single" w:sz="8" w:color="065BAA"/>
            </w:tcBorders>
            <w:vMerge w:val="continue"/>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320" w:type="dxa"/>
            <w:vAlign w:val="bottom"/>
            <w:tcBorders>
              <w:right w:val="single" w:sz="8" w:color="065BAA"/>
            </w:tcBorders>
          </w:tcPr>
          <w:p>
            <w:pPr>
              <w:spacing w:after="0"/>
              <w:rPr>
                <w:sz w:val="8"/>
                <w:szCs w:val="8"/>
                <w:color w:val="auto"/>
              </w:rPr>
            </w:pPr>
          </w:p>
        </w:tc>
        <w:tc>
          <w:tcPr>
            <w:tcW w:w="2300" w:type="dxa"/>
            <w:vAlign w:val="bottom"/>
            <w:tcBorders>
              <w:bottom w:val="single" w:sz="8" w:color="065BAA"/>
              <w:right w:val="single" w:sz="8" w:color="065BAA"/>
            </w:tcBorders>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20" w:right="419" w:hanging="190"/>
        <w:spacing w:after="0" w:line="286" w:lineRule="auto"/>
        <w:tabs>
          <w:tab w:leader="none" w:pos="32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Reflects the historical range used by the Compensation Committee. In extraordinary cases, the Committee may exceed this range. The range for the corporate performance multiplier shown above has been exceeded only once in the last decade.</w:t>
      </w:r>
    </w:p>
    <w:p>
      <w:pPr>
        <w:spacing w:after="0" w:line="120" w:lineRule="exact"/>
        <w:rPr>
          <w:sz w:val="20"/>
          <w:szCs w:val="20"/>
          <w:color w:val="auto"/>
        </w:rPr>
      </w:pPr>
    </w:p>
    <w:p>
      <w:pPr>
        <w:ind w:left="140" w:right="159"/>
        <w:spacing w:after="0" w:line="291" w:lineRule="auto"/>
        <w:rPr>
          <w:sz w:val="20"/>
          <w:szCs w:val="20"/>
          <w:color w:val="auto"/>
        </w:rPr>
      </w:pPr>
      <w:r>
        <w:rPr>
          <w:rFonts w:ascii="Arial" w:cs="Arial" w:eastAsia="Arial" w:hAnsi="Arial"/>
          <w:sz w:val="16"/>
          <w:szCs w:val="16"/>
          <w:b w:val="1"/>
          <w:bCs w:val="1"/>
          <w:color w:val="auto"/>
        </w:rPr>
        <w:t xml:space="preserve">Using this formula, annual cash incentives are typically capped at 200% of target for our CEO and CSO and 180% of target for our other NEOs. </w:t>
      </w:r>
      <w:r>
        <w:rPr>
          <w:rFonts w:ascii="Arial" w:cs="Arial" w:eastAsia="Arial" w:hAnsi="Arial"/>
          <w:sz w:val="16"/>
          <w:szCs w:val="16"/>
          <w:color w:val="auto"/>
        </w:rPr>
        <w:t>In addition, annual cash incentives for each NEO and certain other senior executives are</w:t>
      </w:r>
      <w:r>
        <w:rPr>
          <w:rFonts w:ascii="Arial" w:cs="Arial" w:eastAsia="Arial" w:hAnsi="Arial"/>
          <w:sz w:val="16"/>
          <w:szCs w:val="16"/>
          <w:b w:val="1"/>
          <w:bCs w:val="1"/>
          <w:color w:val="auto"/>
        </w:rPr>
        <w:t xml:space="preserve"> </w:t>
      </w:r>
      <w:r>
        <w:rPr>
          <w:rFonts w:ascii="Arial" w:cs="Arial" w:eastAsia="Arial" w:hAnsi="Arial"/>
          <w:sz w:val="16"/>
          <w:szCs w:val="16"/>
          <w:color w:val="auto"/>
        </w:rPr>
        <w:t>capped at the amounts previously allocated to such executives by the Compensation Committee when setting up the cash incentive pool under the Cash Incentive Bonus Plan toward the beginning of every calendar year. See “Compensation Dashboard—Additional Compensation Information—Annual Cash Incentives.”</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Corporate Performance</w:t>
      </w:r>
    </w:p>
    <w:p>
      <w:pPr>
        <w:spacing w:after="0" w:line="83" w:lineRule="exact"/>
        <w:rPr>
          <w:sz w:val="20"/>
          <w:szCs w:val="20"/>
          <w:color w:val="auto"/>
        </w:rPr>
      </w:pPr>
    </w:p>
    <w:p>
      <w:pPr>
        <w:ind w:left="140" w:right="199"/>
        <w:spacing w:after="0" w:line="295" w:lineRule="auto"/>
        <w:rPr>
          <w:sz w:val="20"/>
          <w:szCs w:val="20"/>
          <w:color w:val="auto"/>
        </w:rPr>
      </w:pPr>
      <w:r>
        <w:rPr>
          <w:rFonts w:ascii="Arial" w:cs="Arial" w:eastAsia="Arial" w:hAnsi="Arial"/>
          <w:sz w:val="16"/>
          <w:szCs w:val="16"/>
          <w:color w:val="auto"/>
        </w:rPr>
        <w:t>The Compensation Committee utilizes an in-depth process to review the Company’s performance every year, culminating in the Committee’s determination of the Company performance multiplier for annual cash incentives awarded at year-end. This process (previously enhanced in response to shareholder feedback to provide more rigor to the Committee’s decision-making process and to foster consistency in its decisions year to year) is detailed below.</w:t>
      </w:r>
    </w:p>
    <w:p>
      <w:pPr>
        <w:spacing w:after="0" w:line="338" w:lineRule="exact"/>
        <w:rPr>
          <w:sz w:val="20"/>
          <w:szCs w:val="20"/>
          <w:color w:val="auto"/>
        </w:rPr>
      </w:pPr>
    </w:p>
    <w:tbl>
      <w:tblPr>
        <w:tblLayout w:type="fixed"/>
        <w:tblInd w:w="380" w:type="dxa"/>
        <w:tblCellMar>
          <w:top w:w="0" w:type="dxa"/>
          <w:left w:w="0" w:type="dxa"/>
          <w:bottom w:w="0" w:type="dxa"/>
          <w:right w:w="0" w:type="dxa"/>
        </w:tblCellMar>
      </w:tblPr>
      <w:tr>
        <w:trPr>
          <w:trHeight w:val="404"/>
        </w:trPr>
        <w:tc>
          <w:tcPr>
            <w:tcW w:w="1960" w:type="dxa"/>
            <w:vAlign w:val="bottom"/>
            <w:tcBorders>
              <w:right w:val="single" w:sz="8" w:color="065BAA"/>
            </w:tcBorders>
          </w:tcPr>
          <w:p>
            <w:pPr>
              <w:spacing w:after="0"/>
              <w:rPr>
                <w:sz w:val="20"/>
                <w:szCs w:val="20"/>
                <w:color w:val="auto"/>
              </w:rPr>
            </w:pPr>
            <w:r>
              <w:rPr>
                <w:rFonts w:ascii="Arial" w:cs="Arial" w:eastAsia="Arial" w:hAnsi="Arial"/>
                <w:sz w:val="29"/>
                <w:szCs w:val="29"/>
                <w:b w:val="1"/>
                <w:bCs w:val="1"/>
                <w:color w:val="065BAA"/>
              </w:rPr>
              <w:t>1</w:t>
            </w:r>
          </w:p>
        </w:tc>
        <w:tc>
          <w:tcPr>
            <w:tcW w:w="2180" w:type="dxa"/>
            <w:vAlign w:val="bottom"/>
            <w:tcBorders>
              <w:right w:val="single" w:sz="8" w:color="065BAA"/>
            </w:tcBorders>
          </w:tcPr>
          <w:p>
            <w:pPr>
              <w:ind w:left="240"/>
              <w:spacing w:after="0"/>
              <w:rPr>
                <w:sz w:val="20"/>
                <w:szCs w:val="20"/>
                <w:color w:val="auto"/>
              </w:rPr>
            </w:pPr>
            <w:r>
              <w:rPr>
                <w:rFonts w:ascii="Arial" w:cs="Arial" w:eastAsia="Arial" w:hAnsi="Arial"/>
                <w:sz w:val="29"/>
                <w:szCs w:val="29"/>
                <w:b w:val="1"/>
                <w:bCs w:val="1"/>
                <w:color w:val="065BAA"/>
              </w:rPr>
              <w:t>2</w:t>
            </w:r>
          </w:p>
        </w:tc>
        <w:tc>
          <w:tcPr>
            <w:tcW w:w="2200" w:type="dxa"/>
            <w:vAlign w:val="bottom"/>
            <w:tcBorders>
              <w:right w:val="single" w:sz="8" w:color="065BAA"/>
            </w:tcBorders>
          </w:tcPr>
          <w:p>
            <w:pPr>
              <w:ind w:left="240"/>
              <w:spacing w:after="0"/>
              <w:rPr>
                <w:sz w:val="20"/>
                <w:szCs w:val="20"/>
                <w:color w:val="auto"/>
              </w:rPr>
            </w:pPr>
            <w:r>
              <w:rPr>
                <w:rFonts w:ascii="Arial" w:cs="Arial" w:eastAsia="Arial" w:hAnsi="Arial"/>
                <w:sz w:val="29"/>
                <w:szCs w:val="29"/>
                <w:b w:val="1"/>
                <w:bCs w:val="1"/>
                <w:color w:val="065BAA"/>
              </w:rPr>
              <w:t>3</w:t>
            </w:r>
          </w:p>
        </w:tc>
        <w:tc>
          <w:tcPr>
            <w:tcW w:w="1880" w:type="dxa"/>
            <w:vAlign w:val="bottom"/>
          </w:tcPr>
          <w:p>
            <w:pPr>
              <w:ind w:left="220"/>
              <w:spacing w:after="0"/>
              <w:rPr>
                <w:sz w:val="20"/>
                <w:szCs w:val="20"/>
                <w:color w:val="auto"/>
              </w:rPr>
            </w:pPr>
            <w:r>
              <w:rPr>
                <w:rFonts w:ascii="Arial" w:cs="Arial" w:eastAsia="Arial" w:hAnsi="Arial"/>
                <w:sz w:val="29"/>
                <w:szCs w:val="29"/>
                <w:b w:val="1"/>
                <w:bCs w:val="1"/>
                <w:color w:val="065BAA"/>
              </w:rPr>
              <w:t>4</w:t>
            </w:r>
          </w:p>
        </w:tc>
        <w:tc>
          <w:tcPr>
            <w:tcW w:w="0" w:type="dxa"/>
            <w:vAlign w:val="bottom"/>
          </w:tcPr>
          <w:p>
            <w:pPr>
              <w:spacing w:after="0"/>
              <w:rPr>
                <w:sz w:val="1"/>
                <w:szCs w:val="1"/>
                <w:color w:val="auto"/>
              </w:rPr>
            </w:pPr>
          </w:p>
        </w:tc>
      </w:tr>
      <w:tr>
        <w:trPr>
          <w:trHeight w:val="216"/>
        </w:trPr>
        <w:tc>
          <w:tcPr>
            <w:tcW w:w="1960" w:type="dxa"/>
            <w:vAlign w:val="bottom"/>
            <w:tcBorders>
              <w:right w:val="single" w:sz="8" w:color="065BAA"/>
            </w:tcBorders>
          </w:tcPr>
          <w:p>
            <w:pPr>
              <w:spacing w:after="0"/>
              <w:rPr>
                <w:sz w:val="20"/>
                <w:szCs w:val="20"/>
                <w:color w:val="auto"/>
              </w:rPr>
            </w:pPr>
            <w:r>
              <w:rPr>
                <w:rFonts w:ascii="Arial" w:cs="Arial" w:eastAsia="Arial" w:hAnsi="Arial"/>
                <w:sz w:val="16"/>
                <w:szCs w:val="16"/>
                <w:b w:val="1"/>
                <w:bCs w:val="1"/>
                <w:color w:val="065BAA"/>
              </w:rPr>
              <w:t>Identify Milestone</w:t>
            </w:r>
          </w:p>
        </w:tc>
        <w:tc>
          <w:tcPr>
            <w:tcW w:w="2180" w:type="dxa"/>
            <w:vAlign w:val="bottom"/>
            <w:tcBorders>
              <w:right w:val="single" w:sz="8" w:color="065BAA"/>
            </w:tcBorders>
          </w:tcPr>
          <w:p>
            <w:pPr>
              <w:ind w:left="240"/>
              <w:spacing w:after="0"/>
              <w:rPr>
                <w:sz w:val="20"/>
                <w:szCs w:val="20"/>
                <w:color w:val="auto"/>
              </w:rPr>
            </w:pPr>
            <w:r>
              <w:rPr>
                <w:rFonts w:ascii="Arial" w:cs="Arial" w:eastAsia="Arial" w:hAnsi="Arial"/>
                <w:sz w:val="16"/>
                <w:szCs w:val="16"/>
                <w:b w:val="1"/>
                <w:bCs w:val="1"/>
                <w:color w:val="065BAA"/>
              </w:rPr>
              <w:t>Provide Progress</w:t>
            </w:r>
          </w:p>
        </w:tc>
        <w:tc>
          <w:tcPr>
            <w:tcW w:w="2200" w:type="dxa"/>
            <w:vAlign w:val="bottom"/>
            <w:tcBorders>
              <w:right w:val="single" w:sz="8" w:color="065BAA"/>
            </w:tcBorders>
          </w:tcPr>
          <w:p>
            <w:pPr>
              <w:ind w:left="240"/>
              <w:spacing w:after="0"/>
              <w:rPr>
                <w:sz w:val="20"/>
                <w:szCs w:val="20"/>
                <w:color w:val="auto"/>
              </w:rPr>
            </w:pPr>
            <w:r>
              <w:rPr>
                <w:rFonts w:ascii="Arial" w:cs="Arial" w:eastAsia="Arial" w:hAnsi="Arial"/>
                <w:sz w:val="16"/>
                <w:szCs w:val="16"/>
                <w:b w:val="1"/>
                <w:bCs w:val="1"/>
                <w:color w:val="065BAA"/>
              </w:rPr>
              <w:t>Deliver Final</w:t>
            </w:r>
          </w:p>
        </w:tc>
        <w:tc>
          <w:tcPr>
            <w:tcW w:w="1880" w:type="dxa"/>
            <w:vAlign w:val="bottom"/>
          </w:tcPr>
          <w:p>
            <w:pPr>
              <w:ind w:left="220"/>
              <w:spacing w:after="0"/>
              <w:rPr>
                <w:sz w:val="20"/>
                <w:szCs w:val="20"/>
                <w:color w:val="auto"/>
              </w:rPr>
            </w:pPr>
            <w:r>
              <w:rPr>
                <w:rFonts w:ascii="Arial" w:cs="Arial" w:eastAsia="Arial" w:hAnsi="Arial"/>
                <w:sz w:val="16"/>
                <w:szCs w:val="16"/>
                <w:b w:val="1"/>
                <w:bCs w:val="1"/>
                <w:color w:val="065BAA"/>
              </w:rPr>
              <w:t>Conduct Assessment</w:t>
            </w:r>
          </w:p>
        </w:tc>
        <w:tc>
          <w:tcPr>
            <w:tcW w:w="0" w:type="dxa"/>
            <w:vAlign w:val="bottom"/>
          </w:tcPr>
          <w:p>
            <w:pPr>
              <w:spacing w:after="0"/>
              <w:rPr>
                <w:sz w:val="1"/>
                <w:szCs w:val="1"/>
                <w:color w:val="auto"/>
              </w:rPr>
            </w:pPr>
          </w:p>
        </w:tc>
      </w:tr>
      <w:tr>
        <w:trPr>
          <w:trHeight w:val="216"/>
        </w:trPr>
        <w:tc>
          <w:tcPr>
            <w:tcW w:w="1960" w:type="dxa"/>
            <w:vAlign w:val="bottom"/>
            <w:tcBorders>
              <w:right w:val="single" w:sz="8" w:color="065BAA"/>
            </w:tcBorders>
          </w:tcPr>
          <w:p>
            <w:pPr>
              <w:spacing w:after="0"/>
              <w:rPr>
                <w:sz w:val="20"/>
                <w:szCs w:val="20"/>
                <w:color w:val="auto"/>
              </w:rPr>
            </w:pPr>
            <w:r>
              <w:rPr>
                <w:rFonts w:ascii="Arial" w:cs="Arial" w:eastAsia="Arial" w:hAnsi="Arial"/>
                <w:sz w:val="16"/>
                <w:szCs w:val="16"/>
                <w:b w:val="1"/>
                <w:bCs w:val="1"/>
                <w:color w:val="065BAA"/>
              </w:rPr>
              <w:t>Goals</w:t>
            </w:r>
          </w:p>
        </w:tc>
        <w:tc>
          <w:tcPr>
            <w:tcW w:w="2180" w:type="dxa"/>
            <w:vAlign w:val="bottom"/>
            <w:tcBorders>
              <w:right w:val="single" w:sz="8" w:color="065BAA"/>
            </w:tcBorders>
          </w:tcPr>
          <w:p>
            <w:pPr>
              <w:ind w:left="240"/>
              <w:spacing w:after="0"/>
              <w:rPr>
                <w:sz w:val="20"/>
                <w:szCs w:val="20"/>
                <w:color w:val="auto"/>
              </w:rPr>
            </w:pPr>
            <w:r>
              <w:rPr>
                <w:rFonts w:ascii="Arial" w:cs="Arial" w:eastAsia="Arial" w:hAnsi="Arial"/>
                <w:sz w:val="16"/>
                <w:szCs w:val="16"/>
                <w:b w:val="1"/>
                <w:bCs w:val="1"/>
                <w:color w:val="065BAA"/>
              </w:rPr>
              <w:t>Updates Throughout</w:t>
            </w:r>
          </w:p>
        </w:tc>
        <w:tc>
          <w:tcPr>
            <w:tcW w:w="2200" w:type="dxa"/>
            <w:vAlign w:val="bottom"/>
            <w:tcBorders>
              <w:right w:val="single" w:sz="8" w:color="065BAA"/>
            </w:tcBorders>
          </w:tcPr>
          <w:p>
            <w:pPr>
              <w:ind w:left="240"/>
              <w:spacing w:after="0"/>
              <w:rPr>
                <w:sz w:val="20"/>
                <w:szCs w:val="20"/>
                <w:color w:val="auto"/>
              </w:rPr>
            </w:pPr>
            <w:r>
              <w:rPr>
                <w:rFonts w:ascii="Arial" w:cs="Arial" w:eastAsia="Arial" w:hAnsi="Arial"/>
                <w:sz w:val="16"/>
                <w:szCs w:val="16"/>
                <w:b w:val="1"/>
                <w:bCs w:val="1"/>
                <w:color w:val="065BAA"/>
              </w:rPr>
              <w:t>Presentation on</w:t>
            </w:r>
          </w:p>
        </w:tc>
        <w:tc>
          <w:tcPr>
            <w:tcW w:w="1880" w:type="dxa"/>
            <w:vAlign w:val="bottom"/>
          </w:tcPr>
          <w:p>
            <w:pPr>
              <w:ind w:left="220"/>
              <w:spacing w:after="0"/>
              <w:rPr>
                <w:sz w:val="20"/>
                <w:szCs w:val="20"/>
                <w:color w:val="auto"/>
              </w:rPr>
            </w:pPr>
            <w:r>
              <w:rPr>
                <w:rFonts w:ascii="Arial" w:cs="Arial" w:eastAsia="Arial" w:hAnsi="Arial"/>
                <w:sz w:val="14"/>
                <w:szCs w:val="14"/>
                <w:color w:val="auto"/>
              </w:rPr>
              <w:t>resulting in the</w:t>
            </w:r>
          </w:p>
        </w:tc>
        <w:tc>
          <w:tcPr>
            <w:tcW w:w="0" w:type="dxa"/>
            <w:vAlign w:val="bottom"/>
          </w:tcPr>
          <w:p>
            <w:pPr>
              <w:spacing w:after="0"/>
              <w:rPr>
                <w:sz w:val="1"/>
                <w:szCs w:val="1"/>
                <w:color w:val="auto"/>
              </w:rPr>
            </w:pPr>
          </w:p>
        </w:tc>
      </w:tr>
      <w:tr>
        <w:trPr>
          <w:trHeight w:val="207"/>
        </w:trPr>
        <w:tc>
          <w:tcPr>
            <w:tcW w:w="1960" w:type="dxa"/>
            <w:vAlign w:val="bottom"/>
            <w:tcBorders>
              <w:right w:val="single" w:sz="8" w:color="065BAA"/>
            </w:tcBorders>
          </w:tcPr>
          <w:p>
            <w:pPr>
              <w:spacing w:after="0"/>
              <w:rPr>
                <w:sz w:val="20"/>
                <w:szCs w:val="20"/>
                <w:color w:val="auto"/>
              </w:rPr>
            </w:pPr>
            <w:r>
              <w:rPr>
                <w:rFonts w:ascii="Arial" w:cs="Arial" w:eastAsia="Arial" w:hAnsi="Arial"/>
                <w:sz w:val="14"/>
                <w:szCs w:val="14"/>
                <w:color w:val="auto"/>
              </w:rPr>
              <w:t>at beginning of year,</w:t>
            </w:r>
          </w:p>
        </w:tc>
        <w:tc>
          <w:tcPr>
            <w:tcW w:w="2180" w:type="dxa"/>
            <w:vAlign w:val="bottom"/>
            <w:tcBorders>
              <w:right w:val="single" w:sz="8" w:color="065BAA"/>
            </w:tcBorders>
          </w:tcPr>
          <w:p>
            <w:pPr>
              <w:ind w:left="240"/>
              <w:spacing w:after="0"/>
              <w:rPr>
                <w:sz w:val="20"/>
                <w:szCs w:val="20"/>
                <w:color w:val="auto"/>
              </w:rPr>
            </w:pPr>
            <w:r>
              <w:rPr>
                <w:rFonts w:ascii="Arial" w:cs="Arial" w:eastAsia="Arial" w:hAnsi="Arial"/>
                <w:sz w:val="16"/>
                <w:szCs w:val="16"/>
                <w:b w:val="1"/>
                <w:bCs w:val="1"/>
                <w:color w:val="065BAA"/>
              </w:rPr>
              <w:t>the Year</w:t>
            </w:r>
          </w:p>
        </w:tc>
        <w:tc>
          <w:tcPr>
            <w:tcW w:w="2200" w:type="dxa"/>
            <w:vAlign w:val="bottom"/>
            <w:tcBorders>
              <w:right w:val="single" w:sz="8" w:color="065BAA"/>
            </w:tcBorders>
          </w:tcPr>
          <w:p>
            <w:pPr>
              <w:ind w:left="240"/>
              <w:spacing w:after="0"/>
              <w:rPr>
                <w:sz w:val="20"/>
                <w:szCs w:val="20"/>
                <w:color w:val="auto"/>
              </w:rPr>
            </w:pPr>
            <w:r>
              <w:rPr>
                <w:rFonts w:ascii="Arial" w:cs="Arial" w:eastAsia="Arial" w:hAnsi="Arial"/>
                <w:sz w:val="16"/>
                <w:szCs w:val="16"/>
                <w:b w:val="1"/>
                <w:bCs w:val="1"/>
                <w:color w:val="065BAA"/>
              </w:rPr>
              <w:t>Performance</w:t>
            </w:r>
          </w:p>
        </w:tc>
        <w:tc>
          <w:tcPr>
            <w:tcW w:w="1880" w:type="dxa"/>
            <w:vAlign w:val="bottom"/>
          </w:tcPr>
          <w:p>
            <w:pPr>
              <w:ind w:left="220"/>
              <w:spacing w:after="0"/>
              <w:rPr>
                <w:sz w:val="20"/>
                <w:szCs w:val="20"/>
                <w:color w:val="auto"/>
              </w:rPr>
            </w:pPr>
            <w:r>
              <w:rPr>
                <w:rFonts w:ascii="Arial" w:cs="Arial" w:eastAsia="Arial" w:hAnsi="Arial"/>
                <w:sz w:val="14"/>
                <w:szCs w:val="14"/>
                <w:color w:val="auto"/>
              </w:rPr>
              <w:t>Committee’s</w:t>
            </w:r>
          </w:p>
        </w:tc>
        <w:tc>
          <w:tcPr>
            <w:tcW w:w="0" w:type="dxa"/>
            <w:vAlign w:val="bottom"/>
          </w:tcPr>
          <w:p>
            <w:pPr>
              <w:spacing w:after="0"/>
              <w:rPr>
                <w:sz w:val="1"/>
                <w:szCs w:val="1"/>
                <w:color w:val="auto"/>
              </w:rPr>
            </w:pPr>
          </w:p>
        </w:tc>
      </w:tr>
      <w:tr>
        <w:trPr>
          <w:trHeight w:val="189"/>
        </w:trPr>
        <w:tc>
          <w:tcPr>
            <w:tcW w:w="1960" w:type="dxa"/>
            <w:vAlign w:val="bottom"/>
            <w:tcBorders>
              <w:right w:val="single" w:sz="8" w:color="065BAA"/>
            </w:tcBorders>
          </w:tcPr>
          <w:p>
            <w:pPr>
              <w:spacing w:after="0"/>
              <w:rPr>
                <w:sz w:val="20"/>
                <w:szCs w:val="20"/>
                <w:color w:val="auto"/>
              </w:rPr>
            </w:pPr>
            <w:r>
              <w:rPr>
                <w:rFonts w:ascii="Arial" w:cs="Arial" w:eastAsia="Arial" w:hAnsi="Arial"/>
                <w:sz w:val="14"/>
                <w:szCs w:val="14"/>
                <w:color w:val="auto"/>
              </w:rPr>
              <w:t>focused on product</w:t>
            </w:r>
          </w:p>
        </w:tc>
        <w:tc>
          <w:tcPr>
            <w:tcW w:w="2180" w:type="dxa"/>
            <w:vAlign w:val="bottom"/>
            <w:tcBorders>
              <w:right w:val="single" w:sz="8" w:color="065BAA"/>
            </w:tcBorders>
          </w:tcPr>
          <w:p>
            <w:pPr>
              <w:ind w:left="240"/>
              <w:spacing w:after="0"/>
              <w:rPr>
                <w:sz w:val="20"/>
                <w:szCs w:val="20"/>
                <w:color w:val="auto"/>
              </w:rPr>
            </w:pPr>
            <w:r>
              <w:rPr>
                <w:rFonts w:ascii="Arial" w:cs="Arial" w:eastAsia="Arial" w:hAnsi="Arial"/>
                <w:sz w:val="14"/>
                <w:szCs w:val="14"/>
                <w:color w:val="auto"/>
              </w:rPr>
              <w:t>at regularly scheduled</w:t>
            </w:r>
          </w:p>
        </w:tc>
        <w:tc>
          <w:tcPr>
            <w:tcW w:w="2200" w:type="dxa"/>
            <w:vAlign w:val="bottom"/>
            <w:tcBorders>
              <w:right w:val="single" w:sz="8" w:color="065BAA"/>
            </w:tcBorders>
          </w:tcPr>
          <w:p>
            <w:pPr>
              <w:ind w:left="240"/>
              <w:spacing w:after="0"/>
              <w:rPr>
                <w:sz w:val="20"/>
                <w:szCs w:val="20"/>
                <w:color w:val="auto"/>
              </w:rPr>
            </w:pPr>
            <w:r>
              <w:rPr>
                <w:rFonts w:ascii="Arial" w:cs="Arial" w:eastAsia="Arial" w:hAnsi="Arial"/>
                <w:sz w:val="14"/>
                <w:szCs w:val="14"/>
                <w:color w:val="auto"/>
              </w:rPr>
              <w:t>including a scorecard</w:t>
            </w:r>
          </w:p>
        </w:tc>
        <w:tc>
          <w:tcPr>
            <w:tcW w:w="1880" w:type="dxa"/>
            <w:vAlign w:val="bottom"/>
          </w:tcPr>
          <w:p>
            <w:pPr>
              <w:ind w:left="220"/>
              <w:spacing w:after="0"/>
              <w:rPr>
                <w:sz w:val="20"/>
                <w:szCs w:val="20"/>
                <w:color w:val="auto"/>
              </w:rPr>
            </w:pPr>
            <w:r>
              <w:rPr>
                <w:rFonts w:ascii="Arial" w:cs="Arial" w:eastAsia="Arial" w:hAnsi="Arial"/>
                <w:sz w:val="14"/>
                <w:szCs w:val="14"/>
                <w:color w:val="auto"/>
              </w:rPr>
              <w:t>determination of</w:t>
            </w:r>
          </w:p>
        </w:tc>
        <w:tc>
          <w:tcPr>
            <w:tcW w:w="0" w:type="dxa"/>
            <w:vAlign w:val="bottom"/>
          </w:tcPr>
          <w:p>
            <w:pPr>
              <w:spacing w:after="0"/>
              <w:rPr>
                <w:sz w:val="1"/>
                <w:szCs w:val="1"/>
                <w:color w:val="auto"/>
              </w:rPr>
            </w:pPr>
          </w:p>
        </w:tc>
      </w:tr>
      <w:tr>
        <w:trPr>
          <w:trHeight w:val="189"/>
        </w:trPr>
        <w:tc>
          <w:tcPr>
            <w:tcW w:w="1960" w:type="dxa"/>
            <w:vAlign w:val="bottom"/>
            <w:tcBorders>
              <w:right w:val="single" w:sz="8" w:color="065BAA"/>
            </w:tcBorders>
          </w:tcPr>
          <w:p>
            <w:pPr>
              <w:spacing w:after="0"/>
              <w:rPr>
                <w:sz w:val="20"/>
                <w:szCs w:val="20"/>
                <w:color w:val="auto"/>
              </w:rPr>
            </w:pPr>
            <w:r>
              <w:rPr>
                <w:rFonts w:ascii="Arial" w:cs="Arial" w:eastAsia="Arial" w:hAnsi="Arial"/>
                <w:sz w:val="14"/>
                <w:szCs w:val="14"/>
                <w:color w:val="auto"/>
              </w:rPr>
              <w:t>pipeline and development</w:t>
            </w:r>
          </w:p>
        </w:tc>
        <w:tc>
          <w:tcPr>
            <w:tcW w:w="2180" w:type="dxa"/>
            <w:vAlign w:val="bottom"/>
            <w:tcBorders>
              <w:right w:val="single" w:sz="8" w:color="065BAA"/>
            </w:tcBorders>
          </w:tcPr>
          <w:p>
            <w:pPr>
              <w:ind w:left="240"/>
              <w:spacing w:after="0"/>
              <w:rPr>
                <w:sz w:val="20"/>
                <w:szCs w:val="20"/>
                <w:color w:val="auto"/>
              </w:rPr>
            </w:pPr>
            <w:r>
              <w:rPr>
                <w:rFonts w:ascii="Arial" w:cs="Arial" w:eastAsia="Arial" w:hAnsi="Arial"/>
                <w:sz w:val="14"/>
                <w:szCs w:val="14"/>
                <w:color w:val="auto"/>
              </w:rPr>
              <w:t>meetings of the board</w:t>
            </w:r>
          </w:p>
        </w:tc>
        <w:tc>
          <w:tcPr>
            <w:tcW w:w="2200" w:type="dxa"/>
            <w:vAlign w:val="bottom"/>
            <w:tcBorders>
              <w:right w:val="single" w:sz="8" w:color="065BAA"/>
            </w:tcBorders>
          </w:tcPr>
          <w:p>
            <w:pPr>
              <w:ind w:left="240"/>
              <w:spacing w:after="0"/>
              <w:rPr>
                <w:sz w:val="20"/>
                <w:szCs w:val="20"/>
                <w:color w:val="auto"/>
              </w:rPr>
            </w:pPr>
            <w:r>
              <w:rPr>
                <w:rFonts w:ascii="Arial" w:cs="Arial" w:eastAsia="Arial" w:hAnsi="Arial"/>
                <w:sz w:val="14"/>
                <w:szCs w:val="14"/>
                <w:color w:val="auto"/>
              </w:rPr>
              <w:t>on select milestone goals</w:t>
            </w:r>
          </w:p>
        </w:tc>
        <w:tc>
          <w:tcPr>
            <w:tcW w:w="1880" w:type="dxa"/>
            <w:vAlign w:val="bottom"/>
          </w:tcPr>
          <w:p>
            <w:pPr>
              <w:ind w:left="220"/>
              <w:spacing w:after="0"/>
              <w:rPr>
                <w:sz w:val="20"/>
                <w:szCs w:val="20"/>
                <w:color w:val="auto"/>
              </w:rPr>
            </w:pPr>
            <w:r>
              <w:rPr>
                <w:rFonts w:ascii="Arial" w:cs="Arial" w:eastAsia="Arial" w:hAnsi="Arial"/>
                <w:sz w:val="14"/>
                <w:szCs w:val="14"/>
                <w:color w:val="auto"/>
              </w:rPr>
              <w:t>Company performance</w:t>
            </w:r>
          </w:p>
        </w:tc>
        <w:tc>
          <w:tcPr>
            <w:tcW w:w="0" w:type="dxa"/>
            <w:vAlign w:val="bottom"/>
          </w:tcPr>
          <w:p>
            <w:pPr>
              <w:spacing w:after="0"/>
              <w:rPr>
                <w:sz w:val="1"/>
                <w:szCs w:val="1"/>
                <w:color w:val="auto"/>
              </w:rPr>
            </w:pPr>
          </w:p>
        </w:tc>
      </w:tr>
      <w:tr>
        <w:trPr>
          <w:trHeight w:val="190"/>
        </w:trPr>
        <w:tc>
          <w:tcPr>
            <w:tcW w:w="1960" w:type="dxa"/>
            <w:vAlign w:val="bottom"/>
            <w:tcBorders>
              <w:right w:val="single" w:sz="8" w:color="065BAA"/>
            </w:tcBorders>
          </w:tcPr>
          <w:p>
            <w:pPr>
              <w:spacing w:after="0"/>
              <w:rPr>
                <w:sz w:val="16"/>
                <w:szCs w:val="16"/>
                <w:color w:val="auto"/>
              </w:rPr>
            </w:pPr>
          </w:p>
        </w:tc>
        <w:tc>
          <w:tcPr>
            <w:tcW w:w="2180" w:type="dxa"/>
            <w:vAlign w:val="bottom"/>
            <w:tcBorders>
              <w:right w:val="single" w:sz="8" w:color="065BAA"/>
            </w:tcBorders>
            <w:vMerge w:val="restart"/>
          </w:tcPr>
          <w:p>
            <w:pPr>
              <w:ind w:left="240"/>
              <w:spacing w:after="0"/>
              <w:rPr>
                <w:sz w:val="20"/>
                <w:szCs w:val="20"/>
                <w:color w:val="auto"/>
              </w:rPr>
            </w:pPr>
            <w:r>
              <w:rPr>
                <w:rFonts w:ascii="Arial" w:cs="Arial" w:eastAsia="Arial" w:hAnsi="Arial"/>
                <w:sz w:val="14"/>
                <w:szCs w:val="14"/>
                <w:color w:val="auto"/>
              </w:rPr>
              <w:t>of directors</w:t>
            </w:r>
          </w:p>
        </w:tc>
        <w:tc>
          <w:tcPr>
            <w:tcW w:w="2200" w:type="dxa"/>
            <w:vAlign w:val="bottom"/>
            <w:tcBorders>
              <w:right w:val="single" w:sz="8" w:color="065BAA"/>
            </w:tcBorders>
            <w:vMerge w:val="restart"/>
          </w:tcPr>
          <w:p>
            <w:pPr>
              <w:ind w:left="240"/>
              <w:spacing w:after="0"/>
              <w:rPr>
                <w:sz w:val="20"/>
                <w:szCs w:val="20"/>
                <w:color w:val="auto"/>
              </w:rPr>
            </w:pPr>
            <w:r>
              <w:rPr>
                <w:rFonts w:ascii="Arial" w:cs="Arial" w:eastAsia="Arial" w:hAnsi="Arial"/>
                <w:sz w:val="14"/>
                <w:szCs w:val="14"/>
                <w:color w:val="auto"/>
              </w:rPr>
              <w:t>and review of performance</w:t>
            </w:r>
          </w:p>
        </w:tc>
        <w:tc>
          <w:tcPr>
            <w:tcW w:w="1880" w:type="dxa"/>
            <w:vAlign w:val="bottom"/>
          </w:tcPr>
          <w:p>
            <w:pPr>
              <w:ind w:left="220"/>
              <w:spacing w:after="0"/>
              <w:rPr>
                <w:sz w:val="20"/>
                <w:szCs w:val="20"/>
                <w:color w:val="auto"/>
              </w:rPr>
            </w:pPr>
            <w:r>
              <w:rPr>
                <w:rFonts w:ascii="Arial" w:cs="Arial" w:eastAsia="Arial" w:hAnsi="Arial"/>
                <w:sz w:val="14"/>
                <w:szCs w:val="14"/>
                <w:color w:val="auto"/>
              </w:rPr>
              <w:t>multiplier for year</w:t>
            </w:r>
          </w:p>
        </w:tc>
        <w:tc>
          <w:tcPr>
            <w:tcW w:w="0" w:type="dxa"/>
            <w:vAlign w:val="bottom"/>
          </w:tcPr>
          <w:p>
            <w:pPr>
              <w:spacing w:after="0"/>
              <w:rPr>
                <w:sz w:val="1"/>
                <w:szCs w:val="1"/>
                <w:color w:val="auto"/>
              </w:rPr>
            </w:pPr>
          </w:p>
        </w:tc>
      </w:tr>
      <w:tr>
        <w:trPr>
          <w:trHeight w:val="53"/>
        </w:trPr>
        <w:tc>
          <w:tcPr>
            <w:tcW w:w="1960" w:type="dxa"/>
            <w:vAlign w:val="bottom"/>
            <w:tcBorders>
              <w:right w:val="single" w:sz="8" w:color="065BAA"/>
            </w:tcBorders>
          </w:tcPr>
          <w:p>
            <w:pPr>
              <w:spacing w:after="0"/>
              <w:rPr>
                <w:sz w:val="4"/>
                <w:szCs w:val="4"/>
                <w:color w:val="auto"/>
              </w:rPr>
            </w:pPr>
          </w:p>
        </w:tc>
        <w:tc>
          <w:tcPr>
            <w:tcW w:w="2180" w:type="dxa"/>
            <w:vAlign w:val="bottom"/>
            <w:tcBorders>
              <w:right w:val="single" w:sz="8" w:color="065BAA"/>
            </w:tcBorders>
            <w:vMerge w:val="continue"/>
          </w:tcPr>
          <w:p>
            <w:pPr>
              <w:spacing w:after="0"/>
              <w:rPr>
                <w:sz w:val="4"/>
                <w:szCs w:val="4"/>
                <w:color w:val="auto"/>
              </w:rPr>
            </w:pPr>
          </w:p>
        </w:tc>
        <w:tc>
          <w:tcPr>
            <w:tcW w:w="2200" w:type="dxa"/>
            <w:vAlign w:val="bottom"/>
            <w:tcBorders>
              <w:right w:val="single" w:sz="8" w:color="065BAA"/>
            </w:tcBorders>
            <w:vMerge w:val="continue"/>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960" w:type="dxa"/>
            <w:vAlign w:val="bottom"/>
            <w:tcBorders>
              <w:right w:val="single" w:sz="8" w:color="065BAA"/>
            </w:tcBorders>
          </w:tcPr>
          <w:p>
            <w:pPr>
              <w:spacing w:after="0"/>
              <w:rPr>
                <w:sz w:val="16"/>
                <w:szCs w:val="16"/>
                <w:color w:val="auto"/>
              </w:rPr>
            </w:pPr>
          </w:p>
        </w:tc>
        <w:tc>
          <w:tcPr>
            <w:tcW w:w="2180" w:type="dxa"/>
            <w:vAlign w:val="bottom"/>
            <w:tcBorders>
              <w:right w:val="single" w:sz="8" w:color="065BAA"/>
            </w:tcBorders>
          </w:tcPr>
          <w:p>
            <w:pPr>
              <w:spacing w:after="0"/>
              <w:rPr>
                <w:sz w:val="16"/>
                <w:szCs w:val="16"/>
                <w:color w:val="auto"/>
              </w:rPr>
            </w:pPr>
          </w:p>
        </w:tc>
        <w:tc>
          <w:tcPr>
            <w:tcW w:w="2200" w:type="dxa"/>
            <w:vAlign w:val="bottom"/>
            <w:tcBorders>
              <w:right w:val="single" w:sz="8" w:color="065BAA"/>
            </w:tcBorders>
          </w:tcPr>
          <w:p>
            <w:pPr>
              <w:ind w:left="240"/>
              <w:spacing w:after="0"/>
              <w:rPr>
                <w:sz w:val="20"/>
                <w:szCs w:val="20"/>
                <w:color w:val="auto"/>
              </w:rPr>
            </w:pPr>
            <w:r>
              <w:rPr>
                <w:rFonts w:ascii="Arial" w:cs="Arial" w:eastAsia="Arial" w:hAnsi="Arial"/>
                <w:sz w:val="14"/>
                <w:szCs w:val="14"/>
                <w:color w:val="auto"/>
              </w:rPr>
              <w:t>across the organization</w:t>
            </w: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65</w:t>
            </w:r>
          </w:p>
        </w:tc>
      </w:tr>
    </w:tbl>
    <w:p>
      <w:pPr>
        <w:sectPr>
          <w:pgSz w:w="11900" w:h="16838" w:orient="portrait"/>
          <w:cols w:equalWidth="0" w:num="1">
            <w:col w:w="9019"/>
          </w:cols>
          <w:pgMar w:left="1440" w:top="657" w:right="1440" w:bottom="1440" w:gutter="0" w:footer="0" w:header="0"/>
        </w:sectPr>
      </w:pPr>
    </w:p>
    <w:bookmarkStart w:id="74" w:name="page75"/>
    <w:bookmarkEnd w:id="74"/>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65BAA"/>
        </w:rPr>
        <w:t>Pre-Set Performance Milestones</w:t>
      </w:r>
    </w:p>
    <w:p>
      <w:pPr>
        <w:spacing w:after="0" w:line="86" w:lineRule="exact"/>
        <w:rPr>
          <w:sz w:val="20"/>
          <w:szCs w:val="20"/>
          <w:color w:val="auto"/>
        </w:rPr>
      </w:pPr>
    </w:p>
    <w:p>
      <w:pPr>
        <w:ind w:left="140" w:right="159"/>
        <w:spacing w:after="0" w:line="283" w:lineRule="auto"/>
        <w:rPr>
          <w:sz w:val="20"/>
          <w:szCs w:val="20"/>
          <w:color w:val="auto"/>
        </w:rPr>
      </w:pPr>
      <w:r>
        <w:rPr>
          <w:rFonts w:ascii="Arial" w:cs="Arial" w:eastAsia="Arial" w:hAnsi="Arial"/>
          <w:sz w:val="16"/>
          <w:szCs w:val="16"/>
          <w:color w:val="auto"/>
        </w:rPr>
        <w:t>At the beginning of each year, management identifies a targeted selection of potential milestones for the upcoming year that, if achieved, would likely have a substantial impact on the short-, medium-, and/or long-term success of the Company. These milestones are generally focused on our product pipeline and development in recognition of the importance of innovation as a key component of the Company’s business strategy and valuation, as well as the critical role of the development pipeline in the Company’s long-term success. Throughout the year, the board of directors is apprised of key developments related to these milestones. At the end of the year, the Committee receives a final presentation on Company performance for the year, which includes a discussion of whether and to what extent the select milestones have been achieved in the given year as well as a more detailed overview of achievements and developments across the organization. This presentation is accompanied by management’s assessment of Company performance for the year. The Committee then conducts its own assessment of the Company’s performance and determines the Company performance multiplier for the year.</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65BAA"/>
        </w:rPr>
        <w:t>Initial Assessment – Review of Performance Across Organization</w:t>
      </w:r>
    </w:p>
    <w:p>
      <w:pPr>
        <w:spacing w:after="0" w:line="86" w:lineRule="exact"/>
        <w:rPr>
          <w:sz w:val="20"/>
          <w:szCs w:val="20"/>
          <w:color w:val="auto"/>
        </w:rPr>
      </w:pPr>
    </w:p>
    <w:p>
      <w:pPr>
        <w:ind w:left="140" w:right="399"/>
        <w:spacing w:after="0" w:line="281" w:lineRule="auto"/>
        <w:rPr>
          <w:sz w:val="20"/>
          <w:szCs w:val="20"/>
          <w:color w:val="auto"/>
        </w:rPr>
      </w:pPr>
      <w:r>
        <w:rPr>
          <w:rFonts w:ascii="Arial" w:cs="Arial" w:eastAsia="Arial" w:hAnsi="Arial"/>
          <w:sz w:val="16"/>
          <w:szCs w:val="16"/>
          <w:color w:val="auto"/>
        </w:rPr>
        <w:t>The Committee begins its assessment with a review of performance across the entire organization to establish a baseline for the Company performance multiplier, taking into account the Company milestones for the year in review. As part of the baseline assessment, the Committee also considers additional performance factors in the following three categories: (i) product pipeline and development (primary factors); (ii) finance and operations (secondary factors); and</w:t>
      </w:r>
    </w:p>
    <w:p>
      <w:pPr>
        <w:spacing w:after="0" w:line="2" w:lineRule="exact"/>
        <w:rPr>
          <w:sz w:val="20"/>
          <w:szCs w:val="20"/>
          <w:color w:val="auto"/>
        </w:rPr>
      </w:pPr>
    </w:p>
    <w:p>
      <w:pPr>
        <w:ind w:left="140" w:right="219" w:hanging="10"/>
        <w:spacing w:after="0" w:line="285" w:lineRule="auto"/>
        <w:tabs>
          <w:tab w:leader="none" w:pos="40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talent, culture, and corporate responsibility (secondary factors) (see the subsection “Compensation Dashboard— Additional Compensation Information—Annual Cash Incentives” for additional information regarding the types of additional performance factors considered). This process is designed to ensure that the Committee’s initial assessment encompasses not only the Company’s progress toward the milestone goals set at the beginning of the year but also other relevant factors and new developments (both positive and negative), including their impact on the milestone goals. In the Committee’s view, this approach is appropriate given the dynamic nature of the industry in which Regeneron operates and the Company’s need for flexibility to “follow the science” while pursuing its mission over the course of a given year.</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65BAA"/>
        </w:rPr>
        <w:t>Potential Upward/Downward Adjustment for “Transformational” Achievements/Significant Underperformance</w:t>
      </w:r>
    </w:p>
    <w:p>
      <w:pPr>
        <w:spacing w:after="0" w:line="86" w:lineRule="exact"/>
        <w:rPr>
          <w:sz w:val="20"/>
          <w:szCs w:val="20"/>
          <w:color w:val="auto"/>
        </w:rPr>
      </w:pPr>
    </w:p>
    <w:p>
      <w:pPr>
        <w:ind w:left="140" w:right="519"/>
        <w:spacing w:after="0" w:line="284" w:lineRule="auto"/>
        <w:rPr>
          <w:sz w:val="20"/>
          <w:szCs w:val="20"/>
          <w:color w:val="auto"/>
        </w:rPr>
      </w:pPr>
      <w:r>
        <w:rPr>
          <w:rFonts w:ascii="Arial" w:cs="Arial" w:eastAsia="Arial" w:hAnsi="Arial"/>
          <w:sz w:val="16"/>
          <w:szCs w:val="16"/>
          <w:color w:val="auto"/>
        </w:rPr>
        <w:t>The Committee then applies the framework’s criteria for upward or downward adjustments to the baseline multiplier. In general, the framework provides for an upward adjustment for “transformational” achievements – i.e., those the Committee considers to have significantly impacted, or which the Committee expects will significantly impact, the practice of medicine or standard of care, patient access to medicine, or the ability to treat or cure patients of disease for which no such treatment or cure currently exists. The framework also generally requires that the Committee make a downward adjustment in the event the Company underperforms in an area that adversely affects the business in a significant manner. While the milestone goals set at the beginning of the year serve as a reference point for the Committee in identifying potential “transformational” achievements, the framework does not limit the Committee’s consideration to those milestones for the reasons discussed in connection with the initial assessment above.</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380"/>
        <w:spacing w:after="0" w:line="325" w:lineRule="auto"/>
        <w:rPr>
          <w:sz w:val="20"/>
          <w:szCs w:val="20"/>
          <w:color w:val="auto"/>
        </w:rPr>
      </w:pPr>
      <w:r>
        <w:rPr>
          <w:rFonts w:ascii="Arial" w:cs="Arial" w:eastAsia="Arial" w:hAnsi="Arial"/>
          <w:sz w:val="14"/>
          <w:szCs w:val="14"/>
          <w:b w:val="1"/>
          <w:bCs w:val="1"/>
          <w:color w:val="065BAA"/>
        </w:rPr>
        <w:t xml:space="preserve">Review of Performance Across Organization </w:t>
      </w:r>
      <w:r>
        <w:rPr>
          <w:rFonts w:ascii="Arial" w:cs="Arial" w:eastAsia="Arial" w:hAnsi="Arial"/>
          <w:sz w:val="14"/>
          <w:szCs w:val="14"/>
          <w:color w:val="000000"/>
        </w:rPr>
        <w:t>(Annual Milestones &amp; Additional Performance Factors)</w:t>
      </w:r>
    </w:p>
    <w:p>
      <w:pPr>
        <w:spacing w:after="0" w:line="347"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065BAA"/>
        </w:rPr>
        <w:t>Establishment of Baseline</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065BAA"/>
        </w:rPr>
        <w:t>for Company Performance Multiplier</w:t>
      </w:r>
    </w:p>
    <w:p>
      <w:pPr>
        <w:spacing w:after="0" w:line="156" w:lineRule="exact"/>
        <w:rPr>
          <w:sz w:val="20"/>
          <w:szCs w:val="20"/>
          <w:color w:val="auto"/>
        </w:rPr>
      </w:pPr>
    </w:p>
    <w:p>
      <w:pPr>
        <w:ind w:left="580" w:right="60" w:hanging="200"/>
        <w:spacing w:after="0" w:line="311" w:lineRule="auto"/>
        <w:tabs>
          <w:tab w:leader="none" w:pos="580" w:val="left"/>
        </w:tabs>
        <w:numPr>
          <w:ilvl w:val="0"/>
          <w:numId w:val="124"/>
        </w:numPr>
        <w:rPr>
          <w:rFonts w:ascii="Arial" w:cs="Arial" w:eastAsia="Arial" w:hAnsi="Arial"/>
          <w:sz w:val="16"/>
          <w:szCs w:val="16"/>
          <w:color w:val="065BAA"/>
        </w:rPr>
      </w:pPr>
      <w:r>
        <w:rPr>
          <w:rFonts w:ascii="Arial" w:cs="Arial" w:eastAsia="Arial" w:hAnsi="Arial"/>
          <w:sz w:val="14"/>
          <w:szCs w:val="14"/>
          <w:color w:val="auto"/>
        </w:rPr>
        <w:t>Progress toward Company milestones identified at beginning of year</w:t>
      </w:r>
    </w:p>
    <w:p>
      <w:pPr>
        <w:spacing w:after="0" w:line="52" w:lineRule="exact"/>
        <w:rPr>
          <w:rFonts w:ascii="Arial" w:cs="Arial" w:eastAsia="Arial" w:hAnsi="Arial"/>
          <w:sz w:val="16"/>
          <w:szCs w:val="16"/>
          <w:color w:val="065BAA"/>
        </w:rPr>
      </w:pPr>
    </w:p>
    <w:p>
      <w:pPr>
        <w:ind w:left="580" w:right="860" w:hanging="200"/>
        <w:spacing w:after="0" w:line="311" w:lineRule="auto"/>
        <w:tabs>
          <w:tab w:leader="none" w:pos="580" w:val="left"/>
        </w:tabs>
        <w:numPr>
          <w:ilvl w:val="0"/>
          <w:numId w:val="124"/>
        </w:numPr>
        <w:rPr>
          <w:rFonts w:ascii="Arial" w:cs="Arial" w:eastAsia="Arial" w:hAnsi="Arial"/>
          <w:sz w:val="16"/>
          <w:szCs w:val="16"/>
          <w:color w:val="065BAA"/>
        </w:rPr>
      </w:pPr>
      <w:r>
        <w:rPr>
          <w:rFonts w:ascii="Arial" w:cs="Arial" w:eastAsia="Arial" w:hAnsi="Arial"/>
          <w:sz w:val="14"/>
          <w:szCs w:val="14"/>
          <w:color w:val="auto"/>
        </w:rPr>
        <w:t>Additional performance factors across three categories:</w:t>
      </w:r>
    </w:p>
    <w:p>
      <w:pPr>
        <w:spacing w:after="0" w:line="38" w:lineRule="exact"/>
        <w:rPr>
          <w:rFonts w:ascii="Arial" w:cs="Arial" w:eastAsia="Arial" w:hAnsi="Arial"/>
          <w:sz w:val="16"/>
          <w:szCs w:val="16"/>
          <w:color w:val="065BAA"/>
        </w:rPr>
      </w:pPr>
    </w:p>
    <w:p>
      <w:pPr>
        <w:ind w:left="840" w:right="840" w:hanging="266"/>
        <w:spacing w:after="0" w:line="325" w:lineRule="auto"/>
        <w:tabs>
          <w:tab w:leader="none" w:pos="840" w:val="left"/>
        </w:tabs>
        <w:numPr>
          <w:ilvl w:val="1"/>
          <w:numId w:val="124"/>
        </w:numPr>
        <w:rPr>
          <w:rFonts w:ascii="Arial" w:cs="Arial" w:eastAsia="Arial" w:hAnsi="Arial"/>
          <w:sz w:val="14"/>
          <w:szCs w:val="14"/>
          <w:color w:val="auto"/>
        </w:rPr>
      </w:pPr>
      <w:r>
        <w:rPr>
          <w:rFonts w:ascii="Arial" w:cs="Arial" w:eastAsia="Arial" w:hAnsi="Arial"/>
          <w:sz w:val="14"/>
          <w:szCs w:val="14"/>
          <w:color w:val="auto"/>
        </w:rPr>
        <w:t>product pipeline and development (primary factors)</w:t>
      </w:r>
    </w:p>
    <w:p>
      <w:pPr>
        <w:spacing w:after="0" w:line="22" w:lineRule="exact"/>
        <w:rPr>
          <w:rFonts w:ascii="Arial" w:cs="Arial" w:eastAsia="Arial" w:hAnsi="Arial"/>
          <w:sz w:val="14"/>
          <w:szCs w:val="14"/>
          <w:color w:val="auto"/>
        </w:rPr>
      </w:pPr>
    </w:p>
    <w:p>
      <w:pPr>
        <w:ind w:left="840" w:hanging="266"/>
        <w:spacing w:after="0"/>
        <w:tabs>
          <w:tab w:leader="none" w:pos="840" w:val="left"/>
        </w:tabs>
        <w:numPr>
          <w:ilvl w:val="1"/>
          <w:numId w:val="124"/>
        </w:numPr>
        <w:rPr>
          <w:rFonts w:ascii="Arial" w:cs="Arial" w:eastAsia="Arial" w:hAnsi="Arial"/>
          <w:sz w:val="14"/>
          <w:szCs w:val="14"/>
          <w:color w:val="auto"/>
        </w:rPr>
      </w:pPr>
      <w:r>
        <w:rPr>
          <w:rFonts w:ascii="Arial" w:cs="Arial" w:eastAsia="Arial" w:hAnsi="Arial"/>
          <w:sz w:val="14"/>
          <w:szCs w:val="14"/>
          <w:color w:val="auto"/>
        </w:rPr>
        <w:t>finance and operations (secondary factors)</w:t>
      </w:r>
    </w:p>
    <w:p>
      <w:pPr>
        <w:spacing w:after="0" w:line="109" w:lineRule="exact"/>
        <w:rPr>
          <w:rFonts w:ascii="Arial" w:cs="Arial" w:eastAsia="Arial" w:hAnsi="Arial"/>
          <w:sz w:val="14"/>
          <w:szCs w:val="14"/>
          <w:color w:val="auto"/>
        </w:rPr>
      </w:pPr>
    </w:p>
    <w:p>
      <w:pPr>
        <w:ind w:left="840" w:right="900" w:hanging="266"/>
        <w:spacing w:after="0" w:line="325" w:lineRule="auto"/>
        <w:tabs>
          <w:tab w:leader="none" w:pos="840" w:val="left"/>
        </w:tabs>
        <w:numPr>
          <w:ilvl w:val="1"/>
          <w:numId w:val="124"/>
        </w:numPr>
        <w:rPr>
          <w:rFonts w:ascii="Arial" w:cs="Arial" w:eastAsia="Arial" w:hAnsi="Arial"/>
          <w:sz w:val="14"/>
          <w:szCs w:val="14"/>
          <w:color w:val="auto"/>
        </w:rPr>
      </w:pPr>
      <w:r>
        <w:rPr>
          <w:rFonts w:ascii="Arial" w:cs="Arial" w:eastAsia="Arial" w:hAnsi="Arial"/>
          <w:sz w:val="14"/>
          <w:szCs w:val="14"/>
          <w:color w:val="auto"/>
        </w:rPr>
        <w:t>talent, culture, and corporate responsibility (secondary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065BAA"/>
        </w:rPr>
        <w:t>Application of Criteria</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065BAA"/>
        </w:rPr>
        <w:t>for Upward or</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065BAA"/>
        </w:rPr>
        <w:t>Downward Adjustments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065BAA"/>
        </w:rPr>
        <w:t>to Baseline</w:t>
      </w:r>
    </w:p>
    <w:p>
      <w:pPr>
        <w:spacing w:after="0" w:line="169" w:lineRule="exact"/>
        <w:rPr>
          <w:sz w:val="20"/>
          <w:szCs w:val="20"/>
          <w:color w:val="auto"/>
        </w:rPr>
      </w:pPr>
    </w:p>
    <w:p>
      <w:pPr>
        <w:jc w:val="both"/>
        <w:ind w:left="200" w:right="2899" w:hanging="197"/>
        <w:spacing w:after="0" w:line="291" w:lineRule="auto"/>
        <w:tabs>
          <w:tab w:leader="none" w:pos="200" w:val="left"/>
        </w:tabs>
        <w:numPr>
          <w:ilvl w:val="0"/>
          <w:numId w:val="125"/>
        </w:numPr>
        <w:rPr>
          <w:rFonts w:ascii="Arial" w:cs="Arial" w:eastAsia="Arial" w:hAnsi="Arial"/>
          <w:sz w:val="14"/>
          <w:szCs w:val="14"/>
          <w:color w:val="065BAA"/>
        </w:rPr>
      </w:pPr>
      <w:r>
        <w:rPr>
          <w:rFonts w:ascii="Arial" w:cs="Arial" w:eastAsia="Arial" w:hAnsi="Arial"/>
          <w:sz w:val="14"/>
          <w:szCs w:val="14"/>
          <w:color w:val="auto"/>
        </w:rPr>
        <w:t>Upward adjustment for each “transformational”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40" w:type="dxa"/>
            <w:vAlign w:val="bottom"/>
          </w:tcPr>
          <w:p>
            <w:pPr>
              <w:ind w:left="200"/>
              <w:spacing w:after="0"/>
              <w:rPr>
                <w:sz w:val="20"/>
                <w:szCs w:val="20"/>
                <w:color w:val="auto"/>
              </w:rPr>
            </w:pPr>
            <w:r>
              <w:rPr>
                <w:rFonts w:ascii="Arial" w:cs="Arial" w:eastAsia="Arial" w:hAnsi="Arial"/>
                <w:sz w:val="14"/>
                <w:szCs w:val="14"/>
                <w:color w:val="auto"/>
              </w:rPr>
              <w:t>achievement</w:t>
            </w:r>
          </w:p>
        </w:tc>
        <w:tc>
          <w:tcPr>
            <w:tcW w:w="1900" w:type="dxa"/>
            <w:vAlign w:val="bottom"/>
          </w:tcPr>
          <w:p>
            <w:pPr>
              <w:ind w:left="320"/>
              <w:spacing w:after="0"/>
              <w:rPr>
                <w:sz w:val="20"/>
                <w:szCs w:val="20"/>
                <w:color w:val="auto"/>
              </w:rPr>
            </w:pPr>
            <w:r>
              <w:rPr>
                <w:rFonts w:ascii="Arial" w:cs="Arial" w:eastAsia="Arial" w:hAnsi="Arial"/>
                <w:sz w:val="14"/>
                <w:szCs w:val="14"/>
                <w:b w:val="1"/>
                <w:bCs w:val="1"/>
                <w:color w:val="auto"/>
              </w:rPr>
              <w:t>Final Determination of</w:t>
            </w:r>
          </w:p>
        </w:tc>
        <w:tc>
          <w:tcPr>
            <w:tcW w:w="0" w:type="dxa"/>
            <w:vAlign w:val="bottom"/>
          </w:tcPr>
          <w:p>
            <w:pPr>
              <w:spacing w:after="0"/>
              <w:rPr>
                <w:sz w:val="1"/>
                <w:szCs w:val="1"/>
                <w:color w:val="auto"/>
              </w:rPr>
            </w:pPr>
          </w:p>
        </w:tc>
      </w:tr>
      <w:tr>
        <w:trPr>
          <w:trHeight w:val="205"/>
        </w:trPr>
        <w:tc>
          <w:tcPr>
            <w:tcW w:w="1940" w:type="dxa"/>
            <w:vAlign w:val="bottom"/>
          </w:tcPr>
          <w:p>
            <w:pPr>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4"/>
                <w:szCs w:val="14"/>
                <w:color w:val="000000"/>
              </w:rPr>
              <w:t>Downward adjustment</w:t>
            </w:r>
          </w:p>
        </w:tc>
        <w:tc>
          <w:tcPr>
            <w:tcW w:w="1900" w:type="dxa"/>
            <w:vAlign w:val="bottom"/>
          </w:tcPr>
          <w:p>
            <w:pPr>
              <w:ind w:left="320"/>
              <w:spacing w:after="0"/>
              <w:rPr>
                <w:sz w:val="20"/>
                <w:szCs w:val="20"/>
                <w:color w:val="auto"/>
              </w:rPr>
            </w:pPr>
            <w:r>
              <w:rPr>
                <w:rFonts w:ascii="Arial" w:cs="Arial" w:eastAsia="Arial" w:hAnsi="Arial"/>
                <w:sz w:val="14"/>
                <w:szCs w:val="14"/>
                <w:b w:val="1"/>
                <w:bCs w:val="1"/>
                <w:color w:val="auto"/>
              </w:rPr>
              <w:t>Company Performance</w:t>
            </w:r>
          </w:p>
        </w:tc>
        <w:tc>
          <w:tcPr>
            <w:tcW w:w="0" w:type="dxa"/>
            <w:vAlign w:val="bottom"/>
          </w:tcPr>
          <w:p>
            <w:pPr>
              <w:spacing w:after="0"/>
              <w:rPr>
                <w:sz w:val="1"/>
                <w:szCs w:val="1"/>
                <w:color w:val="auto"/>
              </w:rPr>
            </w:pPr>
          </w:p>
        </w:tc>
      </w:tr>
      <w:tr>
        <w:trPr>
          <w:trHeight w:val="196"/>
        </w:trPr>
        <w:tc>
          <w:tcPr>
            <w:tcW w:w="1940" w:type="dxa"/>
            <w:vAlign w:val="bottom"/>
            <w:vMerge w:val="restart"/>
          </w:tcPr>
          <w:p>
            <w:pPr>
              <w:ind w:left="200"/>
              <w:spacing w:after="0"/>
              <w:rPr>
                <w:sz w:val="20"/>
                <w:szCs w:val="20"/>
                <w:color w:val="auto"/>
              </w:rPr>
            </w:pPr>
            <w:r>
              <w:rPr>
                <w:rFonts w:ascii="Arial" w:cs="Arial" w:eastAsia="Arial" w:hAnsi="Arial"/>
                <w:sz w:val="14"/>
                <w:szCs w:val="14"/>
                <w:color w:val="auto"/>
              </w:rPr>
              <w:t>in the event of</w:t>
            </w:r>
          </w:p>
        </w:tc>
        <w:tc>
          <w:tcPr>
            <w:tcW w:w="1900" w:type="dxa"/>
            <w:vAlign w:val="bottom"/>
          </w:tcPr>
          <w:p>
            <w:pPr>
              <w:ind w:left="320"/>
              <w:spacing w:after="0"/>
              <w:rPr>
                <w:sz w:val="20"/>
                <w:szCs w:val="20"/>
                <w:color w:val="auto"/>
              </w:rPr>
            </w:pPr>
            <w:r>
              <w:rPr>
                <w:rFonts w:ascii="Arial" w:cs="Arial" w:eastAsia="Arial" w:hAnsi="Arial"/>
                <w:sz w:val="14"/>
                <w:szCs w:val="14"/>
                <w:b w:val="1"/>
                <w:bCs w:val="1"/>
                <w:color w:val="auto"/>
              </w:rPr>
              <w:t>Multiplier</w:t>
            </w:r>
          </w:p>
        </w:tc>
        <w:tc>
          <w:tcPr>
            <w:tcW w:w="0" w:type="dxa"/>
            <w:vAlign w:val="bottom"/>
          </w:tcPr>
          <w:p>
            <w:pPr>
              <w:spacing w:after="0"/>
              <w:rPr>
                <w:sz w:val="1"/>
                <w:szCs w:val="1"/>
                <w:color w:val="auto"/>
              </w:rPr>
            </w:pPr>
          </w:p>
        </w:tc>
      </w:tr>
      <w:tr>
        <w:trPr>
          <w:trHeight w:val="52"/>
        </w:trPr>
        <w:tc>
          <w:tcPr>
            <w:tcW w:w="1940" w:type="dxa"/>
            <w:vAlign w:val="bottom"/>
            <w:vMerge w:val="continue"/>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00"/>
              <w:spacing w:after="0"/>
              <w:rPr>
                <w:sz w:val="20"/>
                <w:szCs w:val="20"/>
                <w:color w:val="auto"/>
              </w:rPr>
            </w:pPr>
            <w:r>
              <w:rPr>
                <w:rFonts w:ascii="Arial" w:cs="Arial" w:eastAsia="Arial" w:hAnsi="Arial"/>
                <w:sz w:val="14"/>
                <w:szCs w:val="14"/>
                <w:color w:val="auto"/>
              </w:rPr>
              <w:t>underperformance</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00"/>
              <w:spacing w:after="0"/>
              <w:rPr>
                <w:sz w:val="20"/>
                <w:szCs w:val="20"/>
                <w:color w:val="auto"/>
              </w:rPr>
            </w:pPr>
            <w:r>
              <w:rPr>
                <w:rFonts w:ascii="Arial" w:cs="Arial" w:eastAsia="Arial" w:hAnsi="Arial"/>
                <w:sz w:val="14"/>
                <w:szCs w:val="14"/>
                <w:color w:val="auto"/>
              </w:rPr>
              <w:t>adversely affecting the</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00"/>
              <w:spacing w:after="0"/>
              <w:rPr>
                <w:sz w:val="20"/>
                <w:szCs w:val="20"/>
                <w:color w:val="auto"/>
              </w:rPr>
            </w:pPr>
            <w:r>
              <w:rPr>
                <w:rFonts w:ascii="Arial" w:cs="Arial" w:eastAsia="Arial" w:hAnsi="Arial"/>
                <w:sz w:val="14"/>
                <w:szCs w:val="14"/>
                <w:color w:val="auto"/>
              </w:rPr>
              <w:t>business in a</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00"/>
              <w:spacing w:after="0"/>
              <w:rPr>
                <w:sz w:val="20"/>
                <w:szCs w:val="20"/>
                <w:color w:val="auto"/>
              </w:rPr>
            </w:pPr>
            <w:r>
              <w:rPr>
                <w:rFonts w:ascii="Arial" w:cs="Arial" w:eastAsia="Arial" w:hAnsi="Arial"/>
                <w:sz w:val="14"/>
                <w:szCs w:val="14"/>
                <w:color w:val="auto"/>
              </w:rPr>
              <w:t>significant manner</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23" w:lineRule="exact"/>
        <w:rPr>
          <w:sz w:val="20"/>
          <w:szCs w:val="20"/>
          <w:color w:val="auto"/>
        </w:rPr>
      </w:pPr>
    </w:p>
    <w:p>
      <w:pPr>
        <w:sectPr>
          <w:pgSz w:w="11900" w:h="16838" w:orient="portrait"/>
          <w:cols w:equalWidth="0" w:num="2">
            <w:col w:w="3840" w:space="600"/>
            <w:col w:w="4579"/>
          </w:cols>
          <w:pgMar w:left="1440" w:top="657" w:right="1440" w:bottom="1440" w:gutter="0" w:footer="0" w:header="0"/>
          <w:type w:val="continuous"/>
        </w:sectPr>
      </w:pPr>
    </w:p>
    <w:p>
      <w:pPr>
        <w:spacing w:after="0" w:line="10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66</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75" w:name="page76"/>
    <w:bookmarkEnd w:id="75"/>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0" w:right="559"/>
        <w:spacing w:after="0" w:line="321" w:lineRule="auto"/>
        <w:rPr>
          <w:sz w:val="20"/>
          <w:szCs w:val="20"/>
          <w:color w:val="auto"/>
        </w:rPr>
      </w:pPr>
      <w:r>
        <w:rPr>
          <w:rFonts w:ascii="Arial" w:cs="Arial" w:eastAsia="Arial" w:hAnsi="Arial"/>
          <w:sz w:val="16"/>
          <w:szCs w:val="16"/>
          <w:color w:val="auto"/>
        </w:rPr>
        <w:t>Shown below are the 2025 milestones identified at the beginning of the year and Regeneron’s 2025 progress toward achieving them.</w:t>
      </w:r>
    </w:p>
    <w:p>
      <w:pPr>
        <w:spacing w:after="0" w:line="21" w:lineRule="exact"/>
        <w:rPr>
          <w:sz w:val="20"/>
          <w:szCs w:val="20"/>
          <w:color w:val="auto"/>
        </w:rPr>
      </w:pPr>
    </w:p>
    <w:tbl>
      <w:tblPr>
        <w:tblLayout w:type="fixed"/>
        <w:tblInd w:w="120" w:type="dxa"/>
        <w:tblCellMar>
          <w:top w:w="0" w:type="dxa"/>
          <w:left w:w="0" w:type="dxa"/>
          <w:bottom w:w="0" w:type="dxa"/>
          <w:right w:w="0" w:type="dxa"/>
        </w:tblCellMar>
      </w:tblPr>
      <w:tr>
        <w:trPr>
          <w:trHeight w:val="324"/>
        </w:trPr>
        <w:tc>
          <w:tcPr>
            <w:tcW w:w="1500" w:type="dxa"/>
            <w:vAlign w:val="bottom"/>
            <w:tcBorders>
              <w:bottom w:val="single" w:sz="8" w:color="3B5AA4"/>
            </w:tcBorders>
          </w:tcPr>
          <w:p>
            <w:pPr>
              <w:ind w:left="80"/>
              <w:spacing w:after="0"/>
              <w:rPr>
                <w:sz w:val="20"/>
                <w:szCs w:val="20"/>
                <w:color w:val="auto"/>
              </w:rPr>
            </w:pPr>
            <w:r>
              <w:rPr>
                <w:rFonts w:ascii="Arial" w:cs="Arial" w:eastAsia="Arial" w:hAnsi="Arial"/>
                <w:sz w:val="14"/>
                <w:szCs w:val="14"/>
                <w:b w:val="1"/>
                <w:bCs w:val="1"/>
                <w:color w:val="065BAA"/>
              </w:rPr>
              <w:t>Program(s)</w:t>
            </w:r>
          </w:p>
        </w:tc>
        <w:tc>
          <w:tcPr>
            <w:tcW w:w="5700" w:type="dxa"/>
            <w:vAlign w:val="bottom"/>
            <w:tcBorders>
              <w:bottom w:val="single" w:sz="8" w:color="3B5AA4"/>
            </w:tcBorders>
          </w:tcPr>
          <w:p>
            <w:pPr>
              <w:ind w:left="60"/>
              <w:spacing w:after="0"/>
              <w:rPr>
                <w:sz w:val="20"/>
                <w:szCs w:val="20"/>
                <w:color w:val="auto"/>
              </w:rPr>
            </w:pPr>
            <w:r>
              <w:rPr>
                <w:rFonts w:ascii="Arial" w:cs="Arial" w:eastAsia="Arial" w:hAnsi="Arial"/>
                <w:sz w:val="14"/>
                <w:szCs w:val="14"/>
                <w:b w:val="1"/>
                <w:bCs w:val="1"/>
                <w:color w:val="065BAA"/>
              </w:rPr>
              <w:t>Milestone(s)</w:t>
            </w:r>
          </w:p>
        </w:tc>
        <w:tc>
          <w:tcPr>
            <w:tcW w:w="120" w:type="dxa"/>
            <w:vAlign w:val="bottom"/>
            <w:tcBorders>
              <w:bottom w:val="single" w:sz="8" w:color="3B5AA4"/>
            </w:tcBorders>
            <w:shd w:val="clear" w:color="auto" w:fill="3B5AA4"/>
          </w:tcPr>
          <w:p>
            <w:pPr>
              <w:spacing w:after="0"/>
              <w:rPr>
                <w:sz w:val="24"/>
                <w:szCs w:val="24"/>
                <w:color w:val="auto"/>
              </w:rPr>
            </w:pPr>
          </w:p>
        </w:tc>
        <w:tc>
          <w:tcPr>
            <w:tcW w:w="1440" w:type="dxa"/>
            <w:vAlign w:val="bottom"/>
            <w:tcBorders>
              <w:bottom w:val="single" w:sz="8" w:color="3B5AA4"/>
            </w:tcBorders>
            <w:shd w:val="clear" w:color="auto" w:fill="3B5AA4"/>
          </w:tcPr>
          <w:p>
            <w:pPr>
              <w:ind w:left="40"/>
              <w:spacing w:after="0"/>
              <w:rPr>
                <w:sz w:val="20"/>
                <w:szCs w:val="20"/>
                <w:color w:val="auto"/>
              </w:rPr>
            </w:pPr>
            <w:r>
              <w:rPr>
                <w:rFonts w:ascii="Arial" w:cs="Arial" w:eastAsia="Arial" w:hAnsi="Arial"/>
                <w:sz w:val="14"/>
                <w:szCs w:val="14"/>
                <w:b w:val="1"/>
                <w:bCs w:val="1"/>
                <w:color w:val="FFFFFF"/>
              </w:rPr>
              <w:t>Status</w:t>
            </w:r>
          </w:p>
        </w:tc>
        <w:tc>
          <w:tcPr>
            <w:tcW w:w="0" w:type="dxa"/>
            <w:vAlign w:val="bottom"/>
          </w:tcPr>
          <w:p>
            <w:pPr>
              <w:spacing w:after="0"/>
              <w:rPr>
                <w:sz w:val="1"/>
                <w:szCs w:val="1"/>
                <w:color w:val="auto"/>
              </w:rPr>
            </w:pPr>
          </w:p>
        </w:tc>
      </w:tr>
      <w:tr>
        <w:trPr>
          <w:trHeight w:val="246"/>
        </w:trPr>
        <w:tc>
          <w:tcPr>
            <w:tcW w:w="1500" w:type="dxa"/>
            <w:vAlign w:val="bottom"/>
          </w:tcPr>
          <w:p>
            <w:pPr>
              <w:spacing w:after="0"/>
              <w:rPr>
                <w:sz w:val="21"/>
                <w:szCs w:val="21"/>
                <w:color w:val="auto"/>
              </w:rPr>
            </w:pPr>
          </w:p>
        </w:tc>
        <w:tc>
          <w:tcPr>
            <w:tcW w:w="5700" w:type="dxa"/>
            <w:vAlign w:val="bottom"/>
            <w:tcBorders>
              <w:bottom w:val="single" w:sz="8" w:color="939598"/>
            </w:tcBorders>
          </w:tcPr>
          <w:p>
            <w:pPr>
              <w:ind w:left="60"/>
              <w:spacing w:after="0"/>
              <w:rPr>
                <w:sz w:val="20"/>
                <w:szCs w:val="20"/>
                <w:color w:val="auto"/>
              </w:rPr>
            </w:pPr>
            <w:r>
              <w:rPr>
                <w:rFonts w:ascii="Arial" w:cs="Arial" w:eastAsia="Arial" w:hAnsi="Arial"/>
                <w:sz w:val="16"/>
                <w:szCs w:val="16"/>
                <w:color w:val="auto"/>
              </w:rPr>
              <w:t>Submit sBLA and obtain FDA approval for the treatment of RVO</w:t>
            </w:r>
          </w:p>
        </w:tc>
        <w:tc>
          <w:tcPr>
            <w:tcW w:w="120" w:type="dxa"/>
            <w:vAlign w:val="bottom"/>
            <w:tcBorders>
              <w:bottom w:val="single" w:sz="8" w:color="939598"/>
            </w:tcBorders>
            <w:shd w:val="clear" w:color="auto" w:fill="EFF2F8"/>
          </w:tcPr>
          <w:p>
            <w:pPr>
              <w:spacing w:after="0"/>
              <w:rPr>
                <w:sz w:val="21"/>
                <w:szCs w:val="21"/>
                <w:color w:val="auto"/>
              </w:rPr>
            </w:pPr>
          </w:p>
        </w:tc>
        <w:tc>
          <w:tcPr>
            <w:tcW w:w="1440" w:type="dxa"/>
            <w:vAlign w:val="bottom"/>
            <w:tcBorders>
              <w:bottom w:val="single" w:sz="8" w:color="939598"/>
            </w:tcBorders>
            <w:shd w:val="clear" w:color="auto" w:fill="EFF2F8"/>
          </w:tcPr>
          <w:p>
            <w:pPr>
              <w:ind w:left="40"/>
              <w:spacing w:after="0"/>
              <w:rPr>
                <w:sz w:val="20"/>
                <w:szCs w:val="20"/>
                <w:color w:val="auto"/>
              </w:rPr>
            </w:pPr>
            <w:r>
              <w:rPr>
                <w:rFonts w:ascii="Arial" w:cs="Arial" w:eastAsia="Arial" w:hAnsi="Arial"/>
                <w:sz w:val="16"/>
                <w:szCs w:val="16"/>
                <w:b w:val="1"/>
                <w:bCs w:val="1"/>
                <w:color w:val="065BAA"/>
              </w:rPr>
              <w:t>Achieved</w:t>
            </w:r>
          </w:p>
        </w:tc>
        <w:tc>
          <w:tcPr>
            <w:tcW w:w="0" w:type="dxa"/>
            <w:vAlign w:val="bottom"/>
          </w:tcPr>
          <w:p>
            <w:pPr>
              <w:spacing w:after="0"/>
              <w:rPr>
                <w:sz w:val="1"/>
                <w:szCs w:val="1"/>
                <w:color w:val="auto"/>
              </w:rPr>
            </w:pPr>
          </w:p>
        </w:tc>
      </w:tr>
      <w:tr>
        <w:trPr>
          <w:trHeight w:val="254"/>
        </w:trPr>
        <w:tc>
          <w:tcPr>
            <w:tcW w:w="1500" w:type="dxa"/>
            <w:vAlign w:val="bottom"/>
          </w:tcPr>
          <w:p>
            <w:pPr>
              <w:spacing w:after="0"/>
              <w:rPr>
                <w:sz w:val="22"/>
                <w:szCs w:val="22"/>
                <w:color w:val="auto"/>
              </w:rPr>
            </w:pPr>
          </w:p>
        </w:tc>
        <w:tc>
          <w:tcPr>
            <w:tcW w:w="5700" w:type="dxa"/>
            <w:vAlign w:val="bottom"/>
            <w:tcBorders>
              <w:bottom w:val="single" w:sz="8" w:color="939598"/>
            </w:tcBorders>
          </w:tcPr>
          <w:p>
            <w:pPr>
              <w:ind w:left="60"/>
              <w:spacing w:after="0"/>
              <w:rPr>
                <w:sz w:val="20"/>
                <w:szCs w:val="20"/>
                <w:color w:val="auto"/>
              </w:rPr>
            </w:pPr>
            <w:r>
              <w:rPr>
                <w:rFonts w:ascii="Arial" w:cs="Arial" w:eastAsia="Arial" w:hAnsi="Arial"/>
                <w:sz w:val="16"/>
                <w:szCs w:val="16"/>
                <w:color w:val="auto"/>
              </w:rPr>
              <w:t>Obtain FDA approval for pre-filled syringe</w:t>
            </w:r>
          </w:p>
        </w:tc>
        <w:tc>
          <w:tcPr>
            <w:tcW w:w="120" w:type="dxa"/>
            <w:vAlign w:val="bottom"/>
            <w:tcBorders>
              <w:bottom w:val="single" w:sz="8" w:color="939598"/>
            </w:tcBorders>
            <w:shd w:val="clear" w:color="auto" w:fill="EFF2F8"/>
          </w:tcPr>
          <w:p>
            <w:pPr>
              <w:spacing w:after="0"/>
              <w:rPr>
                <w:sz w:val="22"/>
                <w:szCs w:val="22"/>
                <w:color w:val="auto"/>
              </w:rPr>
            </w:pPr>
          </w:p>
        </w:tc>
        <w:tc>
          <w:tcPr>
            <w:tcW w:w="1440" w:type="dxa"/>
            <w:vAlign w:val="bottom"/>
            <w:tcBorders>
              <w:bottom w:val="single" w:sz="8" w:color="939598"/>
            </w:tcBorders>
            <w:shd w:val="clear" w:color="auto" w:fill="EFF2F8"/>
          </w:tcPr>
          <w:p>
            <w:pPr>
              <w:ind w:left="40"/>
              <w:spacing w:after="0"/>
              <w:rPr>
                <w:sz w:val="20"/>
                <w:szCs w:val="20"/>
                <w:color w:val="auto"/>
              </w:rPr>
            </w:pPr>
            <w:r>
              <w:rPr>
                <w:rFonts w:ascii="Arial" w:cs="Arial" w:eastAsia="Arial" w:hAnsi="Arial"/>
                <w:sz w:val="16"/>
                <w:szCs w:val="16"/>
                <w:color w:val="auto"/>
              </w:rPr>
              <w:t>Not Achieved</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77"/>
        </w:trPr>
        <w:tc>
          <w:tcPr>
            <w:tcW w:w="1500" w:type="dxa"/>
            <w:vAlign w:val="bottom"/>
          </w:tcPr>
          <w:p>
            <w:pPr>
              <w:ind w:left="80"/>
              <w:spacing w:after="0"/>
              <w:rPr>
                <w:sz w:val="20"/>
                <w:szCs w:val="20"/>
                <w:color w:val="auto"/>
              </w:rPr>
            </w:pPr>
            <w:r>
              <w:rPr>
                <w:rFonts w:ascii="Arial" w:cs="Arial" w:eastAsia="Arial" w:hAnsi="Arial"/>
                <w:sz w:val="16"/>
                <w:szCs w:val="16"/>
                <w:b w:val="1"/>
                <w:bCs w:val="1"/>
                <w:color w:val="auto"/>
              </w:rPr>
              <w:t>EYLEA HD</w:t>
            </w:r>
          </w:p>
        </w:tc>
        <w:tc>
          <w:tcPr>
            <w:tcW w:w="5700" w:type="dxa"/>
            <w:vAlign w:val="bottom"/>
          </w:tcPr>
          <w:p>
            <w:pPr>
              <w:ind w:left="60"/>
              <w:spacing w:after="0"/>
              <w:rPr>
                <w:sz w:val="20"/>
                <w:szCs w:val="20"/>
                <w:color w:val="auto"/>
              </w:rPr>
            </w:pPr>
            <w:r>
              <w:rPr>
                <w:rFonts w:ascii="Arial" w:cs="Arial" w:eastAsia="Arial" w:hAnsi="Arial"/>
                <w:sz w:val="16"/>
                <w:szCs w:val="16"/>
                <w:color w:val="auto"/>
              </w:rPr>
              <w:t>Obtain FDA approval for addition of extended dosing intervals (up to every 24</w:t>
            </w:r>
          </w:p>
        </w:tc>
        <w:tc>
          <w:tcPr>
            <w:tcW w:w="120" w:type="dxa"/>
            <w:vAlign w:val="bottom"/>
            <w:shd w:val="clear" w:color="auto" w:fill="EFF2F8"/>
          </w:tcPr>
          <w:p>
            <w:pPr>
              <w:spacing w:after="0"/>
              <w:rPr>
                <w:sz w:val="24"/>
                <w:szCs w:val="24"/>
                <w:color w:val="auto"/>
              </w:rPr>
            </w:pPr>
          </w:p>
        </w:tc>
        <w:tc>
          <w:tcPr>
            <w:tcW w:w="1440" w:type="dxa"/>
            <w:vAlign w:val="bottom"/>
            <w:shd w:val="clear" w:color="auto" w:fill="EFF2F8"/>
          </w:tcPr>
          <w:p>
            <w:pPr>
              <w:ind w:left="40"/>
              <w:spacing w:after="0"/>
              <w:rPr>
                <w:sz w:val="20"/>
                <w:szCs w:val="20"/>
                <w:color w:val="auto"/>
              </w:rPr>
            </w:pPr>
            <w:r>
              <w:rPr>
                <w:rFonts w:ascii="Arial" w:cs="Arial" w:eastAsia="Arial" w:hAnsi="Arial"/>
                <w:sz w:val="16"/>
                <w:szCs w:val="16"/>
                <w:color w:val="auto"/>
              </w:rPr>
              <w:t>Not Achieved</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5700" w:type="dxa"/>
            <w:vAlign w:val="bottom"/>
            <w:tcBorders>
              <w:bottom w:val="single" w:sz="8" w:color="939598"/>
            </w:tcBorders>
          </w:tcPr>
          <w:p>
            <w:pPr>
              <w:ind w:left="60"/>
              <w:spacing w:after="0" w:line="148" w:lineRule="exact"/>
              <w:rPr>
                <w:sz w:val="20"/>
                <w:szCs w:val="20"/>
                <w:color w:val="auto"/>
              </w:rPr>
            </w:pPr>
            <w:r>
              <w:rPr>
                <w:rFonts w:ascii="Arial" w:cs="Arial" w:eastAsia="Arial" w:hAnsi="Arial"/>
                <w:sz w:val="16"/>
                <w:szCs w:val="16"/>
                <w:color w:val="auto"/>
              </w:rPr>
              <w:t>weeks) across approved indications</w:t>
            </w:r>
          </w:p>
        </w:tc>
        <w:tc>
          <w:tcPr>
            <w:tcW w:w="120" w:type="dxa"/>
            <w:vAlign w:val="bottom"/>
            <w:tcBorders>
              <w:bottom w:val="single" w:sz="8" w:color="939598"/>
            </w:tcBorders>
            <w:shd w:val="clear" w:color="auto" w:fill="EFF2F8"/>
          </w:tcPr>
          <w:p>
            <w:pPr>
              <w:spacing w:after="0"/>
              <w:rPr>
                <w:sz w:val="12"/>
                <w:szCs w:val="12"/>
                <w:color w:val="auto"/>
              </w:rPr>
            </w:pPr>
          </w:p>
        </w:tc>
        <w:tc>
          <w:tcPr>
            <w:tcW w:w="1440" w:type="dxa"/>
            <w:vAlign w:val="bottom"/>
            <w:tcBorders>
              <w:bottom w:val="single" w:sz="8" w:color="939598"/>
            </w:tcBorders>
            <w:shd w:val="clear" w:color="auto" w:fill="EFF2F8"/>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500" w:type="dxa"/>
            <w:vAlign w:val="bottom"/>
          </w:tcPr>
          <w:p>
            <w:pPr>
              <w:spacing w:after="0"/>
              <w:rPr>
                <w:sz w:val="19"/>
                <w:szCs w:val="19"/>
                <w:color w:val="auto"/>
              </w:rPr>
            </w:pPr>
          </w:p>
        </w:tc>
        <w:tc>
          <w:tcPr>
            <w:tcW w:w="5700" w:type="dxa"/>
            <w:vAlign w:val="bottom"/>
          </w:tcPr>
          <w:p>
            <w:pPr>
              <w:ind w:left="60"/>
              <w:spacing w:after="0"/>
              <w:rPr>
                <w:sz w:val="20"/>
                <w:szCs w:val="20"/>
                <w:color w:val="auto"/>
              </w:rPr>
            </w:pPr>
            <w:r>
              <w:rPr>
                <w:rFonts w:ascii="Arial" w:cs="Arial" w:eastAsia="Arial" w:hAnsi="Arial"/>
                <w:sz w:val="16"/>
                <w:szCs w:val="16"/>
                <w:color w:val="auto"/>
              </w:rPr>
              <w:t>Submit sBLA and obtain FDA approval for every 4-week dosing regimen</w:t>
            </w:r>
          </w:p>
        </w:tc>
        <w:tc>
          <w:tcPr>
            <w:tcW w:w="120" w:type="dxa"/>
            <w:vAlign w:val="bottom"/>
            <w:shd w:val="clear" w:color="auto" w:fill="EFF2F8"/>
          </w:tcPr>
          <w:p>
            <w:pPr>
              <w:spacing w:after="0"/>
              <w:rPr>
                <w:sz w:val="19"/>
                <w:szCs w:val="19"/>
                <w:color w:val="auto"/>
              </w:rPr>
            </w:pPr>
          </w:p>
        </w:tc>
        <w:tc>
          <w:tcPr>
            <w:tcW w:w="1440" w:type="dxa"/>
            <w:vAlign w:val="bottom"/>
            <w:vMerge w:val="restart"/>
            <w:shd w:val="clear" w:color="auto" w:fill="EFF2F8"/>
          </w:tcPr>
          <w:p>
            <w:pPr>
              <w:ind w:left="40"/>
              <w:spacing w:after="0"/>
              <w:rPr>
                <w:sz w:val="20"/>
                <w:szCs w:val="20"/>
                <w:color w:val="auto"/>
              </w:rPr>
            </w:pPr>
            <w:r>
              <w:rPr>
                <w:rFonts w:ascii="Arial" w:cs="Arial" w:eastAsia="Arial" w:hAnsi="Arial"/>
                <w:sz w:val="16"/>
                <w:szCs w:val="16"/>
                <w:b w:val="1"/>
                <w:bCs w:val="1"/>
                <w:color w:val="065BAA"/>
              </w:rPr>
              <w:t>Achieved</w:t>
            </w:r>
          </w:p>
        </w:tc>
        <w:tc>
          <w:tcPr>
            <w:tcW w:w="0" w:type="dxa"/>
            <w:vAlign w:val="bottom"/>
          </w:tcPr>
          <w:p>
            <w:pPr>
              <w:spacing w:after="0"/>
              <w:rPr>
                <w:sz w:val="1"/>
                <w:szCs w:val="1"/>
                <w:color w:val="auto"/>
              </w:rPr>
            </w:pPr>
          </w:p>
        </w:tc>
      </w:tr>
      <w:tr>
        <w:trPr>
          <w:trHeight w:val="116"/>
        </w:trPr>
        <w:tc>
          <w:tcPr>
            <w:tcW w:w="1500" w:type="dxa"/>
            <w:vAlign w:val="bottom"/>
          </w:tcPr>
          <w:p>
            <w:pPr>
              <w:spacing w:after="0"/>
              <w:rPr>
                <w:sz w:val="10"/>
                <w:szCs w:val="10"/>
                <w:color w:val="auto"/>
              </w:rPr>
            </w:pPr>
          </w:p>
        </w:tc>
        <w:tc>
          <w:tcPr>
            <w:tcW w:w="5700" w:type="dxa"/>
            <w:vAlign w:val="bottom"/>
            <w:vMerge w:val="restart"/>
          </w:tcPr>
          <w:p>
            <w:pPr>
              <w:ind w:left="60"/>
              <w:spacing w:after="0"/>
              <w:rPr>
                <w:sz w:val="20"/>
                <w:szCs w:val="20"/>
                <w:color w:val="auto"/>
              </w:rPr>
            </w:pPr>
            <w:r>
              <w:rPr>
                <w:rFonts w:ascii="Arial" w:cs="Arial" w:eastAsia="Arial" w:hAnsi="Arial"/>
                <w:sz w:val="16"/>
                <w:szCs w:val="16"/>
                <w:color w:val="auto"/>
              </w:rPr>
              <w:t>across approved indications</w:t>
            </w:r>
          </w:p>
        </w:tc>
        <w:tc>
          <w:tcPr>
            <w:tcW w:w="120" w:type="dxa"/>
            <w:vAlign w:val="bottom"/>
            <w:shd w:val="clear" w:color="auto" w:fill="EFF2F8"/>
          </w:tcPr>
          <w:p>
            <w:pPr>
              <w:spacing w:after="0"/>
              <w:rPr>
                <w:sz w:val="10"/>
                <w:szCs w:val="10"/>
                <w:color w:val="auto"/>
              </w:rPr>
            </w:pPr>
          </w:p>
        </w:tc>
        <w:tc>
          <w:tcPr>
            <w:tcW w:w="1440" w:type="dxa"/>
            <w:vAlign w:val="bottom"/>
            <w:vMerge w:val="continue"/>
            <w:shd w:val="clear" w:color="auto" w:fill="EFF2F8"/>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500" w:type="dxa"/>
            <w:vAlign w:val="bottom"/>
            <w:tcBorders>
              <w:bottom w:val="single" w:sz="8" w:color="939598"/>
            </w:tcBorders>
          </w:tcPr>
          <w:p>
            <w:pPr>
              <w:spacing w:after="0"/>
              <w:rPr>
                <w:sz w:val="7"/>
                <w:szCs w:val="7"/>
                <w:color w:val="auto"/>
              </w:rPr>
            </w:pPr>
          </w:p>
        </w:tc>
        <w:tc>
          <w:tcPr>
            <w:tcW w:w="5700" w:type="dxa"/>
            <w:vAlign w:val="bottom"/>
            <w:tcBorders>
              <w:bottom w:val="single" w:sz="8" w:color="939598"/>
            </w:tcBorders>
            <w:vMerge w:val="continue"/>
          </w:tcPr>
          <w:p>
            <w:pPr>
              <w:spacing w:after="0"/>
              <w:rPr>
                <w:sz w:val="7"/>
                <w:szCs w:val="7"/>
                <w:color w:val="auto"/>
              </w:rPr>
            </w:pPr>
          </w:p>
        </w:tc>
        <w:tc>
          <w:tcPr>
            <w:tcW w:w="120" w:type="dxa"/>
            <w:vAlign w:val="bottom"/>
            <w:tcBorders>
              <w:bottom w:val="single" w:sz="8" w:color="939598"/>
            </w:tcBorders>
            <w:shd w:val="clear" w:color="auto" w:fill="EFF2F8"/>
          </w:tcPr>
          <w:p>
            <w:pPr>
              <w:spacing w:after="0"/>
              <w:rPr>
                <w:sz w:val="7"/>
                <w:szCs w:val="7"/>
                <w:color w:val="auto"/>
              </w:rPr>
            </w:pPr>
          </w:p>
        </w:tc>
        <w:tc>
          <w:tcPr>
            <w:tcW w:w="1440" w:type="dxa"/>
            <w:vAlign w:val="bottom"/>
            <w:tcBorders>
              <w:bottom w:val="single" w:sz="8" w:color="939598"/>
            </w:tcBorders>
            <w:shd w:val="clear" w:color="auto" w:fill="EFF2F8"/>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500" w:type="dxa"/>
            <w:vAlign w:val="bottom"/>
            <w:shd w:val="clear" w:color="auto" w:fill="DAEBF8"/>
          </w:tcPr>
          <w:p>
            <w:pPr>
              <w:spacing w:after="0"/>
              <w:rPr>
                <w:sz w:val="24"/>
                <w:szCs w:val="24"/>
                <w:color w:val="auto"/>
              </w:rPr>
            </w:pPr>
          </w:p>
        </w:tc>
        <w:tc>
          <w:tcPr>
            <w:tcW w:w="5700" w:type="dxa"/>
            <w:vAlign w:val="bottom"/>
            <w:shd w:val="clear" w:color="auto" w:fill="DAEBF8"/>
          </w:tcPr>
          <w:p>
            <w:pPr>
              <w:ind w:left="60"/>
              <w:spacing w:after="0"/>
              <w:rPr>
                <w:sz w:val="20"/>
                <w:szCs w:val="20"/>
                <w:color w:val="auto"/>
              </w:rPr>
            </w:pPr>
            <w:r>
              <w:rPr>
                <w:rFonts w:ascii="Arial" w:cs="Arial" w:eastAsia="Arial" w:hAnsi="Arial"/>
                <w:sz w:val="16"/>
                <w:szCs w:val="16"/>
                <w:color w:val="auto"/>
              </w:rPr>
              <w:t>Report results from Phase 3 study for itepekimab (IL-33 antibody) in COPD</w:t>
            </w:r>
          </w:p>
        </w:tc>
        <w:tc>
          <w:tcPr>
            <w:tcW w:w="120" w:type="dxa"/>
            <w:vAlign w:val="bottom"/>
            <w:shd w:val="clear" w:color="auto" w:fill="EFF2F8"/>
          </w:tcPr>
          <w:p>
            <w:pPr>
              <w:spacing w:after="0"/>
              <w:rPr>
                <w:sz w:val="24"/>
                <w:szCs w:val="24"/>
                <w:color w:val="auto"/>
              </w:rPr>
            </w:pPr>
          </w:p>
        </w:tc>
        <w:tc>
          <w:tcPr>
            <w:tcW w:w="1440" w:type="dxa"/>
            <w:vAlign w:val="bottom"/>
            <w:shd w:val="clear" w:color="auto" w:fill="EFF2F8"/>
          </w:tcPr>
          <w:p>
            <w:pPr>
              <w:ind w:left="40"/>
              <w:spacing w:after="0"/>
              <w:rPr>
                <w:sz w:val="20"/>
                <w:szCs w:val="20"/>
                <w:color w:val="auto"/>
              </w:rPr>
            </w:pPr>
            <w:r>
              <w:rPr>
                <w:rFonts w:ascii="Arial" w:cs="Arial" w:eastAsia="Arial" w:hAnsi="Arial"/>
                <w:sz w:val="16"/>
                <w:szCs w:val="16"/>
                <w:color w:val="auto"/>
              </w:rPr>
              <w:t>Not Achieved</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148"/>
        </w:trPr>
        <w:tc>
          <w:tcPr>
            <w:tcW w:w="1500" w:type="dxa"/>
            <w:vAlign w:val="bottom"/>
            <w:tcBorders>
              <w:bottom w:val="single" w:sz="8" w:color="DAEBF8"/>
            </w:tcBorders>
            <w:shd w:val="clear" w:color="auto" w:fill="DAEBF8"/>
          </w:tcPr>
          <w:p>
            <w:pPr>
              <w:spacing w:after="0"/>
              <w:rPr>
                <w:sz w:val="12"/>
                <w:szCs w:val="12"/>
                <w:color w:val="auto"/>
              </w:rPr>
            </w:pPr>
          </w:p>
        </w:tc>
        <w:tc>
          <w:tcPr>
            <w:tcW w:w="5700" w:type="dxa"/>
            <w:vAlign w:val="bottom"/>
            <w:tcBorders>
              <w:bottom w:val="single" w:sz="8" w:color="939598"/>
            </w:tcBorders>
            <w:shd w:val="clear" w:color="auto" w:fill="DAEBF8"/>
          </w:tcPr>
          <w:p>
            <w:pPr>
              <w:ind w:left="60"/>
              <w:spacing w:after="0" w:line="148" w:lineRule="exact"/>
              <w:rPr>
                <w:sz w:val="20"/>
                <w:szCs w:val="20"/>
                <w:color w:val="auto"/>
              </w:rPr>
            </w:pPr>
            <w:r>
              <w:rPr>
                <w:rFonts w:ascii="Arial" w:cs="Arial" w:eastAsia="Arial" w:hAnsi="Arial"/>
                <w:sz w:val="16"/>
                <w:szCs w:val="16"/>
                <w:color w:val="auto"/>
              </w:rPr>
              <w:t>and submit BLA</w:t>
            </w:r>
          </w:p>
        </w:tc>
        <w:tc>
          <w:tcPr>
            <w:tcW w:w="120" w:type="dxa"/>
            <w:vAlign w:val="bottom"/>
            <w:tcBorders>
              <w:bottom w:val="single" w:sz="8" w:color="939598"/>
            </w:tcBorders>
            <w:shd w:val="clear" w:color="auto" w:fill="EFF2F8"/>
          </w:tcPr>
          <w:p>
            <w:pPr>
              <w:spacing w:after="0"/>
              <w:rPr>
                <w:sz w:val="12"/>
                <w:szCs w:val="12"/>
                <w:color w:val="auto"/>
              </w:rPr>
            </w:pPr>
          </w:p>
        </w:tc>
        <w:tc>
          <w:tcPr>
            <w:tcW w:w="1440" w:type="dxa"/>
            <w:vAlign w:val="bottom"/>
            <w:tcBorders>
              <w:bottom w:val="single" w:sz="8" w:color="939598"/>
            </w:tcBorders>
            <w:shd w:val="clear" w:color="auto" w:fill="EFF2F8"/>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1500" w:type="dxa"/>
            <w:vAlign w:val="bottom"/>
            <w:tcBorders>
              <w:bottom w:val="single" w:sz="8" w:color="DAEBF8"/>
            </w:tcBorders>
            <w:shd w:val="clear" w:color="auto" w:fill="DAEBF8"/>
          </w:tcPr>
          <w:p>
            <w:pPr>
              <w:spacing w:after="0"/>
              <w:rPr>
                <w:sz w:val="21"/>
                <w:szCs w:val="21"/>
                <w:color w:val="auto"/>
              </w:rPr>
            </w:pPr>
          </w:p>
        </w:tc>
        <w:tc>
          <w:tcPr>
            <w:tcW w:w="5700" w:type="dxa"/>
            <w:vAlign w:val="bottom"/>
            <w:tcBorders>
              <w:bottom w:val="single" w:sz="8" w:color="939598"/>
            </w:tcBorders>
            <w:shd w:val="clear" w:color="auto" w:fill="DAEBF8"/>
          </w:tcPr>
          <w:p>
            <w:pPr>
              <w:ind w:left="60"/>
              <w:spacing w:after="0"/>
              <w:rPr>
                <w:sz w:val="20"/>
                <w:szCs w:val="20"/>
                <w:color w:val="auto"/>
              </w:rPr>
            </w:pPr>
            <w:r>
              <w:rPr>
                <w:rFonts w:ascii="Arial" w:cs="Arial" w:eastAsia="Arial" w:hAnsi="Arial"/>
                <w:sz w:val="16"/>
                <w:szCs w:val="16"/>
                <w:color w:val="auto"/>
              </w:rPr>
              <w:t>Obtain FDA approval for Dupixent in CSU</w:t>
            </w:r>
          </w:p>
        </w:tc>
        <w:tc>
          <w:tcPr>
            <w:tcW w:w="120" w:type="dxa"/>
            <w:vAlign w:val="bottom"/>
            <w:tcBorders>
              <w:bottom w:val="single" w:sz="8" w:color="939598"/>
            </w:tcBorders>
            <w:shd w:val="clear" w:color="auto" w:fill="EFF2F8"/>
          </w:tcPr>
          <w:p>
            <w:pPr>
              <w:spacing w:after="0"/>
              <w:rPr>
                <w:sz w:val="21"/>
                <w:szCs w:val="21"/>
                <w:color w:val="auto"/>
              </w:rPr>
            </w:pPr>
          </w:p>
        </w:tc>
        <w:tc>
          <w:tcPr>
            <w:tcW w:w="1440" w:type="dxa"/>
            <w:vAlign w:val="bottom"/>
            <w:tcBorders>
              <w:bottom w:val="single" w:sz="8" w:color="939598"/>
            </w:tcBorders>
            <w:shd w:val="clear" w:color="auto" w:fill="EFF2F8"/>
          </w:tcPr>
          <w:p>
            <w:pPr>
              <w:ind w:left="40"/>
              <w:spacing w:after="0"/>
              <w:rPr>
                <w:sz w:val="20"/>
                <w:szCs w:val="20"/>
                <w:color w:val="auto"/>
              </w:rPr>
            </w:pPr>
            <w:r>
              <w:rPr>
                <w:rFonts w:ascii="Arial" w:cs="Arial" w:eastAsia="Arial" w:hAnsi="Arial"/>
                <w:sz w:val="16"/>
                <w:szCs w:val="16"/>
                <w:b w:val="1"/>
                <w:bCs w:val="1"/>
                <w:color w:val="065BAA"/>
              </w:rPr>
              <w:t>Achieved</w:t>
            </w:r>
          </w:p>
        </w:tc>
        <w:tc>
          <w:tcPr>
            <w:tcW w:w="0" w:type="dxa"/>
            <w:vAlign w:val="bottom"/>
          </w:tcPr>
          <w:p>
            <w:pPr>
              <w:spacing w:after="0"/>
              <w:rPr>
                <w:sz w:val="1"/>
                <w:szCs w:val="1"/>
                <w:color w:val="auto"/>
              </w:rPr>
            </w:pPr>
          </w:p>
        </w:tc>
      </w:tr>
      <w:tr>
        <w:trPr>
          <w:trHeight w:val="202"/>
        </w:trPr>
        <w:tc>
          <w:tcPr>
            <w:tcW w:w="1500" w:type="dxa"/>
            <w:vAlign w:val="bottom"/>
            <w:shd w:val="clear" w:color="auto" w:fill="DAEBF8"/>
          </w:tcPr>
          <w:p>
            <w:pPr>
              <w:ind w:left="80"/>
              <w:spacing w:after="0"/>
              <w:rPr>
                <w:sz w:val="20"/>
                <w:szCs w:val="20"/>
                <w:color w:val="auto"/>
              </w:rPr>
            </w:pPr>
            <w:r>
              <w:rPr>
                <w:rFonts w:ascii="Arial" w:cs="Arial" w:eastAsia="Arial" w:hAnsi="Arial"/>
                <w:sz w:val="16"/>
                <w:szCs w:val="16"/>
                <w:b w:val="1"/>
                <w:bCs w:val="1"/>
                <w:color w:val="auto"/>
              </w:rPr>
              <w:t>Immunology &amp;</w:t>
            </w:r>
          </w:p>
        </w:tc>
        <w:tc>
          <w:tcPr>
            <w:tcW w:w="5700" w:type="dxa"/>
            <w:vAlign w:val="bottom"/>
            <w:shd w:val="clear" w:color="auto" w:fill="DAEBF8"/>
          </w:tcPr>
          <w:p>
            <w:pPr>
              <w:ind w:left="60"/>
              <w:spacing w:after="0"/>
              <w:rPr>
                <w:sz w:val="20"/>
                <w:szCs w:val="20"/>
                <w:color w:val="auto"/>
              </w:rPr>
            </w:pPr>
            <w:r>
              <w:rPr>
                <w:rFonts w:ascii="Arial" w:cs="Arial" w:eastAsia="Arial" w:hAnsi="Arial"/>
                <w:sz w:val="16"/>
                <w:szCs w:val="16"/>
                <w:color w:val="auto"/>
              </w:rPr>
              <w:t>Obtain FDA approval for Dupixent in bullous pemphigoid; submit Marketing</w:t>
            </w:r>
          </w:p>
        </w:tc>
        <w:tc>
          <w:tcPr>
            <w:tcW w:w="120" w:type="dxa"/>
            <w:vAlign w:val="bottom"/>
            <w:shd w:val="clear" w:color="auto" w:fill="EFF2F8"/>
          </w:tcPr>
          <w:p>
            <w:pPr>
              <w:spacing w:after="0"/>
              <w:rPr>
                <w:sz w:val="17"/>
                <w:szCs w:val="17"/>
                <w:color w:val="auto"/>
              </w:rPr>
            </w:pPr>
          </w:p>
        </w:tc>
        <w:tc>
          <w:tcPr>
            <w:tcW w:w="1440" w:type="dxa"/>
            <w:vAlign w:val="bottom"/>
            <w:vMerge w:val="restart"/>
            <w:shd w:val="clear" w:color="auto" w:fill="EFF2F8"/>
          </w:tcPr>
          <w:p>
            <w:pPr>
              <w:ind w:left="40"/>
              <w:spacing w:after="0"/>
              <w:rPr>
                <w:sz w:val="20"/>
                <w:szCs w:val="20"/>
                <w:color w:val="auto"/>
              </w:rPr>
            </w:pPr>
            <w:r>
              <w:rPr>
                <w:rFonts w:ascii="Arial" w:cs="Arial" w:eastAsia="Arial" w:hAnsi="Arial"/>
                <w:sz w:val="16"/>
                <w:szCs w:val="16"/>
                <w:b w:val="1"/>
                <w:bCs w:val="1"/>
                <w:color w:val="065BAA"/>
              </w:rPr>
              <w:t>Achieved</w:t>
            </w:r>
          </w:p>
        </w:tc>
        <w:tc>
          <w:tcPr>
            <w:tcW w:w="0" w:type="dxa"/>
            <w:vAlign w:val="bottom"/>
          </w:tcPr>
          <w:p>
            <w:pPr>
              <w:spacing w:after="0"/>
              <w:rPr>
                <w:sz w:val="1"/>
                <w:szCs w:val="1"/>
                <w:color w:val="auto"/>
              </w:rPr>
            </w:pPr>
          </w:p>
        </w:tc>
      </w:tr>
      <w:tr>
        <w:trPr>
          <w:trHeight w:val="142"/>
        </w:trPr>
        <w:tc>
          <w:tcPr>
            <w:tcW w:w="1500" w:type="dxa"/>
            <w:vAlign w:val="bottom"/>
            <w:vMerge w:val="restart"/>
            <w:shd w:val="clear" w:color="auto" w:fill="DAEBF8"/>
          </w:tcPr>
          <w:p>
            <w:pPr>
              <w:ind w:left="80"/>
              <w:spacing w:after="0"/>
              <w:rPr>
                <w:sz w:val="20"/>
                <w:szCs w:val="20"/>
                <w:color w:val="auto"/>
              </w:rPr>
            </w:pPr>
            <w:r>
              <w:rPr>
                <w:rFonts w:ascii="Arial" w:cs="Arial" w:eastAsia="Arial" w:hAnsi="Arial"/>
                <w:sz w:val="16"/>
                <w:szCs w:val="16"/>
                <w:b w:val="1"/>
                <w:bCs w:val="1"/>
                <w:color w:val="auto"/>
              </w:rPr>
              <w:t>Inflammation</w:t>
            </w:r>
          </w:p>
        </w:tc>
        <w:tc>
          <w:tcPr>
            <w:tcW w:w="5700" w:type="dxa"/>
            <w:vAlign w:val="bottom"/>
            <w:vMerge w:val="restart"/>
            <w:shd w:val="clear" w:color="auto" w:fill="DAEBF8"/>
          </w:tcPr>
          <w:p>
            <w:pPr>
              <w:ind w:left="60"/>
              <w:spacing w:after="0"/>
              <w:rPr>
                <w:sz w:val="20"/>
                <w:szCs w:val="20"/>
                <w:color w:val="auto"/>
              </w:rPr>
            </w:pPr>
            <w:r>
              <w:rPr>
                <w:rFonts w:ascii="Arial" w:cs="Arial" w:eastAsia="Arial" w:hAnsi="Arial"/>
                <w:sz w:val="16"/>
                <w:szCs w:val="16"/>
                <w:color w:val="auto"/>
              </w:rPr>
              <w:t>Authorization Application in the EU for the same indication</w:t>
            </w:r>
          </w:p>
        </w:tc>
        <w:tc>
          <w:tcPr>
            <w:tcW w:w="120" w:type="dxa"/>
            <w:vAlign w:val="bottom"/>
            <w:shd w:val="clear" w:color="auto" w:fill="EFF2F8"/>
          </w:tcPr>
          <w:p>
            <w:pPr>
              <w:spacing w:after="0"/>
              <w:rPr>
                <w:sz w:val="12"/>
                <w:szCs w:val="12"/>
                <w:color w:val="auto"/>
              </w:rPr>
            </w:pPr>
          </w:p>
        </w:tc>
        <w:tc>
          <w:tcPr>
            <w:tcW w:w="1440" w:type="dxa"/>
            <w:vAlign w:val="bottom"/>
            <w:vMerge w:val="continue"/>
            <w:shd w:val="clear" w:color="auto" w:fill="EFF2F8"/>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500" w:type="dxa"/>
            <w:vAlign w:val="bottom"/>
            <w:tcBorders>
              <w:bottom w:val="single" w:sz="8" w:color="DAEBF8"/>
            </w:tcBorders>
            <w:vMerge w:val="continue"/>
            <w:shd w:val="clear" w:color="auto" w:fill="DAEBF8"/>
          </w:tcPr>
          <w:p>
            <w:pPr>
              <w:spacing w:after="0"/>
              <w:rPr>
                <w:sz w:val="7"/>
                <w:szCs w:val="7"/>
                <w:color w:val="auto"/>
              </w:rPr>
            </w:pPr>
          </w:p>
        </w:tc>
        <w:tc>
          <w:tcPr>
            <w:tcW w:w="5700" w:type="dxa"/>
            <w:vAlign w:val="bottom"/>
            <w:tcBorders>
              <w:bottom w:val="single" w:sz="8" w:color="939598"/>
            </w:tcBorders>
            <w:vMerge w:val="continue"/>
            <w:shd w:val="clear" w:color="auto" w:fill="DAEBF8"/>
          </w:tcPr>
          <w:p>
            <w:pPr>
              <w:spacing w:after="0"/>
              <w:rPr>
                <w:sz w:val="7"/>
                <w:szCs w:val="7"/>
                <w:color w:val="auto"/>
              </w:rPr>
            </w:pPr>
          </w:p>
        </w:tc>
        <w:tc>
          <w:tcPr>
            <w:tcW w:w="120" w:type="dxa"/>
            <w:vAlign w:val="bottom"/>
            <w:tcBorders>
              <w:bottom w:val="single" w:sz="8" w:color="939598"/>
            </w:tcBorders>
            <w:shd w:val="clear" w:color="auto" w:fill="EFF2F8"/>
          </w:tcPr>
          <w:p>
            <w:pPr>
              <w:spacing w:after="0"/>
              <w:rPr>
                <w:sz w:val="7"/>
                <w:szCs w:val="7"/>
                <w:color w:val="auto"/>
              </w:rPr>
            </w:pPr>
          </w:p>
        </w:tc>
        <w:tc>
          <w:tcPr>
            <w:tcW w:w="1440" w:type="dxa"/>
            <w:vAlign w:val="bottom"/>
            <w:tcBorders>
              <w:bottom w:val="single" w:sz="8" w:color="939598"/>
            </w:tcBorders>
            <w:shd w:val="clear" w:color="auto" w:fill="EFF2F8"/>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500" w:type="dxa"/>
            <w:vAlign w:val="bottom"/>
            <w:tcBorders>
              <w:bottom w:val="single" w:sz="8" w:color="DAEBF8"/>
            </w:tcBorders>
            <w:shd w:val="clear" w:color="auto" w:fill="DAEBF8"/>
          </w:tcPr>
          <w:p>
            <w:pPr>
              <w:spacing w:after="0"/>
              <w:rPr>
                <w:sz w:val="18"/>
                <w:szCs w:val="18"/>
                <w:color w:val="auto"/>
              </w:rPr>
            </w:pPr>
          </w:p>
        </w:tc>
        <w:tc>
          <w:tcPr>
            <w:tcW w:w="5700" w:type="dxa"/>
            <w:vAlign w:val="bottom"/>
            <w:tcBorders>
              <w:bottom w:val="single" w:sz="8" w:color="939598"/>
            </w:tcBorders>
            <w:shd w:val="clear" w:color="auto" w:fill="DAEBF8"/>
          </w:tcPr>
          <w:p>
            <w:pPr>
              <w:ind w:left="60"/>
              <w:spacing w:after="0"/>
              <w:rPr>
                <w:sz w:val="20"/>
                <w:szCs w:val="20"/>
                <w:color w:val="auto"/>
              </w:rPr>
            </w:pPr>
            <w:r>
              <w:rPr>
                <w:rFonts w:ascii="Arial" w:cs="Arial" w:eastAsia="Arial" w:hAnsi="Arial"/>
                <w:sz w:val="16"/>
                <w:szCs w:val="16"/>
                <w:color w:val="auto"/>
              </w:rPr>
              <w:t>Initiate additional Phase 3 studies for itepekimab</w:t>
            </w:r>
          </w:p>
        </w:tc>
        <w:tc>
          <w:tcPr>
            <w:tcW w:w="120" w:type="dxa"/>
            <w:vAlign w:val="bottom"/>
            <w:tcBorders>
              <w:bottom w:val="single" w:sz="8" w:color="939598"/>
            </w:tcBorders>
            <w:shd w:val="clear" w:color="auto" w:fill="EFF2F8"/>
          </w:tcPr>
          <w:p>
            <w:pPr>
              <w:spacing w:after="0"/>
              <w:rPr>
                <w:sz w:val="18"/>
                <w:szCs w:val="18"/>
                <w:color w:val="auto"/>
              </w:rPr>
            </w:pPr>
          </w:p>
        </w:tc>
        <w:tc>
          <w:tcPr>
            <w:tcW w:w="1440" w:type="dxa"/>
            <w:vAlign w:val="bottom"/>
            <w:tcBorders>
              <w:bottom w:val="single" w:sz="8" w:color="939598"/>
            </w:tcBorders>
            <w:shd w:val="clear" w:color="auto" w:fill="EFF2F8"/>
          </w:tcPr>
          <w:p>
            <w:pPr>
              <w:ind w:left="40"/>
              <w:spacing w:after="0"/>
              <w:rPr>
                <w:sz w:val="20"/>
                <w:szCs w:val="20"/>
                <w:color w:val="auto"/>
              </w:rPr>
            </w:pPr>
            <w:r>
              <w:rPr>
                <w:rFonts w:ascii="Arial" w:cs="Arial" w:eastAsia="Arial" w:hAnsi="Arial"/>
                <w:sz w:val="16"/>
                <w:szCs w:val="16"/>
                <w:color w:val="auto"/>
              </w:rPr>
              <w:t>Not Achieved</w:t>
            </w:r>
          </w:p>
        </w:tc>
        <w:tc>
          <w:tcPr>
            <w:tcW w:w="0" w:type="dxa"/>
            <w:vAlign w:val="bottom"/>
          </w:tcPr>
          <w:p>
            <w:pPr>
              <w:spacing w:after="0"/>
              <w:rPr>
                <w:sz w:val="1"/>
                <w:szCs w:val="1"/>
                <w:color w:val="auto"/>
              </w:rPr>
            </w:pPr>
          </w:p>
        </w:tc>
      </w:tr>
      <w:tr>
        <w:trPr>
          <w:trHeight w:val="221"/>
        </w:trPr>
        <w:tc>
          <w:tcPr>
            <w:tcW w:w="1500" w:type="dxa"/>
            <w:vAlign w:val="bottom"/>
            <w:shd w:val="clear" w:color="auto" w:fill="DAEBF8"/>
          </w:tcPr>
          <w:p>
            <w:pPr>
              <w:spacing w:after="0"/>
              <w:rPr>
                <w:sz w:val="19"/>
                <w:szCs w:val="19"/>
                <w:color w:val="auto"/>
              </w:rPr>
            </w:pPr>
          </w:p>
        </w:tc>
        <w:tc>
          <w:tcPr>
            <w:tcW w:w="5700" w:type="dxa"/>
            <w:vAlign w:val="bottom"/>
            <w:shd w:val="clear" w:color="auto" w:fill="DAEBF8"/>
          </w:tcPr>
          <w:p>
            <w:pPr>
              <w:ind w:left="60"/>
              <w:spacing w:after="0"/>
              <w:rPr>
                <w:sz w:val="20"/>
                <w:szCs w:val="20"/>
                <w:color w:val="auto"/>
              </w:rPr>
            </w:pPr>
            <w:r>
              <w:rPr>
                <w:rFonts w:ascii="Arial" w:cs="Arial" w:eastAsia="Arial" w:hAnsi="Arial"/>
                <w:sz w:val="16"/>
                <w:szCs w:val="16"/>
                <w:color w:val="auto"/>
              </w:rPr>
              <w:t>Report additional data from Phase 1 study for linvoseltamab (BCMA and CD3</w:t>
            </w:r>
          </w:p>
        </w:tc>
        <w:tc>
          <w:tcPr>
            <w:tcW w:w="120" w:type="dxa"/>
            <w:vAlign w:val="bottom"/>
            <w:shd w:val="clear" w:color="auto" w:fill="EFF2F8"/>
          </w:tcPr>
          <w:p>
            <w:pPr>
              <w:spacing w:after="0"/>
              <w:rPr>
                <w:sz w:val="19"/>
                <w:szCs w:val="19"/>
                <w:color w:val="auto"/>
              </w:rPr>
            </w:pPr>
          </w:p>
        </w:tc>
        <w:tc>
          <w:tcPr>
            <w:tcW w:w="1440" w:type="dxa"/>
            <w:vAlign w:val="bottom"/>
            <w:vMerge w:val="restart"/>
            <w:shd w:val="clear" w:color="auto" w:fill="EFF2F8"/>
          </w:tcPr>
          <w:p>
            <w:pPr>
              <w:ind w:left="40"/>
              <w:spacing w:after="0"/>
              <w:rPr>
                <w:sz w:val="20"/>
                <w:szCs w:val="20"/>
                <w:color w:val="auto"/>
              </w:rPr>
            </w:pPr>
            <w:r>
              <w:rPr>
                <w:rFonts w:ascii="Arial" w:cs="Arial" w:eastAsia="Arial" w:hAnsi="Arial"/>
                <w:sz w:val="16"/>
                <w:szCs w:val="16"/>
                <w:b w:val="1"/>
                <w:bCs w:val="1"/>
                <w:color w:val="065BAA"/>
              </w:rPr>
              <w:t>Achieved</w:t>
            </w:r>
          </w:p>
        </w:tc>
        <w:tc>
          <w:tcPr>
            <w:tcW w:w="0" w:type="dxa"/>
            <w:vAlign w:val="bottom"/>
          </w:tcPr>
          <w:p>
            <w:pPr>
              <w:spacing w:after="0"/>
              <w:rPr>
                <w:sz w:val="1"/>
                <w:szCs w:val="1"/>
                <w:color w:val="auto"/>
              </w:rPr>
            </w:pPr>
          </w:p>
        </w:tc>
      </w:tr>
      <w:tr>
        <w:trPr>
          <w:trHeight w:val="116"/>
        </w:trPr>
        <w:tc>
          <w:tcPr>
            <w:tcW w:w="1500" w:type="dxa"/>
            <w:vAlign w:val="bottom"/>
            <w:shd w:val="clear" w:color="auto" w:fill="DAEBF8"/>
          </w:tcPr>
          <w:p>
            <w:pPr>
              <w:spacing w:after="0"/>
              <w:rPr>
                <w:sz w:val="10"/>
                <w:szCs w:val="10"/>
                <w:color w:val="auto"/>
              </w:rPr>
            </w:pPr>
          </w:p>
        </w:tc>
        <w:tc>
          <w:tcPr>
            <w:tcW w:w="5700" w:type="dxa"/>
            <w:vAlign w:val="bottom"/>
            <w:vMerge w:val="restart"/>
            <w:shd w:val="clear" w:color="auto" w:fill="DAEBF8"/>
          </w:tcPr>
          <w:p>
            <w:pPr>
              <w:ind w:left="60"/>
              <w:spacing w:after="0"/>
              <w:rPr>
                <w:sz w:val="20"/>
                <w:szCs w:val="20"/>
                <w:color w:val="auto"/>
              </w:rPr>
            </w:pPr>
            <w:r>
              <w:rPr>
                <w:rFonts w:ascii="Arial" w:cs="Arial" w:eastAsia="Arial" w:hAnsi="Arial"/>
                <w:sz w:val="16"/>
                <w:szCs w:val="16"/>
                <w:color w:val="auto"/>
              </w:rPr>
              <w:t>bispecific antibody) in combination with Dupixent in severe food allergies</w:t>
            </w:r>
          </w:p>
        </w:tc>
        <w:tc>
          <w:tcPr>
            <w:tcW w:w="120" w:type="dxa"/>
            <w:vAlign w:val="bottom"/>
            <w:shd w:val="clear" w:color="auto" w:fill="EFF2F8"/>
          </w:tcPr>
          <w:p>
            <w:pPr>
              <w:spacing w:after="0"/>
              <w:rPr>
                <w:sz w:val="10"/>
                <w:szCs w:val="10"/>
                <w:color w:val="auto"/>
              </w:rPr>
            </w:pPr>
          </w:p>
        </w:tc>
        <w:tc>
          <w:tcPr>
            <w:tcW w:w="1440" w:type="dxa"/>
            <w:vAlign w:val="bottom"/>
            <w:vMerge w:val="continue"/>
            <w:shd w:val="clear" w:color="auto" w:fill="EFF2F8"/>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500" w:type="dxa"/>
            <w:vAlign w:val="bottom"/>
            <w:tcBorders>
              <w:bottom w:val="single" w:sz="8" w:color="939598"/>
            </w:tcBorders>
            <w:shd w:val="clear" w:color="auto" w:fill="DAEBF8"/>
          </w:tcPr>
          <w:p>
            <w:pPr>
              <w:spacing w:after="0"/>
              <w:rPr>
                <w:sz w:val="7"/>
                <w:szCs w:val="7"/>
                <w:color w:val="auto"/>
              </w:rPr>
            </w:pPr>
          </w:p>
        </w:tc>
        <w:tc>
          <w:tcPr>
            <w:tcW w:w="5700" w:type="dxa"/>
            <w:vAlign w:val="bottom"/>
            <w:tcBorders>
              <w:bottom w:val="single" w:sz="8" w:color="939598"/>
            </w:tcBorders>
            <w:vMerge w:val="continue"/>
            <w:shd w:val="clear" w:color="auto" w:fill="DAEBF8"/>
          </w:tcPr>
          <w:p>
            <w:pPr>
              <w:spacing w:after="0"/>
              <w:rPr>
                <w:sz w:val="7"/>
                <w:szCs w:val="7"/>
                <w:color w:val="auto"/>
              </w:rPr>
            </w:pPr>
          </w:p>
        </w:tc>
        <w:tc>
          <w:tcPr>
            <w:tcW w:w="120" w:type="dxa"/>
            <w:vAlign w:val="bottom"/>
            <w:tcBorders>
              <w:bottom w:val="single" w:sz="8" w:color="939598"/>
            </w:tcBorders>
            <w:shd w:val="clear" w:color="auto" w:fill="EFF2F8"/>
          </w:tcPr>
          <w:p>
            <w:pPr>
              <w:spacing w:after="0"/>
              <w:rPr>
                <w:sz w:val="7"/>
                <w:szCs w:val="7"/>
                <w:color w:val="auto"/>
              </w:rPr>
            </w:pPr>
          </w:p>
        </w:tc>
        <w:tc>
          <w:tcPr>
            <w:tcW w:w="1440" w:type="dxa"/>
            <w:vAlign w:val="bottom"/>
            <w:tcBorders>
              <w:bottom w:val="single" w:sz="8" w:color="939598"/>
            </w:tcBorders>
            <w:shd w:val="clear" w:color="auto" w:fill="EFF2F8"/>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500" w:type="dxa"/>
            <w:vAlign w:val="bottom"/>
          </w:tcPr>
          <w:p>
            <w:pPr>
              <w:spacing w:after="0"/>
              <w:rPr>
                <w:sz w:val="18"/>
                <w:szCs w:val="18"/>
                <w:color w:val="auto"/>
              </w:rPr>
            </w:pPr>
          </w:p>
        </w:tc>
        <w:tc>
          <w:tcPr>
            <w:tcW w:w="5700" w:type="dxa"/>
            <w:vAlign w:val="bottom"/>
            <w:tcBorders>
              <w:bottom w:val="single" w:sz="8" w:color="939598"/>
            </w:tcBorders>
          </w:tcPr>
          <w:p>
            <w:pPr>
              <w:ind w:left="60"/>
              <w:spacing w:after="0"/>
              <w:rPr>
                <w:sz w:val="20"/>
                <w:szCs w:val="20"/>
                <w:color w:val="auto"/>
              </w:rPr>
            </w:pPr>
            <w:r>
              <w:rPr>
                <w:rFonts w:ascii="Arial" w:cs="Arial" w:eastAsia="Arial" w:hAnsi="Arial"/>
                <w:sz w:val="16"/>
                <w:szCs w:val="16"/>
                <w:color w:val="auto"/>
              </w:rPr>
              <w:t>Submit sBLA and obtain FDA approval for Libtayo in adjuvant CSCC</w:t>
            </w:r>
          </w:p>
        </w:tc>
        <w:tc>
          <w:tcPr>
            <w:tcW w:w="120" w:type="dxa"/>
            <w:vAlign w:val="bottom"/>
            <w:tcBorders>
              <w:bottom w:val="single" w:sz="8" w:color="939598"/>
            </w:tcBorders>
            <w:shd w:val="clear" w:color="auto" w:fill="EFF2F8"/>
          </w:tcPr>
          <w:p>
            <w:pPr>
              <w:spacing w:after="0"/>
              <w:rPr>
                <w:sz w:val="18"/>
                <w:szCs w:val="18"/>
                <w:color w:val="auto"/>
              </w:rPr>
            </w:pPr>
          </w:p>
        </w:tc>
        <w:tc>
          <w:tcPr>
            <w:tcW w:w="1440" w:type="dxa"/>
            <w:vAlign w:val="bottom"/>
            <w:tcBorders>
              <w:bottom w:val="single" w:sz="8" w:color="939598"/>
            </w:tcBorders>
            <w:shd w:val="clear" w:color="auto" w:fill="EFF2F8"/>
          </w:tcPr>
          <w:p>
            <w:pPr>
              <w:ind w:left="40"/>
              <w:spacing w:after="0"/>
              <w:rPr>
                <w:sz w:val="20"/>
                <w:szCs w:val="20"/>
                <w:color w:val="auto"/>
              </w:rPr>
            </w:pPr>
            <w:r>
              <w:rPr>
                <w:rFonts w:ascii="Arial" w:cs="Arial" w:eastAsia="Arial" w:hAnsi="Arial"/>
                <w:sz w:val="16"/>
                <w:szCs w:val="16"/>
                <w:b w:val="1"/>
                <w:bCs w:val="1"/>
                <w:color w:val="065BAA"/>
              </w:rPr>
              <w:t>Achieved</w:t>
            </w:r>
          </w:p>
        </w:tc>
        <w:tc>
          <w:tcPr>
            <w:tcW w:w="0" w:type="dxa"/>
            <w:vAlign w:val="bottom"/>
          </w:tcPr>
          <w:p>
            <w:pPr>
              <w:spacing w:after="0"/>
              <w:rPr>
                <w:sz w:val="1"/>
                <w:szCs w:val="1"/>
                <w:color w:val="auto"/>
              </w:rPr>
            </w:pPr>
          </w:p>
        </w:tc>
      </w:tr>
      <w:tr>
        <w:trPr>
          <w:trHeight w:val="221"/>
        </w:trPr>
        <w:tc>
          <w:tcPr>
            <w:tcW w:w="1500" w:type="dxa"/>
            <w:vAlign w:val="bottom"/>
          </w:tcPr>
          <w:p>
            <w:pPr>
              <w:spacing w:after="0"/>
              <w:rPr>
                <w:sz w:val="19"/>
                <w:szCs w:val="19"/>
                <w:color w:val="auto"/>
              </w:rPr>
            </w:pPr>
          </w:p>
        </w:tc>
        <w:tc>
          <w:tcPr>
            <w:tcW w:w="5700" w:type="dxa"/>
            <w:vAlign w:val="bottom"/>
          </w:tcPr>
          <w:p>
            <w:pPr>
              <w:ind w:left="60"/>
              <w:spacing w:after="0"/>
              <w:rPr>
                <w:sz w:val="20"/>
                <w:szCs w:val="20"/>
                <w:color w:val="auto"/>
              </w:rPr>
            </w:pPr>
            <w:r>
              <w:rPr>
                <w:rFonts w:ascii="Arial" w:cs="Arial" w:eastAsia="Arial" w:hAnsi="Arial"/>
                <w:sz w:val="16"/>
                <w:szCs w:val="16"/>
                <w:color w:val="auto"/>
              </w:rPr>
              <w:t>Report results from Phase 3 study of fianlimab (LAG-3 antibody), in</w:t>
            </w:r>
          </w:p>
        </w:tc>
        <w:tc>
          <w:tcPr>
            <w:tcW w:w="120" w:type="dxa"/>
            <w:vAlign w:val="bottom"/>
            <w:shd w:val="clear" w:color="auto" w:fill="EFF2F8"/>
          </w:tcPr>
          <w:p>
            <w:pPr>
              <w:spacing w:after="0"/>
              <w:rPr>
                <w:sz w:val="19"/>
                <w:szCs w:val="19"/>
                <w:color w:val="auto"/>
              </w:rPr>
            </w:pPr>
          </w:p>
        </w:tc>
        <w:tc>
          <w:tcPr>
            <w:tcW w:w="1440" w:type="dxa"/>
            <w:vAlign w:val="bottom"/>
            <w:vMerge w:val="restart"/>
            <w:shd w:val="clear" w:color="auto" w:fill="EFF2F8"/>
          </w:tcPr>
          <w:p>
            <w:pPr>
              <w:ind w:left="40"/>
              <w:spacing w:after="0"/>
              <w:rPr>
                <w:sz w:val="20"/>
                <w:szCs w:val="20"/>
                <w:color w:val="auto"/>
              </w:rPr>
            </w:pPr>
            <w:r>
              <w:rPr>
                <w:rFonts w:ascii="Arial" w:cs="Arial" w:eastAsia="Arial" w:hAnsi="Arial"/>
                <w:sz w:val="16"/>
                <w:szCs w:val="16"/>
                <w:color w:val="auto"/>
              </w:rPr>
              <w:t>Not Achieved</w:t>
            </w:r>
            <w:r>
              <w:rPr>
                <w:rFonts w:ascii="Arial" w:cs="Arial" w:eastAsia="Arial" w:hAnsi="Arial"/>
                <w:sz w:val="21"/>
                <w:szCs w:val="21"/>
                <w:color w:val="auto"/>
                <w:vertAlign w:val="superscript"/>
              </w:rPr>
              <w:t>4</w:t>
            </w: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5700" w:type="dxa"/>
            <w:vAlign w:val="bottom"/>
          </w:tcPr>
          <w:p>
            <w:pPr>
              <w:ind w:left="60"/>
              <w:spacing w:after="0"/>
              <w:rPr>
                <w:sz w:val="20"/>
                <w:szCs w:val="20"/>
                <w:color w:val="auto"/>
              </w:rPr>
            </w:pPr>
            <w:r>
              <w:rPr>
                <w:rFonts w:ascii="Arial" w:cs="Arial" w:eastAsia="Arial" w:hAnsi="Arial"/>
                <w:sz w:val="16"/>
                <w:szCs w:val="16"/>
                <w:color w:val="auto"/>
              </w:rPr>
              <w:t>combination with Libtayo, versus pembrolizumab in first-line metastatic</w:t>
            </w:r>
          </w:p>
        </w:tc>
        <w:tc>
          <w:tcPr>
            <w:tcW w:w="120" w:type="dxa"/>
            <w:vAlign w:val="bottom"/>
            <w:shd w:val="clear" w:color="auto" w:fill="EFF2F8"/>
          </w:tcPr>
          <w:p>
            <w:pPr>
              <w:spacing w:after="0"/>
              <w:rPr>
                <w:sz w:val="18"/>
                <w:szCs w:val="18"/>
                <w:color w:val="auto"/>
              </w:rPr>
            </w:pPr>
          </w:p>
        </w:tc>
        <w:tc>
          <w:tcPr>
            <w:tcW w:w="1440" w:type="dxa"/>
            <w:vAlign w:val="bottom"/>
            <w:vMerge w:val="continue"/>
            <w:shd w:val="clear" w:color="auto" w:fill="EFF2F8"/>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5700" w:type="dxa"/>
            <w:vAlign w:val="bottom"/>
            <w:tcBorders>
              <w:bottom w:val="single" w:sz="8" w:color="939598"/>
            </w:tcBorders>
          </w:tcPr>
          <w:p>
            <w:pPr>
              <w:ind w:left="60"/>
              <w:spacing w:after="0"/>
              <w:rPr>
                <w:sz w:val="20"/>
                <w:szCs w:val="20"/>
                <w:color w:val="auto"/>
              </w:rPr>
            </w:pPr>
            <w:r>
              <w:rPr>
                <w:rFonts w:ascii="Arial" w:cs="Arial" w:eastAsia="Arial" w:hAnsi="Arial"/>
                <w:sz w:val="16"/>
                <w:szCs w:val="16"/>
                <w:color w:val="auto"/>
              </w:rPr>
              <w:t>melanoma and submit BLA</w:t>
            </w:r>
          </w:p>
        </w:tc>
        <w:tc>
          <w:tcPr>
            <w:tcW w:w="120" w:type="dxa"/>
            <w:vAlign w:val="bottom"/>
            <w:tcBorders>
              <w:bottom w:val="single" w:sz="8" w:color="939598"/>
            </w:tcBorders>
            <w:shd w:val="clear" w:color="auto" w:fill="EFF2F8"/>
          </w:tcPr>
          <w:p>
            <w:pPr>
              <w:spacing w:after="0"/>
              <w:rPr>
                <w:sz w:val="17"/>
                <w:szCs w:val="17"/>
                <w:color w:val="auto"/>
              </w:rPr>
            </w:pPr>
          </w:p>
        </w:tc>
        <w:tc>
          <w:tcPr>
            <w:tcW w:w="1440" w:type="dxa"/>
            <w:vAlign w:val="bottom"/>
            <w:tcBorders>
              <w:bottom w:val="single" w:sz="8" w:color="939598"/>
            </w:tcBorders>
            <w:shd w:val="clear" w:color="auto" w:fill="EFF2F8"/>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500" w:type="dxa"/>
            <w:vAlign w:val="bottom"/>
          </w:tcPr>
          <w:p>
            <w:pPr>
              <w:ind w:left="80"/>
              <w:spacing w:after="0"/>
              <w:rPr>
                <w:sz w:val="20"/>
                <w:szCs w:val="20"/>
                <w:color w:val="auto"/>
              </w:rPr>
            </w:pPr>
            <w:r>
              <w:rPr>
                <w:rFonts w:ascii="Arial" w:cs="Arial" w:eastAsia="Arial" w:hAnsi="Arial"/>
                <w:sz w:val="16"/>
                <w:szCs w:val="16"/>
                <w:b w:val="1"/>
                <w:bCs w:val="1"/>
                <w:color w:val="auto"/>
              </w:rPr>
              <w:t>Solid Organ</w:t>
            </w:r>
          </w:p>
        </w:tc>
        <w:tc>
          <w:tcPr>
            <w:tcW w:w="5700" w:type="dxa"/>
            <w:vAlign w:val="bottom"/>
          </w:tcPr>
          <w:p>
            <w:pPr>
              <w:ind w:left="60"/>
              <w:spacing w:after="0"/>
              <w:rPr>
                <w:sz w:val="20"/>
                <w:szCs w:val="20"/>
                <w:color w:val="auto"/>
              </w:rPr>
            </w:pPr>
            <w:r>
              <w:rPr>
                <w:rFonts w:ascii="Arial" w:cs="Arial" w:eastAsia="Arial" w:hAnsi="Arial"/>
                <w:sz w:val="16"/>
                <w:szCs w:val="16"/>
                <w:color w:val="auto"/>
              </w:rPr>
              <w:t>Report initial Phase 2 data for fianlimab in combination with Libtayo in first-line</w:t>
            </w:r>
          </w:p>
        </w:tc>
        <w:tc>
          <w:tcPr>
            <w:tcW w:w="120" w:type="dxa"/>
            <w:vAlign w:val="bottom"/>
            <w:shd w:val="clear" w:color="auto" w:fill="EFF2F8"/>
          </w:tcPr>
          <w:p>
            <w:pPr>
              <w:spacing w:after="0"/>
              <w:rPr>
                <w:sz w:val="24"/>
                <w:szCs w:val="24"/>
                <w:color w:val="auto"/>
              </w:rPr>
            </w:pPr>
          </w:p>
        </w:tc>
        <w:tc>
          <w:tcPr>
            <w:tcW w:w="1440" w:type="dxa"/>
            <w:vAlign w:val="bottom"/>
            <w:shd w:val="clear" w:color="auto" w:fill="EFF2F8"/>
          </w:tcPr>
          <w:p>
            <w:pPr>
              <w:ind w:left="40"/>
              <w:spacing w:after="0"/>
              <w:rPr>
                <w:sz w:val="20"/>
                <w:szCs w:val="20"/>
                <w:color w:val="auto"/>
              </w:rPr>
            </w:pPr>
            <w:r>
              <w:rPr>
                <w:rFonts w:ascii="Arial" w:cs="Arial" w:eastAsia="Arial" w:hAnsi="Arial"/>
                <w:sz w:val="16"/>
                <w:szCs w:val="16"/>
                <w:color w:val="auto"/>
              </w:rPr>
              <w:t>Not Applicable</w:t>
            </w:r>
            <w:r>
              <w:rPr>
                <w:rFonts w:ascii="Arial" w:cs="Arial" w:eastAsia="Arial" w:hAnsi="Arial"/>
                <w:sz w:val="21"/>
                <w:szCs w:val="21"/>
                <w:color w:val="auto"/>
                <w:vertAlign w:val="superscript"/>
              </w:rPr>
              <w:t>5</w:t>
            </w:r>
          </w:p>
        </w:tc>
        <w:tc>
          <w:tcPr>
            <w:tcW w:w="0" w:type="dxa"/>
            <w:vAlign w:val="bottom"/>
          </w:tcPr>
          <w:p>
            <w:pPr>
              <w:spacing w:after="0"/>
              <w:rPr>
                <w:sz w:val="1"/>
                <w:szCs w:val="1"/>
                <w:color w:val="auto"/>
              </w:rPr>
            </w:pPr>
          </w:p>
        </w:tc>
      </w:tr>
      <w:tr>
        <w:trPr>
          <w:trHeight w:val="148"/>
        </w:trPr>
        <w:tc>
          <w:tcPr>
            <w:tcW w:w="1500" w:type="dxa"/>
            <w:vAlign w:val="bottom"/>
          </w:tcPr>
          <w:p>
            <w:pPr>
              <w:ind w:left="80"/>
              <w:spacing w:after="0" w:line="148" w:lineRule="exact"/>
              <w:rPr>
                <w:sz w:val="20"/>
                <w:szCs w:val="20"/>
                <w:color w:val="auto"/>
              </w:rPr>
            </w:pPr>
            <w:r>
              <w:rPr>
                <w:rFonts w:ascii="Arial" w:cs="Arial" w:eastAsia="Arial" w:hAnsi="Arial"/>
                <w:sz w:val="16"/>
                <w:szCs w:val="16"/>
                <w:b w:val="1"/>
                <w:bCs w:val="1"/>
                <w:color w:val="auto"/>
              </w:rPr>
              <w:t>Oncology</w:t>
            </w:r>
          </w:p>
        </w:tc>
        <w:tc>
          <w:tcPr>
            <w:tcW w:w="5700" w:type="dxa"/>
            <w:vAlign w:val="bottom"/>
            <w:tcBorders>
              <w:bottom w:val="single" w:sz="8" w:color="939598"/>
            </w:tcBorders>
          </w:tcPr>
          <w:p>
            <w:pPr>
              <w:ind w:left="60"/>
              <w:spacing w:after="0" w:line="148" w:lineRule="exact"/>
              <w:rPr>
                <w:sz w:val="20"/>
                <w:szCs w:val="20"/>
                <w:color w:val="auto"/>
              </w:rPr>
            </w:pPr>
            <w:r>
              <w:rPr>
                <w:rFonts w:ascii="Arial" w:cs="Arial" w:eastAsia="Arial" w:hAnsi="Arial"/>
                <w:sz w:val="16"/>
                <w:szCs w:val="16"/>
                <w:color w:val="auto"/>
              </w:rPr>
              <w:t>advanced non-small cell lung cancer</w:t>
            </w:r>
          </w:p>
        </w:tc>
        <w:tc>
          <w:tcPr>
            <w:tcW w:w="120" w:type="dxa"/>
            <w:vAlign w:val="bottom"/>
            <w:tcBorders>
              <w:bottom w:val="single" w:sz="8" w:color="939598"/>
            </w:tcBorders>
            <w:shd w:val="clear" w:color="auto" w:fill="EFF2F8"/>
          </w:tcPr>
          <w:p>
            <w:pPr>
              <w:spacing w:after="0"/>
              <w:rPr>
                <w:sz w:val="12"/>
                <w:szCs w:val="12"/>
                <w:color w:val="auto"/>
              </w:rPr>
            </w:pPr>
          </w:p>
        </w:tc>
        <w:tc>
          <w:tcPr>
            <w:tcW w:w="1440" w:type="dxa"/>
            <w:vAlign w:val="bottom"/>
            <w:tcBorders>
              <w:bottom w:val="single" w:sz="8" w:color="939598"/>
            </w:tcBorders>
            <w:shd w:val="clear" w:color="auto" w:fill="EFF2F8"/>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500" w:type="dxa"/>
            <w:vAlign w:val="bottom"/>
          </w:tcPr>
          <w:p>
            <w:pPr>
              <w:spacing w:after="0"/>
              <w:rPr>
                <w:sz w:val="19"/>
                <w:szCs w:val="19"/>
                <w:color w:val="auto"/>
              </w:rPr>
            </w:pPr>
          </w:p>
        </w:tc>
        <w:tc>
          <w:tcPr>
            <w:tcW w:w="5700" w:type="dxa"/>
            <w:vAlign w:val="bottom"/>
          </w:tcPr>
          <w:p>
            <w:pPr>
              <w:ind w:left="60"/>
              <w:spacing w:after="0"/>
              <w:rPr>
                <w:sz w:val="20"/>
                <w:szCs w:val="20"/>
                <w:color w:val="auto"/>
              </w:rPr>
            </w:pPr>
            <w:r>
              <w:rPr>
                <w:rFonts w:ascii="Arial" w:cs="Arial" w:eastAsia="Arial" w:hAnsi="Arial"/>
                <w:sz w:val="16"/>
                <w:szCs w:val="16"/>
                <w:color w:val="auto"/>
              </w:rPr>
              <w:t>Report additional data for ubamatamab (MUC16 and CD3 bispecific antibody)</w:t>
            </w:r>
          </w:p>
        </w:tc>
        <w:tc>
          <w:tcPr>
            <w:tcW w:w="120" w:type="dxa"/>
            <w:vAlign w:val="bottom"/>
            <w:shd w:val="clear" w:color="auto" w:fill="EFF2F8"/>
          </w:tcPr>
          <w:p>
            <w:pPr>
              <w:spacing w:after="0"/>
              <w:rPr>
                <w:sz w:val="19"/>
                <w:szCs w:val="19"/>
                <w:color w:val="auto"/>
              </w:rPr>
            </w:pPr>
          </w:p>
        </w:tc>
        <w:tc>
          <w:tcPr>
            <w:tcW w:w="1440" w:type="dxa"/>
            <w:vAlign w:val="bottom"/>
            <w:vMerge w:val="restart"/>
            <w:shd w:val="clear" w:color="auto" w:fill="EFF2F8"/>
          </w:tcPr>
          <w:p>
            <w:pPr>
              <w:ind w:left="40"/>
              <w:spacing w:after="0"/>
              <w:rPr>
                <w:sz w:val="20"/>
                <w:szCs w:val="20"/>
                <w:color w:val="auto"/>
              </w:rPr>
            </w:pPr>
            <w:r>
              <w:rPr>
                <w:rFonts w:ascii="Arial" w:cs="Arial" w:eastAsia="Arial" w:hAnsi="Arial"/>
                <w:sz w:val="16"/>
                <w:szCs w:val="16"/>
                <w:b w:val="1"/>
                <w:bCs w:val="1"/>
                <w:color w:val="065BAA"/>
              </w:rPr>
              <w:t>Achieved</w:t>
            </w:r>
          </w:p>
        </w:tc>
        <w:tc>
          <w:tcPr>
            <w:tcW w:w="0" w:type="dxa"/>
            <w:vAlign w:val="bottom"/>
          </w:tcPr>
          <w:p>
            <w:pPr>
              <w:spacing w:after="0"/>
              <w:rPr>
                <w:sz w:val="1"/>
                <w:szCs w:val="1"/>
                <w:color w:val="auto"/>
              </w:rPr>
            </w:pPr>
          </w:p>
        </w:tc>
      </w:tr>
      <w:tr>
        <w:trPr>
          <w:trHeight w:val="116"/>
        </w:trPr>
        <w:tc>
          <w:tcPr>
            <w:tcW w:w="1500" w:type="dxa"/>
            <w:vAlign w:val="bottom"/>
          </w:tcPr>
          <w:p>
            <w:pPr>
              <w:spacing w:after="0"/>
              <w:rPr>
                <w:sz w:val="10"/>
                <w:szCs w:val="10"/>
                <w:color w:val="auto"/>
              </w:rPr>
            </w:pPr>
          </w:p>
        </w:tc>
        <w:tc>
          <w:tcPr>
            <w:tcW w:w="5700" w:type="dxa"/>
            <w:vAlign w:val="bottom"/>
            <w:vMerge w:val="restart"/>
          </w:tcPr>
          <w:p>
            <w:pPr>
              <w:ind w:left="60"/>
              <w:spacing w:after="0"/>
              <w:rPr>
                <w:sz w:val="20"/>
                <w:szCs w:val="20"/>
                <w:color w:val="auto"/>
              </w:rPr>
            </w:pPr>
            <w:r>
              <w:rPr>
                <w:rFonts w:ascii="Arial" w:cs="Arial" w:eastAsia="Arial" w:hAnsi="Arial"/>
                <w:sz w:val="16"/>
                <w:szCs w:val="16"/>
                <w:color w:val="auto"/>
              </w:rPr>
              <w:t>in ovarian cancer</w:t>
            </w:r>
          </w:p>
        </w:tc>
        <w:tc>
          <w:tcPr>
            <w:tcW w:w="120" w:type="dxa"/>
            <w:vAlign w:val="bottom"/>
            <w:shd w:val="clear" w:color="auto" w:fill="EFF2F8"/>
          </w:tcPr>
          <w:p>
            <w:pPr>
              <w:spacing w:after="0"/>
              <w:rPr>
                <w:sz w:val="10"/>
                <w:szCs w:val="10"/>
                <w:color w:val="auto"/>
              </w:rPr>
            </w:pPr>
          </w:p>
        </w:tc>
        <w:tc>
          <w:tcPr>
            <w:tcW w:w="1440" w:type="dxa"/>
            <w:vAlign w:val="bottom"/>
            <w:vMerge w:val="continue"/>
            <w:shd w:val="clear" w:color="auto" w:fill="EFF2F8"/>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500" w:type="dxa"/>
            <w:vAlign w:val="bottom"/>
          </w:tcPr>
          <w:p>
            <w:pPr>
              <w:spacing w:after="0"/>
              <w:rPr>
                <w:sz w:val="7"/>
                <w:szCs w:val="7"/>
                <w:color w:val="auto"/>
              </w:rPr>
            </w:pPr>
          </w:p>
        </w:tc>
        <w:tc>
          <w:tcPr>
            <w:tcW w:w="5700" w:type="dxa"/>
            <w:vAlign w:val="bottom"/>
            <w:tcBorders>
              <w:bottom w:val="single" w:sz="8" w:color="939598"/>
            </w:tcBorders>
            <w:vMerge w:val="continue"/>
          </w:tcPr>
          <w:p>
            <w:pPr>
              <w:spacing w:after="0"/>
              <w:rPr>
                <w:sz w:val="7"/>
                <w:szCs w:val="7"/>
                <w:color w:val="auto"/>
              </w:rPr>
            </w:pPr>
          </w:p>
        </w:tc>
        <w:tc>
          <w:tcPr>
            <w:tcW w:w="120" w:type="dxa"/>
            <w:vAlign w:val="bottom"/>
            <w:tcBorders>
              <w:bottom w:val="single" w:sz="8" w:color="939598"/>
            </w:tcBorders>
            <w:shd w:val="clear" w:color="auto" w:fill="EFF2F8"/>
          </w:tcPr>
          <w:p>
            <w:pPr>
              <w:spacing w:after="0"/>
              <w:rPr>
                <w:sz w:val="7"/>
                <w:szCs w:val="7"/>
                <w:color w:val="auto"/>
              </w:rPr>
            </w:pPr>
          </w:p>
        </w:tc>
        <w:tc>
          <w:tcPr>
            <w:tcW w:w="1440" w:type="dxa"/>
            <w:vAlign w:val="bottom"/>
            <w:tcBorders>
              <w:bottom w:val="single" w:sz="8" w:color="939598"/>
            </w:tcBorders>
            <w:shd w:val="clear" w:color="auto" w:fill="EFF2F8"/>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500" w:type="dxa"/>
            <w:vAlign w:val="bottom"/>
          </w:tcPr>
          <w:p>
            <w:pPr>
              <w:spacing w:after="0"/>
              <w:rPr>
                <w:sz w:val="19"/>
                <w:szCs w:val="19"/>
                <w:color w:val="auto"/>
              </w:rPr>
            </w:pPr>
          </w:p>
        </w:tc>
        <w:tc>
          <w:tcPr>
            <w:tcW w:w="5700" w:type="dxa"/>
            <w:vAlign w:val="bottom"/>
          </w:tcPr>
          <w:p>
            <w:pPr>
              <w:ind w:left="60"/>
              <w:spacing w:after="0"/>
              <w:rPr>
                <w:sz w:val="20"/>
                <w:szCs w:val="20"/>
                <w:color w:val="auto"/>
              </w:rPr>
            </w:pPr>
            <w:r>
              <w:rPr>
                <w:rFonts w:ascii="Arial" w:cs="Arial" w:eastAsia="Arial" w:hAnsi="Arial"/>
                <w:sz w:val="16"/>
                <w:szCs w:val="16"/>
                <w:color w:val="auto"/>
              </w:rPr>
              <w:t>Report additional data from solid tumor costimulatory bispecific</w:t>
            </w:r>
          </w:p>
        </w:tc>
        <w:tc>
          <w:tcPr>
            <w:tcW w:w="120" w:type="dxa"/>
            <w:vAlign w:val="bottom"/>
            <w:shd w:val="clear" w:color="auto" w:fill="EFF2F8"/>
          </w:tcPr>
          <w:p>
            <w:pPr>
              <w:spacing w:after="0"/>
              <w:rPr>
                <w:sz w:val="19"/>
                <w:szCs w:val="19"/>
                <w:color w:val="auto"/>
              </w:rPr>
            </w:pPr>
          </w:p>
        </w:tc>
        <w:tc>
          <w:tcPr>
            <w:tcW w:w="1440" w:type="dxa"/>
            <w:vAlign w:val="bottom"/>
            <w:vMerge w:val="restart"/>
            <w:shd w:val="clear" w:color="auto" w:fill="EFF2F8"/>
          </w:tcPr>
          <w:p>
            <w:pPr>
              <w:ind w:left="40"/>
              <w:spacing w:after="0"/>
              <w:rPr>
                <w:sz w:val="20"/>
                <w:szCs w:val="20"/>
                <w:color w:val="auto"/>
              </w:rPr>
            </w:pPr>
            <w:r>
              <w:rPr>
                <w:rFonts w:ascii="Arial" w:cs="Arial" w:eastAsia="Arial" w:hAnsi="Arial"/>
                <w:sz w:val="16"/>
                <w:szCs w:val="16"/>
                <w:b w:val="1"/>
                <w:bCs w:val="1"/>
                <w:color w:val="065BAA"/>
              </w:rPr>
              <w:t>Achieved</w:t>
            </w:r>
          </w:p>
        </w:tc>
        <w:tc>
          <w:tcPr>
            <w:tcW w:w="0" w:type="dxa"/>
            <w:vAlign w:val="bottom"/>
          </w:tcPr>
          <w:p>
            <w:pPr>
              <w:spacing w:after="0"/>
              <w:rPr>
                <w:sz w:val="1"/>
                <w:szCs w:val="1"/>
                <w:color w:val="auto"/>
              </w:rPr>
            </w:pPr>
          </w:p>
        </w:tc>
      </w:tr>
      <w:tr>
        <w:trPr>
          <w:trHeight w:val="116"/>
        </w:trPr>
        <w:tc>
          <w:tcPr>
            <w:tcW w:w="1500" w:type="dxa"/>
            <w:vAlign w:val="bottom"/>
          </w:tcPr>
          <w:p>
            <w:pPr>
              <w:spacing w:after="0"/>
              <w:rPr>
                <w:sz w:val="10"/>
                <w:szCs w:val="10"/>
                <w:color w:val="auto"/>
              </w:rPr>
            </w:pPr>
          </w:p>
        </w:tc>
        <w:tc>
          <w:tcPr>
            <w:tcW w:w="5700" w:type="dxa"/>
            <w:vAlign w:val="bottom"/>
            <w:vMerge w:val="restart"/>
          </w:tcPr>
          <w:p>
            <w:pPr>
              <w:ind w:left="60"/>
              <w:spacing w:after="0"/>
              <w:rPr>
                <w:sz w:val="20"/>
                <w:szCs w:val="20"/>
                <w:color w:val="auto"/>
              </w:rPr>
            </w:pPr>
            <w:r>
              <w:rPr>
                <w:rFonts w:ascii="Arial" w:cs="Arial" w:eastAsia="Arial" w:hAnsi="Arial"/>
                <w:sz w:val="16"/>
                <w:szCs w:val="16"/>
                <w:color w:val="auto"/>
              </w:rPr>
              <w:t>antibody programs</w:t>
            </w:r>
          </w:p>
        </w:tc>
        <w:tc>
          <w:tcPr>
            <w:tcW w:w="120" w:type="dxa"/>
            <w:vAlign w:val="bottom"/>
            <w:shd w:val="clear" w:color="auto" w:fill="EFF2F8"/>
          </w:tcPr>
          <w:p>
            <w:pPr>
              <w:spacing w:after="0"/>
              <w:rPr>
                <w:sz w:val="10"/>
                <w:szCs w:val="10"/>
                <w:color w:val="auto"/>
              </w:rPr>
            </w:pPr>
          </w:p>
        </w:tc>
        <w:tc>
          <w:tcPr>
            <w:tcW w:w="1440" w:type="dxa"/>
            <w:vAlign w:val="bottom"/>
            <w:vMerge w:val="continue"/>
            <w:shd w:val="clear" w:color="auto" w:fill="EFF2F8"/>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500" w:type="dxa"/>
            <w:vAlign w:val="bottom"/>
            <w:tcBorders>
              <w:bottom w:val="single" w:sz="8" w:color="939598"/>
            </w:tcBorders>
          </w:tcPr>
          <w:p>
            <w:pPr>
              <w:spacing w:after="0"/>
              <w:rPr>
                <w:sz w:val="7"/>
                <w:szCs w:val="7"/>
                <w:color w:val="auto"/>
              </w:rPr>
            </w:pPr>
          </w:p>
        </w:tc>
        <w:tc>
          <w:tcPr>
            <w:tcW w:w="5700" w:type="dxa"/>
            <w:vAlign w:val="bottom"/>
            <w:tcBorders>
              <w:bottom w:val="single" w:sz="8" w:color="939598"/>
            </w:tcBorders>
            <w:vMerge w:val="continue"/>
          </w:tcPr>
          <w:p>
            <w:pPr>
              <w:spacing w:after="0"/>
              <w:rPr>
                <w:sz w:val="7"/>
                <w:szCs w:val="7"/>
                <w:color w:val="auto"/>
              </w:rPr>
            </w:pPr>
          </w:p>
        </w:tc>
        <w:tc>
          <w:tcPr>
            <w:tcW w:w="120" w:type="dxa"/>
            <w:vAlign w:val="bottom"/>
            <w:tcBorders>
              <w:bottom w:val="single" w:sz="8" w:color="939598"/>
            </w:tcBorders>
            <w:shd w:val="clear" w:color="auto" w:fill="EFF2F8"/>
          </w:tcPr>
          <w:p>
            <w:pPr>
              <w:spacing w:after="0"/>
              <w:rPr>
                <w:sz w:val="7"/>
                <w:szCs w:val="7"/>
                <w:color w:val="auto"/>
              </w:rPr>
            </w:pPr>
          </w:p>
        </w:tc>
        <w:tc>
          <w:tcPr>
            <w:tcW w:w="1440" w:type="dxa"/>
            <w:vAlign w:val="bottom"/>
            <w:tcBorders>
              <w:bottom w:val="single" w:sz="8" w:color="939598"/>
            </w:tcBorders>
            <w:shd w:val="clear" w:color="auto" w:fill="EFF2F8"/>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500" w:type="dxa"/>
            <w:vAlign w:val="bottom"/>
            <w:shd w:val="clear" w:color="auto" w:fill="DAEBF8"/>
          </w:tcPr>
          <w:p>
            <w:pPr>
              <w:spacing w:after="0"/>
              <w:rPr>
                <w:sz w:val="24"/>
                <w:szCs w:val="24"/>
                <w:color w:val="auto"/>
              </w:rPr>
            </w:pPr>
          </w:p>
        </w:tc>
        <w:tc>
          <w:tcPr>
            <w:tcW w:w="5700" w:type="dxa"/>
            <w:vAlign w:val="bottom"/>
            <w:shd w:val="clear" w:color="auto" w:fill="DAEBF8"/>
          </w:tcPr>
          <w:p>
            <w:pPr>
              <w:ind w:left="60"/>
              <w:spacing w:after="0"/>
              <w:rPr>
                <w:sz w:val="20"/>
                <w:szCs w:val="20"/>
                <w:color w:val="auto"/>
              </w:rPr>
            </w:pPr>
            <w:r>
              <w:rPr>
                <w:rFonts w:ascii="Arial" w:cs="Arial" w:eastAsia="Arial" w:hAnsi="Arial"/>
                <w:sz w:val="16"/>
                <w:szCs w:val="16"/>
                <w:color w:val="auto"/>
              </w:rPr>
              <w:t>Obtain FDA approval for odronextamab (CD20 and CD3 bispecific antibody)</w:t>
            </w:r>
          </w:p>
        </w:tc>
        <w:tc>
          <w:tcPr>
            <w:tcW w:w="120" w:type="dxa"/>
            <w:vAlign w:val="bottom"/>
            <w:shd w:val="clear" w:color="auto" w:fill="EFF2F8"/>
          </w:tcPr>
          <w:p>
            <w:pPr>
              <w:spacing w:after="0"/>
              <w:rPr>
                <w:sz w:val="24"/>
                <w:szCs w:val="24"/>
                <w:color w:val="auto"/>
              </w:rPr>
            </w:pPr>
          </w:p>
        </w:tc>
        <w:tc>
          <w:tcPr>
            <w:tcW w:w="1440" w:type="dxa"/>
            <w:vAlign w:val="bottom"/>
            <w:shd w:val="clear" w:color="auto" w:fill="EFF2F8"/>
          </w:tcPr>
          <w:p>
            <w:pPr>
              <w:ind w:left="40"/>
              <w:spacing w:after="0"/>
              <w:rPr>
                <w:sz w:val="20"/>
                <w:szCs w:val="20"/>
                <w:color w:val="auto"/>
              </w:rPr>
            </w:pPr>
            <w:r>
              <w:rPr>
                <w:rFonts w:ascii="Arial" w:cs="Arial" w:eastAsia="Arial" w:hAnsi="Arial"/>
                <w:sz w:val="16"/>
                <w:szCs w:val="16"/>
                <w:color w:val="auto"/>
              </w:rPr>
              <w:t>Not Achieved</w:t>
            </w:r>
            <w:r>
              <w:rPr>
                <w:rFonts w:ascii="Arial" w:cs="Arial" w:eastAsia="Arial" w:hAnsi="Arial"/>
                <w:sz w:val="21"/>
                <w:szCs w:val="21"/>
                <w:color w:val="auto"/>
                <w:vertAlign w:val="superscript"/>
              </w:rPr>
              <w:t>6</w:t>
            </w:r>
          </w:p>
        </w:tc>
        <w:tc>
          <w:tcPr>
            <w:tcW w:w="0" w:type="dxa"/>
            <w:vAlign w:val="bottom"/>
          </w:tcPr>
          <w:p>
            <w:pPr>
              <w:spacing w:after="0"/>
              <w:rPr>
                <w:sz w:val="1"/>
                <w:szCs w:val="1"/>
                <w:color w:val="auto"/>
              </w:rPr>
            </w:pPr>
          </w:p>
        </w:tc>
      </w:tr>
      <w:tr>
        <w:trPr>
          <w:trHeight w:val="148"/>
        </w:trPr>
        <w:tc>
          <w:tcPr>
            <w:tcW w:w="1500" w:type="dxa"/>
            <w:vAlign w:val="bottom"/>
            <w:tcBorders>
              <w:bottom w:val="single" w:sz="8" w:color="DAEBF8"/>
            </w:tcBorders>
            <w:shd w:val="clear" w:color="auto" w:fill="DAEBF8"/>
          </w:tcPr>
          <w:p>
            <w:pPr>
              <w:spacing w:after="0"/>
              <w:rPr>
                <w:sz w:val="12"/>
                <w:szCs w:val="12"/>
                <w:color w:val="auto"/>
              </w:rPr>
            </w:pPr>
          </w:p>
        </w:tc>
        <w:tc>
          <w:tcPr>
            <w:tcW w:w="5700" w:type="dxa"/>
            <w:vAlign w:val="bottom"/>
            <w:tcBorders>
              <w:bottom w:val="single" w:sz="8" w:color="939598"/>
            </w:tcBorders>
            <w:shd w:val="clear" w:color="auto" w:fill="DAEBF8"/>
          </w:tcPr>
          <w:p>
            <w:pPr>
              <w:ind w:left="60"/>
              <w:spacing w:after="0" w:line="148" w:lineRule="exact"/>
              <w:rPr>
                <w:sz w:val="20"/>
                <w:szCs w:val="20"/>
                <w:color w:val="auto"/>
              </w:rPr>
            </w:pPr>
            <w:r>
              <w:rPr>
                <w:rFonts w:ascii="Arial" w:cs="Arial" w:eastAsia="Arial" w:hAnsi="Arial"/>
                <w:sz w:val="16"/>
                <w:szCs w:val="16"/>
                <w:color w:val="auto"/>
              </w:rPr>
              <w:t>in R/R follicular lymphoma</w:t>
            </w:r>
          </w:p>
        </w:tc>
        <w:tc>
          <w:tcPr>
            <w:tcW w:w="120" w:type="dxa"/>
            <w:vAlign w:val="bottom"/>
            <w:tcBorders>
              <w:bottom w:val="single" w:sz="8" w:color="939598"/>
            </w:tcBorders>
            <w:shd w:val="clear" w:color="auto" w:fill="EFF2F8"/>
          </w:tcPr>
          <w:p>
            <w:pPr>
              <w:spacing w:after="0"/>
              <w:rPr>
                <w:sz w:val="12"/>
                <w:szCs w:val="12"/>
                <w:color w:val="auto"/>
              </w:rPr>
            </w:pPr>
          </w:p>
        </w:tc>
        <w:tc>
          <w:tcPr>
            <w:tcW w:w="1440" w:type="dxa"/>
            <w:vAlign w:val="bottom"/>
            <w:tcBorders>
              <w:bottom w:val="single" w:sz="8" w:color="939598"/>
            </w:tcBorders>
            <w:shd w:val="clear" w:color="auto" w:fill="EFF2F8"/>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500" w:type="dxa"/>
            <w:vAlign w:val="bottom"/>
            <w:vMerge w:val="restart"/>
            <w:shd w:val="clear" w:color="auto" w:fill="DAEBF8"/>
          </w:tcPr>
          <w:p>
            <w:pPr>
              <w:ind w:left="80"/>
              <w:spacing w:after="0"/>
              <w:rPr>
                <w:sz w:val="20"/>
                <w:szCs w:val="20"/>
                <w:color w:val="auto"/>
              </w:rPr>
            </w:pPr>
            <w:r>
              <w:rPr>
                <w:rFonts w:ascii="Arial" w:cs="Arial" w:eastAsia="Arial" w:hAnsi="Arial"/>
                <w:sz w:val="16"/>
                <w:szCs w:val="16"/>
                <w:b w:val="1"/>
                <w:bCs w:val="1"/>
                <w:color w:val="auto"/>
              </w:rPr>
              <w:t>Hematology</w:t>
            </w:r>
          </w:p>
        </w:tc>
        <w:tc>
          <w:tcPr>
            <w:tcW w:w="5700" w:type="dxa"/>
            <w:vAlign w:val="bottom"/>
            <w:shd w:val="clear" w:color="auto" w:fill="DAEBF8"/>
          </w:tcPr>
          <w:p>
            <w:pPr>
              <w:ind w:left="60"/>
              <w:spacing w:after="0"/>
              <w:rPr>
                <w:sz w:val="20"/>
                <w:szCs w:val="20"/>
                <w:color w:val="auto"/>
              </w:rPr>
            </w:pPr>
            <w:r>
              <w:rPr>
                <w:rFonts w:ascii="Arial" w:cs="Arial" w:eastAsia="Arial" w:hAnsi="Arial"/>
                <w:sz w:val="16"/>
                <w:szCs w:val="16"/>
                <w:color w:val="auto"/>
              </w:rPr>
              <w:t>Obtain FDA approval for linvoseltamab (BCMA and CD3 bispecific antibody)</w:t>
            </w:r>
          </w:p>
        </w:tc>
        <w:tc>
          <w:tcPr>
            <w:tcW w:w="120" w:type="dxa"/>
            <w:vAlign w:val="bottom"/>
            <w:shd w:val="clear" w:color="auto" w:fill="EFF2F8"/>
          </w:tcPr>
          <w:p>
            <w:pPr>
              <w:spacing w:after="0"/>
              <w:rPr>
                <w:sz w:val="19"/>
                <w:szCs w:val="19"/>
                <w:color w:val="auto"/>
              </w:rPr>
            </w:pPr>
          </w:p>
        </w:tc>
        <w:tc>
          <w:tcPr>
            <w:tcW w:w="1440" w:type="dxa"/>
            <w:vAlign w:val="bottom"/>
            <w:vMerge w:val="restart"/>
            <w:shd w:val="clear" w:color="auto" w:fill="EFF2F8"/>
          </w:tcPr>
          <w:p>
            <w:pPr>
              <w:ind w:left="40"/>
              <w:spacing w:after="0"/>
              <w:rPr>
                <w:sz w:val="20"/>
                <w:szCs w:val="20"/>
                <w:color w:val="auto"/>
              </w:rPr>
            </w:pPr>
            <w:r>
              <w:rPr>
                <w:rFonts w:ascii="Arial" w:cs="Arial" w:eastAsia="Arial" w:hAnsi="Arial"/>
                <w:sz w:val="16"/>
                <w:szCs w:val="16"/>
                <w:b w:val="1"/>
                <w:bCs w:val="1"/>
                <w:color w:val="065BAA"/>
              </w:rPr>
              <w:t>Achieved</w:t>
            </w:r>
          </w:p>
        </w:tc>
        <w:tc>
          <w:tcPr>
            <w:tcW w:w="0" w:type="dxa"/>
            <w:vAlign w:val="bottom"/>
          </w:tcPr>
          <w:p>
            <w:pPr>
              <w:spacing w:after="0"/>
              <w:rPr>
                <w:sz w:val="1"/>
                <w:szCs w:val="1"/>
                <w:color w:val="auto"/>
              </w:rPr>
            </w:pPr>
          </w:p>
        </w:tc>
      </w:tr>
      <w:tr>
        <w:trPr>
          <w:trHeight w:val="116"/>
        </w:trPr>
        <w:tc>
          <w:tcPr>
            <w:tcW w:w="1500" w:type="dxa"/>
            <w:vAlign w:val="bottom"/>
            <w:vMerge w:val="continue"/>
            <w:shd w:val="clear" w:color="auto" w:fill="DAEBF8"/>
          </w:tcPr>
          <w:p>
            <w:pPr>
              <w:spacing w:after="0"/>
              <w:rPr>
                <w:sz w:val="10"/>
                <w:szCs w:val="10"/>
                <w:color w:val="auto"/>
              </w:rPr>
            </w:pPr>
          </w:p>
        </w:tc>
        <w:tc>
          <w:tcPr>
            <w:tcW w:w="5700" w:type="dxa"/>
            <w:vAlign w:val="bottom"/>
            <w:vMerge w:val="restart"/>
            <w:shd w:val="clear" w:color="auto" w:fill="DAEBF8"/>
          </w:tcPr>
          <w:p>
            <w:pPr>
              <w:ind w:left="60"/>
              <w:spacing w:after="0"/>
              <w:rPr>
                <w:sz w:val="20"/>
                <w:szCs w:val="20"/>
                <w:color w:val="auto"/>
              </w:rPr>
            </w:pPr>
            <w:r>
              <w:rPr>
                <w:rFonts w:ascii="Arial" w:cs="Arial" w:eastAsia="Arial" w:hAnsi="Arial"/>
                <w:sz w:val="16"/>
                <w:szCs w:val="16"/>
                <w:color w:val="auto"/>
              </w:rPr>
              <w:t>in R/R multiple myeloma</w:t>
            </w:r>
          </w:p>
        </w:tc>
        <w:tc>
          <w:tcPr>
            <w:tcW w:w="120" w:type="dxa"/>
            <w:vAlign w:val="bottom"/>
            <w:shd w:val="clear" w:color="auto" w:fill="EFF2F8"/>
          </w:tcPr>
          <w:p>
            <w:pPr>
              <w:spacing w:after="0"/>
              <w:rPr>
                <w:sz w:val="10"/>
                <w:szCs w:val="10"/>
                <w:color w:val="auto"/>
              </w:rPr>
            </w:pPr>
          </w:p>
        </w:tc>
        <w:tc>
          <w:tcPr>
            <w:tcW w:w="1440" w:type="dxa"/>
            <w:vAlign w:val="bottom"/>
            <w:vMerge w:val="continue"/>
            <w:shd w:val="clear" w:color="auto" w:fill="EFF2F8"/>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500" w:type="dxa"/>
            <w:vAlign w:val="bottom"/>
            <w:tcBorders>
              <w:bottom w:val="single" w:sz="8" w:color="DAEBF8"/>
            </w:tcBorders>
            <w:shd w:val="clear" w:color="auto" w:fill="DAEBF8"/>
          </w:tcPr>
          <w:p>
            <w:pPr>
              <w:spacing w:after="0"/>
              <w:rPr>
                <w:sz w:val="7"/>
                <w:szCs w:val="7"/>
                <w:color w:val="auto"/>
              </w:rPr>
            </w:pPr>
          </w:p>
        </w:tc>
        <w:tc>
          <w:tcPr>
            <w:tcW w:w="5700" w:type="dxa"/>
            <w:vAlign w:val="bottom"/>
            <w:tcBorders>
              <w:bottom w:val="single" w:sz="8" w:color="939598"/>
            </w:tcBorders>
            <w:vMerge w:val="continue"/>
            <w:shd w:val="clear" w:color="auto" w:fill="DAEBF8"/>
          </w:tcPr>
          <w:p>
            <w:pPr>
              <w:spacing w:after="0"/>
              <w:rPr>
                <w:sz w:val="7"/>
                <w:szCs w:val="7"/>
                <w:color w:val="auto"/>
              </w:rPr>
            </w:pPr>
          </w:p>
        </w:tc>
        <w:tc>
          <w:tcPr>
            <w:tcW w:w="120" w:type="dxa"/>
            <w:vAlign w:val="bottom"/>
            <w:tcBorders>
              <w:bottom w:val="single" w:sz="8" w:color="939598"/>
            </w:tcBorders>
            <w:shd w:val="clear" w:color="auto" w:fill="EFF2F8"/>
          </w:tcPr>
          <w:p>
            <w:pPr>
              <w:spacing w:after="0"/>
              <w:rPr>
                <w:sz w:val="7"/>
                <w:szCs w:val="7"/>
                <w:color w:val="auto"/>
              </w:rPr>
            </w:pPr>
          </w:p>
        </w:tc>
        <w:tc>
          <w:tcPr>
            <w:tcW w:w="1440" w:type="dxa"/>
            <w:vAlign w:val="bottom"/>
            <w:tcBorders>
              <w:bottom w:val="single" w:sz="8" w:color="939598"/>
            </w:tcBorders>
            <w:shd w:val="clear" w:color="auto" w:fill="EFF2F8"/>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500" w:type="dxa"/>
            <w:vAlign w:val="bottom"/>
            <w:shd w:val="clear" w:color="auto" w:fill="DAEBF8"/>
          </w:tcPr>
          <w:p>
            <w:pPr>
              <w:spacing w:after="0"/>
              <w:rPr>
                <w:sz w:val="24"/>
                <w:szCs w:val="24"/>
                <w:color w:val="auto"/>
              </w:rPr>
            </w:pPr>
          </w:p>
        </w:tc>
        <w:tc>
          <w:tcPr>
            <w:tcW w:w="5700" w:type="dxa"/>
            <w:vAlign w:val="bottom"/>
            <w:shd w:val="clear" w:color="auto" w:fill="DAEBF8"/>
          </w:tcPr>
          <w:p>
            <w:pPr>
              <w:ind w:left="60"/>
              <w:spacing w:after="0"/>
              <w:rPr>
                <w:sz w:val="20"/>
                <w:szCs w:val="20"/>
                <w:color w:val="auto"/>
              </w:rPr>
            </w:pPr>
            <w:r>
              <w:rPr>
                <w:rFonts w:ascii="Arial" w:cs="Arial" w:eastAsia="Arial" w:hAnsi="Arial"/>
                <w:sz w:val="16"/>
                <w:szCs w:val="16"/>
                <w:color w:val="auto"/>
              </w:rPr>
              <w:t>Initiate Phase 3 program for Factor XI antibodies (REGN9933</w:t>
            </w:r>
          </w:p>
        </w:tc>
        <w:tc>
          <w:tcPr>
            <w:tcW w:w="120" w:type="dxa"/>
            <w:vAlign w:val="bottom"/>
            <w:shd w:val="clear" w:color="auto" w:fill="EFF2F8"/>
          </w:tcPr>
          <w:p>
            <w:pPr>
              <w:spacing w:after="0"/>
              <w:rPr>
                <w:sz w:val="24"/>
                <w:szCs w:val="24"/>
                <w:color w:val="auto"/>
              </w:rPr>
            </w:pPr>
          </w:p>
        </w:tc>
        <w:tc>
          <w:tcPr>
            <w:tcW w:w="1440" w:type="dxa"/>
            <w:vAlign w:val="bottom"/>
            <w:shd w:val="clear" w:color="auto" w:fill="EFF2F8"/>
          </w:tcPr>
          <w:p>
            <w:pPr>
              <w:ind w:left="40"/>
              <w:spacing w:after="0"/>
              <w:rPr>
                <w:sz w:val="20"/>
                <w:szCs w:val="20"/>
                <w:color w:val="auto"/>
              </w:rPr>
            </w:pPr>
            <w:r>
              <w:rPr>
                <w:rFonts w:ascii="Arial" w:cs="Arial" w:eastAsia="Arial" w:hAnsi="Arial"/>
                <w:sz w:val="16"/>
                <w:szCs w:val="16"/>
                <w:b w:val="1"/>
                <w:bCs w:val="1"/>
                <w:color w:val="065BAA"/>
              </w:rPr>
              <w:t>Achieved</w:t>
            </w:r>
            <w:r>
              <w:rPr>
                <w:rFonts w:ascii="Arial" w:cs="Arial" w:eastAsia="Arial" w:hAnsi="Arial"/>
                <w:sz w:val="21"/>
                <w:szCs w:val="21"/>
                <w:b w:val="1"/>
                <w:bCs w:val="1"/>
                <w:color w:val="065BAA"/>
                <w:vertAlign w:val="superscript"/>
              </w:rPr>
              <w:t>7</w:t>
            </w:r>
          </w:p>
        </w:tc>
        <w:tc>
          <w:tcPr>
            <w:tcW w:w="0" w:type="dxa"/>
            <w:vAlign w:val="bottom"/>
          </w:tcPr>
          <w:p>
            <w:pPr>
              <w:spacing w:after="0"/>
              <w:rPr>
                <w:sz w:val="1"/>
                <w:szCs w:val="1"/>
                <w:color w:val="auto"/>
              </w:rPr>
            </w:pPr>
          </w:p>
        </w:tc>
      </w:tr>
      <w:tr>
        <w:trPr>
          <w:trHeight w:val="149"/>
        </w:trPr>
        <w:tc>
          <w:tcPr>
            <w:tcW w:w="1500" w:type="dxa"/>
            <w:vAlign w:val="bottom"/>
            <w:tcBorders>
              <w:bottom w:val="single" w:sz="8" w:color="939598"/>
            </w:tcBorders>
            <w:shd w:val="clear" w:color="auto" w:fill="DAEBF8"/>
          </w:tcPr>
          <w:p>
            <w:pPr>
              <w:spacing w:after="0"/>
              <w:rPr>
                <w:sz w:val="12"/>
                <w:szCs w:val="12"/>
                <w:color w:val="auto"/>
              </w:rPr>
            </w:pPr>
          </w:p>
        </w:tc>
        <w:tc>
          <w:tcPr>
            <w:tcW w:w="5700" w:type="dxa"/>
            <w:vAlign w:val="bottom"/>
            <w:tcBorders>
              <w:bottom w:val="single" w:sz="8" w:color="939598"/>
            </w:tcBorders>
            <w:shd w:val="clear" w:color="auto" w:fill="DAEBF8"/>
          </w:tcPr>
          <w:p>
            <w:pPr>
              <w:ind w:left="60"/>
              <w:spacing w:after="0" w:line="148" w:lineRule="exact"/>
              <w:rPr>
                <w:sz w:val="20"/>
                <w:szCs w:val="20"/>
                <w:color w:val="auto"/>
              </w:rPr>
            </w:pPr>
            <w:r>
              <w:rPr>
                <w:rFonts w:ascii="Arial" w:cs="Arial" w:eastAsia="Arial" w:hAnsi="Arial"/>
                <w:sz w:val="16"/>
                <w:szCs w:val="16"/>
                <w:color w:val="auto"/>
              </w:rPr>
              <w:t>and REGN7508)</w:t>
            </w:r>
          </w:p>
        </w:tc>
        <w:tc>
          <w:tcPr>
            <w:tcW w:w="120" w:type="dxa"/>
            <w:vAlign w:val="bottom"/>
            <w:tcBorders>
              <w:bottom w:val="single" w:sz="8" w:color="939598"/>
            </w:tcBorders>
            <w:shd w:val="clear" w:color="auto" w:fill="EFF2F8"/>
          </w:tcPr>
          <w:p>
            <w:pPr>
              <w:spacing w:after="0"/>
              <w:rPr>
                <w:sz w:val="12"/>
                <w:szCs w:val="12"/>
                <w:color w:val="auto"/>
              </w:rPr>
            </w:pPr>
          </w:p>
        </w:tc>
        <w:tc>
          <w:tcPr>
            <w:tcW w:w="1440" w:type="dxa"/>
            <w:vAlign w:val="bottom"/>
            <w:tcBorders>
              <w:bottom w:val="single" w:sz="8" w:color="939598"/>
            </w:tcBorders>
            <w:shd w:val="clear" w:color="auto" w:fill="EFF2F8"/>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500" w:type="dxa"/>
            <w:vAlign w:val="bottom"/>
          </w:tcPr>
          <w:p>
            <w:pPr>
              <w:spacing w:after="0"/>
              <w:rPr>
                <w:sz w:val="19"/>
                <w:szCs w:val="19"/>
                <w:color w:val="auto"/>
              </w:rPr>
            </w:pPr>
          </w:p>
        </w:tc>
        <w:tc>
          <w:tcPr>
            <w:tcW w:w="5700" w:type="dxa"/>
            <w:vAlign w:val="bottom"/>
          </w:tcPr>
          <w:p>
            <w:pPr>
              <w:ind w:left="60"/>
              <w:spacing w:after="0"/>
              <w:rPr>
                <w:sz w:val="20"/>
                <w:szCs w:val="20"/>
                <w:color w:val="auto"/>
              </w:rPr>
            </w:pPr>
            <w:r>
              <w:rPr>
                <w:rFonts w:ascii="Arial" w:cs="Arial" w:eastAsia="Arial" w:hAnsi="Arial"/>
                <w:sz w:val="16"/>
                <w:szCs w:val="16"/>
                <w:color w:val="auto"/>
              </w:rPr>
              <w:t>Report additional data from Phase 1/2 study for DB-OTO (AAV-based gene</w:t>
            </w:r>
          </w:p>
        </w:tc>
        <w:tc>
          <w:tcPr>
            <w:tcW w:w="120" w:type="dxa"/>
            <w:vAlign w:val="bottom"/>
            <w:shd w:val="clear" w:color="auto" w:fill="EFF2F8"/>
          </w:tcPr>
          <w:p>
            <w:pPr>
              <w:spacing w:after="0"/>
              <w:rPr>
                <w:sz w:val="19"/>
                <w:szCs w:val="19"/>
                <w:color w:val="auto"/>
              </w:rPr>
            </w:pPr>
          </w:p>
        </w:tc>
        <w:tc>
          <w:tcPr>
            <w:tcW w:w="1440" w:type="dxa"/>
            <w:vAlign w:val="bottom"/>
            <w:vMerge w:val="restart"/>
            <w:shd w:val="clear" w:color="auto" w:fill="EFF2F8"/>
          </w:tcPr>
          <w:p>
            <w:pPr>
              <w:ind w:left="40"/>
              <w:spacing w:after="0"/>
              <w:rPr>
                <w:sz w:val="20"/>
                <w:szCs w:val="20"/>
                <w:color w:val="auto"/>
              </w:rPr>
            </w:pPr>
            <w:r>
              <w:rPr>
                <w:rFonts w:ascii="Arial" w:cs="Arial" w:eastAsia="Arial" w:hAnsi="Arial"/>
                <w:sz w:val="16"/>
                <w:szCs w:val="16"/>
                <w:b w:val="1"/>
                <w:bCs w:val="1"/>
                <w:color w:val="065BAA"/>
              </w:rPr>
              <w:t>Achieved</w:t>
            </w:r>
          </w:p>
        </w:tc>
        <w:tc>
          <w:tcPr>
            <w:tcW w:w="0" w:type="dxa"/>
            <w:vAlign w:val="bottom"/>
          </w:tcPr>
          <w:p>
            <w:pPr>
              <w:spacing w:after="0"/>
              <w:rPr>
                <w:sz w:val="1"/>
                <w:szCs w:val="1"/>
                <w:color w:val="auto"/>
              </w:rPr>
            </w:pPr>
          </w:p>
        </w:tc>
      </w:tr>
      <w:tr>
        <w:trPr>
          <w:trHeight w:val="116"/>
        </w:trPr>
        <w:tc>
          <w:tcPr>
            <w:tcW w:w="15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Genetic</w:t>
            </w:r>
          </w:p>
        </w:tc>
        <w:tc>
          <w:tcPr>
            <w:tcW w:w="5700" w:type="dxa"/>
            <w:vAlign w:val="bottom"/>
            <w:vMerge w:val="restart"/>
          </w:tcPr>
          <w:p>
            <w:pPr>
              <w:ind w:left="60"/>
              <w:spacing w:after="0"/>
              <w:rPr>
                <w:sz w:val="20"/>
                <w:szCs w:val="20"/>
                <w:color w:val="auto"/>
              </w:rPr>
            </w:pPr>
            <w:r>
              <w:rPr>
                <w:rFonts w:ascii="Arial" w:cs="Arial" w:eastAsia="Arial" w:hAnsi="Arial"/>
                <w:sz w:val="16"/>
                <w:szCs w:val="16"/>
                <w:color w:val="auto"/>
              </w:rPr>
              <w:t>therapy) in patients with hearing deficit due to variants of the otoferlin gene</w:t>
            </w:r>
          </w:p>
        </w:tc>
        <w:tc>
          <w:tcPr>
            <w:tcW w:w="120" w:type="dxa"/>
            <w:vAlign w:val="bottom"/>
            <w:shd w:val="clear" w:color="auto" w:fill="EFF2F8"/>
          </w:tcPr>
          <w:p>
            <w:pPr>
              <w:spacing w:after="0"/>
              <w:rPr>
                <w:sz w:val="10"/>
                <w:szCs w:val="10"/>
                <w:color w:val="auto"/>
              </w:rPr>
            </w:pPr>
          </w:p>
        </w:tc>
        <w:tc>
          <w:tcPr>
            <w:tcW w:w="1440" w:type="dxa"/>
            <w:vAlign w:val="bottom"/>
            <w:vMerge w:val="continue"/>
            <w:shd w:val="clear" w:color="auto" w:fill="EFF2F8"/>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500" w:type="dxa"/>
            <w:vAlign w:val="bottom"/>
            <w:vMerge w:val="continue"/>
          </w:tcPr>
          <w:p>
            <w:pPr>
              <w:spacing w:after="0"/>
              <w:rPr>
                <w:sz w:val="7"/>
                <w:szCs w:val="7"/>
                <w:color w:val="auto"/>
              </w:rPr>
            </w:pPr>
          </w:p>
        </w:tc>
        <w:tc>
          <w:tcPr>
            <w:tcW w:w="5700" w:type="dxa"/>
            <w:vAlign w:val="bottom"/>
            <w:tcBorders>
              <w:bottom w:val="single" w:sz="8" w:color="939598"/>
            </w:tcBorders>
            <w:vMerge w:val="continue"/>
          </w:tcPr>
          <w:p>
            <w:pPr>
              <w:spacing w:after="0"/>
              <w:rPr>
                <w:sz w:val="7"/>
                <w:szCs w:val="7"/>
                <w:color w:val="auto"/>
              </w:rPr>
            </w:pPr>
          </w:p>
        </w:tc>
        <w:tc>
          <w:tcPr>
            <w:tcW w:w="120" w:type="dxa"/>
            <w:vAlign w:val="bottom"/>
            <w:tcBorders>
              <w:bottom w:val="single" w:sz="8" w:color="939598"/>
            </w:tcBorders>
            <w:shd w:val="clear" w:color="auto" w:fill="EFF2F8"/>
          </w:tcPr>
          <w:p>
            <w:pPr>
              <w:spacing w:after="0"/>
              <w:rPr>
                <w:sz w:val="7"/>
                <w:szCs w:val="7"/>
                <w:color w:val="auto"/>
              </w:rPr>
            </w:pPr>
          </w:p>
        </w:tc>
        <w:tc>
          <w:tcPr>
            <w:tcW w:w="1440" w:type="dxa"/>
            <w:vAlign w:val="bottom"/>
            <w:tcBorders>
              <w:bottom w:val="single" w:sz="8" w:color="939598"/>
            </w:tcBorders>
            <w:shd w:val="clear" w:color="auto" w:fill="EFF2F8"/>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5700" w:type="dxa"/>
            <w:vAlign w:val="bottom"/>
            <w:vMerge w:val="restart"/>
          </w:tcPr>
          <w:p>
            <w:pPr>
              <w:ind w:left="60"/>
              <w:spacing w:after="0"/>
              <w:rPr>
                <w:sz w:val="20"/>
                <w:szCs w:val="20"/>
                <w:color w:val="auto"/>
              </w:rPr>
            </w:pPr>
            <w:r>
              <w:rPr>
                <w:rFonts w:ascii="Arial" w:cs="Arial" w:eastAsia="Arial" w:hAnsi="Arial"/>
                <w:sz w:val="16"/>
                <w:szCs w:val="16"/>
                <w:color w:val="auto"/>
              </w:rPr>
              <w:t>Report results from Phase 3 study for cemdisiran (siRNA therapeutic targeting</w:t>
            </w:r>
          </w:p>
        </w:tc>
        <w:tc>
          <w:tcPr>
            <w:tcW w:w="120" w:type="dxa"/>
            <w:vAlign w:val="bottom"/>
            <w:shd w:val="clear" w:color="auto" w:fill="EFF2F8"/>
          </w:tcPr>
          <w:p>
            <w:pPr>
              <w:spacing w:after="0"/>
              <w:rPr>
                <w:sz w:val="8"/>
                <w:szCs w:val="8"/>
                <w:color w:val="auto"/>
              </w:rPr>
            </w:pPr>
          </w:p>
        </w:tc>
        <w:tc>
          <w:tcPr>
            <w:tcW w:w="1440" w:type="dxa"/>
            <w:vAlign w:val="bottom"/>
            <w:shd w:val="clear" w:color="auto" w:fill="EFF2F8"/>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Medicines</w:t>
            </w:r>
          </w:p>
        </w:tc>
        <w:tc>
          <w:tcPr>
            <w:tcW w:w="5700" w:type="dxa"/>
            <w:vAlign w:val="bottom"/>
            <w:vMerge w:val="continue"/>
          </w:tcPr>
          <w:p>
            <w:pPr>
              <w:spacing w:after="0"/>
              <w:rPr>
                <w:sz w:val="10"/>
                <w:szCs w:val="10"/>
                <w:color w:val="auto"/>
              </w:rPr>
            </w:pPr>
          </w:p>
        </w:tc>
        <w:tc>
          <w:tcPr>
            <w:tcW w:w="120" w:type="dxa"/>
            <w:vAlign w:val="bottom"/>
            <w:shd w:val="clear" w:color="auto" w:fill="EFF2F8"/>
          </w:tcPr>
          <w:p>
            <w:pPr>
              <w:spacing w:after="0"/>
              <w:rPr>
                <w:sz w:val="10"/>
                <w:szCs w:val="10"/>
                <w:color w:val="auto"/>
              </w:rPr>
            </w:pPr>
          </w:p>
        </w:tc>
        <w:tc>
          <w:tcPr>
            <w:tcW w:w="1440" w:type="dxa"/>
            <w:vAlign w:val="bottom"/>
            <w:shd w:val="clear" w:color="auto" w:fill="EFF2F8"/>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500" w:type="dxa"/>
            <w:vAlign w:val="bottom"/>
            <w:vMerge w:val="continue"/>
          </w:tcPr>
          <w:p>
            <w:pPr>
              <w:spacing w:after="0"/>
              <w:rPr>
                <w:sz w:val="8"/>
                <w:szCs w:val="8"/>
                <w:color w:val="auto"/>
              </w:rPr>
            </w:pPr>
          </w:p>
        </w:tc>
        <w:tc>
          <w:tcPr>
            <w:tcW w:w="5700" w:type="dxa"/>
            <w:vAlign w:val="bottom"/>
            <w:vMerge w:val="restart"/>
          </w:tcPr>
          <w:p>
            <w:pPr>
              <w:ind w:left="60"/>
              <w:spacing w:after="0"/>
              <w:rPr>
                <w:sz w:val="20"/>
                <w:szCs w:val="20"/>
                <w:color w:val="auto"/>
              </w:rPr>
            </w:pPr>
            <w:r>
              <w:rPr>
                <w:rFonts w:ascii="Arial" w:cs="Arial" w:eastAsia="Arial" w:hAnsi="Arial"/>
                <w:sz w:val="16"/>
                <w:szCs w:val="16"/>
                <w:color w:val="auto"/>
              </w:rPr>
              <w:t>C5) as a monotherapy and in combination with pozelimab (C5 antibody) in</w:t>
            </w:r>
          </w:p>
        </w:tc>
        <w:tc>
          <w:tcPr>
            <w:tcW w:w="120" w:type="dxa"/>
            <w:vAlign w:val="bottom"/>
            <w:shd w:val="clear" w:color="auto" w:fill="EFF2F8"/>
          </w:tcPr>
          <w:p>
            <w:pPr>
              <w:spacing w:after="0"/>
              <w:rPr>
                <w:sz w:val="8"/>
                <w:szCs w:val="8"/>
                <w:color w:val="auto"/>
              </w:rPr>
            </w:pPr>
          </w:p>
        </w:tc>
        <w:tc>
          <w:tcPr>
            <w:tcW w:w="1440" w:type="dxa"/>
            <w:vAlign w:val="bottom"/>
            <w:vMerge w:val="restart"/>
            <w:shd w:val="clear" w:color="auto" w:fill="EFF2F8"/>
          </w:tcPr>
          <w:p>
            <w:pPr>
              <w:ind w:left="40"/>
              <w:spacing w:after="0"/>
              <w:rPr>
                <w:sz w:val="20"/>
                <w:szCs w:val="20"/>
                <w:color w:val="auto"/>
              </w:rPr>
            </w:pPr>
            <w:r>
              <w:rPr>
                <w:rFonts w:ascii="Arial" w:cs="Arial" w:eastAsia="Arial" w:hAnsi="Arial"/>
                <w:sz w:val="16"/>
                <w:szCs w:val="16"/>
                <w:b w:val="1"/>
                <w:bCs w:val="1"/>
                <w:color w:val="065BAA"/>
              </w:rPr>
              <w:t>Achieved</w:t>
            </w:r>
          </w:p>
        </w:tc>
        <w:tc>
          <w:tcPr>
            <w:tcW w:w="0" w:type="dxa"/>
            <w:vAlign w:val="bottom"/>
          </w:tcPr>
          <w:p>
            <w:pPr>
              <w:spacing w:after="0"/>
              <w:rPr>
                <w:sz w:val="1"/>
                <w:szCs w:val="1"/>
                <w:color w:val="auto"/>
              </w:rPr>
            </w:pPr>
          </w:p>
        </w:tc>
      </w:tr>
      <w:tr>
        <w:trPr>
          <w:trHeight w:val="101"/>
        </w:trPr>
        <w:tc>
          <w:tcPr>
            <w:tcW w:w="1500" w:type="dxa"/>
            <w:vAlign w:val="bottom"/>
          </w:tcPr>
          <w:p>
            <w:pPr>
              <w:spacing w:after="0"/>
              <w:rPr>
                <w:sz w:val="8"/>
                <w:szCs w:val="8"/>
                <w:color w:val="auto"/>
              </w:rPr>
            </w:pPr>
          </w:p>
        </w:tc>
        <w:tc>
          <w:tcPr>
            <w:tcW w:w="5700" w:type="dxa"/>
            <w:vAlign w:val="bottom"/>
            <w:vMerge w:val="continue"/>
          </w:tcPr>
          <w:p>
            <w:pPr>
              <w:spacing w:after="0"/>
              <w:rPr>
                <w:sz w:val="8"/>
                <w:szCs w:val="8"/>
                <w:color w:val="auto"/>
              </w:rPr>
            </w:pPr>
          </w:p>
        </w:tc>
        <w:tc>
          <w:tcPr>
            <w:tcW w:w="120" w:type="dxa"/>
            <w:vAlign w:val="bottom"/>
            <w:shd w:val="clear" w:color="auto" w:fill="EFF2F8"/>
          </w:tcPr>
          <w:p>
            <w:pPr>
              <w:spacing w:after="0"/>
              <w:rPr>
                <w:sz w:val="8"/>
                <w:szCs w:val="8"/>
                <w:color w:val="auto"/>
              </w:rPr>
            </w:pPr>
          </w:p>
        </w:tc>
        <w:tc>
          <w:tcPr>
            <w:tcW w:w="1440" w:type="dxa"/>
            <w:vAlign w:val="bottom"/>
            <w:vMerge w:val="continue"/>
            <w:shd w:val="clear" w:color="auto" w:fill="EFF2F8"/>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00" w:type="dxa"/>
            <w:vAlign w:val="bottom"/>
            <w:tcBorders>
              <w:bottom w:val="single" w:sz="8" w:color="939598"/>
            </w:tcBorders>
          </w:tcPr>
          <w:p>
            <w:pPr>
              <w:spacing w:after="0"/>
              <w:rPr>
                <w:sz w:val="18"/>
                <w:szCs w:val="18"/>
                <w:color w:val="auto"/>
              </w:rPr>
            </w:pPr>
          </w:p>
        </w:tc>
        <w:tc>
          <w:tcPr>
            <w:tcW w:w="5700" w:type="dxa"/>
            <w:vAlign w:val="bottom"/>
            <w:tcBorders>
              <w:bottom w:val="single" w:sz="8" w:color="939598"/>
            </w:tcBorders>
          </w:tcPr>
          <w:p>
            <w:pPr>
              <w:ind w:left="60"/>
              <w:spacing w:after="0"/>
              <w:rPr>
                <w:sz w:val="20"/>
                <w:szCs w:val="20"/>
                <w:color w:val="auto"/>
              </w:rPr>
            </w:pPr>
            <w:r>
              <w:rPr>
                <w:rFonts w:ascii="Arial" w:cs="Arial" w:eastAsia="Arial" w:hAnsi="Arial"/>
                <w:sz w:val="16"/>
                <w:szCs w:val="16"/>
                <w:color w:val="auto"/>
              </w:rPr>
              <w:t>myasthenia gravis</w:t>
            </w:r>
          </w:p>
        </w:tc>
        <w:tc>
          <w:tcPr>
            <w:tcW w:w="120" w:type="dxa"/>
            <w:vAlign w:val="bottom"/>
            <w:tcBorders>
              <w:bottom w:val="single" w:sz="8" w:color="939598"/>
            </w:tcBorders>
            <w:shd w:val="clear" w:color="auto" w:fill="EFF2F8"/>
          </w:tcPr>
          <w:p>
            <w:pPr>
              <w:spacing w:after="0"/>
              <w:rPr>
                <w:sz w:val="18"/>
                <w:szCs w:val="18"/>
                <w:color w:val="auto"/>
              </w:rPr>
            </w:pPr>
          </w:p>
        </w:tc>
        <w:tc>
          <w:tcPr>
            <w:tcW w:w="1440" w:type="dxa"/>
            <w:vAlign w:val="bottom"/>
            <w:tcBorders>
              <w:bottom w:val="single" w:sz="8" w:color="939598"/>
            </w:tcBorders>
            <w:shd w:val="clear" w:color="auto" w:fill="EFF2F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00" w:type="dxa"/>
            <w:vAlign w:val="bottom"/>
            <w:shd w:val="clear" w:color="auto" w:fill="DAEBF8"/>
          </w:tcPr>
          <w:p>
            <w:pPr>
              <w:spacing w:after="0"/>
              <w:rPr>
                <w:sz w:val="19"/>
                <w:szCs w:val="19"/>
                <w:color w:val="auto"/>
              </w:rPr>
            </w:pPr>
          </w:p>
        </w:tc>
        <w:tc>
          <w:tcPr>
            <w:tcW w:w="5700" w:type="dxa"/>
            <w:vAlign w:val="bottom"/>
            <w:shd w:val="clear" w:color="auto" w:fill="DAEBF8"/>
          </w:tcPr>
          <w:p>
            <w:pPr>
              <w:ind w:left="60"/>
              <w:spacing w:after="0"/>
              <w:rPr>
                <w:sz w:val="20"/>
                <w:szCs w:val="20"/>
                <w:color w:val="auto"/>
              </w:rPr>
            </w:pPr>
            <w:r>
              <w:rPr>
                <w:rFonts w:ascii="Arial" w:cs="Arial" w:eastAsia="Arial" w:hAnsi="Arial"/>
                <w:sz w:val="16"/>
                <w:szCs w:val="16"/>
                <w:color w:val="auto"/>
              </w:rPr>
              <w:t>Report results from Phase 2 study investigating combinations of semaglutide</w:t>
            </w:r>
          </w:p>
        </w:tc>
        <w:tc>
          <w:tcPr>
            <w:tcW w:w="120" w:type="dxa"/>
            <w:vAlign w:val="bottom"/>
            <w:shd w:val="clear" w:color="auto" w:fill="EFF2F8"/>
          </w:tcPr>
          <w:p>
            <w:pPr>
              <w:spacing w:after="0"/>
              <w:rPr>
                <w:sz w:val="19"/>
                <w:szCs w:val="19"/>
                <w:color w:val="auto"/>
              </w:rPr>
            </w:pPr>
          </w:p>
        </w:tc>
        <w:tc>
          <w:tcPr>
            <w:tcW w:w="1440" w:type="dxa"/>
            <w:vAlign w:val="bottom"/>
            <w:shd w:val="clear" w:color="auto" w:fill="EFF2F8"/>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500" w:type="dxa"/>
            <w:vAlign w:val="bottom"/>
            <w:shd w:val="clear" w:color="auto" w:fill="DAEBF8"/>
          </w:tcPr>
          <w:p>
            <w:pPr>
              <w:spacing w:after="0"/>
              <w:rPr>
                <w:sz w:val="17"/>
                <w:szCs w:val="17"/>
                <w:color w:val="auto"/>
              </w:rPr>
            </w:pPr>
          </w:p>
        </w:tc>
        <w:tc>
          <w:tcPr>
            <w:tcW w:w="5700" w:type="dxa"/>
            <w:vAlign w:val="bottom"/>
            <w:shd w:val="clear" w:color="auto" w:fill="DAEBF8"/>
          </w:tcPr>
          <w:p>
            <w:pPr>
              <w:ind w:left="60"/>
              <w:spacing w:after="0"/>
              <w:rPr>
                <w:sz w:val="20"/>
                <w:szCs w:val="20"/>
                <w:color w:val="auto"/>
              </w:rPr>
            </w:pPr>
            <w:r>
              <w:rPr>
                <w:rFonts w:ascii="Arial" w:cs="Arial" w:eastAsia="Arial" w:hAnsi="Arial"/>
                <w:sz w:val="16"/>
                <w:szCs w:val="16"/>
                <w:color w:val="auto"/>
              </w:rPr>
              <w:t>(GLP-1 receptor agonist) and trevogrumab (anti-GDF8/anti-myostatin) with or</w:t>
            </w:r>
          </w:p>
        </w:tc>
        <w:tc>
          <w:tcPr>
            <w:tcW w:w="120" w:type="dxa"/>
            <w:vAlign w:val="bottom"/>
            <w:shd w:val="clear" w:color="auto" w:fill="EFF2F8"/>
          </w:tcPr>
          <w:p>
            <w:pPr>
              <w:spacing w:after="0"/>
              <w:rPr>
                <w:sz w:val="17"/>
                <w:szCs w:val="17"/>
                <w:color w:val="auto"/>
              </w:rPr>
            </w:pPr>
          </w:p>
        </w:tc>
        <w:tc>
          <w:tcPr>
            <w:tcW w:w="1440" w:type="dxa"/>
            <w:vAlign w:val="bottom"/>
            <w:shd w:val="clear" w:color="auto" w:fill="EFF2F8"/>
          </w:tcPr>
          <w:p>
            <w:pPr>
              <w:ind w:left="40"/>
              <w:spacing w:after="0"/>
              <w:rPr>
                <w:sz w:val="20"/>
                <w:szCs w:val="20"/>
                <w:color w:val="auto"/>
              </w:rPr>
            </w:pPr>
            <w:r>
              <w:rPr>
                <w:rFonts w:ascii="Arial" w:cs="Arial" w:eastAsia="Arial" w:hAnsi="Arial"/>
                <w:sz w:val="16"/>
                <w:szCs w:val="16"/>
                <w:b w:val="1"/>
                <w:bCs w:val="1"/>
                <w:color w:val="065BAA"/>
              </w:rPr>
              <w:t>Achieved</w:t>
            </w:r>
          </w:p>
        </w:tc>
        <w:tc>
          <w:tcPr>
            <w:tcW w:w="0" w:type="dxa"/>
            <w:vAlign w:val="bottom"/>
          </w:tcPr>
          <w:p>
            <w:pPr>
              <w:spacing w:after="0"/>
              <w:rPr>
                <w:sz w:val="1"/>
                <w:szCs w:val="1"/>
                <w:color w:val="auto"/>
              </w:rPr>
            </w:pPr>
          </w:p>
        </w:tc>
      </w:tr>
      <w:tr>
        <w:trPr>
          <w:trHeight w:val="217"/>
        </w:trPr>
        <w:tc>
          <w:tcPr>
            <w:tcW w:w="1500" w:type="dxa"/>
            <w:vAlign w:val="bottom"/>
            <w:tcBorders>
              <w:bottom w:val="single" w:sz="8" w:color="DAEBF8"/>
            </w:tcBorders>
            <w:shd w:val="clear" w:color="auto" w:fill="DAEBF8"/>
          </w:tcPr>
          <w:p>
            <w:pPr>
              <w:ind w:left="80"/>
              <w:spacing w:after="0"/>
              <w:rPr>
                <w:sz w:val="20"/>
                <w:szCs w:val="20"/>
                <w:color w:val="auto"/>
              </w:rPr>
            </w:pPr>
            <w:r>
              <w:rPr>
                <w:rFonts w:ascii="Arial" w:cs="Arial" w:eastAsia="Arial" w:hAnsi="Arial"/>
                <w:sz w:val="16"/>
                <w:szCs w:val="16"/>
                <w:b w:val="1"/>
                <w:bCs w:val="1"/>
                <w:color w:val="auto"/>
              </w:rPr>
              <w:t>Internal Medicine</w:t>
            </w:r>
          </w:p>
        </w:tc>
        <w:tc>
          <w:tcPr>
            <w:tcW w:w="5700" w:type="dxa"/>
            <w:vAlign w:val="bottom"/>
            <w:tcBorders>
              <w:bottom w:val="single" w:sz="8" w:color="939598"/>
            </w:tcBorders>
            <w:shd w:val="clear" w:color="auto" w:fill="DAEBF8"/>
          </w:tcPr>
          <w:p>
            <w:pPr>
              <w:ind w:left="60"/>
              <w:spacing w:after="0"/>
              <w:rPr>
                <w:sz w:val="20"/>
                <w:szCs w:val="20"/>
                <w:color w:val="auto"/>
              </w:rPr>
            </w:pPr>
            <w:r>
              <w:rPr>
                <w:rFonts w:ascii="Arial" w:cs="Arial" w:eastAsia="Arial" w:hAnsi="Arial"/>
                <w:sz w:val="16"/>
                <w:szCs w:val="16"/>
                <w:color w:val="auto"/>
              </w:rPr>
              <w:t>without garetosmab (anti-activin A) in obesity</w:t>
            </w:r>
          </w:p>
        </w:tc>
        <w:tc>
          <w:tcPr>
            <w:tcW w:w="120" w:type="dxa"/>
            <w:vAlign w:val="bottom"/>
            <w:tcBorders>
              <w:bottom w:val="single" w:sz="8" w:color="939598"/>
            </w:tcBorders>
            <w:shd w:val="clear" w:color="auto" w:fill="EFF2F8"/>
          </w:tcPr>
          <w:p>
            <w:pPr>
              <w:spacing w:after="0"/>
              <w:rPr>
                <w:sz w:val="18"/>
                <w:szCs w:val="18"/>
                <w:color w:val="auto"/>
              </w:rPr>
            </w:pPr>
          </w:p>
        </w:tc>
        <w:tc>
          <w:tcPr>
            <w:tcW w:w="1440" w:type="dxa"/>
            <w:vAlign w:val="bottom"/>
            <w:tcBorders>
              <w:bottom w:val="single" w:sz="8" w:color="939598"/>
            </w:tcBorders>
            <w:shd w:val="clear" w:color="auto" w:fill="EFF2F8"/>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500" w:type="dxa"/>
            <w:vAlign w:val="bottom"/>
            <w:shd w:val="clear" w:color="auto" w:fill="DAEBF8"/>
          </w:tcPr>
          <w:p>
            <w:pPr>
              <w:spacing w:after="0"/>
              <w:rPr>
                <w:sz w:val="19"/>
                <w:szCs w:val="19"/>
                <w:color w:val="auto"/>
              </w:rPr>
            </w:pPr>
          </w:p>
        </w:tc>
        <w:tc>
          <w:tcPr>
            <w:tcW w:w="5700" w:type="dxa"/>
            <w:vAlign w:val="bottom"/>
            <w:shd w:val="clear" w:color="auto" w:fill="DAEBF8"/>
          </w:tcPr>
          <w:p>
            <w:pPr>
              <w:ind w:left="60"/>
              <w:spacing w:after="0"/>
              <w:rPr>
                <w:sz w:val="20"/>
                <w:szCs w:val="20"/>
                <w:color w:val="auto"/>
              </w:rPr>
            </w:pPr>
            <w:r>
              <w:rPr>
                <w:rFonts w:ascii="Arial" w:cs="Arial" w:eastAsia="Arial" w:hAnsi="Arial"/>
                <w:sz w:val="16"/>
                <w:szCs w:val="16"/>
                <w:color w:val="auto"/>
              </w:rPr>
              <w:t>Report results from Phase 3 study for garetosmab (Activin A antibody) in</w:t>
            </w:r>
          </w:p>
        </w:tc>
        <w:tc>
          <w:tcPr>
            <w:tcW w:w="120" w:type="dxa"/>
            <w:vAlign w:val="bottom"/>
            <w:shd w:val="clear" w:color="auto" w:fill="EFF2F8"/>
          </w:tcPr>
          <w:p>
            <w:pPr>
              <w:spacing w:after="0"/>
              <w:rPr>
                <w:sz w:val="19"/>
                <w:szCs w:val="19"/>
                <w:color w:val="auto"/>
              </w:rPr>
            </w:pPr>
          </w:p>
        </w:tc>
        <w:tc>
          <w:tcPr>
            <w:tcW w:w="1440" w:type="dxa"/>
            <w:vAlign w:val="bottom"/>
            <w:vMerge w:val="restart"/>
            <w:shd w:val="clear" w:color="auto" w:fill="EFF2F8"/>
          </w:tcPr>
          <w:p>
            <w:pPr>
              <w:ind w:left="40"/>
              <w:spacing w:after="0"/>
              <w:rPr>
                <w:sz w:val="20"/>
                <w:szCs w:val="20"/>
                <w:color w:val="auto"/>
              </w:rPr>
            </w:pPr>
            <w:r>
              <w:rPr>
                <w:rFonts w:ascii="Arial" w:cs="Arial" w:eastAsia="Arial" w:hAnsi="Arial"/>
                <w:sz w:val="16"/>
                <w:szCs w:val="16"/>
                <w:b w:val="1"/>
                <w:bCs w:val="1"/>
                <w:color w:val="065BAA"/>
              </w:rPr>
              <w:t>Achieved</w:t>
            </w:r>
          </w:p>
        </w:tc>
        <w:tc>
          <w:tcPr>
            <w:tcW w:w="0" w:type="dxa"/>
            <w:vAlign w:val="bottom"/>
          </w:tcPr>
          <w:p>
            <w:pPr>
              <w:spacing w:after="0"/>
              <w:rPr>
                <w:sz w:val="1"/>
                <w:szCs w:val="1"/>
                <w:color w:val="auto"/>
              </w:rPr>
            </w:pPr>
          </w:p>
        </w:tc>
      </w:tr>
      <w:tr>
        <w:trPr>
          <w:trHeight w:val="116"/>
        </w:trPr>
        <w:tc>
          <w:tcPr>
            <w:tcW w:w="1500" w:type="dxa"/>
            <w:vAlign w:val="bottom"/>
            <w:shd w:val="clear" w:color="auto" w:fill="DAEBF8"/>
          </w:tcPr>
          <w:p>
            <w:pPr>
              <w:spacing w:after="0"/>
              <w:rPr>
                <w:sz w:val="10"/>
                <w:szCs w:val="10"/>
                <w:color w:val="auto"/>
              </w:rPr>
            </w:pPr>
          </w:p>
        </w:tc>
        <w:tc>
          <w:tcPr>
            <w:tcW w:w="5700" w:type="dxa"/>
            <w:vAlign w:val="bottom"/>
            <w:vMerge w:val="restart"/>
            <w:shd w:val="clear" w:color="auto" w:fill="DAEBF8"/>
          </w:tcPr>
          <w:p>
            <w:pPr>
              <w:ind w:left="60"/>
              <w:spacing w:after="0"/>
              <w:rPr>
                <w:sz w:val="20"/>
                <w:szCs w:val="20"/>
                <w:color w:val="auto"/>
              </w:rPr>
            </w:pPr>
            <w:r>
              <w:rPr>
                <w:rFonts w:ascii="Arial" w:cs="Arial" w:eastAsia="Arial" w:hAnsi="Arial"/>
                <w:sz w:val="16"/>
                <w:szCs w:val="16"/>
                <w:color w:val="auto"/>
              </w:rPr>
              <w:t>fibrodysplasia ossificans progressiva</w:t>
            </w:r>
          </w:p>
        </w:tc>
        <w:tc>
          <w:tcPr>
            <w:tcW w:w="120" w:type="dxa"/>
            <w:vAlign w:val="bottom"/>
            <w:shd w:val="clear" w:color="auto" w:fill="EFF2F8"/>
          </w:tcPr>
          <w:p>
            <w:pPr>
              <w:spacing w:after="0"/>
              <w:rPr>
                <w:sz w:val="10"/>
                <w:szCs w:val="10"/>
                <w:color w:val="auto"/>
              </w:rPr>
            </w:pPr>
          </w:p>
        </w:tc>
        <w:tc>
          <w:tcPr>
            <w:tcW w:w="1440" w:type="dxa"/>
            <w:vAlign w:val="bottom"/>
            <w:vMerge w:val="continue"/>
            <w:shd w:val="clear" w:color="auto" w:fill="EFF2F8"/>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500" w:type="dxa"/>
            <w:vAlign w:val="bottom"/>
            <w:tcBorders>
              <w:bottom w:val="single" w:sz="8" w:color="065BAA"/>
            </w:tcBorders>
            <w:shd w:val="clear" w:color="auto" w:fill="DAEBF8"/>
          </w:tcPr>
          <w:p>
            <w:pPr>
              <w:spacing w:after="0"/>
              <w:rPr>
                <w:sz w:val="7"/>
                <w:szCs w:val="7"/>
                <w:color w:val="auto"/>
              </w:rPr>
            </w:pPr>
          </w:p>
        </w:tc>
        <w:tc>
          <w:tcPr>
            <w:tcW w:w="5700" w:type="dxa"/>
            <w:vAlign w:val="bottom"/>
            <w:tcBorders>
              <w:bottom w:val="single" w:sz="8" w:color="065BAA"/>
            </w:tcBorders>
            <w:vMerge w:val="continue"/>
            <w:shd w:val="clear" w:color="auto" w:fill="DAEBF8"/>
          </w:tcPr>
          <w:p>
            <w:pPr>
              <w:spacing w:after="0"/>
              <w:rPr>
                <w:sz w:val="7"/>
                <w:szCs w:val="7"/>
                <w:color w:val="auto"/>
              </w:rPr>
            </w:pPr>
          </w:p>
        </w:tc>
        <w:tc>
          <w:tcPr>
            <w:tcW w:w="120" w:type="dxa"/>
            <w:vAlign w:val="bottom"/>
            <w:tcBorders>
              <w:bottom w:val="single" w:sz="8" w:color="065BAA"/>
            </w:tcBorders>
            <w:shd w:val="clear" w:color="auto" w:fill="EFF2F8"/>
          </w:tcPr>
          <w:p>
            <w:pPr>
              <w:spacing w:after="0"/>
              <w:rPr>
                <w:sz w:val="7"/>
                <w:szCs w:val="7"/>
                <w:color w:val="auto"/>
              </w:rPr>
            </w:pPr>
          </w:p>
        </w:tc>
        <w:tc>
          <w:tcPr>
            <w:tcW w:w="1440" w:type="dxa"/>
            <w:vAlign w:val="bottom"/>
            <w:tcBorders>
              <w:bottom w:val="single" w:sz="8" w:color="065BAA"/>
            </w:tcBorders>
            <w:shd w:val="clear" w:color="auto" w:fill="EFF2F8"/>
          </w:tcPr>
          <w:p>
            <w:pPr>
              <w:spacing w:after="0"/>
              <w:rPr>
                <w:sz w:val="7"/>
                <w:szCs w:val="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right="459" w:hanging="190"/>
        <w:spacing w:after="0" w:line="226" w:lineRule="auto"/>
        <w:tabs>
          <w:tab w:leader="none" w:pos="320" w:val="left"/>
        </w:tabs>
        <w:numPr>
          <w:ilvl w:val="0"/>
          <w:numId w:val="126"/>
        </w:numPr>
        <w:rPr>
          <w:rFonts w:ascii="Arial" w:cs="Arial" w:eastAsia="Arial" w:hAnsi="Arial"/>
          <w:sz w:val="16"/>
          <w:szCs w:val="16"/>
          <w:color w:val="auto"/>
          <w:vertAlign w:val="superscript"/>
        </w:rPr>
      </w:pPr>
      <w:r>
        <w:rPr>
          <w:rFonts w:ascii="Arial" w:cs="Arial" w:eastAsia="Arial" w:hAnsi="Arial"/>
          <w:sz w:val="13"/>
          <w:szCs w:val="13"/>
          <w:color w:val="auto"/>
        </w:rPr>
        <w:t>The FDA issued a CRL for the applicable regulatory application; the sole approvability issue related to unresolved inspection findings at a third-party manufacturer responsible for filling drug product.</w:t>
      </w:r>
    </w:p>
    <w:p>
      <w:pPr>
        <w:spacing w:after="0" w:line="10" w:lineRule="exact"/>
        <w:rPr>
          <w:sz w:val="20"/>
          <w:szCs w:val="20"/>
          <w:color w:val="auto"/>
        </w:rPr>
      </w:pPr>
    </w:p>
    <w:p>
      <w:pPr>
        <w:ind w:left="320" w:right="299" w:hanging="190"/>
        <w:spacing w:after="0" w:line="226" w:lineRule="auto"/>
        <w:tabs>
          <w:tab w:leader="none" w:pos="320" w:val="left"/>
        </w:tabs>
        <w:numPr>
          <w:ilvl w:val="0"/>
          <w:numId w:val="127"/>
        </w:numPr>
        <w:rPr>
          <w:rFonts w:ascii="Arial" w:cs="Arial" w:eastAsia="Arial" w:hAnsi="Arial"/>
          <w:sz w:val="16"/>
          <w:szCs w:val="16"/>
          <w:color w:val="auto"/>
          <w:vertAlign w:val="superscript"/>
        </w:rPr>
      </w:pPr>
      <w:r>
        <w:rPr>
          <w:rFonts w:ascii="Arial" w:cs="Arial" w:eastAsia="Arial" w:hAnsi="Arial"/>
          <w:sz w:val="13"/>
          <w:szCs w:val="13"/>
          <w:color w:val="auto"/>
        </w:rPr>
        <w:t>The FDA issued a CRL for the applicable sBLA. In April 2026, the FDA approved the extension of dosing intervals up to every 20 weeks for wAMD and DME.</w:t>
      </w:r>
    </w:p>
    <w:p>
      <w:pPr>
        <w:ind w:left="320" w:hanging="190"/>
        <w:spacing w:after="0" w:line="229" w:lineRule="auto"/>
        <w:tabs>
          <w:tab w:leader="none" w:pos="320" w:val="left"/>
        </w:tabs>
        <w:numPr>
          <w:ilvl w:val="0"/>
          <w:numId w:val="128"/>
        </w:numPr>
        <w:rPr>
          <w:rFonts w:ascii="Arial" w:cs="Arial" w:eastAsia="Arial" w:hAnsi="Arial"/>
          <w:sz w:val="16"/>
          <w:szCs w:val="16"/>
          <w:color w:val="auto"/>
          <w:vertAlign w:val="superscript"/>
        </w:rPr>
      </w:pPr>
      <w:r>
        <w:rPr>
          <w:rFonts w:ascii="Arial" w:cs="Arial" w:eastAsia="Arial" w:hAnsi="Arial"/>
          <w:sz w:val="13"/>
          <w:szCs w:val="13"/>
          <w:color w:val="auto"/>
        </w:rPr>
        <w:t>The primary endpoint was met in only one of two Phase 3 trials.</w:t>
      </w:r>
    </w:p>
    <w:p>
      <w:pPr>
        <w:spacing w:after="0" w:line="5" w:lineRule="exact"/>
        <w:rPr>
          <w:sz w:val="20"/>
          <w:szCs w:val="20"/>
          <w:color w:val="auto"/>
        </w:rPr>
      </w:pPr>
    </w:p>
    <w:p>
      <w:pPr>
        <w:ind w:left="320" w:hanging="190"/>
        <w:spacing w:after="0"/>
        <w:tabs>
          <w:tab w:leader="none" w:pos="320" w:val="left"/>
        </w:tabs>
        <w:numPr>
          <w:ilvl w:val="0"/>
          <w:numId w:val="129"/>
        </w:numPr>
        <w:rPr>
          <w:rFonts w:ascii="Arial" w:cs="Arial" w:eastAsia="Arial" w:hAnsi="Arial"/>
          <w:sz w:val="16"/>
          <w:szCs w:val="16"/>
          <w:color w:val="auto"/>
          <w:vertAlign w:val="superscript"/>
        </w:rPr>
      </w:pPr>
      <w:r>
        <w:rPr>
          <w:rFonts w:ascii="Arial" w:cs="Arial" w:eastAsia="Arial" w:hAnsi="Arial"/>
          <w:sz w:val="13"/>
          <w:szCs w:val="13"/>
          <w:color w:val="auto"/>
        </w:rPr>
        <w:t>These results were delayed and are now expected in the second quarter of 2026.</w:t>
      </w:r>
    </w:p>
    <w:p>
      <w:pPr>
        <w:spacing w:after="0" w:line="21" w:lineRule="exact"/>
        <w:rPr>
          <w:sz w:val="20"/>
          <w:szCs w:val="20"/>
          <w:color w:val="auto"/>
        </w:rPr>
      </w:pPr>
    </w:p>
    <w:p>
      <w:pPr>
        <w:ind w:left="320" w:right="179" w:hanging="190"/>
        <w:spacing w:after="0" w:line="218" w:lineRule="auto"/>
        <w:tabs>
          <w:tab w:leader="none" w:pos="320" w:val="left"/>
        </w:tabs>
        <w:numPr>
          <w:ilvl w:val="0"/>
          <w:numId w:val="130"/>
        </w:numPr>
        <w:rPr>
          <w:rFonts w:ascii="Arial" w:cs="Arial" w:eastAsia="Arial" w:hAnsi="Arial"/>
          <w:sz w:val="16"/>
          <w:szCs w:val="16"/>
          <w:color w:val="auto"/>
          <w:vertAlign w:val="superscript"/>
        </w:rPr>
      </w:pPr>
      <w:r>
        <w:rPr>
          <w:rFonts w:ascii="Arial" w:cs="Arial" w:eastAsia="Arial" w:hAnsi="Arial"/>
          <w:sz w:val="13"/>
          <w:szCs w:val="13"/>
          <w:color w:val="auto"/>
        </w:rPr>
        <w:t>Due to limited follow-up at the time of a pre-planned interim analysis, it was determined that these studies would continue unchanged until additional data are available.</w:t>
      </w:r>
    </w:p>
    <w:p>
      <w:pPr>
        <w:spacing w:after="0" w:line="10" w:lineRule="exact"/>
        <w:rPr>
          <w:sz w:val="20"/>
          <w:szCs w:val="20"/>
          <w:color w:val="auto"/>
        </w:rPr>
      </w:pPr>
    </w:p>
    <w:p>
      <w:pPr>
        <w:ind w:left="320" w:right="299" w:hanging="190"/>
        <w:spacing w:after="0" w:line="226" w:lineRule="auto"/>
        <w:tabs>
          <w:tab w:leader="none" w:pos="320" w:val="left"/>
        </w:tabs>
        <w:numPr>
          <w:ilvl w:val="0"/>
          <w:numId w:val="131"/>
        </w:numPr>
        <w:rPr>
          <w:rFonts w:ascii="Arial" w:cs="Arial" w:eastAsia="Arial" w:hAnsi="Arial"/>
          <w:sz w:val="16"/>
          <w:szCs w:val="16"/>
          <w:color w:val="auto"/>
          <w:vertAlign w:val="superscript"/>
        </w:rPr>
      </w:pPr>
      <w:r>
        <w:rPr>
          <w:rFonts w:ascii="Arial" w:cs="Arial" w:eastAsia="Arial" w:hAnsi="Arial"/>
          <w:sz w:val="13"/>
          <w:szCs w:val="13"/>
          <w:color w:val="auto"/>
        </w:rPr>
        <w:t>The FDA issued a CRL for the applicable BLA, which was also impact by the unresolved inspection findings at the third-party manufacturer responsible for filling drug product referenced above in note 1 to this table.</w:t>
      </w:r>
    </w:p>
    <w:p>
      <w:pPr>
        <w:ind w:left="320" w:hanging="190"/>
        <w:spacing w:after="0" w:line="229" w:lineRule="auto"/>
        <w:tabs>
          <w:tab w:leader="none" w:pos="320" w:val="left"/>
        </w:tabs>
        <w:numPr>
          <w:ilvl w:val="0"/>
          <w:numId w:val="132"/>
        </w:numPr>
        <w:rPr>
          <w:rFonts w:ascii="Arial" w:cs="Arial" w:eastAsia="Arial" w:hAnsi="Arial"/>
          <w:sz w:val="16"/>
          <w:szCs w:val="16"/>
          <w:color w:val="auto"/>
          <w:vertAlign w:val="superscript"/>
        </w:rPr>
      </w:pPr>
      <w:r>
        <w:rPr>
          <w:rFonts w:ascii="Arial" w:cs="Arial" w:eastAsia="Arial" w:hAnsi="Arial"/>
          <w:sz w:val="13"/>
          <w:szCs w:val="13"/>
          <w:color w:val="auto"/>
        </w:rPr>
        <w:t>The Company initiated Phase 3 studies of REGN7508 for venous thromboembolism after total knee replacement surgery.</w:t>
      </w: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67</w:t>
            </w:r>
          </w:p>
        </w:tc>
      </w:tr>
    </w:tbl>
    <w:p>
      <w:pPr>
        <w:sectPr>
          <w:pgSz w:w="11900" w:h="16838" w:orient="portrait"/>
          <w:cols w:equalWidth="0" w:num="1">
            <w:col w:w="9019"/>
          </w:cols>
          <w:pgMar w:left="1440" w:top="657" w:right="1440" w:bottom="1440" w:gutter="0" w:footer="0" w:header="0"/>
        </w:sectPr>
      </w:pPr>
    </w:p>
    <w:bookmarkStart w:id="76" w:name="page77"/>
    <w:bookmarkEnd w:id="76"/>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0" w:right="279"/>
        <w:spacing w:after="0" w:line="289" w:lineRule="auto"/>
        <w:rPr>
          <w:sz w:val="20"/>
          <w:szCs w:val="20"/>
          <w:color w:val="auto"/>
        </w:rPr>
      </w:pPr>
      <w:r>
        <w:rPr>
          <w:rFonts w:ascii="Arial" w:cs="Arial" w:eastAsia="Arial" w:hAnsi="Arial"/>
          <w:sz w:val="16"/>
          <w:szCs w:val="16"/>
          <w:color w:val="auto"/>
        </w:rPr>
        <w:t>Applying the framework described above, the Compensation Committee first established a baseline Company performance multiplier of 1.5 for 2025 based on the Company’s progress toward achieving the key milestones shown in the table above and the additional performance factors reviewed by the Committee. The Committee then determined which of the 2025 Company accomplishments constituted transformational achievements and thus warranted an upward adjustment for purposes of this framework; and which 2025 developments impacting Regeneron in the Committee’s assessment warranted a downward adjustment.</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Upward adjustments to the baseline multiplier were based on:</w:t>
      </w:r>
    </w:p>
    <w:p>
      <w:pPr>
        <w:spacing w:after="0" w:line="181" w:lineRule="exact"/>
        <w:rPr>
          <w:sz w:val="20"/>
          <w:szCs w:val="20"/>
          <w:color w:val="auto"/>
        </w:rPr>
      </w:pPr>
    </w:p>
    <w:p>
      <w:pPr>
        <w:ind w:left="420" w:right="379" w:hanging="186"/>
        <w:spacing w:after="0" w:line="321" w:lineRule="auto"/>
        <w:tabs>
          <w:tab w:leader="none" w:pos="420" w:val="left"/>
        </w:tabs>
        <w:numPr>
          <w:ilvl w:val="0"/>
          <w:numId w:val="133"/>
        </w:numPr>
        <w:rPr>
          <w:rFonts w:ascii="Arial" w:cs="Arial" w:eastAsia="Arial" w:hAnsi="Arial"/>
          <w:sz w:val="14"/>
          <w:szCs w:val="14"/>
          <w:color w:val="065BAA"/>
        </w:rPr>
      </w:pPr>
      <w:r>
        <w:rPr>
          <w:rFonts w:ascii="Arial" w:cs="Arial" w:eastAsia="Arial" w:hAnsi="Arial"/>
          <w:sz w:val="16"/>
          <w:szCs w:val="16"/>
          <w:color w:val="auto"/>
        </w:rPr>
        <w:t>The U.S. approval and launch of Libtayo for the treatment of adjuvant CSCC and the strength of Libtayo in ongoing clinical trials in adjuvant settings; and</w:t>
      </w:r>
    </w:p>
    <w:p>
      <w:pPr>
        <w:spacing w:after="0" w:line="7" w:lineRule="exact"/>
        <w:rPr>
          <w:rFonts w:ascii="Arial" w:cs="Arial" w:eastAsia="Arial" w:hAnsi="Arial"/>
          <w:sz w:val="14"/>
          <w:szCs w:val="14"/>
          <w:color w:val="065BAA"/>
        </w:rPr>
      </w:pPr>
    </w:p>
    <w:p>
      <w:pPr>
        <w:ind w:left="420" w:hanging="186"/>
        <w:spacing w:after="0"/>
        <w:tabs>
          <w:tab w:leader="none" w:pos="420" w:val="left"/>
        </w:tabs>
        <w:numPr>
          <w:ilvl w:val="0"/>
          <w:numId w:val="133"/>
        </w:numPr>
        <w:rPr>
          <w:rFonts w:ascii="Arial" w:cs="Arial" w:eastAsia="Arial" w:hAnsi="Arial"/>
          <w:sz w:val="14"/>
          <w:szCs w:val="14"/>
          <w:color w:val="065BAA"/>
        </w:rPr>
      </w:pPr>
      <w:r>
        <w:rPr>
          <w:rFonts w:ascii="Arial" w:cs="Arial" w:eastAsia="Arial" w:hAnsi="Arial"/>
          <w:sz w:val="16"/>
          <w:szCs w:val="16"/>
          <w:color w:val="auto"/>
        </w:rPr>
        <w:t>The potentially transformational impact of Regeneron’s C5 program for the treatment of myasthenia gravis.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Downward adjustments were based on:</w:t>
      </w:r>
    </w:p>
    <w:p>
      <w:pPr>
        <w:spacing w:after="0" w:line="181" w:lineRule="exact"/>
        <w:rPr>
          <w:sz w:val="20"/>
          <w:szCs w:val="20"/>
          <w:color w:val="auto"/>
        </w:rPr>
      </w:pPr>
    </w:p>
    <w:p>
      <w:pPr>
        <w:ind w:left="420" w:right="919" w:hanging="186"/>
        <w:spacing w:after="0" w:line="321" w:lineRule="auto"/>
        <w:tabs>
          <w:tab w:leader="none" w:pos="420" w:val="left"/>
        </w:tabs>
        <w:numPr>
          <w:ilvl w:val="0"/>
          <w:numId w:val="134"/>
        </w:numPr>
        <w:rPr>
          <w:rFonts w:ascii="Arial" w:cs="Arial" w:eastAsia="Arial" w:hAnsi="Arial"/>
          <w:sz w:val="14"/>
          <w:szCs w:val="14"/>
          <w:color w:val="065BAA"/>
        </w:rPr>
      </w:pPr>
      <w:r>
        <w:rPr>
          <w:rFonts w:ascii="Arial" w:cs="Arial" w:eastAsia="Arial" w:hAnsi="Arial"/>
          <w:sz w:val="16"/>
          <w:szCs w:val="16"/>
          <w:color w:val="auto"/>
        </w:rPr>
        <w:t>Ongoing challenges with third-party manufacturing fillers (which, while not directly related to the Company’s operations, had resulted in FDA observations and delayed filings and approvals); and</w:t>
      </w:r>
    </w:p>
    <w:p>
      <w:pPr>
        <w:spacing w:after="0" w:line="7" w:lineRule="exact"/>
        <w:rPr>
          <w:rFonts w:ascii="Arial" w:cs="Arial" w:eastAsia="Arial" w:hAnsi="Arial"/>
          <w:sz w:val="14"/>
          <w:szCs w:val="14"/>
          <w:color w:val="065BAA"/>
        </w:rPr>
      </w:pPr>
    </w:p>
    <w:p>
      <w:pPr>
        <w:ind w:left="420" w:hanging="186"/>
        <w:spacing w:after="0"/>
        <w:tabs>
          <w:tab w:leader="none" w:pos="420" w:val="left"/>
        </w:tabs>
        <w:numPr>
          <w:ilvl w:val="0"/>
          <w:numId w:val="134"/>
        </w:numPr>
        <w:rPr>
          <w:rFonts w:ascii="Arial" w:cs="Arial" w:eastAsia="Arial" w:hAnsi="Arial"/>
          <w:sz w:val="14"/>
          <w:szCs w:val="14"/>
          <w:color w:val="065BAA"/>
        </w:rPr>
      </w:pPr>
      <w:r>
        <w:rPr>
          <w:rFonts w:ascii="Arial" w:cs="Arial" w:eastAsia="Arial" w:hAnsi="Arial"/>
          <w:sz w:val="16"/>
          <w:szCs w:val="16"/>
          <w:color w:val="auto"/>
        </w:rPr>
        <w:t>The results from a second Phase 3 trial for itepekimab, which did not meet its primary endpoint in 2025.</w:t>
      </w:r>
    </w:p>
    <w:p>
      <w:pPr>
        <w:spacing w:after="0" w:line="167" w:lineRule="exact"/>
        <w:rPr>
          <w:sz w:val="20"/>
          <w:szCs w:val="20"/>
          <w:color w:val="auto"/>
        </w:rPr>
      </w:pPr>
    </w:p>
    <w:p>
      <w:pPr>
        <w:ind w:left="140" w:right="179"/>
        <w:spacing w:after="0" w:line="321" w:lineRule="auto"/>
        <w:rPr>
          <w:sz w:val="20"/>
          <w:szCs w:val="20"/>
          <w:color w:val="auto"/>
        </w:rPr>
      </w:pPr>
      <w:r>
        <w:rPr>
          <w:rFonts w:ascii="Arial" w:cs="Arial" w:eastAsia="Arial" w:hAnsi="Arial"/>
          <w:sz w:val="16"/>
          <w:szCs w:val="16"/>
          <w:color w:val="auto"/>
        </w:rPr>
        <w:t>As a result of the foregoing, the Committee set the final Company performance multiplier for 2025 at 1.55. See subsection “Compensation Dashboard—Additional Compensation Information—Annual Cash Incentives” for additional information.</w:t>
      </w:r>
    </w:p>
    <w:p>
      <w:pPr>
        <w:spacing w:after="0" w:line="143"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Individual Performance</w:t>
      </w:r>
    </w:p>
    <w:p>
      <w:pPr>
        <w:spacing w:after="0" w:line="97" w:lineRule="exact"/>
        <w:rPr>
          <w:sz w:val="20"/>
          <w:szCs w:val="20"/>
          <w:color w:val="auto"/>
        </w:rPr>
      </w:pPr>
    </w:p>
    <w:p>
      <w:pPr>
        <w:ind w:left="140" w:right="279"/>
        <w:spacing w:after="0" w:line="301" w:lineRule="auto"/>
        <w:rPr>
          <w:sz w:val="20"/>
          <w:szCs w:val="20"/>
          <w:color w:val="auto"/>
        </w:rPr>
      </w:pPr>
      <w:r>
        <w:rPr>
          <w:rFonts w:ascii="Arial" w:cs="Arial" w:eastAsia="Arial" w:hAnsi="Arial"/>
          <w:sz w:val="16"/>
          <w:szCs w:val="16"/>
          <w:color w:val="auto"/>
        </w:rPr>
        <w:t>The personal performance multiplier may range from 0 to 1.5 for the NEOs with a personal performance component. For the explanation of individual factors considered in the cash incentive decisions, see the subsection “Compensation Dashboard—Additional Compensation Information—Annual Cash Incentives.”</w:t>
      </w:r>
    </w:p>
    <w:p>
      <w:pPr>
        <w:spacing w:after="0" w:line="159"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2025 Earned Cash Incentives</w:t>
      </w:r>
    </w:p>
    <w:p>
      <w:pPr>
        <w:spacing w:after="0" w:line="83" w:lineRule="exact"/>
        <w:rPr>
          <w:sz w:val="20"/>
          <w:szCs w:val="20"/>
          <w:color w:val="auto"/>
        </w:rPr>
      </w:pPr>
    </w:p>
    <w:p>
      <w:pPr>
        <w:ind w:left="140" w:right="159"/>
        <w:spacing w:after="0" w:line="289" w:lineRule="auto"/>
        <w:rPr>
          <w:sz w:val="20"/>
          <w:szCs w:val="20"/>
          <w:color w:val="auto"/>
        </w:rPr>
      </w:pPr>
      <w:r>
        <w:rPr>
          <w:rFonts w:ascii="Arial" w:cs="Arial" w:eastAsia="Arial" w:hAnsi="Arial"/>
          <w:sz w:val="16"/>
          <w:szCs w:val="16"/>
          <w:color w:val="auto"/>
        </w:rPr>
        <w:t>In determining the level of 2025 cash incentives earned, we calculated the NEOs’ respective target cash incentive amounts (which, for our CEO, represented approximately the median of the Peer Group) and applied the Company performance multiplier as determined by the Compensation Committee based on the Company’s 2025 performance. For the four NEOs who also have a personal performance component, we also applied a personal performance multiplier. For these executives, the personal performance component had a 40% weighting and the Company performance component had a 60% weighting, consistent with prior years.</w:t>
      </w:r>
    </w:p>
    <w:p>
      <w:pPr>
        <w:spacing w:after="0" w:line="115" w:lineRule="exact"/>
        <w:rPr>
          <w:sz w:val="20"/>
          <w:szCs w:val="20"/>
          <w:color w:val="auto"/>
        </w:rPr>
      </w:pPr>
    </w:p>
    <w:p>
      <w:pPr>
        <w:ind w:left="140" w:right="159"/>
        <w:spacing w:after="0" w:line="301" w:lineRule="auto"/>
        <w:rPr>
          <w:sz w:val="20"/>
          <w:szCs w:val="20"/>
          <w:color w:val="auto"/>
        </w:rPr>
      </w:pPr>
      <w:r>
        <w:rPr>
          <w:rFonts w:ascii="Arial" w:cs="Arial" w:eastAsia="Arial" w:hAnsi="Arial"/>
          <w:sz w:val="16"/>
          <w:szCs w:val="16"/>
          <w:color w:val="auto"/>
        </w:rPr>
        <w:t>Based on the assessment of the degree of achievement of corporate goals and, where applicable, individual goals (discussed above and in the subsection “Compensation Dashboard—Additional Compensation Information—Annual Cash Incentives”) in the past year, our NEOs earned the followed cash incentives in 2025:</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420" w:type="dxa"/>
            <w:vAlign w:val="bottom"/>
          </w:tcPr>
          <w:p>
            <w:pPr>
              <w:spacing w:after="0"/>
              <w:rPr>
                <w:sz w:val="19"/>
                <w:szCs w:val="19"/>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b w:val="1"/>
                <w:bCs w:val="1"/>
                <w:color w:val="065BAA"/>
              </w:rPr>
              <w:t>2025</w:t>
            </w:r>
          </w:p>
        </w:tc>
        <w:tc>
          <w:tcPr>
            <w:tcW w:w="1300" w:type="dxa"/>
            <w:vAlign w:val="bottom"/>
          </w:tcPr>
          <w:p>
            <w:pPr>
              <w:jc w:val="right"/>
              <w:ind w:right="111"/>
              <w:spacing w:after="0"/>
              <w:rPr>
                <w:sz w:val="20"/>
                <w:szCs w:val="20"/>
                <w:color w:val="auto"/>
              </w:rPr>
            </w:pPr>
            <w:r>
              <w:rPr>
                <w:rFonts w:ascii="Arial" w:cs="Arial" w:eastAsia="Arial" w:hAnsi="Arial"/>
                <w:sz w:val="14"/>
                <w:szCs w:val="14"/>
                <w:b w:val="1"/>
                <w:bCs w:val="1"/>
                <w:color w:val="065BAA"/>
              </w:rPr>
              <w:t>Cash Incentive</w:t>
            </w:r>
          </w:p>
        </w:tc>
        <w:tc>
          <w:tcPr>
            <w:tcW w:w="1720" w:type="dxa"/>
            <w:vAlign w:val="bottom"/>
            <w:gridSpan w:val="3"/>
          </w:tcPr>
          <w:p>
            <w:pPr>
              <w:ind w:left="520"/>
              <w:spacing w:after="0"/>
              <w:rPr>
                <w:sz w:val="20"/>
                <w:szCs w:val="20"/>
                <w:color w:val="auto"/>
              </w:rPr>
            </w:pPr>
            <w:r>
              <w:rPr>
                <w:rFonts w:ascii="Arial" w:cs="Arial" w:eastAsia="Arial" w:hAnsi="Arial"/>
                <w:sz w:val="13"/>
                <w:szCs w:val="13"/>
                <w:b w:val="1"/>
                <w:bCs w:val="1"/>
                <w:color w:val="065BAA"/>
              </w:rPr>
              <w:t>Personal</w:t>
            </w:r>
          </w:p>
        </w:tc>
        <w:tc>
          <w:tcPr>
            <w:tcW w:w="170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065BAA"/>
              </w:rPr>
              <w:t>Company</w:t>
            </w:r>
          </w:p>
        </w:tc>
        <w:tc>
          <w:tcPr>
            <w:tcW w:w="840" w:type="dxa"/>
            <w:vAlign w:val="bottom"/>
            <w:shd w:val="clear" w:color="auto" w:fill="3B5AA4"/>
          </w:tcPr>
          <w:p>
            <w:pPr>
              <w:jc w:val="center"/>
              <w:spacing w:after="0"/>
              <w:rPr>
                <w:sz w:val="20"/>
                <w:szCs w:val="20"/>
                <w:color w:val="auto"/>
              </w:rPr>
            </w:pPr>
            <w:r>
              <w:rPr>
                <w:rFonts w:ascii="Arial" w:cs="Arial" w:eastAsia="Arial" w:hAnsi="Arial"/>
                <w:sz w:val="13"/>
                <w:szCs w:val="13"/>
                <w:b w:val="1"/>
                <w:bCs w:val="1"/>
                <w:color w:val="FFFFFF"/>
              </w:rPr>
              <w:t>2025 Total</w:t>
            </w:r>
          </w:p>
        </w:tc>
        <w:tc>
          <w:tcPr>
            <w:tcW w:w="0" w:type="dxa"/>
            <w:vAlign w:val="bottom"/>
          </w:tcPr>
          <w:p>
            <w:pPr>
              <w:spacing w:after="0"/>
              <w:rPr>
                <w:sz w:val="1"/>
                <w:szCs w:val="1"/>
                <w:color w:val="auto"/>
              </w:rPr>
            </w:pPr>
          </w:p>
        </w:tc>
      </w:tr>
      <w:tr>
        <w:trPr>
          <w:trHeight w:val="107"/>
        </w:trPr>
        <w:tc>
          <w:tcPr>
            <w:tcW w:w="2420" w:type="dxa"/>
            <w:vAlign w:val="bottom"/>
          </w:tcPr>
          <w:p>
            <w:pPr>
              <w:spacing w:after="0"/>
              <w:rPr>
                <w:sz w:val="9"/>
                <w:szCs w:val="9"/>
                <w:color w:val="auto"/>
              </w:rPr>
            </w:pPr>
          </w:p>
        </w:tc>
        <w:tc>
          <w:tcPr>
            <w:tcW w:w="78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065BAA"/>
              </w:rPr>
              <w:t>Base</w:t>
            </w:r>
          </w:p>
        </w:tc>
        <w:tc>
          <w:tcPr>
            <w:tcW w:w="13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065BAA"/>
              </w:rPr>
              <w:t>Target</w:t>
            </w:r>
          </w:p>
        </w:tc>
        <w:tc>
          <w:tcPr>
            <w:tcW w:w="1720" w:type="dxa"/>
            <w:vAlign w:val="bottom"/>
            <w:gridSpan w:val="3"/>
          </w:tcPr>
          <w:p>
            <w:pPr>
              <w:ind w:left="380"/>
              <w:spacing w:after="0" w:line="107" w:lineRule="exact"/>
              <w:rPr>
                <w:sz w:val="20"/>
                <w:szCs w:val="20"/>
                <w:color w:val="auto"/>
              </w:rPr>
            </w:pPr>
            <w:r>
              <w:rPr>
                <w:rFonts w:ascii="Arial" w:cs="Arial" w:eastAsia="Arial" w:hAnsi="Arial"/>
                <w:sz w:val="12"/>
                <w:szCs w:val="12"/>
                <w:b w:val="1"/>
                <w:bCs w:val="1"/>
                <w:color w:val="065BAA"/>
              </w:rPr>
              <w:t>Performance</w:t>
            </w:r>
          </w:p>
        </w:tc>
        <w:tc>
          <w:tcPr>
            <w:tcW w:w="1700" w:type="dxa"/>
            <w:vAlign w:val="bottom"/>
            <w:gridSpan w:val="2"/>
          </w:tcPr>
          <w:p>
            <w:pPr>
              <w:ind w:left="380"/>
              <w:spacing w:after="0" w:line="107" w:lineRule="exact"/>
              <w:rPr>
                <w:sz w:val="20"/>
                <w:szCs w:val="20"/>
                <w:color w:val="auto"/>
              </w:rPr>
            </w:pPr>
            <w:r>
              <w:rPr>
                <w:rFonts w:ascii="Arial" w:cs="Arial" w:eastAsia="Arial" w:hAnsi="Arial"/>
                <w:sz w:val="12"/>
                <w:szCs w:val="12"/>
                <w:b w:val="1"/>
                <w:bCs w:val="1"/>
                <w:color w:val="065BAA"/>
              </w:rPr>
              <w:t>Performance</w:t>
            </w:r>
          </w:p>
        </w:tc>
        <w:tc>
          <w:tcPr>
            <w:tcW w:w="840" w:type="dxa"/>
            <w:vAlign w:val="bottom"/>
            <w:vMerge w:val="restart"/>
            <w:shd w:val="clear" w:color="auto" w:fill="3B5AA4"/>
          </w:tcPr>
          <w:p>
            <w:pPr>
              <w:jc w:val="center"/>
              <w:spacing w:after="0"/>
              <w:rPr>
                <w:sz w:val="20"/>
                <w:szCs w:val="20"/>
                <w:color w:val="auto"/>
              </w:rPr>
            </w:pPr>
            <w:r>
              <w:rPr>
                <w:rFonts w:ascii="Arial" w:cs="Arial" w:eastAsia="Arial" w:hAnsi="Arial"/>
                <w:sz w:val="13"/>
                <w:szCs w:val="13"/>
                <w:b w:val="1"/>
                <w:bCs w:val="1"/>
                <w:color w:val="FFFFFF"/>
              </w:rPr>
              <w:t>Cash</w:t>
            </w:r>
          </w:p>
        </w:tc>
        <w:tc>
          <w:tcPr>
            <w:tcW w:w="0" w:type="dxa"/>
            <w:vAlign w:val="bottom"/>
          </w:tcPr>
          <w:p>
            <w:pPr>
              <w:spacing w:after="0"/>
              <w:rPr>
                <w:sz w:val="1"/>
                <w:szCs w:val="1"/>
                <w:color w:val="auto"/>
              </w:rPr>
            </w:pPr>
          </w:p>
        </w:tc>
      </w:tr>
      <w:tr>
        <w:trPr>
          <w:trHeight w:val="73"/>
        </w:trPr>
        <w:tc>
          <w:tcPr>
            <w:tcW w:w="24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600" w:type="dxa"/>
            <w:vAlign w:val="bottom"/>
            <w:gridSpan w:val="2"/>
            <w:vMerge w:val="restart"/>
          </w:tcPr>
          <w:p>
            <w:pPr>
              <w:ind w:left="420"/>
              <w:spacing w:after="0"/>
              <w:rPr>
                <w:sz w:val="20"/>
                <w:szCs w:val="20"/>
                <w:color w:val="auto"/>
              </w:rPr>
            </w:pPr>
            <w:r>
              <w:rPr>
                <w:rFonts w:ascii="Arial" w:cs="Arial" w:eastAsia="Arial" w:hAnsi="Arial"/>
                <w:sz w:val="13"/>
                <w:szCs w:val="13"/>
                <w:b w:val="1"/>
                <w:bCs w:val="1"/>
                <w:color w:val="065BAA"/>
              </w:rPr>
              <w:t>Component</w:t>
            </w:r>
          </w:p>
        </w:tc>
        <w:tc>
          <w:tcPr>
            <w:tcW w:w="120" w:type="dxa"/>
            <w:vAlign w:val="bottom"/>
            <w:vMerge w:val="restart"/>
          </w:tcPr>
          <w:p>
            <w:pPr>
              <w:spacing w:after="0"/>
              <w:rPr>
                <w:sz w:val="6"/>
                <w:szCs w:val="6"/>
                <w:color w:val="auto"/>
              </w:rPr>
            </w:pPr>
          </w:p>
        </w:tc>
        <w:tc>
          <w:tcPr>
            <w:tcW w:w="1700" w:type="dxa"/>
            <w:vAlign w:val="bottom"/>
            <w:gridSpan w:val="2"/>
            <w:vMerge w:val="restart"/>
          </w:tcPr>
          <w:p>
            <w:pPr>
              <w:jc w:val="center"/>
              <w:ind w:right="53"/>
              <w:spacing w:after="0"/>
              <w:rPr>
                <w:sz w:val="20"/>
                <w:szCs w:val="20"/>
                <w:color w:val="auto"/>
              </w:rPr>
            </w:pPr>
            <w:r>
              <w:rPr>
                <w:rFonts w:ascii="Arial" w:cs="Arial" w:eastAsia="Arial" w:hAnsi="Arial"/>
                <w:sz w:val="13"/>
                <w:szCs w:val="13"/>
                <w:b w:val="1"/>
                <w:bCs w:val="1"/>
                <w:color w:val="065BAA"/>
              </w:rPr>
              <w:t>Component</w:t>
            </w:r>
          </w:p>
        </w:tc>
        <w:tc>
          <w:tcPr>
            <w:tcW w:w="840" w:type="dxa"/>
            <w:vAlign w:val="bottom"/>
            <w:vMerge w:val="continue"/>
            <w:shd w:val="clear" w:color="auto" w:fill="3B5AA4"/>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420" w:type="dxa"/>
            <w:vAlign w:val="bottom"/>
          </w:tcPr>
          <w:p>
            <w:pPr>
              <w:spacing w:after="0"/>
              <w:rPr>
                <w:sz w:val="7"/>
                <w:szCs w:val="7"/>
                <w:color w:val="auto"/>
              </w:rPr>
            </w:pPr>
          </w:p>
        </w:tc>
        <w:tc>
          <w:tcPr>
            <w:tcW w:w="78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065BAA"/>
              </w:rPr>
              <w:t>Salary</w:t>
            </w:r>
          </w:p>
        </w:tc>
        <w:tc>
          <w:tcPr>
            <w:tcW w:w="13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065BAA"/>
              </w:rPr>
              <w:t>(as percentage</w:t>
            </w:r>
          </w:p>
        </w:tc>
        <w:tc>
          <w:tcPr>
            <w:tcW w:w="1600" w:type="dxa"/>
            <w:vAlign w:val="bottom"/>
            <w:tcBorders>
              <w:bottom w:val="single" w:sz="8" w:color="065BAA"/>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700" w:type="dxa"/>
            <w:vAlign w:val="bottom"/>
            <w:tcBorders>
              <w:bottom w:val="single" w:sz="8" w:color="065BAA"/>
            </w:tcBorders>
            <w:gridSpan w:val="2"/>
            <w:vMerge w:val="continue"/>
          </w:tcPr>
          <w:p>
            <w:pPr>
              <w:spacing w:after="0"/>
              <w:rPr>
                <w:sz w:val="7"/>
                <w:szCs w:val="7"/>
                <w:color w:val="auto"/>
              </w:rPr>
            </w:pPr>
          </w:p>
        </w:tc>
        <w:tc>
          <w:tcPr>
            <w:tcW w:w="840" w:type="dxa"/>
            <w:vAlign w:val="bottom"/>
            <w:tcBorders>
              <w:bottom w:val="single" w:sz="8" w:color="3B5AA4"/>
            </w:tcBorders>
            <w:vMerge w:val="restart"/>
            <w:shd w:val="clear" w:color="auto" w:fill="3B5AA4"/>
          </w:tcPr>
          <w:p>
            <w:pPr>
              <w:jc w:val="center"/>
              <w:spacing w:after="0"/>
              <w:rPr>
                <w:sz w:val="20"/>
                <w:szCs w:val="20"/>
                <w:color w:val="auto"/>
              </w:rPr>
            </w:pPr>
            <w:r>
              <w:rPr>
                <w:rFonts w:ascii="Arial" w:cs="Arial" w:eastAsia="Arial" w:hAnsi="Arial"/>
                <w:sz w:val="13"/>
                <w:szCs w:val="13"/>
                <w:b w:val="1"/>
                <w:bCs w:val="1"/>
                <w:color w:val="FFFFFF"/>
              </w:rPr>
              <w:t>Incentive</w:t>
            </w:r>
          </w:p>
        </w:tc>
        <w:tc>
          <w:tcPr>
            <w:tcW w:w="0" w:type="dxa"/>
            <w:vAlign w:val="bottom"/>
          </w:tcPr>
          <w:p>
            <w:pPr>
              <w:spacing w:after="0"/>
              <w:rPr>
                <w:sz w:val="1"/>
                <w:szCs w:val="1"/>
                <w:color w:val="auto"/>
              </w:rPr>
            </w:pPr>
          </w:p>
        </w:tc>
      </w:tr>
      <w:tr>
        <w:trPr>
          <w:trHeight w:val="60"/>
        </w:trPr>
        <w:tc>
          <w:tcPr>
            <w:tcW w:w="2420" w:type="dxa"/>
            <w:vAlign w:val="bottom"/>
            <w:vMerge w:val="restart"/>
          </w:tcPr>
          <w:p>
            <w:pPr>
              <w:ind w:left="80"/>
              <w:spacing w:after="0"/>
              <w:rPr>
                <w:sz w:val="20"/>
                <w:szCs w:val="20"/>
                <w:color w:val="auto"/>
              </w:rPr>
            </w:pPr>
            <w:r>
              <w:rPr>
                <w:rFonts w:ascii="Arial" w:cs="Arial" w:eastAsia="Arial" w:hAnsi="Arial"/>
                <w:sz w:val="14"/>
                <w:szCs w:val="14"/>
                <w:b w:val="1"/>
                <w:bCs w:val="1"/>
                <w:color w:val="065BAA"/>
              </w:rPr>
              <w:t>Named Executive Officer</w:t>
            </w:r>
          </w:p>
        </w:tc>
        <w:tc>
          <w:tcPr>
            <w:tcW w:w="7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780" w:type="dxa"/>
            <w:vAlign w:val="bottom"/>
            <w:vMerge w:val="restart"/>
          </w:tcPr>
          <w:p>
            <w:pPr>
              <w:ind w:left="40"/>
              <w:spacing w:after="0"/>
              <w:rPr>
                <w:sz w:val="20"/>
                <w:szCs w:val="20"/>
                <w:color w:val="auto"/>
              </w:rPr>
            </w:pPr>
            <w:r>
              <w:rPr>
                <w:rFonts w:ascii="Arial" w:cs="Arial" w:eastAsia="Arial" w:hAnsi="Arial"/>
                <w:sz w:val="13"/>
                <w:szCs w:val="13"/>
                <w:b w:val="1"/>
                <w:bCs w:val="1"/>
                <w:color w:val="065BAA"/>
              </w:rPr>
              <w:t>Multiplier</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065BAA"/>
              </w:rPr>
              <w:t>Weighting</w:t>
            </w:r>
          </w:p>
        </w:tc>
        <w:tc>
          <w:tcPr>
            <w:tcW w:w="760" w:type="dxa"/>
            <w:vAlign w:val="bottom"/>
            <w:vMerge w:val="restart"/>
          </w:tcPr>
          <w:p>
            <w:pPr>
              <w:ind w:left="60"/>
              <w:spacing w:after="0"/>
              <w:rPr>
                <w:sz w:val="20"/>
                <w:szCs w:val="20"/>
                <w:color w:val="auto"/>
              </w:rPr>
            </w:pPr>
            <w:r>
              <w:rPr>
                <w:rFonts w:ascii="Arial" w:cs="Arial" w:eastAsia="Arial" w:hAnsi="Arial"/>
                <w:sz w:val="13"/>
                <w:szCs w:val="13"/>
                <w:b w:val="1"/>
                <w:bCs w:val="1"/>
                <w:color w:val="065BAA"/>
              </w:rPr>
              <w:t>Multiplier</w:t>
            </w:r>
          </w:p>
        </w:tc>
        <w:tc>
          <w:tcPr>
            <w:tcW w:w="94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065BAA"/>
              </w:rPr>
              <w:t>Weighting</w:t>
            </w:r>
          </w:p>
        </w:tc>
        <w:tc>
          <w:tcPr>
            <w:tcW w:w="840" w:type="dxa"/>
            <w:vAlign w:val="bottom"/>
            <w:vMerge w:val="continue"/>
            <w:shd w:val="clear" w:color="auto" w:fill="3B5AA4"/>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420" w:type="dxa"/>
            <w:vAlign w:val="bottom"/>
            <w:tcBorders>
              <w:bottom w:val="single" w:sz="8" w:color="065BAA"/>
            </w:tcBorders>
            <w:vMerge w:val="continue"/>
          </w:tcPr>
          <w:p>
            <w:pPr>
              <w:spacing w:after="0"/>
              <w:rPr>
                <w:sz w:val="15"/>
                <w:szCs w:val="15"/>
                <w:color w:val="auto"/>
              </w:rPr>
            </w:pPr>
          </w:p>
        </w:tc>
        <w:tc>
          <w:tcPr>
            <w:tcW w:w="780" w:type="dxa"/>
            <w:vAlign w:val="bottom"/>
            <w:tcBorders>
              <w:bottom w:val="single" w:sz="8" w:color="065BAA"/>
            </w:tcBorders>
          </w:tcPr>
          <w:p>
            <w:pPr>
              <w:jc w:val="right"/>
              <w:ind w:right="53"/>
              <w:spacing w:after="0"/>
              <w:rPr>
                <w:sz w:val="20"/>
                <w:szCs w:val="20"/>
                <w:color w:val="auto"/>
              </w:rPr>
            </w:pPr>
            <w:r>
              <w:rPr>
                <w:rFonts w:ascii="Arial" w:cs="Arial" w:eastAsia="Arial" w:hAnsi="Arial"/>
                <w:sz w:val="13"/>
                <w:szCs w:val="13"/>
                <w:b w:val="1"/>
                <w:bCs w:val="1"/>
                <w:color w:val="065BAA"/>
              </w:rPr>
              <w:t>($)</w:t>
            </w:r>
          </w:p>
        </w:tc>
        <w:tc>
          <w:tcPr>
            <w:tcW w:w="1300" w:type="dxa"/>
            <w:vAlign w:val="bottom"/>
            <w:tcBorders>
              <w:bottom w:val="single" w:sz="8" w:color="065BAA"/>
            </w:tcBorders>
          </w:tcPr>
          <w:p>
            <w:pPr>
              <w:jc w:val="right"/>
              <w:ind w:right="111"/>
              <w:spacing w:after="0"/>
              <w:rPr>
                <w:sz w:val="20"/>
                <w:szCs w:val="20"/>
                <w:color w:val="auto"/>
              </w:rPr>
            </w:pPr>
            <w:r>
              <w:rPr>
                <w:rFonts w:ascii="Arial" w:cs="Arial" w:eastAsia="Arial" w:hAnsi="Arial"/>
                <w:sz w:val="14"/>
                <w:szCs w:val="14"/>
                <w:b w:val="1"/>
                <w:bCs w:val="1"/>
                <w:color w:val="065BAA"/>
              </w:rPr>
              <w:t>of base salary)</w:t>
            </w:r>
          </w:p>
        </w:tc>
        <w:tc>
          <w:tcPr>
            <w:tcW w:w="780" w:type="dxa"/>
            <w:vAlign w:val="bottom"/>
            <w:tcBorders>
              <w:bottom w:val="single" w:sz="8" w:color="065BAA"/>
            </w:tcBorders>
            <w:vMerge w:val="continue"/>
          </w:tcPr>
          <w:p>
            <w:pPr>
              <w:spacing w:after="0"/>
              <w:rPr>
                <w:sz w:val="15"/>
                <w:szCs w:val="15"/>
                <w:color w:val="auto"/>
              </w:rPr>
            </w:pPr>
          </w:p>
        </w:tc>
        <w:tc>
          <w:tcPr>
            <w:tcW w:w="940" w:type="dxa"/>
            <w:vAlign w:val="bottom"/>
            <w:tcBorders>
              <w:bottom w:val="single" w:sz="8" w:color="065BAA"/>
            </w:tcBorders>
            <w:gridSpan w:val="2"/>
            <w:vMerge w:val="continue"/>
          </w:tcPr>
          <w:p>
            <w:pPr>
              <w:spacing w:after="0"/>
              <w:rPr>
                <w:sz w:val="15"/>
                <w:szCs w:val="15"/>
                <w:color w:val="auto"/>
              </w:rPr>
            </w:pPr>
          </w:p>
        </w:tc>
        <w:tc>
          <w:tcPr>
            <w:tcW w:w="760" w:type="dxa"/>
            <w:vAlign w:val="bottom"/>
            <w:tcBorders>
              <w:bottom w:val="single" w:sz="8" w:color="065BAA"/>
            </w:tcBorders>
            <w:vMerge w:val="continue"/>
          </w:tcPr>
          <w:p>
            <w:pPr>
              <w:spacing w:after="0"/>
              <w:rPr>
                <w:sz w:val="15"/>
                <w:szCs w:val="15"/>
                <w:color w:val="auto"/>
              </w:rPr>
            </w:pPr>
          </w:p>
        </w:tc>
        <w:tc>
          <w:tcPr>
            <w:tcW w:w="940" w:type="dxa"/>
            <w:vAlign w:val="bottom"/>
            <w:tcBorders>
              <w:bottom w:val="single" w:sz="8" w:color="065BAA"/>
            </w:tcBorders>
            <w:vMerge w:val="continue"/>
          </w:tcPr>
          <w:p>
            <w:pPr>
              <w:spacing w:after="0"/>
              <w:rPr>
                <w:sz w:val="15"/>
                <w:szCs w:val="15"/>
                <w:color w:val="auto"/>
              </w:rPr>
            </w:pPr>
          </w:p>
        </w:tc>
        <w:tc>
          <w:tcPr>
            <w:tcW w:w="840" w:type="dxa"/>
            <w:vAlign w:val="bottom"/>
            <w:tcBorders>
              <w:bottom w:val="single" w:sz="8" w:color="065BAA"/>
            </w:tcBorders>
            <w:shd w:val="clear" w:color="auto" w:fill="3B5AA4"/>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81"/>
        </w:trPr>
        <w:tc>
          <w:tcPr>
            <w:tcW w:w="2420" w:type="dxa"/>
            <w:vAlign w:val="bottom"/>
          </w:tcPr>
          <w:p>
            <w:pPr>
              <w:ind w:left="80"/>
              <w:spacing w:after="0"/>
              <w:rPr>
                <w:sz w:val="20"/>
                <w:szCs w:val="20"/>
                <w:color w:val="auto"/>
              </w:rPr>
            </w:pPr>
            <w:r>
              <w:rPr>
                <w:rFonts w:ascii="Arial" w:cs="Arial" w:eastAsia="Arial" w:hAnsi="Arial"/>
                <w:sz w:val="13"/>
                <w:szCs w:val="13"/>
                <w:b w:val="1"/>
                <w:bCs w:val="1"/>
                <w:color w:val="auto"/>
              </w:rPr>
              <w:t>Leonard S. Schleifer, M.D., Ph.D.</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1,979,922</w:t>
            </w:r>
          </w:p>
        </w:tc>
        <w:tc>
          <w:tcPr>
            <w:tcW w:w="1300" w:type="dxa"/>
            <w:vAlign w:val="bottom"/>
          </w:tcPr>
          <w:p>
            <w:pPr>
              <w:jc w:val="right"/>
              <w:ind w:right="111"/>
              <w:spacing w:after="0"/>
              <w:rPr>
                <w:sz w:val="20"/>
                <w:szCs w:val="20"/>
                <w:color w:val="auto"/>
              </w:rPr>
            </w:pPr>
            <w:r>
              <w:rPr>
                <w:rFonts w:ascii="Arial" w:cs="Arial" w:eastAsia="Arial" w:hAnsi="Arial"/>
                <w:sz w:val="13"/>
                <w:szCs w:val="13"/>
                <w:color w:val="auto"/>
              </w:rPr>
              <w:t>120%</w:t>
            </w:r>
          </w:p>
        </w:tc>
        <w:tc>
          <w:tcPr>
            <w:tcW w:w="780" w:type="dxa"/>
            <w:vAlign w:val="bottom"/>
          </w:tcPr>
          <w:p>
            <w:pPr>
              <w:ind w:left="420"/>
              <w:spacing w:after="0"/>
              <w:rPr>
                <w:sz w:val="20"/>
                <w:szCs w:val="20"/>
                <w:color w:val="auto"/>
              </w:rPr>
            </w:pPr>
            <w:r>
              <w:rPr>
                <w:rFonts w:ascii="Arial" w:cs="Arial" w:eastAsia="Arial" w:hAnsi="Arial"/>
                <w:sz w:val="13"/>
                <w:szCs w:val="13"/>
                <w:color w:val="auto"/>
              </w:rPr>
              <w:t>N/A</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N/A</w:t>
            </w:r>
          </w:p>
        </w:tc>
        <w:tc>
          <w:tcPr>
            <w:tcW w:w="760" w:type="dxa"/>
            <w:vAlign w:val="bottom"/>
          </w:tcPr>
          <w:p>
            <w:pPr>
              <w:ind w:left="380"/>
              <w:spacing w:after="0"/>
              <w:rPr>
                <w:sz w:val="20"/>
                <w:szCs w:val="20"/>
                <w:color w:val="auto"/>
              </w:rPr>
            </w:pPr>
            <w:r>
              <w:rPr>
                <w:rFonts w:ascii="Arial" w:cs="Arial" w:eastAsia="Arial" w:hAnsi="Arial"/>
                <w:sz w:val="13"/>
                <w:szCs w:val="13"/>
                <w:color w:val="auto"/>
              </w:rPr>
              <w:t>1.55</w:t>
            </w:r>
          </w:p>
        </w:tc>
        <w:tc>
          <w:tcPr>
            <w:tcW w:w="940" w:type="dxa"/>
            <w:vAlign w:val="bottom"/>
          </w:tcPr>
          <w:p>
            <w:pPr>
              <w:jc w:val="right"/>
              <w:ind w:right="113"/>
              <w:spacing w:after="0"/>
              <w:rPr>
                <w:sz w:val="20"/>
                <w:szCs w:val="20"/>
                <w:color w:val="auto"/>
              </w:rPr>
            </w:pPr>
            <w:r>
              <w:rPr>
                <w:rFonts w:ascii="Arial" w:cs="Arial" w:eastAsia="Arial" w:hAnsi="Arial"/>
                <w:sz w:val="13"/>
                <w:szCs w:val="13"/>
                <w:color w:val="auto"/>
              </w:rPr>
              <w:t>100%</w:t>
            </w:r>
          </w:p>
        </w:tc>
        <w:tc>
          <w:tcPr>
            <w:tcW w:w="840" w:type="dxa"/>
            <w:vAlign w:val="bottom"/>
          </w:tcPr>
          <w:p>
            <w:pPr>
              <w:jc w:val="right"/>
              <w:spacing w:after="0"/>
              <w:rPr>
                <w:sz w:val="20"/>
                <w:szCs w:val="20"/>
                <w:color w:val="auto"/>
              </w:rPr>
            </w:pPr>
            <w:r>
              <w:rPr>
                <w:rFonts w:ascii="Arial" w:cs="Arial" w:eastAsia="Arial" w:hAnsi="Arial"/>
                <w:sz w:val="13"/>
                <w:szCs w:val="13"/>
                <w:color w:val="auto"/>
              </w:rPr>
              <w:t>3,682,655</w:t>
            </w:r>
          </w:p>
        </w:tc>
        <w:tc>
          <w:tcPr>
            <w:tcW w:w="0" w:type="dxa"/>
            <w:vAlign w:val="bottom"/>
          </w:tcPr>
          <w:p>
            <w:pPr>
              <w:spacing w:after="0"/>
              <w:rPr>
                <w:sz w:val="1"/>
                <w:szCs w:val="1"/>
                <w:color w:val="auto"/>
              </w:rPr>
            </w:pPr>
          </w:p>
        </w:tc>
      </w:tr>
      <w:tr>
        <w:trPr>
          <w:trHeight w:val="204"/>
        </w:trPr>
        <w:tc>
          <w:tcPr>
            <w:tcW w:w="2420" w:type="dxa"/>
            <w:vAlign w:val="bottom"/>
            <w:shd w:val="clear" w:color="auto" w:fill="DAEBF8"/>
          </w:tcPr>
          <w:p>
            <w:pPr>
              <w:ind w:left="80"/>
              <w:spacing w:after="0"/>
              <w:rPr>
                <w:sz w:val="20"/>
                <w:szCs w:val="20"/>
                <w:color w:val="auto"/>
              </w:rPr>
            </w:pPr>
            <w:r>
              <w:rPr>
                <w:rFonts w:ascii="Arial" w:cs="Arial" w:eastAsia="Arial" w:hAnsi="Arial"/>
                <w:sz w:val="13"/>
                <w:szCs w:val="13"/>
                <w:b w:val="1"/>
                <w:bCs w:val="1"/>
                <w:color w:val="auto"/>
              </w:rPr>
              <w:t>George D. Yancopoulos, M.D., Ph.D.</w:t>
            </w:r>
          </w:p>
        </w:tc>
        <w:tc>
          <w:tcPr>
            <w:tcW w:w="780" w:type="dxa"/>
            <w:vAlign w:val="bottom"/>
            <w:shd w:val="clear" w:color="auto" w:fill="DAEBF8"/>
          </w:tcPr>
          <w:p>
            <w:pPr>
              <w:jc w:val="right"/>
              <w:ind w:right="53"/>
              <w:spacing w:after="0"/>
              <w:rPr>
                <w:sz w:val="20"/>
                <w:szCs w:val="20"/>
                <w:color w:val="auto"/>
              </w:rPr>
            </w:pPr>
            <w:r>
              <w:rPr>
                <w:rFonts w:ascii="Arial" w:cs="Arial" w:eastAsia="Arial" w:hAnsi="Arial"/>
                <w:sz w:val="13"/>
                <w:szCs w:val="13"/>
                <w:color w:val="auto"/>
              </w:rPr>
              <w:t>1,979,922</w:t>
            </w:r>
          </w:p>
        </w:tc>
        <w:tc>
          <w:tcPr>
            <w:tcW w:w="1300" w:type="dxa"/>
            <w:vAlign w:val="bottom"/>
            <w:shd w:val="clear" w:color="auto" w:fill="DAEBF8"/>
          </w:tcPr>
          <w:p>
            <w:pPr>
              <w:jc w:val="right"/>
              <w:ind w:right="111"/>
              <w:spacing w:after="0"/>
              <w:rPr>
                <w:sz w:val="20"/>
                <w:szCs w:val="20"/>
                <w:color w:val="auto"/>
              </w:rPr>
            </w:pPr>
            <w:r>
              <w:rPr>
                <w:rFonts w:ascii="Arial" w:cs="Arial" w:eastAsia="Arial" w:hAnsi="Arial"/>
                <w:sz w:val="13"/>
                <w:szCs w:val="13"/>
                <w:color w:val="auto"/>
              </w:rPr>
              <w:t>120%</w:t>
            </w:r>
          </w:p>
        </w:tc>
        <w:tc>
          <w:tcPr>
            <w:tcW w:w="780" w:type="dxa"/>
            <w:vAlign w:val="bottom"/>
            <w:shd w:val="clear" w:color="auto" w:fill="DAEBF8"/>
          </w:tcPr>
          <w:p>
            <w:pPr>
              <w:ind w:left="420"/>
              <w:spacing w:after="0"/>
              <w:rPr>
                <w:sz w:val="20"/>
                <w:szCs w:val="20"/>
                <w:color w:val="auto"/>
              </w:rPr>
            </w:pPr>
            <w:r>
              <w:rPr>
                <w:rFonts w:ascii="Arial" w:cs="Arial" w:eastAsia="Arial" w:hAnsi="Arial"/>
                <w:sz w:val="13"/>
                <w:szCs w:val="13"/>
                <w:color w:val="auto"/>
              </w:rPr>
              <w:t>N/A</w:t>
            </w:r>
          </w:p>
        </w:tc>
        <w:tc>
          <w:tcPr>
            <w:tcW w:w="940" w:type="dxa"/>
            <w:vAlign w:val="bottom"/>
            <w:gridSpan w:val="2"/>
            <w:shd w:val="clear" w:color="auto" w:fill="DAEBF8"/>
          </w:tcPr>
          <w:p>
            <w:pPr>
              <w:jc w:val="right"/>
              <w:ind w:right="160"/>
              <w:spacing w:after="0"/>
              <w:rPr>
                <w:sz w:val="20"/>
                <w:szCs w:val="20"/>
                <w:color w:val="auto"/>
              </w:rPr>
            </w:pPr>
            <w:r>
              <w:rPr>
                <w:rFonts w:ascii="Arial" w:cs="Arial" w:eastAsia="Arial" w:hAnsi="Arial"/>
                <w:sz w:val="13"/>
                <w:szCs w:val="13"/>
                <w:color w:val="auto"/>
              </w:rPr>
              <w:t>N/A</w:t>
            </w:r>
          </w:p>
        </w:tc>
        <w:tc>
          <w:tcPr>
            <w:tcW w:w="760" w:type="dxa"/>
            <w:vAlign w:val="bottom"/>
            <w:shd w:val="clear" w:color="auto" w:fill="DAEBF8"/>
          </w:tcPr>
          <w:p>
            <w:pPr>
              <w:ind w:left="380"/>
              <w:spacing w:after="0"/>
              <w:rPr>
                <w:sz w:val="20"/>
                <w:szCs w:val="20"/>
                <w:color w:val="auto"/>
              </w:rPr>
            </w:pPr>
            <w:r>
              <w:rPr>
                <w:rFonts w:ascii="Arial" w:cs="Arial" w:eastAsia="Arial" w:hAnsi="Arial"/>
                <w:sz w:val="13"/>
                <w:szCs w:val="13"/>
                <w:color w:val="auto"/>
              </w:rPr>
              <w:t>1.55</w:t>
            </w:r>
          </w:p>
        </w:tc>
        <w:tc>
          <w:tcPr>
            <w:tcW w:w="940" w:type="dxa"/>
            <w:vAlign w:val="bottom"/>
            <w:shd w:val="clear" w:color="auto" w:fill="DAEBF8"/>
          </w:tcPr>
          <w:p>
            <w:pPr>
              <w:jc w:val="right"/>
              <w:ind w:right="113"/>
              <w:spacing w:after="0"/>
              <w:rPr>
                <w:sz w:val="20"/>
                <w:szCs w:val="20"/>
                <w:color w:val="auto"/>
              </w:rPr>
            </w:pPr>
            <w:r>
              <w:rPr>
                <w:rFonts w:ascii="Arial" w:cs="Arial" w:eastAsia="Arial" w:hAnsi="Arial"/>
                <w:sz w:val="13"/>
                <w:szCs w:val="13"/>
                <w:color w:val="auto"/>
              </w:rPr>
              <w:t>100%</w:t>
            </w:r>
          </w:p>
        </w:tc>
        <w:tc>
          <w:tcPr>
            <w:tcW w:w="840" w:type="dxa"/>
            <w:vAlign w:val="bottom"/>
            <w:shd w:val="clear" w:color="auto" w:fill="DAEBF8"/>
          </w:tcPr>
          <w:p>
            <w:pPr>
              <w:jc w:val="right"/>
              <w:spacing w:after="0"/>
              <w:rPr>
                <w:sz w:val="20"/>
                <w:szCs w:val="20"/>
                <w:color w:val="auto"/>
              </w:rPr>
            </w:pPr>
            <w:r>
              <w:rPr>
                <w:rFonts w:ascii="Arial" w:cs="Arial" w:eastAsia="Arial" w:hAnsi="Arial"/>
                <w:sz w:val="13"/>
                <w:szCs w:val="13"/>
                <w:color w:val="auto"/>
              </w:rPr>
              <w:t>3,682,655</w:t>
            </w:r>
          </w:p>
        </w:tc>
        <w:tc>
          <w:tcPr>
            <w:tcW w:w="0" w:type="dxa"/>
            <w:vAlign w:val="bottom"/>
          </w:tcPr>
          <w:p>
            <w:pPr>
              <w:spacing w:after="0"/>
              <w:rPr>
                <w:sz w:val="1"/>
                <w:szCs w:val="1"/>
                <w:color w:val="auto"/>
              </w:rPr>
            </w:pPr>
          </w:p>
        </w:tc>
      </w:tr>
      <w:tr>
        <w:trPr>
          <w:trHeight w:val="200"/>
        </w:trPr>
        <w:tc>
          <w:tcPr>
            <w:tcW w:w="2420" w:type="dxa"/>
            <w:vAlign w:val="bottom"/>
          </w:tcPr>
          <w:p>
            <w:pPr>
              <w:ind w:left="80"/>
              <w:spacing w:after="0"/>
              <w:rPr>
                <w:sz w:val="20"/>
                <w:szCs w:val="20"/>
                <w:color w:val="auto"/>
              </w:rPr>
            </w:pPr>
            <w:r>
              <w:rPr>
                <w:rFonts w:ascii="Arial" w:cs="Arial" w:eastAsia="Arial" w:hAnsi="Arial"/>
                <w:sz w:val="13"/>
                <w:szCs w:val="13"/>
                <w:b w:val="1"/>
                <w:bCs w:val="1"/>
                <w:color w:val="auto"/>
              </w:rPr>
              <w:t>Christopher Fenimore</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725,000</w:t>
            </w:r>
          </w:p>
        </w:tc>
        <w:tc>
          <w:tcPr>
            <w:tcW w:w="1300" w:type="dxa"/>
            <w:vAlign w:val="bottom"/>
          </w:tcPr>
          <w:p>
            <w:pPr>
              <w:jc w:val="right"/>
              <w:ind w:right="111"/>
              <w:spacing w:after="0"/>
              <w:rPr>
                <w:sz w:val="20"/>
                <w:szCs w:val="20"/>
                <w:color w:val="auto"/>
              </w:rPr>
            </w:pPr>
            <w:r>
              <w:rPr>
                <w:rFonts w:ascii="Arial" w:cs="Arial" w:eastAsia="Arial" w:hAnsi="Arial"/>
                <w:sz w:val="13"/>
                <w:szCs w:val="13"/>
                <w:color w:val="auto"/>
              </w:rPr>
              <w:t>65%</w:t>
            </w:r>
          </w:p>
        </w:tc>
        <w:tc>
          <w:tcPr>
            <w:tcW w:w="780" w:type="dxa"/>
            <w:vAlign w:val="bottom"/>
          </w:tcPr>
          <w:p>
            <w:pPr>
              <w:ind w:left="380"/>
              <w:spacing w:after="0"/>
              <w:rPr>
                <w:sz w:val="20"/>
                <w:szCs w:val="20"/>
                <w:color w:val="auto"/>
              </w:rPr>
            </w:pPr>
            <w:r>
              <w:rPr>
                <w:rFonts w:ascii="Arial" w:cs="Arial" w:eastAsia="Arial" w:hAnsi="Arial"/>
                <w:sz w:val="13"/>
                <w:szCs w:val="13"/>
                <w:color w:val="auto"/>
              </w:rPr>
              <w:t>1.50</w:t>
            </w:r>
          </w:p>
        </w:tc>
        <w:tc>
          <w:tcPr>
            <w:tcW w:w="820" w:type="dxa"/>
            <w:vAlign w:val="bottom"/>
          </w:tcPr>
          <w:p>
            <w:pPr>
              <w:jc w:val="right"/>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7"/>
                <w:szCs w:val="17"/>
                <w:color w:val="auto"/>
              </w:rPr>
            </w:pPr>
          </w:p>
        </w:tc>
        <w:tc>
          <w:tcPr>
            <w:tcW w:w="760" w:type="dxa"/>
            <w:vAlign w:val="bottom"/>
          </w:tcPr>
          <w:p>
            <w:pPr>
              <w:ind w:left="380"/>
              <w:spacing w:after="0"/>
              <w:rPr>
                <w:sz w:val="20"/>
                <w:szCs w:val="20"/>
                <w:color w:val="auto"/>
              </w:rPr>
            </w:pPr>
            <w:r>
              <w:rPr>
                <w:rFonts w:ascii="Arial" w:cs="Arial" w:eastAsia="Arial" w:hAnsi="Arial"/>
                <w:sz w:val="13"/>
                <w:szCs w:val="13"/>
                <w:color w:val="auto"/>
              </w:rPr>
              <w:t>1.55</w:t>
            </w:r>
          </w:p>
        </w:tc>
        <w:tc>
          <w:tcPr>
            <w:tcW w:w="940" w:type="dxa"/>
            <w:vAlign w:val="bottom"/>
          </w:tcPr>
          <w:p>
            <w:pPr>
              <w:jc w:val="right"/>
              <w:ind w:right="113"/>
              <w:spacing w:after="0"/>
              <w:rPr>
                <w:sz w:val="20"/>
                <w:szCs w:val="20"/>
                <w:color w:val="auto"/>
              </w:rPr>
            </w:pPr>
            <w:r>
              <w:rPr>
                <w:rFonts w:ascii="Arial" w:cs="Arial" w:eastAsia="Arial" w:hAnsi="Arial"/>
                <w:sz w:val="13"/>
                <w:szCs w:val="13"/>
                <w:color w:val="auto"/>
              </w:rPr>
              <w:t>60%</w:t>
            </w:r>
          </w:p>
        </w:tc>
        <w:tc>
          <w:tcPr>
            <w:tcW w:w="840" w:type="dxa"/>
            <w:vAlign w:val="bottom"/>
          </w:tcPr>
          <w:p>
            <w:pPr>
              <w:jc w:val="right"/>
              <w:spacing w:after="0"/>
              <w:rPr>
                <w:sz w:val="20"/>
                <w:szCs w:val="20"/>
                <w:color w:val="auto"/>
              </w:rPr>
            </w:pPr>
            <w:r>
              <w:rPr>
                <w:rFonts w:ascii="Arial" w:cs="Arial" w:eastAsia="Arial" w:hAnsi="Arial"/>
                <w:sz w:val="13"/>
                <w:szCs w:val="13"/>
                <w:color w:val="auto"/>
              </w:rPr>
              <w:t>721,013</w:t>
            </w:r>
          </w:p>
        </w:tc>
        <w:tc>
          <w:tcPr>
            <w:tcW w:w="0" w:type="dxa"/>
            <w:vAlign w:val="bottom"/>
          </w:tcPr>
          <w:p>
            <w:pPr>
              <w:spacing w:after="0"/>
              <w:rPr>
                <w:sz w:val="1"/>
                <w:szCs w:val="1"/>
                <w:color w:val="auto"/>
              </w:rPr>
            </w:pPr>
          </w:p>
        </w:tc>
      </w:tr>
      <w:tr>
        <w:trPr>
          <w:trHeight w:val="205"/>
        </w:trPr>
        <w:tc>
          <w:tcPr>
            <w:tcW w:w="2420" w:type="dxa"/>
            <w:vAlign w:val="bottom"/>
            <w:shd w:val="clear" w:color="auto" w:fill="DAEBF8"/>
          </w:tcPr>
          <w:p>
            <w:pPr>
              <w:ind w:left="80"/>
              <w:spacing w:after="0"/>
              <w:rPr>
                <w:sz w:val="20"/>
                <w:szCs w:val="20"/>
                <w:color w:val="auto"/>
              </w:rPr>
            </w:pPr>
            <w:r>
              <w:rPr>
                <w:rFonts w:ascii="Arial" w:cs="Arial" w:eastAsia="Arial" w:hAnsi="Arial"/>
                <w:sz w:val="13"/>
                <w:szCs w:val="13"/>
                <w:b w:val="1"/>
                <w:bCs w:val="1"/>
                <w:color w:val="auto"/>
              </w:rPr>
              <w:t>Daniel P. Van Plew</w:t>
            </w:r>
          </w:p>
        </w:tc>
        <w:tc>
          <w:tcPr>
            <w:tcW w:w="780" w:type="dxa"/>
            <w:vAlign w:val="bottom"/>
            <w:shd w:val="clear" w:color="auto" w:fill="DAEBF8"/>
          </w:tcPr>
          <w:p>
            <w:pPr>
              <w:jc w:val="right"/>
              <w:ind w:right="53"/>
              <w:spacing w:after="0"/>
              <w:rPr>
                <w:sz w:val="20"/>
                <w:szCs w:val="20"/>
                <w:color w:val="auto"/>
              </w:rPr>
            </w:pPr>
            <w:r>
              <w:rPr>
                <w:rFonts w:ascii="Arial" w:cs="Arial" w:eastAsia="Arial" w:hAnsi="Arial"/>
                <w:sz w:val="13"/>
                <w:szCs w:val="13"/>
                <w:color w:val="auto"/>
              </w:rPr>
              <w:t>983,382</w:t>
            </w:r>
          </w:p>
        </w:tc>
        <w:tc>
          <w:tcPr>
            <w:tcW w:w="1300" w:type="dxa"/>
            <w:vAlign w:val="bottom"/>
            <w:shd w:val="clear" w:color="auto" w:fill="DAEBF8"/>
          </w:tcPr>
          <w:p>
            <w:pPr>
              <w:jc w:val="right"/>
              <w:ind w:right="111"/>
              <w:spacing w:after="0"/>
              <w:rPr>
                <w:sz w:val="20"/>
                <w:szCs w:val="20"/>
                <w:color w:val="auto"/>
              </w:rPr>
            </w:pPr>
            <w:r>
              <w:rPr>
                <w:rFonts w:ascii="Arial" w:cs="Arial" w:eastAsia="Arial" w:hAnsi="Arial"/>
                <w:sz w:val="13"/>
                <w:szCs w:val="13"/>
                <w:color w:val="auto"/>
              </w:rPr>
              <w:t>65%</w:t>
            </w:r>
          </w:p>
        </w:tc>
        <w:tc>
          <w:tcPr>
            <w:tcW w:w="780" w:type="dxa"/>
            <w:vAlign w:val="bottom"/>
            <w:shd w:val="clear" w:color="auto" w:fill="DAEBF8"/>
          </w:tcPr>
          <w:p>
            <w:pPr>
              <w:ind w:left="380"/>
              <w:spacing w:after="0"/>
              <w:rPr>
                <w:sz w:val="20"/>
                <w:szCs w:val="20"/>
                <w:color w:val="auto"/>
              </w:rPr>
            </w:pPr>
            <w:r>
              <w:rPr>
                <w:rFonts w:ascii="Arial" w:cs="Arial" w:eastAsia="Arial" w:hAnsi="Arial"/>
                <w:sz w:val="13"/>
                <w:szCs w:val="13"/>
                <w:color w:val="auto"/>
              </w:rPr>
              <w:t>1.45</w:t>
            </w:r>
          </w:p>
        </w:tc>
        <w:tc>
          <w:tcPr>
            <w:tcW w:w="820" w:type="dxa"/>
            <w:vAlign w:val="bottom"/>
            <w:shd w:val="clear" w:color="auto" w:fill="DAEBF8"/>
          </w:tcPr>
          <w:p>
            <w:pPr>
              <w:jc w:val="right"/>
              <w:spacing w:after="0"/>
              <w:rPr>
                <w:sz w:val="20"/>
                <w:szCs w:val="20"/>
                <w:color w:val="auto"/>
              </w:rPr>
            </w:pPr>
            <w:r>
              <w:rPr>
                <w:rFonts w:ascii="Arial" w:cs="Arial" w:eastAsia="Arial" w:hAnsi="Arial"/>
                <w:sz w:val="13"/>
                <w:szCs w:val="13"/>
                <w:color w:val="auto"/>
              </w:rPr>
              <w:t>40%</w:t>
            </w:r>
          </w:p>
        </w:tc>
        <w:tc>
          <w:tcPr>
            <w:tcW w:w="120" w:type="dxa"/>
            <w:vAlign w:val="bottom"/>
            <w:shd w:val="clear" w:color="auto" w:fill="DAEBF8"/>
          </w:tcPr>
          <w:p>
            <w:pPr>
              <w:spacing w:after="0"/>
              <w:rPr>
                <w:sz w:val="17"/>
                <w:szCs w:val="17"/>
                <w:color w:val="auto"/>
              </w:rPr>
            </w:pPr>
          </w:p>
        </w:tc>
        <w:tc>
          <w:tcPr>
            <w:tcW w:w="760" w:type="dxa"/>
            <w:vAlign w:val="bottom"/>
            <w:shd w:val="clear" w:color="auto" w:fill="DAEBF8"/>
          </w:tcPr>
          <w:p>
            <w:pPr>
              <w:ind w:left="380"/>
              <w:spacing w:after="0"/>
              <w:rPr>
                <w:sz w:val="20"/>
                <w:szCs w:val="20"/>
                <w:color w:val="auto"/>
              </w:rPr>
            </w:pPr>
            <w:r>
              <w:rPr>
                <w:rFonts w:ascii="Arial" w:cs="Arial" w:eastAsia="Arial" w:hAnsi="Arial"/>
                <w:sz w:val="13"/>
                <w:szCs w:val="13"/>
                <w:color w:val="auto"/>
              </w:rPr>
              <w:t>1.55</w:t>
            </w:r>
          </w:p>
        </w:tc>
        <w:tc>
          <w:tcPr>
            <w:tcW w:w="940" w:type="dxa"/>
            <w:vAlign w:val="bottom"/>
            <w:shd w:val="clear" w:color="auto" w:fill="DAEBF8"/>
          </w:tcPr>
          <w:p>
            <w:pPr>
              <w:jc w:val="right"/>
              <w:ind w:right="113"/>
              <w:spacing w:after="0"/>
              <w:rPr>
                <w:sz w:val="20"/>
                <w:szCs w:val="20"/>
                <w:color w:val="auto"/>
              </w:rPr>
            </w:pPr>
            <w:r>
              <w:rPr>
                <w:rFonts w:ascii="Arial" w:cs="Arial" w:eastAsia="Arial" w:hAnsi="Arial"/>
                <w:sz w:val="13"/>
                <w:szCs w:val="13"/>
                <w:color w:val="auto"/>
              </w:rPr>
              <w:t>60%</w:t>
            </w:r>
          </w:p>
        </w:tc>
        <w:tc>
          <w:tcPr>
            <w:tcW w:w="840" w:type="dxa"/>
            <w:vAlign w:val="bottom"/>
            <w:shd w:val="clear" w:color="auto" w:fill="DAEBF8"/>
          </w:tcPr>
          <w:p>
            <w:pPr>
              <w:jc w:val="right"/>
              <w:spacing w:after="0"/>
              <w:rPr>
                <w:sz w:val="20"/>
                <w:szCs w:val="20"/>
                <w:color w:val="auto"/>
              </w:rPr>
            </w:pPr>
            <w:r>
              <w:rPr>
                <w:rFonts w:ascii="Arial" w:cs="Arial" w:eastAsia="Arial" w:hAnsi="Arial"/>
                <w:sz w:val="13"/>
                <w:szCs w:val="13"/>
                <w:color w:val="auto"/>
              </w:rPr>
              <w:t>965,189</w:t>
            </w:r>
          </w:p>
        </w:tc>
        <w:tc>
          <w:tcPr>
            <w:tcW w:w="0" w:type="dxa"/>
            <w:vAlign w:val="bottom"/>
          </w:tcPr>
          <w:p>
            <w:pPr>
              <w:spacing w:after="0"/>
              <w:rPr>
                <w:sz w:val="1"/>
                <w:szCs w:val="1"/>
                <w:color w:val="auto"/>
              </w:rPr>
            </w:pPr>
          </w:p>
        </w:tc>
      </w:tr>
      <w:tr>
        <w:trPr>
          <w:trHeight w:val="200"/>
        </w:trPr>
        <w:tc>
          <w:tcPr>
            <w:tcW w:w="2420" w:type="dxa"/>
            <w:vAlign w:val="bottom"/>
          </w:tcPr>
          <w:p>
            <w:pPr>
              <w:ind w:left="80"/>
              <w:spacing w:after="0"/>
              <w:rPr>
                <w:sz w:val="20"/>
                <w:szCs w:val="20"/>
                <w:color w:val="auto"/>
              </w:rPr>
            </w:pPr>
            <w:r>
              <w:rPr>
                <w:rFonts w:ascii="Arial" w:cs="Arial" w:eastAsia="Arial" w:hAnsi="Arial"/>
                <w:sz w:val="13"/>
                <w:szCs w:val="13"/>
                <w:b w:val="1"/>
                <w:bCs w:val="1"/>
                <w:color w:val="auto"/>
              </w:rPr>
              <w:t>Andrew J. Murphy, Ph.D.</w:t>
            </w: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819,672</w:t>
            </w:r>
          </w:p>
        </w:tc>
        <w:tc>
          <w:tcPr>
            <w:tcW w:w="1300" w:type="dxa"/>
            <w:vAlign w:val="bottom"/>
          </w:tcPr>
          <w:p>
            <w:pPr>
              <w:jc w:val="right"/>
              <w:ind w:right="111"/>
              <w:spacing w:after="0"/>
              <w:rPr>
                <w:sz w:val="20"/>
                <w:szCs w:val="20"/>
                <w:color w:val="auto"/>
              </w:rPr>
            </w:pPr>
            <w:r>
              <w:rPr>
                <w:rFonts w:ascii="Arial" w:cs="Arial" w:eastAsia="Arial" w:hAnsi="Arial"/>
                <w:sz w:val="13"/>
                <w:szCs w:val="13"/>
                <w:color w:val="auto"/>
              </w:rPr>
              <w:t>65%</w:t>
            </w:r>
          </w:p>
        </w:tc>
        <w:tc>
          <w:tcPr>
            <w:tcW w:w="780" w:type="dxa"/>
            <w:vAlign w:val="bottom"/>
          </w:tcPr>
          <w:p>
            <w:pPr>
              <w:ind w:left="380"/>
              <w:spacing w:after="0"/>
              <w:rPr>
                <w:sz w:val="20"/>
                <w:szCs w:val="20"/>
                <w:color w:val="auto"/>
              </w:rPr>
            </w:pPr>
            <w:r>
              <w:rPr>
                <w:rFonts w:ascii="Arial" w:cs="Arial" w:eastAsia="Arial" w:hAnsi="Arial"/>
                <w:sz w:val="13"/>
                <w:szCs w:val="13"/>
                <w:color w:val="auto"/>
              </w:rPr>
              <w:t>1.50</w:t>
            </w:r>
          </w:p>
        </w:tc>
        <w:tc>
          <w:tcPr>
            <w:tcW w:w="820" w:type="dxa"/>
            <w:vAlign w:val="bottom"/>
          </w:tcPr>
          <w:p>
            <w:pPr>
              <w:jc w:val="right"/>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7"/>
                <w:szCs w:val="17"/>
                <w:color w:val="auto"/>
              </w:rPr>
            </w:pPr>
          </w:p>
        </w:tc>
        <w:tc>
          <w:tcPr>
            <w:tcW w:w="760" w:type="dxa"/>
            <w:vAlign w:val="bottom"/>
          </w:tcPr>
          <w:p>
            <w:pPr>
              <w:ind w:left="380"/>
              <w:spacing w:after="0"/>
              <w:rPr>
                <w:sz w:val="20"/>
                <w:szCs w:val="20"/>
                <w:color w:val="auto"/>
              </w:rPr>
            </w:pPr>
            <w:r>
              <w:rPr>
                <w:rFonts w:ascii="Arial" w:cs="Arial" w:eastAsia="Arial" w:hAnsi="Arial"/>
                <w:sz w:val="13"/>
                <w:szCs w:val="13"/>
                <w:color w:val="auto"/>
              </w:rPr>
              <w:t>1.55</w:t>
            </w:r>
          </w:p>
        </w:tc>
        <w:tc>
          <w:tcPr>
            <w:tcW w:w="940" w:type="dxa"/>
            <w:vAlign w:val="bottom"/>
          </w:tcPr>
          <w:p>
            <w:pPr>
              <w:jc w:val="right"/>
              <w:ind w:right="113"/>
              <w:spacing w:after="0"/>
              <w:rPr>
                <w:sz w:val="20"/>
                <w:szCs w:val="20"/>
                <w:color w:val="auto"/>
              </w:rPr>
            </w:pPr>
            <w:r>
              <w:rPr>
                <w:rFonts w:ascii="Arial" w:cs="Arial" w:eastAsia="Arial" w:hAnsi="Arial"/>
                <w:sz w:val="13"/>
                <w:szCs w:val="13"/>
                <w:color w:val="auto"/>
              </w:rPr>
              <w:t>60%</w:t>
            </w:r>
          </w:p>
        </w:tc>
        <w:tc>
          <w:tcPr>
            <w:tcW w:w="840" w:type="dxa"/>
            <w:vAlign w:val="bottom"/>
          </w:tcPr>
          <w:p>
            <w:pPr>
              <w:jc w:val="right"/>
              <w:spacing w:after="0"/>
              <w:rPr>
                <w:sz w:val="20"/>
                <w:szCs w:val="20"/>
                <w:color w:val="auto"/>
              </w:rPr>
            </w:pPr>
            <w:r>
              <w:rPr>
                <w:rFonts w:ascii="Arial" w:cs="Arial" w:eastAsia="Arial" w:hAnsi="Arial"/>
                <w:sz w:val="13"/>
                <w:szCs w:val="13"/>
                <w:color w:val="auto"/>
              </w:rPr>
              <w:t>815,164</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065BAA"/>
            </w:tcBorders>
            <w:shd w:val="clear" w:color="auto" w:fill="DAEBF8"/>
          </w:tcPr>
          <w:p>
            <w:pPr>
              <w:ind w:left="80"/>
              <w:spacing w:after="0"/>
              <w:rPr>
                <w:sz w:val="20"/>
                <w:szCs w:val="20"/>
                <w:color w:val="auto"/>
              </w:rPr>
            </w:pPr>
            <w:r>
              <w:rPr>
                <w:rFonts w:ascii="Arial" w:cs="Arial" w:eastAsia="Arial" w:hAnsi="Arial"/>
                <w:sz w:val="13"/>
                <w:szCs w:val="13"/>
                <w:b w:val="1"/>
                <w:bCs w:val="1"/>
                <w:color w:val="auto"/>
              </w:rPr>
              <w:t>Joseph J. LaRosa</w:t>
            </w:r>
          </w:p>
        </w:tc>
        <w:tc>
          <w:tcPr>
            <w:tcW w:w="780" w:type="dxa"/>
            <w:vAlign w:val="bottom"/>
            <w:tcBorders>
              <w:bottom w:val="single" w:sz="8" w:color="065BAA"/>
            </w:tcBorders>
            <w:shd w:val="clear" w:color="auto" w:fill="DAEBF8"/>
          </w:tcPr>
          <w:p>
            <w:pPr>
              <w:jc w:val="right"/>
              <w:ind w:right="53"/>
              <w:spacing w:after="0"/>
              <w:rPr>
                <w:sz w:val="20"/>
                <w:szCs w:val="20"/>
                <w:color w:val="auto"/>
              </w:rPr>
            </w:pPr>
            <w:r>
              <w:rPr>
                <w:rFonts w:ascii="Arial" w:cs="Arial" w:eastAsia="Arial" w:hAnsi="Arial"/>
                <w:sz w:val="13"/>
                <w:szCs w:val="13"/>
                <w:color w:val="auto"/>
              </w:rPr>
              <w:t>916,062</w:t>
            </w:r>
          </w:p>
        </w:tc>
        <w:tc>
          <w:tcPr>
            <w:tcW w:w="1300" w:type="dxa"/>
            <w:vAlign w:val="bottom"/>
            <w:tcBorders>
              <w:bottom w:val="single" w:sz="8" w:color="065BAA"/>
            </w:tcBorders>
            <w:shd w:val="clear" w:color="auto" w:fill="DAEBF8"/>
          </w:tcPr>
          <w:p>
            <w:pPr>
              <w:jc w:val="right"/>
              <w:ind w:right="111"/>
              <w:spacing w:after="0"/>
              <w:rPr>
                <w:sz w:val="20"/>
                <w:szCs w:val="20"/>
                <w:color w:val="auto"/>
              </w:rPr>
            </w:pPr>
            <w:r>
              <w:rPr>
                <w:rFonts w:ascii="Arial" w:cs="Arial" w:eastAsia="Arial" w:hAnsi="Arial"/>
                <w:sz w:val="13"/>
                <w:szCs w:val="13"/>
                <w:color w:val="auto"/>
              </w:rPr>
              <w:t>65%</w:t>
            </w:r>
          </w:p>
        </w:tc>
        <w:tc>
          <w:tcPr>
            <w:tcW w:w="780" w:type="dxa"/>
            <w:vAlign w:val="bottom"/>
            <w:tcBorders>
              <w:bottom w:val="single" w:sz="8" w:color="065BAA"/>
            </w:tcBorders>
            <w:shd w:val="clear" w:color="auto" w:fill="DAEBF8"/>
          </w:tcPr>
          <w:p>
            <w:pPr>
              <w:ind w:left="380"/>
              <w:spacing w:after="0"/>
              <w:rPr>
                <w:sz w:val="20"/>
                <w:szCs w:val="20"/>
                <w:color w:val="auto"/>
              </w:rPr>
            </w:pPr>
            <w:r>
              <w:rPr>
                <w:rFonts w:ascii="Arial" w:cs="Arial" w:eastAsia="Arial" w:hAnsi="Arial"/>
                <w:sz w:val="13"/>
                <w:szCs w:val="13"/>
                <w:color w:val="auto"/>
              </w:rPr>
              <w:t>1.50</w:t>
            </w:r>
          </w:p>
        </w:tc>
        <w:tc>
          <w:tcPr>
            <w:tcW w:w="820" w:type="dxa"/>
            <w:vAlign w:val="bottom"/>
            <w:tcBorders>
              <w:bottom w:val="single" w:sz="8" w:color="065BAA"/>
            </w:tcBorders>
            <w:shd w:val="clear" w:color="auto" w:fill="DAEBF8"/>
          </w:tcPr>
          <w:p>
            <w:pPr>
              <w:jc w:val="right"/>
              <w:spacing w:after="0"/>
              <w:rPr>
                <w:sz w:val="20"/>
                <w:szCs w:val="20"/>
                <w:color w:val="auto"/>
              </w:rPr>
            </w:pPr>
            <w:r>
              <w:rPr>
                <w:rFonts w:ascii="Arial" w:cs="Arial" w:eastAsia="Arial" w:hAnsi="Arial"/>
                <w:sz w:val="13"/>
                <w:szCs w:val="13"/>
                <w:color w:val="auto"/>
              </w:rPr>
              <w:t>40%</w:t>
            </w:r>
          </w:p>
        </w:tc>
        <w:tc>
          <w:tcPr>
            <w:tcW w:w="120" w:type="dxa"/>
            <w:vAlign w:val="bottom"/>
            <w:tcBorders>
              <w:bottom w:val="single" w:sz="8" w:color="065BAA"/>
            </w:tcBorders>
            <w:shd w:val="clear" w:color="auto" w:fill="DAEBF8"/>
          </w:tcPr>
          <w:p>
            <w:pPr>
              <w:spacing w:after="0"/>
              <w:rPr>
                <w:sz w:val="18"/>
                <w:szCs w:val="18"/>
                <w:color w:val="auto"/>
              </w:rPr>
            </w:pPr>
          </w:p>
        </w:tc>
        <w:tc>
          <w:tcPr>
            <w:tcW w:w="760" w:type="dxa"/>
            <w:vAlign w:val="bottom"/>
            <w:tcBorders>
              <w:bottom w:val="single" w:sz="8" w:color="065BAA"/>
            </w:tcBorders>
            <w:shd w:val="clear" w:color="auto" w:fill="DAEBF8"/>
          </w:tcPr>
          <w:p>
            <w:pPr>
              <w:ind w:left="400"/>
              <w:spacing w:after="0"/>
              <w:rPr>
                <w:sz w:val="20"/>
                <w:szCs w:val="20"/>
                <w:color w:val="auto"/>
              </w:rPr>
            </w:pPr>
            <w:r>
              <w:rPr>
                <w:rFonts w:ascii="Arial" w:cs="Arial" w:eastAsia="Arial" w:hAnsi="Arial"/>
                <w:sz w:val="13"/>
                <w:szCs w:val="13"/>
                <w:color w:val="auto"/>
              </w:rPr>
              <w:t>1.55</w:t>
            </w:r>
          </w:p>
        </w:tc>
        <w:tc>
          <w:tcPr>
            <w:tcW w:w="940" w:type="dxa"/>
            <w:vAlign w:val="bottom"/>
            <w:tcBorders>
              <w:bottom w:val="single" w:sz="8" w:color="065BAA"/>
            </w:tcBorders>
            <w:shd w:val="clear" w:color="auto" w:fill="DAEBF8"/>
          </w:tcPr>
          <w:p>
            <w:pPr>
              <w:jc w:val="right"/>
              <w:ind w:right="113"/>
              <w:spacing w:after="0"/>
              <w:rPr>
                <w:sz w:val="20"/>
                <w:szCs w:val="20"/>
                <w:color w:val="auto"/>
              </w:rPr>
            </w:pPr>
            <w:r>
              <w:rPr>
                <w:rFonts w:ascii="Arial" w:cs="Arial" w:eastAsia="Arial" w:hAnsi="Arial"/>
                <w:sz w:val="13"/>
                <w:szCs w:val="13"/>
                <w:color w:val="auto"/>
              </w:rPr>
              <w:t>60%</w:t>
            </w:r>
          </w:p>
        </w:tc>
        <w:tc>
          <w:tcPr>
            <w:tcW w:w="840" w:type="dxa"/>
            <w:vAlign w:val="bottom"/>
            <w:tcBorders>
              <w:bottom w:val="single" w:sz="8" w:color="065BAA"/>
            </w:tcBorders>
            <w:shd w:val="clear" w:color="auto" w:fill="DAEBF8"/>
          </w:tcPr>
          <w:p>
            <w:pPr>
              <w:jc w:val="right"/>
              <w:ind w:right="13"/>
              <w:spacing w:after="0"/>
              <w:rPr>
                <w:sz w:val="20"/>
                <w:szCs w:val="20"/>
                <w:color w:val="auto"/>
              </w:rPr>
            </w:pPr>
            <w:r>
              <w:rPr>
                <w:rFonts w:ascii="Arial" w:cs="Arial" w:eastAsia="Arial" w:hAnsi="Arial"/>
                <w:sz w:val="13"/>
                <w:szCs w:val="13"/>
                <w:color w:val="auto"/>
              </w:rPr>
              <w:t>911,024</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40" w:right="159"/>
        <w:spacing w:after="0" w:line="295" w:lineRule="auto"/>
        <w:rPr>
          <w:sz w:val="20"/>
          <w:szCs w:val="20"/>
          <w:color w:val="auto"/>
        </w:rPr>
      </w:pPr>
      <w:r>
        <w:rPr>
          <w:rFonts w:ascii="Arial" w:cs="Arial" w:eastAsia="Arial" w:hAnsi="Arial"/>
          <w:sz w:val="16"/>
          <w:szCs w:val="16"/>
          <w:color w:val="auto"/>
        </w:rPr>
        <w:t>In addition to the annual cash incentive described above, in December 2025 the Compensation Committee awarded Mr. LaRosa a special, one-time cash incentive award of $1,000,000 in recognition of his and his team’s extraordinary contributions in 2025, as described in the subsection “Compensation Dashboard—Additional Compensation Information— Annual Cash Incentives.”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68</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77" w:name="page78"/>
    <w:bookmarkEnd w:id="77"/>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Annual Equity Awards</w:t>
      </w:r>
    </w:p>
    <w:p>
      <w:pPr>
        <w:spacing w:after="0" w:line="180" w:lineRule="exact"/>
        <w:rPr>
          <w:sz w:val="20"/>
          <w:szCs w:val="20"/>
          <w:color w:val="auto"/>
        </w:rPr>
      </w:pPr>
    </w:p>
    <w:p>
      <w:pPr>
        <w:ind w:left="140" w:right="179"/>
        <w:spacing w:after="0" w:line="282" w:lineRule="auto"/>
        <w:rPr>
          <w:sz w:val="20"/>
          <w:szCs w:val="20"/>
          <w:color w:val="auto"/>
        </w:rPr>
      </w:pPr>
      <w:r>
        <w:rPr>
          <w:rFonts w:ascii="Arial" w:cs="Arial" w:eastAsia="Arial" w:hAnsi="Arial"/>
          <w:sz w:val="16"/>
          <w:szCs w:val="16"/>
          <w:color w:val="auto"/>
        </w:rPr>
        <w:t>Equity grants generally represent the largest portion of the compensation opportunity awarded annually to our NEOs. These awards are designed to incentivize delivery of sustainable long-term value, which we believe is created by focusing on the discovery, development, and commercialization of new medicines. Our Compensation Committee utilizes a customized framework for determining the size and mix of the annual equity awards of our NEOs and other senior executives, which is periodically reassessed in light of our business objectives, feedback from our shareholders, and market practices.</w:t>
      </w:r>
    </w:p>
    <w:p>
      <w:pPr>
        <w:spacing w:after="0" w:line="53" w:lineRule="exact"/>
        <w:rPr>
          <w:sz w:val="20"/>
          <w:szCs w:val="20"/>
          <w:color w:val="auto"/>
        </w:rPr>
      </w:pPr>
    </w:p>
    <w:p>
      <w:pPr>
        <w:ind w:left="140" w:right="219"/>
        <w:spacing w:after="0" w:line="289" w:lineRule="auto"/>
        <w:rPr>
          <w:sz w:val="20"/>
          <w:szCs w:val="20"/>
          <w:color w:val="auto"/>
        </w:rPr>
      </w:pPr>
      <w:r>
        <w:rPr>
          <w:rFonts w:ascii="Arial" w:cs="Arial" w:eastAsia="Arial" w:hAnsi="Arial"/>
          <w:sz w:val="16"/>
          <w:szCs w:val="16"/>
          <w:color w:val="auto"/>
        </w:rPr>
        <w:t>In determining the size of the annual equity awards for each of our NEOs, the Compensation Committee balances an assessment of how each NEO’s individual performance contributed to the Company’s performance for the year with an assessment of such NEO’s importance to future Company performance. These assessments are then reviewed in light of market positioning and the Company’s equity award guidelines.</w:t>
      </w:r>
    </w:p>
    <w:p>
      <w:pPr>
        <w:spacing w:after="0" w:line="45" w:lineRule="exact"/>
        <w:rPr>
          <w:sz w:val="20"/>
          <w:szCs w:val="20"/>
          <w:color w:val="auto"/>
        </w:rPr>
      </w:pPr>
    </w:p>
    <w:p>
      <w:pPr>
        <w:ind w:left="140" w:right="199"/>
        <w:spacing w:after="0" w:line="301" w:lineRule="auto"/>
        <w:rPr>
          <w:sz w:val="20"/>
          <w:szCs w:val="20"/>
          <w:color w:val="auto"/>
        </w:rPr>
      </w:pPr>
      <w:r>
        <w:rPr>
          <w:rFonts w:ascii="Arial" w:cs="Arial" w:eastAsia="Arial" w:hAnsi="Arial"/>
          <w:sz w:val="16"/>
          <w:szCs w:val="16"/>
          <w:color w:val="auto"/>
        </w:rPr>
        <w:t>In determining the mix of annual equity awards of each of our NEOs, the Compensation Committee seeks to balance incentivizing long-term performance with promoting long-term employee retention. The relevant considerations underlying our equity program and the types of awards we have utilized in recent years are summarized below.</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4"/>
                <w:szCs w:val="14"/>
                <w:b w:val="1"/>
                <w:bCs w:val="1"/>
                <w:color w:val="065BAA"/>
              </w:rPr>
              <w:t>Performance-</w:t>
            </w:r>
          </w:p>
        </w:tc>
        <w:tc>
          <w:tcPr>
            <w:tcW w:w="7360" w:type="dxa"/>
            <w:vAlign w:val="bottom"/>
          </w:tcPr>
          <w:p>
            <w:pPr>
              <w:ind w:left="20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4"/>
                <w:szCs w:val="14"/>
                <w:b w:val="1"/>
                <w:bCs w:val="1"/>
                <w:color w:val="000000"/>
              </w:rPr>
              <w:t>Both stock options and PSUs are performance-based:</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20"/>
                <w:szCs w:val="20"/>
                <w:color w:val="auto"/>
              </w:rPr>
            </w:pPr>
            <w:r>
              <w:rPr>
                <w:rFonts w:ascii="Arial" w:cs="Arial" w:eastAsia="Arial" w:hAnsi="Arial"/>
                <w:sz w:val="14"/>
                <w:szCs w:val="14"/>
                <w:b w:val="1"/>
                <w:bCs w:val="1"/>
                <w:color w:val="065BAA"/>
              </w:rPr>
              <w:t>Based Value</w:t>
            </w:r>
          </w:p>
        </w:tc>
        <w:tc>
          <w:tcPr>
            <w:tcW w:w="7360" w:type="dxa"/>
            <w:vAlign w:val="bottom"/>
          </w:tcPr>
          <w:p>
            <w:pPr>
              <w:ind w:left="40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4"/>
                <w:szCs w:val="14"/>
                <w:color w:val="000000"/>
              </w:rPr>
              <w:t>Regeneron’s long-held view is that stock options are performance-based and, when used thoughtfully, are</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b w:val="1"/>
                <w:bCs w:val="1"/>
                <w:color w:val="065BAA"/>
              </w:rPr>
              <w:t>Delivery</w:t>
            </w:r>
          </w:p>
        </w:tc>
        <w:tc>
          <w:tcPr>
            <w:tcW w:w="7360" w:type="dxa"/>
            <w:vAlign w:val="bottom"/>
            <w:vMerge w:val="restart"/>
          </w:tcPr>
          <w:p>
            <w:pPr>
              <w:ind w:left="600"/>
              <w:spacing w:after="0"/>
              <w:rPr>
                <w:sz w:val="20"/>
                <w:szCs w:val="20"/>
                <w:color w:val="auto"/>
              </w:rPr>
            </w:pPr>
            <w:r>
              <w:rPr>
                <w:rFonts w:ascii="Arial" w:cs="Arial" w:eastAsia="Arial" w:hAnsi="Arial"/>
                <w:sz w:val="14"/>
                <w:szCs w:val="14"/>
                <w:color w:val="auto"/>
              </w:rPr>
              <w:t>a great compensation tool to incentivize employees while ensuring alignment with shareholder interests.</w:t>
            </w:r>
          </w:p>
        </w:tc>
        <w:tc>
          <w:tcPr>
            <w:tcW w:w="0" w:type="dxa"/>
            <w:vAlign w:val="bottom"/>
          </w:tcPr>
          <w:p>
            <w:pPr>
              <w:spacing w:after="0"/>
              <w:rPr>
                <w:sz w:val="1"/>
                <w:szCs w:val="1"/>
                <w:color w:val="auto"/>
              </w:rPr>
            </w:pPr>
          </w:p>
        </w:tc>
      </w:tr>
      <w:tr>
        <w:trPr>
          <w:trHeight w:val="46"/>
        </w:trPr>
        <w:tc>
          <w:tcPr>
            <w:tcW w:w="1140" w:type="dxa"/>
            <w:vAlign w:val="bottom"/>
          </w:tcPr>
          <w:p>
            <w:pPr>
              <w:spacing w:after="0"/>
              <w:rPr>
                <w:sz w:val="4"/>
                <w:szCs w:val="4"/>
                <w:color w:val="auto"/>
              </w:rPr>
            </w:pPr>
          </w:p>
        </w:tc>
        <w:tc>
          <w:tcPr>
            <w:tcW w:w="7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7360" w:type="dxa"/>
            <w:vAlign w:val="bottom"/>
          </w:tcPr>
          <w:p>
            <w:pPr>
              <w:ind w:left="600"/>
              <w:spacing w:after="0"/>
              <w:rPr>
                <w:sz w:val="20"/>
                <w:szCs w:val="20"/>
                <w:color w:val="auto"/>
              </w:rPr>
            </w:pPr>
            <w:r>
              <w:rPr>
                <w:rFonts w:ascii="Arial" w:cs="Arial" w:eastAsia="Arial" w:hAnsi="Arial"/>
                <w:sz w:val="14"/>
                <w:szCs w:val="14"/>
                <w:color w:val="auto"/>
              </w:rPr>
              <w:t>This view is commonly shared amongst biotechnology companies and reflects the unique dynamics of the</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7360" w:type="dxa"/>
            <w:vAlign w:val="bottom"/>
          </w:tcPr>
          <w:p>
            <w:pPr>
              <w:ind w:left="600"/>
              <w:spacing w:after="0"/>
              <w:rPr>
                <w:sz w:val="20"/>
                <w:szCs w:val="20"/>
                <w:color w:val="auto"/>
              </w:rPr>
            </w:pPr>
            <w:r>
              <w:rPr>
                <w:rFonts w:ascii="Arial" w:cs="Arial" w:eastAsia="Arial" w:hAnsi="Arial"/>
                <w:sz w:val="14"/>
                <w:szCs w:val="14"/>
                <w:color w:val="auto"/>
              </w:rPr>
              <w:t>industry. Stock options only deliver value if we deliver stock price appreciation for shareholders after grant.</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7360" w:type="dxa"/>
            <w:vAlign w:val="bottom"/>
          </w:tcPr>
          <w:p>
            <w:pPr>
              <w:ind w:left="600"/>
              <w:spacing w:after="0"/>
              <w:rPr>
                <w:sz w:val="20"/>
                <w:szCs w:val="20"/>
                <w:color w:val="auto"/>
              </w:rPr>
            </w:pPr>
            <w:r>
              <w:rPr>
                <w:rFonts w:ascii="Arial" w:cs="Arial" w:eastAsia="Arial" w:hAnsi="Arial"/>
                <w:sz w:val="14"/>
                <w:szCs w:val="14"/>
                <w:color w:val="auto"/>
              </w:rPr>
              <w:t>No amount of time will make a stock option deliver any value unless the company’s stock price increases,</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7360" w:type="dxa"/>
            <w:vAlign w:val="bottom"/>
          </w:tcPr>
          <w:p>
            <w:pPr>
              <w:ind w:left="600"/>
              <w:spacing w:after="0"/>
              <w:rPr>
                <w:sz w:val="20"/>
                <w:szCs w:val="20"/>
                <w:color w:val="auto"/>
              </w:rPr>
            </w:pPr>
            <w:r>
              <w:rPr>
                <w:rFonts w:ascii="Arial" w:cs="Arial" w:eastAsia="Arial" w:hAnsi="Arial"/>
                <w:sz w:val="14"/>
                <w:szCs w:val="14"/>
                <w:color w:val="auto"/>
              </w:rPr>
              <w:t>and no sustainable stock price appreciation can be achieved by Regeneron without a productive pipeline</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7360" w:type="dxa"/>
            <w:vAlign w:val="bottom"/>
          </w:tcPr>
          <w:p>
            <w:pPr>
              <w:ind w:left="600"/>
              <w:spacing w:after="0"/>
              <w:rPr>
                <w:sz w:val="20"/>
                <w:szCs w:val="20"/>
                <w:color w:val="auto"/>
              </w:rPr>
            </w:pPr>
            <w:r>
              <w:rPr>
                <w:rFonts w:ascii="Arial" w:cs="Arial" w:eastAsia="Arial" w:hAnsi="Arial"/>
                <w:sz w:val="14"/>
                <w:szCs w:val="14"/>
                <w:color w:val="auto"/>
              </w:rPr>
              <w:t>of potential new medicines.</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040" w:right="499" w:hanging="194"/>
        <w:spacing w:after="0" w:line="305" w:lineRule="auto"/>
        <w:rPr>
          <w:sz w:val="20"/>
          <w:szCs w:val="20"/>
          <w:color w:val="auto"/>
        </w:rPr>
      </w:pPr>
      <w:r>
        <w:rPr>
          <w:rFonts w:ascii="Arial" w:cs="Arial" w:eastAsia="Arial" w:hAnsi="Arial"/>
          <w:sz w:val="14"/>
          <w:szCs w:val="14"/>
          <w:color w:val="065BAA"/>
        </w:rPr>
        <w:t xml:space="preserve">– </w:t>
      </w:r>
      <w:r>
        <w:rPr>
          <w:rFonts w:ascii="Arial" w:cs="Arial" w:eastAsia="Arial" w:hAnsi="Arial"/>
          <w:sz w:val="14"/>
          <w:szCs w:val="14"/>
          <w:color w:val="000000"/>
        </w:rPr>
        <w:t>2020 CEO/CSO PSUs (which vested in December 2025 and must be held until December 2028) were</w:t>
      </w:r>
      <w:r>
        <w:rPr>
          <w:rFonts w:ascii="Arial" w:cs="Arial" w:eastAsia="Arial" w:hAnsi="Arial"/>
          <w:sz w:val="14"/>
          <w:szCs w:val="14"/>
          <w:color w:val="065BAA"/>
        </w:rPr>
        <w:t xml:space="preserve"> </w:t>
      </w:r>
      <w:r>
        <w:rPr>
          <w:rFonts w:ascii="Arial" w:cs="Arial" w:eastAsia="Arial" w:hAnsi="Arial"/>
          <w:sz w:val="14"/>
          <w:szCs w:val="14"/>
          <w:color w:val="000000"/>
        </w:rPr>
        <w:t>earned solely based on the relevant TSR-based performance criteria.</w:t>
      </w:r>
    </w:p>
    <w:p>
      <w:pPr>
        <w:spacing w:after="0" w:line="166"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1220" w:type="dxa"/>
            <w:vAlign w:val="bottom"/>
          </w:tcPr>
          <w:p>
            <w:pPr>
              <w:ind w:left="40"/>
              <w:spacing w:after="0"/>
              <w:rPr>
                <w:sz w:val="20"/>
                <w:szCs w:val="20"/>
                <w:color w:val="auto"/>
              </w:rPr>
            </w:pPr>
            <w:r>
              <w:rPr>
                <w:rFonts w:ascii="Arial" w:cs="Arial" w:eastAsia="Arial" w:hAnsi="Arial"/>
                <w:sz w:val="14"/>
                <w:szCs w:val="14"/>
                <w:b w:val="1"/>
                <w:bCs w:val="1"/>
                <w:color w:val="065BAA"/>
              </w:rPr>
              <w:t>Meaningful</w:t>
            </w:r>
          </w:p>
        </w:tc>
        <w:tc>
          <w:tcPr>
            <w:tcW w:w="7400" w:type="dxa"/>
            <w:vAlign w:val="bottom"/>
          </w:tcPr>
          <w:p>
            <w:pPr>
              <w:ind w:left="1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4"/>
                <w:szCs w:val="14"/>
                <w:b w:val="1"/>
                <w:bCs w:val="1"/>
                <w:color w:val="000000"/>
              </w:rPr>
              <w:t>We require NEOs to retain a significant amount of equity within five years of their employment</w:t>
            </w:r>
          </w:p>
        </w:tc>
        <w:tc>
          <w:tcPr>
            <w:tcW w:w="0" w:type="dxa"/>
            <w:vAlign w:val="bottom"/>
          </w:tcPr>
          <w:p>
            <w:pPr>
              <w:spacing w:after="0"/>
              <w:rPr>
                <w:sz w:val="1"/>
                <w:szCs w:val="1"/>
                <w:color w:val="auto"/>
              </w:rPr>
            </w:pPr>
          </w:p>
        </w:tc>
      </w:tr>
      <w:tr>
        <w:trPr>
          <w:trHeight w:val="189"/>
        </w:trPr>
        <w:tc>
          <w:tcPr>
            <w:tcW w:w="1220" w:type="dxa"/>
            <w:vAlign w:val="bottom"/>
          </w:tcPr>
          <w:p>
            <w:pPr>
              <w:ind w:left="40"/>
              <w:spacing w:after="0"/>
              <w:rPr>
                <w:sz w:val="20"/>
                <w:szCs w:val="20"/>
                <w:color w:val="auto"/>
              </w:rPr>
            </w:pPr>
            <w:r>
              <w:rPr>
                <w:rFonts w:ascii="Arial" w:cs="Arial" w:eastAsia="Arial" w:hAnsi="Arial"/>
                <w:sz w:val="14"/>
                <w:szCs w:val="14"/>
                <w:b w:val="1"/>
                <w:bCs w:val="1"/>
                <w:color w:val="065BAA"/>
              </w:rPr>
              <w:t>Holding</w:t>
            </w:r>
          </w:p>
        </w:tc>
        <w:tc>
          <w:tcPr>
            <w:tcW w:w="7400" w:type="dxa"/>
            <w:vAlign w:val="bottom"/>
          </w:tcPr>
          <w:p>
            <w:pPr>
              <w:ind w:left="360"/>
              <w:spacing w:after="0"/>
              <w:rPr>
                <w:sz w:val="20"/>
                <w:szCs w:val="20"/>
                <w:color w:val="auto"/>
              </w:rPr>
            </w:pPr>
            <w:r>
              <w:rPr>
                <w:rFonts w:ascii="Arial" w:cs="Arial" w:eastAsia="Arial" w:hAnsi="Arial"/>
                <w:sz w:val="14"/>
                <w:szCs w:val="14"/>
                <w:b w:val="1"/>
                <w:bCs w:val="1"/>
                <w:color w:val="auto"/>
              </w:rPr>
              <w:t>with Regeneron:</w:t>
            </w:r>
          </w:p>
        </w:tc>
        <w:tc>
          <w:tcPr>
            <w:tcW w:w="0" w:type="dxa"/>
            <w:vAlign w:val="bottom"/>
          </w:tcPr>
          <w:p>
            <w:pPr>
              <w:spacing w:after="0"/>
              <w:rPr>
                <w:sz w:val="1"/>
                <w:szCs w:val="1"/>
                <w:color w:val="auto"/>
              </w:rPr>
            </w:pPr>
          </w:p>
        </w:tc>
      </w:tr>
      <w:tr>
        <w:trPr>
          <w:trHeight w:val="196"/>
        </w:trPr>
        <w:tc>
          <w:tcPr>
            <w:tcW w:w="1220" w:type="dxa"/>
            <w:vAlign w:val="bottom"/>
          </w:tcPr>
          <w:p>
            <w:pPr>
              <w:ind w:left="40"/>
              <w:spacing w:after="0"/>
              <w:rPr>
                <w:sz w:val="20"/>
                <w:szCs w:val="20"/>
                <w:color w:val="auto"/>
              </w:rPr>
            </w:pPr>
            <w:r>
              <w:rPr>
                <w:rFonts w:ascii="Arial" w:cs="Arial" w:eastAsia="Arial" w:hAnsi="Arial"/>
                <w:sz w:val="14"/>
                <w:szCs w:val="14"/>
                <w:b w:val="1"/>
                <w:bCs w:val="1"/>
                <w:color w:val="065BAA"/>
              </w:rPr>
              <w:t>Requirements</w:t>
            </w:r>
          </w:p>
        </w:tc>
        <w:tc>
          <w:tcPr>
            <w:tcW w:w="7400" w:type="dxa"/>
            <w:vAlign w:val="bottom"/>
            <w:vMerge w:val="restart"/>
          </w:tcPr>
          <w:p>
            <w:pPr>
              <w:ind w:left="3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4"/>
                <w:szCs w:val="14"/>
                <w:color w:val="000000"/>
              </w:rPr>
              <w:t>Our CEO and CSO must own shares with a value at least 6x their respective base salaries.</w:t>
            </w: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7400" w:type="dxa"/>
            <w:vAlign w:val="bottom"/>
          </w:tcPr>
          <w:p>
            <w:pPr>
              <w:ind w:left="3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4"/>
                <w:szCs w:val="14"/>
                <w:color w:val="000000"/>
              </w:rPr>
              <w:t>Our other NEOs must own shares with a value at least 2x their respective base salaries.</w:t>
            </w: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7400" w:type="dxa"/>
            <w:vAlign w:val="bottom"/>
          </w:tcPr>
          <w:p>
            <w:pPr>
              <w:ind w:left="3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4"/>
                <w:szCs w:val="14"/>
                <w:color w:val="000000"/>
              </w:rPr>
              <w:t>Our NEOs’ holdings of Regeneron equity are well in excess of these requirements. For example, as of</w:t>
            </w:r>
          </w:p>
        </w:tc>
        <w:tc>
          <w:tcPr>
            <w:tcW w:w="0" w:type="dxa"/>
            <w:vAlign w:val="bottom"/>
          </w:tcPr>
          <w:p>
            <w:pPr>
              <w:spacing w:after="0"/>
              <w:rPr>
                <w:sz w:val="1"/>
                <w:szCs w:val="1"/>
                <w:color w:val="auto"/>
              </w:rPr>
            </w:pPr>
          </w:p>
        </w:tc>
      </w:tr>
      <w:tr>
        <w:trPr>
          <w:trHeight w:val="190"/>
        </w:trPr>
        <w:tc>
          <w:tcPr>
            <w:tcW w:w="1220" w:type="dxa"/>
            <w:vAlign w:val="bottom"/>
          </w:tcPr>
          <w:p>
            <w:pPr>
              <w:spacing w:after="0"/>
              <w:rPr>
                <w:sz w:val="16"/>
                <w:szCs w:val="16"/>
                <w:color w:val="auto"/>
              </w:rPr>
            </w:pPr>
          </w:p>
        </w:tc>
        <w:tc>
          <w:tcPr>
            <w:tcW w:w="7400" w:type="dxa"/>
            <w:vAlign w:val="bottom"/>
          </w:tcPr>
          <w:p>
            <w:pPr>
              <w:ind w:left="560"/>
              <w:spacing w:after="0"/>
              <w:rPr>
                <w:sz w:val="20"/>
                <w:szCs w:val="20"/>
                <w:color w:val="auto"/>
              </w:rPr>
            </w:pPr>
            <w:r>
              <w:rPr>
                <w:rFonts w:ascii="Arial" w:cs="Arial" w:eastAsia="Arial" w:hAnsi="Arial"/>
                <w:sz w:val="14"/>
                <w:szCs w:val="14"/>
                <w:color w:val="auto"/>
              </w:rPr>
              <w:t>year-end 2025, both our CEO and CSO held shares with a value over 400x of their respective base</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400" w:type="dxa"/>
            <w:vAlign w:val="bottom"/>
          </w:tcPr>
          <w:p>
            <w:pPr>
              <w:ind w:left="560"/>
              <w:spacing w:after="0"/>
              <w:rPr>
                <w:sz w:val="20"/>
                <w:szCs w:val="20"/>
                <w:color w:val="auto"/>
              </w:rPr>
            </w:pPr>
            <w:r>
              <w:rPr>
                <w:rFonts w:ascii="Arial" w:cs="Arial" w:eastAsia="Arial" w:hAnsi="Arial"/>
                <w:sz w:val="14"/>
                <w:szCs w:val="14"/>
                <w:color w:val="auto"/>
              </w:rPr>
              <w:t>salaries then in effect.</w:t>
            </w:r>
          </w:p>
        </w:tc>
        <w:tc>
          <w:tcPr>
            <w:tcW w:w="0" w:type="dxa"/>
            <w:vAlign w:val="bottom"/>
          </w:tcPr>
          <w:p>
            <w:pPr>
              <w:spacing w:after="0"/>
              <w:rPr>
                <w:sz w:val="1"/>
                <w:szCs w:val="1"/>
                <w:color w:val="auto"/>
              </w:rPr>
            </w:pPr>
          </w:p>
        </w:tc>
      </w:tr>
      <w:tr>
        <w:trPr>
          <w:trHeight w:val="255"/>
        </w:trPr>
        <w:tc>
          <w:tcPr>
            <w:tcW w:w="1220" w:type="dxa"/>
            <w:vAlign w:val="bottom"/>
          </w:tcPr>
          <w:p>
            <w:pPr>
              <w:spacing w:after="0"/>
              <w:rPr>
                <w:sz w:val="22"/>
                <w:szCs w:val="22"/>
                <w:color w:val="auto"/>
              </w:rPr>
            </w:pPr>
          </w:p>
        </w:tc>
        <w:tc>
          <w:tcPr>
            <w:tcW w:w="7400" w:type="dxa"/>
            <w:vAlign w:val="bottom"/>
          </w:tcPr>
          <w:p>
            <w:pPr>
              <w:ind w:left="1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4"/>
                <w:szCs w:val="14"/>
                <w:b w:val="1"/>
                <w:bCs w:val="1"/>
                <w:color w:val="000000"/>
              </w:rPr>
              <w:t>In addition, 2020 CEO/CSO PSUs require a three-year deferral and holding period following vesting,</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400" w:type="dxa"/>
            <w:vAlign w:val="bottom"/>
          </w:tcPr>
          <w:p>
            <w:pPr>
              <w:ind w:left="360"/>
              <w:spacing w:after="0"/>
              <w:rPr>
                <w:sz w:val="20"/>
                <w:szCs w:val="20"/>
                <w:color w:val="auto"/>
              </w:rPr>
            </w:pPr>
            <w:r>
              <w:rPr>
                <w:rFonts w:ascii="Arial" w:cs="Arial" w:eastAsia="Arial" w:hAnsi="Arial"/>
                <w:sz w:val="14"/>
                <w:szCs w:val="14"/>
                <w:b w:val="1"/>
                <w:bCs w:val="1"/>
                <w:color w:val="auto"/>
              </w:rPr>
              <w:t>except in certain limited circumstances.</w:t>
            </w:r>
          </w:p>
        </w:tc>
        <w:tc>
          <w:tcPr>
            <w:tcW w:w="0" w:type="dxa"/>
            <w:vAlign w:val="bottom"/>
          </w:tcPr>
          <w:p>
            <w:pPr>
              <w:spacing w:after="0"/>
              <w:rPr>
                <w:sz w:val="1"/>
                <w:szCs w:val="1"/>
                <w:color w:val="auto"/>
              </w:rPr>
            </w:pPr>
          </w:p>
        </w:tc>
      </w:tr>
      <w:tr>
        <w:trPr>
          <w:trHeight w:val="110"/>
        </w:trPr>
        <w:tc>
          <w:tcPr>
            <w:tcW w:w="1220" w:type="dxa"/>
            <w:vAlign w:val="bottom"/>
            <w:tcBorders>
              <w:bottom w:val="single" w:sz="8" w:color="B3B3B3"/>
            </w:tcBorders>
          </w:tcPr>
          <w:p>
            <w:pPr>
              <w:spacing w:after="0"/>
              <w:rPr>
                <w:sz w:val="9"/>
                <w:szCs w:val="9"/>
                <w:color w:val="auto"/>
              </w:rPr>
            </w:pPr>
          </w:p>
        </w:tc>
        <w:tc>
          <w:tcPr>
            <w:tcW w:w="7400" w:type="dxa"/>
            <w:vAlign w:val="bottom"/>
            <w:tcBorders>
              <w:bottom w:val="single" w:sz="8" w:color="B3B3B3"/>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1220" w:type="dxa"/>
            <w:vAlign w:val="bottom"/>
          </w:tcPr>
          <w:p>
            <w:pPr>
              <w:ind w:left="40"/>
              <w:spacing w:after="0"/>
              <w:rPr>
                <w:sz w:val="20"/>
                <w:szCs w:val="20"/>
                <w:color w:val="auto"/>
              </w:rPr>
            </w:pPr>
            <w:r>
              <w:rPr>
                <w:rFonts w:ascii="Arial" w:cs="Arial" w:eastAsia="Arial" w:hAnsi="Arial"/>
                <w:sz w:val="14"/>
                <w:szCs w:val="14"/>
                <w:b w:val="1"/>
                <w:bCs w:val="1"/>
                <w:color w:val="065BAA"/>
              </w:rPr>
              <w:t>Long-Term</w:t>
            </w:r>
          </w:p>
        </w:tc>
        <w:tc>
          <w:tcPr>
            <w:tcW w:w="7400" w:type="dxa"/>
            <w:vAlign w:val="bottom"/>
          </w:tcPr>
          <w:p>
            <w:pPr>
              <w:ind w:left="1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4"/>
                <w:szCs w:val="14"/>
                <w:b w:val="1"/>
                <w:bCs w:val="1"/>
                <w:color w:val="000000"/>
              </w:rPr>
              <w:t>Stock option grants have ten-year terms and four-year vesting provisions:</w:t>
            </w:r>
          </w:p>
        </w:tc>
        <w:tc>
          <w:tcPr>
            <w:tcW w:w="0" w:type="dxa"/>
            <w:vAlign w:val="bottom"/>
          </w:tcPr>
          <w:p>
            <w:pPr>
              <w:spacing w:after="0"/>
              <w:rPr>
                <w:sz w:val="1"/>
                <w:szCs w:val="1"/>
                <w:color w:val="auto"/>
              </w:rPr>
            </w:pPr>
          </w:p>
        </w:tc>
      </w:tr>
      <w:tr>
        <w:trPr>
          <w:trHeight w:val="196"/>
        </w:trPr>
        <w:tc>
          <w:tcPr>
            <w:tcW w:w="1220" w:type="dxa"/>
            <w:vAlign w:val="bottom"/>
          </w:tcPr>
          <w:p>
            <w:pPr>
              <w:ind w:left="40"/>
              <w:spacing w:after="0"/>
              <w:rPr>
                <w:sz w:val="20"/>
                <w:szCs w:val="20"/>
                <w:color w:val="auto"/>
              </w:rPr>
            </w:pPr>
            <w:r>
              <w:rPr>
                <w:rFonts w:ascii="Arial" w:cs="Arial" w:eastAsia="Arial" w:hAnsi="Arial"/>
                <w:sz w:val="14"/>
                <w:szCs w:val="14"/>
                <w:b w:val="1"/>
                <w:bCs w:val="1"/>
                <w:color w:val="065BAA"/>
              </w:rPr>
              <w:t>Value Creation</w:t>
            </w:r>
          </w:p>
        </w:tc>
        <w:tc>
          <w:tcPr>
            <w:tcW w:w="7400" w:type="dxa"/>
            <w:vAlign w:val="bottom"/>
            <w:vMerge w:val="restart"/>
          </w:tcPr>
          <w:p>
            <w:pPr>
              <w:ind w:left="3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4"/>
                <w:szCs w:val="14"/>
                <w:color w:val="000000"/>
              </w:rPr>
              <w:t>Designed to align with long-term value creation and the development cycle of our products.</w:t>
            </w: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220" w:type="dxa"/>
            <w:vAlign w:val="bottom"/>
          </w:tcPr>
          <w:p>
            <w:pPr>
              <w:spacing w:after="0"/>
              <w:rPr>
                <w:sz w:val="21"/>
                <w:szCs w:val="21"/>
                <w:color w:val="auto"/>
              </w:rPr>
            </w:pPr>
          </w:p>
        </w:tc>
        <w:tc>
          <w:tcPr>
            <w:tcW w:w="7400" w:type="dxa"/>
            <w:vAlign w:val="bottom"/>
          </w:tcPr>
          <w:p>
            <w:pPr>
              <w:ind w:left="1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4"/>
                <w:szCs w:val="14"/>
                <w:b w:val="1"/>
                <w:bCs w:val="1"/>
                <w:color w:val="000000"/>
              </w:rPr>
              <w:t>2020 CEO/CSO PSUs incorporated a long-term, five-year performance period (December 2020 to</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400" w:type="dxa"/>
            <w:vAlign w:val="bottom"/>
          </w:tcPr>
          <w:p>
            <w:pPr>
              <w:ind w:left="360"/>
              <w:spacing w:after="0"/>
              <w:rPr>
                <w:sz w:val="20"/>
                <w:szCs w:val="20"/>
                <w:color w:val="auto"/>
              </w:rPr>
            </w:pPr>
            <w:r>
              <w:rPr>
                <w:rFonts w:ascii="Arial" w:cs="Arial" w:eastAsia="Arial" w:hAnsi="Arial"/>
                <w:sz w:val="14"/>
                <w:szCs w:val="14"/>
                <w:b w:val="1"/>
                <w:bCs w:val="1"/>
                <w:color w:val="auto"/>
              </w:rPr>
              <w:t>December 2025) and may not be monetized during an additional three-year deferral and holding</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400" w:type="dxa"/>
            <w:vAlign w:val="bottom"/>
          </w:tcPr>
          <w:p>
            <w:pPr>
              <w:ind w:left="360"/>
              <w:spacing w:after="0"/>
              <w:rPr>
                <w:sz w:val="20"/>
                <w:szCs w:val="20"/>
                <w:color w:val="auto"/>
              </w:rPr>
            </w:pPr>
            <w:r>
              <w:rPr>
                <w:rFonts w:ascii="Arial" w:cs="Arial" w:eastAsia="Arial" w:hAnsi="Arial"/>
                <w:sz w:val="14"/>
                <w:szCs w:val="14"/>
                <w:b w:val="1"/>
                <w:bCs w:val="1"/>
                <w:color w:val="auto"/>
              </w:rPr>
              <w:t>period (January 2026 to December 2028):</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3"/>
                <w:szCs w:val="23"/>
                <w:color w:val="auto"/>
              </w:rPr>
            </w:pPr>
          </w:p>
        </w:tc>
        <w:tc>
          <w:tcPr>
            <w:tcW w:w="7400" w:type="dxa"/>
            <w:vAlign w:val="bottom"/>
          </w:tcPr>
          <w:p>
            <w:pPr>
              <w:ind w:left="3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4"/>
                <w:szCs w:val="14"/>
                <w:color w:val="000000"/>
              </w:rPr>
              <w:t>Designed to promote and reward value creation and shareholder alignment over eight years.</w:t>
            </w:r>
          </w:p>
        </w:tc>
        <w:tc>
          <w:tcPr>
            <w:tcW w:w="0" w:type="dxa"/>
            <w:vAlign w:val="bottom"/>
          </w:tcPr>
          <w:p>
            <w:pPr>
              <w:spacing w:after="0"/>
              <w:rPr>
                <w:sz w:val="1"/>
                <w:szCs w:val="1"/>
                <w:color w:val="auto"/>
              </w:rPr>
            </w:pPr>
          </w:p>
        </w:tc>
      </w:tr>
      <w:tr>
        <w:trPr>
          <w:trHeight w:val="257"/>
        </w:trPr>
        <w:tc>
          <w:tcPr>
            <w:tcW w:w="1220" w:type="dxa"/>
            <w:vAlign w:val="bottom"/>
          </w:tcPr>
          <w:p>
            <w:pPr>
              <w:spacing w:after="0"/>
              <w:rPr>
                <w:sz w:val="22"/>
                <w:szCs w:val="22"/>
                <w:color w:val="auto"/>
              </w:rPr>
            </w:pPr>
          </w:p>
        </w:tc>
        <w:tc>
          <w:tcPr>
            <w:tcW w:w="7400" w:type="dxa"/>
            <w:vAlign w:val="bottom"/>
          </w:tcPr>
          <w:p>
            <w:pPr>
              <w:ind w:left="1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4"/>
                <w:szCs w:val="14"/>
                <w:b w:val="1"/>
                <w:bCs w:val="1"/>
                <w:color w:val="000000"/>
              </w:rPr>
              <w:t>RSAs promote long-term employment:</w:t>
            </w:r>
          </w:p>
        </w:tc>
        <w:tc>
          <w:tcPr>
            <w:tcW w:w="0" w:type="dxa"/>
            <w:vAlign w:val="bottom"/>
          </w:tcPr>
          <w:p>
            <w:pPr>
              <w:spacing w:after="0"/>
              <w:rPr>
                <w:sz w:val="1"/>
                <w:szCs w:val="1"/>
                <w:color w:val="auto"/>
              </w:rPr>
            </w:pPr>
          </w:p>
        </w:tc>
      </w:tr>
      <w:tr>
        <w:trPr>
          <w:trHeight w:val="249"/>
        </w:trPr>
        <w:tc>
          <w:tcPr>
            <w:tcW w:w="1220" w:type="dxa"/>
            <w:vAlign w:val="bottom"/>
          </w:tcPr>
          <w:p>
            <w:pPr>
              <w:spacing w:after="0"/>
              <w:rPr>
                <w:sz w:val="21"/>
                <w:szCs w:val="21"/>
                <w:color w:val="auto"/>
              </w:rPr>
            </w:pPr>
          </w:p>
        </w:tc>
        <w:tc>
          <w:tcPr>
            <w:tcW w:w="7400" w:type="dxa"/>
            <w:vAlign w:val="bottom"/>
          </w:tcPr>
          <w:p>
            <w:pPr>
              <w:ind w:left="3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4"/>
                <w:szCs w:val="14"/>
                <w:color w:val="000000"/>
              </w:rPr>
              <w:t>RSAs awarded as a component of annual equity awards vest 50% on the second anniversary of the date</w:t>
            </w:r>
          </w:p>
        </w:tc>
        <w:tc>
          <w:tcPr>
            <w:tcW w:w="0" w:type="dxa"/>
            <w:vAlign w:val="bottom"/>
          </w:tcPr>
          <w:p>
            <w:pPr>
              <w:spacing w:after="0"/>
              <w:rPr>
                <w:sz w:val="1"/>
                <w:szCs w:val="1"/>
                <w:color w:val="auto"/>
              </w:rPr>
            </w:pPr>
          </w:p>
        </w:tc>
      </w:tr>
      <w:tr>
        <w:trPr>
          <w:trHeight w:val="190"/>
        </w:trPr>
        <w:tc>
          <w:tcPr>
            <w:tcW w:w="1220" w:type="dxa"/>
            <w:vAlign w:val="bottom"/>
          </w:tcPr>
          <w:p>
            <w:pPr>
              <w:spacing w:after="0"/>
              <w:rPr>
                <w:sz w:val="16"/>
                <w:szCs w:val="16"/>
                <w:color w:val="auto"/>
              </w:rPr>
            </w:pPr>
          </w:p>
        </w:tc>
        <w:tc>
          <w:tcPr>
            <w:tcW w:w="7400" w:type="dxa"/>
            <w:vAlign w:val="bottom"/>
          </w:tcPr>
          <w:p>
            <w:pPr>
              <w:ind w:left="560"/>
              <w:spacing w:after="0"/>
              <w:rPr>
                <w:sz w:val="20"/>
                <w:szCs w:val="20"/>
                <w:color w:val="auto"/>
              </w:rPr>
            </w:pPr>
            <w:r>
              <w:rPr>
                <w:rFonts w:ascii="Arial" w:cs="Arial" w:eastAsia="Arial" w:hAnsi="Arial"/>
                <w:sz w:val="14"/>
                <w:szCs w:val="14"/>
                <w:color w:val="auto"/>
              </w:rPr>
              <w:t>of grant and 50% on the fourth anniversary of the date of grant, which is a more backloaded vesting</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400" w:type="dxa"/>
            <w:vAlign w:val="bottom"/>
          </w:tcPr>
          <w:p>
            <w:pPr>
              <w:ind w:left="560"/>
              <w:spacing w:after="0"/>
              <w:rPr>
                <w:sz w:val="20"/>
                <w:szCs w:val="20"/>
                <w:color w:val="auto"/>
              </w:rPr>
            </w:pPr>
            <w:r>
              <w:rPr>
                <w:rFonts w:ascii="Arial" w:cs="Arial" w:eastAsia="Arial" w:hAnsi="Arial"/>
                <w:sz w:val="14"/>
                <w:szCs w:val="14"/>
                <w:color w:val="auto"/>
              </w:rPr>
              <w:t>schedule than is typical in the industry.</w:t>
            </w:r>
          </w:p>
        </w:tc>
        <w:tc>
          <w:tcPr>
            <w:tcW w:w="0" w:type="dxa"/>
            <w:vAlign w:val="bottom"/>
          </w:tcPr>
          <w:p>
            <w:pPr>
              <w:spacing w:after="0"/>
              <w:rPr>
                <w:sz w:val="1"/>
                <w:szCs w:val="1"/>
                <w:color w:val="auto"/>
              </w:rPr>
            </w:pPr>
          </w:p>
        </w:tc>
      </w:tr>
      <w:tr>
        <w:trPr>
          <w:trHeight w:val="116"/>
        </w:trPr>
        <w:tc>
          <w:tcPr>
            <w:tcW w:w="1220" w:type="dxa"/>
            <w:vAlign w:val="bottom"/>
            <w:tcBorders>
              <w:bottom w:val="single" w:sz="8" w:color="B3B3B3"/>
            </w:tcBorders>
          </w:tcPr>
          <w:p>
            <w:pPr>
              <w:spacing w:after="0"/>
              <w:rPr>
                <w:sz w:val="10"/>
                <w:szCs w:val="10"/>
                <w:color w:val="auto"/>
              </w:rPr>
            </w:pPr>
          </w:p>
        </w:tc>
        <w:tc>
          <w:tcPr>
            <w:tcW w:w="7400" w:type="dxa"/>
            <w:vAlign w:val="bottom"/>
            <w:tcBorders>
              <w:bottom w:val="single" w:sz="8" w:color="B3B3B3"/>
            </w:tcBorders>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1220" w:type="dxa"/>
            <w:vAlign w:val="bottom"/>
          </w:tcPr>
          <w:p>
            <w:pPr>
              <w:ind w:left="40"/>
              <w:spacing w:after="0"/>
              <w:rPr>
                <w:sz w:val="20"/>
                <w:szCs w:val="20"/>
                <w:color w:val="auto"/>
              </w:rPr>
            </w:pPr>
            <w:r>
              <w:rPr>
                <w:rFonts w:ascii="Arial" w:cs="Arial" w:eastAsia="Arial" w:hAnsi="Arial"/>
                <w:sz w:val="14"/>
                <w:szCs w:val="14"/>
                <w:b w:val="1"/>
                <w:bCs w:val="1"/>
                <w:color w:val="065BAA"/>
              </w:rPr>
              <w:t>Risk-Mitigating</w:t>
            </w:r>
          </w:p>
        </w:tc>
        <w:tc>
          <w:tcPr>
            <w:tcW w:w="7400" w:type="dxa"/>
            <w:vAlign w:val="bottom"/>
          </w:tcPr>
          <w:p>
            <w:pPr>
              <w:ind w:left="1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4"/>
                <w:szCs w:val="14"/>
                <w:b w:val="1"/>
                <w:bCs w:val="1"/>
                <w:color w:val="000000"/>
              </w:rPr>
              <w:t>We have a recoupment (clawback) policy that enables us to reduce or recoup equity and other</w:t>
            </w:r>
          </w:p>
        </w:tc>
        <w:tc>
          <w:tcPr>
            <w:tcW w:w="0" w:type="dxa"/>
            <w:vAlign w:val="bottom"/>
          </w:tcPr>
          <w:p>
            <w:pPr>
              <w:spacing w:after="0"/>
              <w:rPr>
                <w:sz w:val="1"/>
                <w:szCs w:val="1"/>
                <w:color w:val="auto"/>
              </w:rPr>
            </w:pPr>
          </w:p>
        </w:tc>
      </w:tr>
      <w:tr>
        <w:trPr>
          <w:trHeight w:val="189"/>
        </w:trPr>
        <w:tc>
          <w:tcPr>
            <w:tcW w:w="1220" w:type="dxa"/>
            <w:vAlign w:val="bottom"/>
          </w:tcPr>
          <w:p>
            <w:pPr>
              <w:ind w:left="40"/>
              <w:spacing w:after="0"/>
              <w:rPr>
                <w:sz w:val="20"/>
                <w:szCs w:val="20"/>
                <w:color w:val="auto"/>
              </w:rPr>
            </w:pPr>
            <w:r>
              <w:rPr>
                <w:rFonts w:ascii="Arial" w:cs="Arial" w:eastAsia="Arial" w:hAnsi="Arial"/>
                <w:sz w:val="14"/>
                <w:szCs w:val="14"/>
                <w:b w:val="1"/>
                <w:bCs w:val="1"/>
                <w:color w:val="065BAA"/>
              </w:rPr>
              <w:t>Policies and</w:t>
            </w:r>
          </w:p>
        </w:tc>
        <w:tc>
          <w:tcPr>
            <w:tcW w:w="7400" w:type="dxa"/>
            <w:vAlign w:val="bottom"/>
          </w:tcPr>
          <w:p>
            <w:pPr>
              <w:ind w:left="360"/>
              <w:spacing w:after="0"/>
              <w:rPr>
                <w:sz w:val="20"/>
                <w:szCs w:val="20"/>
                <w:color w:val="auto"/>
              </w:rPr>
            </w:pPr>
            <w:r>
              <w:rPr>
                <w:rFonts w:ascii="Arial" w:cs="Arial" w:eastAsia="Arial" w:hAnsi="Arial"/>
                <w:sz w:val="14"/>
                <w:szCs w:val="14"/>
                <w:b w:val="1"/>
                <w:bCs w:val="1"/>
                <w:color w:val="auto"/>
              </w:rPr>
              <w:t>incentive compensation.</w:t>
            </w:r>
          </w:p>
        </w:tc>
        <w:tc>
          <w:tcPr>
            <w:tcW w:w="0" w:type="dxa"/>
            <w:vAlign w:val="bottom"/>
          </w:tcPr>
          <w:p>
            <w:pPr>
              <w:spacing w:after="0"/>
              <w:rPr>
                <w:sz w:val="1"/>
                <w:szCs w:val="1"/>
                <w:color w:val="auto"/>
              </w:rPr>
            </w:pPr>
          </w:p>
        </w:tc>
      </w:tr>
      <w:tr>
        <w:trPr>
          <w:trHeight w:val="196"/>
        </w:trPr>
        <w:tc>
          <w:tcPr>
            <w:tcW w:w="1220" w:type="dxa"/>
            <w:vAlign w:val="bottom"/>
          </w:tcPr>
          <w:p>
            <w:pPr>
              <w:ind w:left="40"/>
              <w:spacing w:after="0"/>
              <w:rPr>
                <w:sz w:val="20"/>
                <w:szCs w:val="20"/>
                <w:color w:val="auto"/>
              </w:rPr>
            </w:pPr>
            <w:r>
              <w:rPr>
                <w:rFonts w:ascii="Arial" w:cs="Arial" w:eastAsia="Arial" w:hAnsi="Arial"/>
                <w:sz w:val="14"/>
                <w:szCs w:val="14"/>
                <w:b w:val="1"/>
                <w:bCs w:val="1"/>
                <w:color w:val="065BAA"/>
              </w:rPr>
              <w:t>Practices</w:t>
            </w:r>
          </w:p>
        </w:tc>
        <w:tc>
          <w:tcPr>
            <w:tcW w:w="7400" w:type="dxa"/>
            <w:vAlign w:val="bottom"/>
            <w:vMerge w:val="restart"/>
          </w:tcPr>
          <w:p>
            <w:pPr>
              <w:ind w:left="3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4"/>
                <w:szCs w:val="14"/>
                <w:color w:val="000000"/>
              </w:rPr>
              <w:t>This policy is broader than what is required by the listing standards of the Nasdaq Stock Market LLC.*</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3"/>
                <w:szCs w:val="23"/>
                <w:color w:val="auto"/>
              </w:rPr>
            </w:pPr>
          </w:p>
        </w:tc>
        <w:tc>
          <w:tcPr>
            <w:tcW w:w="7400" w:type="dxa"/>
            <w:vAlign w:val="bottom"/>
          </w:tcPr>
          <w:p>
            <w:pPr>
              <w:ind w:left="1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4"/>
                <w:szCs w:val="14"/>
                <w:b w:val="1"/>
                <w:bCs w:val="1"/>
                <w:color w:val="000000"/>
              </w:rPr>
              <w:t>We prohibit our NEOs from hedging or pledging Regeneron securities they hold.</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140"/>
        <w:spacing w:after="0"/>
        <w:tabs>
          <w:tab w:leader="none" w:pos="300" w:val="left"/>
        </w:tabs>
        <w:rPr>
          <w:sz w:val="20"/>
          <w:szCs w:val="20"/>
          <w:color w:val="auto"/>
        </w:rPr>
      </w:pPr>
      <w:r>
        <w:rPr>
          <w:rFonts w:ascii="Arial" w:cs="Arial" w:eastAsia="Arial" w:hAnsi="Arial"/>
          <w:sz w:val="13"/>
          <w:szCs w:val="13"/>
          <w:color w:val="010101"/>
        </w:rPr>
        <w:t>*</w:t>
      </w:r>
      <w:r>
        <w:rPr>
          <w:sz w:val="20"/>
          <w:szCs w:val="20"/>
          <w:color w:val="auto"/>
        </w:rPr>
        <w:tab/>
      </w:r>
      <w:r>
        <w:rPr>
          <w:rFonts w:ascii="Arial" w:cs="Arial" w:eastAsia="Arial" w:hAnsi="Arial"/>
          <w:sz w:val="12"/>
          <w:szCs w:val="12"/>
          <w:color w:val="231F20"/>
        </w:rPr>
        <w:t>See the subsection “Compensation Processes—Risk Assessment” below for further information about the recoupment (clawback) policy.</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69</w:t>
            </w:r>
          </w:p>
        </w:tc>
      </w:tr>
    </w:tbl>
    <w:p>
      <w:pPr>
        <w:sectPr>
          <w:pgSz w:w="11900" w:h="16838" w:orient="portrait"/>
          <w:cols w:equalWidth="0" w:num="1">
            <w:col w:w="9019"/>
          </w:cols>
          <w:pgMar w:left="1440" w:top="657" w:right="1440" w:bottom="1440" w:gutter="0" w:footer="0" w:header="0"/>
        </w:sectPr>
      </w:pPr>
    </w:p>
    <w:bookmarkStart w:id="78" w:name="page79"/>
    <w:bookmarkEnd w:id="78"/>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0" w:right="219"/>
        <w:spacing w:after="0" w:line="291" w:lineRule="auto"/>
        <w:rPr>
          <w:sz w:val="20"/>
          <w:szCs w:val="20"/>
          <w:color w:val="auto"/>
        </w:rPr>
      </w:pPr>
      <w:r>
        <w:rPr>
          <w:rFonts w:ascii="Arial" w:cs="Arial" w:eastAsia="Arial" w:hAnsi="Arial"/>
          <w:sz w:val="16"/>
          <w:szCs w:val="16"/>
          <w:color w:val="auto"/>
        </w:rPr>
        <w:t>In applying this framework in 2025, the Compensation Committee determined to grant our NEOs the target grant date fair value of the equity awards shown in the table below, with 60% of the grant date fair value of each NEO award allocated to stock options and 40% to RSAs (the same mix that had been utilized in recent years). Our CEO and CSO did not receive any equity awards in 2025 as the Committee continued to actively discuss and consider a potential new CEO/ CSO equity program design.</w:t>
      </w:r>
    </w:p>
    <w:p>
      <w:pPr>
        <w:spacing w:after="0" w:line="100" w:lineRule="exact"/>
        <w:rPr>
          <w:sz w:val="20"/>
          <w:szCs w:val="20"/>
          <w:color w:val="auto"/>
        </w:rPr>
      </w:pPr>
    </w:p>
    <w:p>
      <w:pPr>
        <w:ind w:left="140" w:right="459"/>
        <w:spacing w:after="0" w:line="289" w:lineRule="auto"/>
        <w:rPr>
          <w:sz w:val="20"/>
          <w:szCs w:val="20"/>
          <w:color w:val="auto"/>
        </w:rPr>
      </w:pPr>
      <w:r>
        <w:rPr>
          <w:rFonts w:ascii="Arial" w:cs="Arial" w:eastAsia="Arial" w:hAnsi="Arial"/>
          <w:sz w:val="16"/>
          <w:szCs w:val="16"/>
          <w:color w:val="auto"/>
        </w:rPr>
        <w:t>The 2025 NEO annual equity awards were expressed in dollar terms (i.e., based on their grant date fair value). This approach allows for value delivery to be normalized and predictable year over year, an important consideration for the top talent we seek to attract, retain, and incentivize; and aligns with industry peers of similar size, maturity, and growth trajectory. It has also contributed to lowering the Company’s burn rate in recent years and helped address feedback relating to the levels of burn rate preferred by shareholders. In 2025, our burn rate was 2.00%, a record low for the Company.</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Each of the NEOs receiving 2025 year-end equity awards was granted an award with a grant date fair value equal to</w:t>
      </w:r>
    </w:p>
    <w:p>
      <w:pPr>
        <w:spacing w:after="0" w:line="32" w:lineRule="exact"/>
        <w:rPr>
          <w:sz w:val="20"/>
          <w:szCs w:val="20"/>
          <w:color w:val="auto"/>
        </w:rPr>
      </w:pPr>
    </w:p>
    <w:p>
      <w:pPr>
        <w:ind w:left="140" w:right="219"/>
        <w:spacing w:after="0" w:line="289" w:lineRule="auto"/>
        <w:rPr>
          <w:sz w:val="20"/>
          <w:szCs w:val="20"/>
          <w:color w:val="auto"/>
        </w:rPr>
      </w:pPr>
      <w:r>
        <w:rPr>
          <w:rFonts w:ascii="Arial" w:cs="Arial" w:eastAsia="Arial" w:hAnsi="Arial"/>
          <w:sz w:val="16"/>
          <w:szCs w:val="16"/>
          <w:color w:val="auto"/>
        </w:rPr>
        <w:t>the value of such NEO’s 2024 year-end award with the exception of Mr. Fenimore, who received a modest increase to his year-end award. In making these determinations, the Committee primarily considered each NEO’s importance to the Company’s future performance and such NEO's individual contributions to the Company’s performance. In the case of Mr. Fenimore, the Committee also took into account market competitiveness considerations in light of his promotion to Executive Vice President effective January 1, 2025. See “Compensation Dashboard—Additional Compensation Information—Annual Cash Incentives” for more information on each relevant NEO’s individual contributions in 2025.</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2025 Annual Equity Awards</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4380" w:type="dxa"/>
            <w:vAlign w:val="bottom"/>
          </w:tcPr>
          <w:p>
            <w:pPr>
              <w:spacing w:after="0"/>
              <w:rPr>
                <w:sz w:val="15"/>
                <w:szCs w:val="15"/>
                <w:color w:val="auto"/>
              </w:rPr>
            </w:pPr>
          </w:p>
        </w:tc>
        <w:tc>
          <w:tcPr>
            <w:tcW w:w="1700" w:type="dxa"/>
            <w:vAlign w:val="bottom"/>
            <w:tcBorders>
              <w:bottom w:val="single" w:sz="8" w:color="065BAA"/>
            </w:tcBorders>
            <w:gridSpan w:val="2"/>
          </w:tcPr>
          <w:p>
            <w:pPr>
              <w:jc w:val="right"/>
              <w:ind w:right="28"/>
              <w:spacing w:after="0"/>
              <w:rPr>
                <w:sz w:val="20"/>
                <w:szCs w:val="20"/>
                <w:color w:val="auto"/>
              </w:rPr>
            </w:pPr>
            <w:r>
              <w:rPr>
                <w:rFonts w:ascii="Arial" w:cs="Arial" w:eastAsia="Arial" w:hAnsi="Arial"/>
                <w:sz w:val="14"/>
                <w:szCs w:val="14"/>
                <w:b w:val="1"/>
                <w:bCs w:val="1"/>
                <w:color w:val="065BAA"/>
              </w:rPr>
              <w:t>Annual Stock Options</w:t>
            </w:r>
          </w:p>
        </w:tc>
        <w:tc>
          <w:tcPr>
            <w:tcW w:w="180" w:type="dxa"/>
            <w:vAlign w:val="bottom"/>
          </w:tcPr>
          <w:p>
            <w:pPr>
              <w:spacing w:after="0"/>
              <w:rPr>
                <w:sz w:val="15"/>
                <w:szCs w:val="15"/>
                <w:color w:val="auto"/>
              </w:rPr>
            </w:pPr>
          </w:p>
        </w:tc>
        <w:tc>
          <w:tcPr>
            <w:tcW w:w="1580" w:type="dxa"/>
            <w:vAlign w:val="bottom"/>
            <w:tcBorders>
              <w:bottom w:val="single" w:sz="8" w:color="065BAA"/>
            </w:tcBorders>
            <w:gridSpan w:val="2"/>
          </w:tcPr>
          <w:p>
            <w:pPr>
              <w:jc w:val="right"/>
              <w:ind w:right="268"/>
              <w:spacing w:after="0"/>
              <w:rPr>
                <w:sz w:val="20"/>
                <w:szCs w:val="20"/>
                <w:color w:val="auto"/>
              </w:rPr>
            </w:pPr>
            <w:r>
              <w:rPr>
                <w:rFonts w:ascii="Arial" w:cs="Arial" w:eastAsia="Arial" w:hAnsi="Arial"/>
                <w:sz w:val="14"/>
                <w:szCs w:val="14"/>
                <w:b w:val="1"/>
                <w:bCs w:val="1"/>
                <w:color w:val="065BAA"/>
              </w:rPr>
              <w:t>Annual RSAs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065BAA"/>
              </w:rPr>
              <w:t>Total</w:t>
            </w:r>
          </w:p>
        </w:tc>
      </w:tr>
      <w:tr>
        <w:trPr>
          <w:trHeight w:val="196"/>
        </w:trPr>
        <w:tc>
          <w:tcPr>
            <w:tcW w:w="4380" w:type="dxa"/>
            <w:vAlign w:val="bottom"/>
            <w:tcBorders>
              <w:bottom w:val="single" w:sz="8" w:color="065BAA"/>
            </w:tcBorders>
          </w:tcPr>
          <w:p>
            <w:pPr>
              <w:ind w:left="80"/>
              <w:spacing w:after="0"/>
              <w:rPr>
                <w:sz w:val="20"/>
                <w:szCs w:val="20"/>
                <w:color w:val="auto"/>
              </w:rPr>
            </w:pPr>
            <w:r>
              <w:rPr>
                <w:rFonts w:ascii="Arial" w:cs="Arial" w:eastAsia="Arial" w:hAnsi="Arial"/>
                <w:sz w:val="14"/>
                <w:szCs w:val="14"/>
                <w:b w:val="1"/>
                <w:bCs w:val="1"/>
                <w:color w:val="065BAA"/>
              </w:rPr>
              <w:t>Named Executive Officer</w:t>
            </w:r>
          </w:p>
        </w:tc>
        <w:tc>
          <w:tcPr>
            <w:tcW w:w="1060" w:type="dxa"/>
            <w:vAlign w:val="bottom"/>
            <w:tcBorders>
              <w:bottom w:val="single" w:sz="8" w:color="065BAA"/>
            </w:tcBorders>
          </w:tcPr>
          <w:p>
            <w:pPr>
              <w:jc w:val="right"/>
              <w:ind w:right="88"/>
              <w:spacing w:after="0"/>
              <w:rPr>
                <w:sz w:val="20"/>
                <w:szCs w:val="20"/>
                <w:color w:val="auto"/>
              </w:rPr>
            </w:pPr>
            <w:r>
              <w:rPr>
                <w:rFonts w:ascii="Arial" w:cs="Arial" w:eastAsia="Arial" w:hAnsi="Arial"/>
                <w:sz w:val="14"/>
                <w:szCs w:val="14"/>
                <w:b w:val="1"/>
                <w:bCs w:val="1"/>
                <w:color w:val="065BAA"/>
              </w:rPr>
              <w:t>($)***</w:t>
            </w:r>
          </w:p>
        </w:tc>
        <w:tc>
          <w:tcPr>
            <w:tcW w:w="640" w:type="dxa"/>
            <w:vAlign w:val="bottom"/>
            <w:tcBorders>
              <w:bottom w:val="single" w:sz="8" w:color="065BAA"/>
            </w:tcBorders>
          </w:tcPr>
          <w:p>
            <w:pPr>
              <w:jc w:val="right"/>
              <w:spacing w:after="0"/>
              <w:rPr>
                <w:sz w:val="20"/>
                <w:szCs w:val="20"/>
                <w:color w:val="auto"/>
              </w:rPr>
            </w:pPr>
            <w:r>
              <w:rPr>
                <w:rFonts w:ascii="Arial" w:cs="Arial" w:eastAsia="Arial" w:hAnsi="Arial"/>
                <w:sz w:val="14"/>
                <w:szCs w:val="14"/>
                <w:b w:val="1"/>
                <w:bCs w:val="1"/>
                <w:color w:val="065BAA"/>
              </w:rPr>
              <w:t>(#)</w:t>
            </w:r>
          </w:p>
        </w:tc>
        <w:tc>
          <w:tcPr>
            <w:tcW w:w="180" w:type="dxa"/>
            <w:vAlign w:val="bottom"/>
            <w:tcBorders>
              <w:bottom w:val="single" w:sz="8" w:color="065BAA"/>
            </w:tcBorders>
          </w:tcPr>
          <w:p>
            <w:pPr>
              <w:spacing w:after="0"/>
              <w:rPr>
                <w:sz w:val="17"/>
                <w:szCs w:val="17"/>
                <w:color w:val="auto"/>
              </w:rPr>
            </w:pPr>
          </w:p>
        </w:tc>
        <w:tc>
          <w:tcPr>
            <w:tcW w:w="1020" w:type="dxa"/>
            <w:vAlign w:val="bottom"/>
            <w:tcBorders>
              <w:bottom w:val="single" w:sz="8" w:color="065BAA"/>
            </w:tcBorders>
          </w:tcPr>
          <w:p>
            <w:pPr>
              <w:jc w:val="right"/>
              <w:ind w:right="68"/>
              <w:spacing w:after="0"/>
              <w:rPr>
                <w:sz w:val="20"/>
                <w:szCs w:val="20"/>
                <w:color w:val="auto"/>
              </w:rPr>
            </w:pPr>
            <w:r>
              <w:rPr>
                <w:rFonts w:ascii="Arial" w:cs="Arial" w:eastAsia="Arial" w:hAnsi="Arial"/>
                <w:sz w:val="14"/>
                <w:szCs w:val="14"/>
                <w:b w:val="1"/>
                <w:bCs w:val="1"/>
                <w:color w:val="065BAA"/>
              </w:rPr>
              <w:t>($)***</w:t>
            </w:r>
          </w:p>
        </w:tc>
        <w:tc>
          <w:tcPr>
            <w:tcW w:w="560" w:type="dxa"/>
            <w:vAlign w:val="bottom"/>
            <w:tcBorders>
              <w:bottom w:val="single" w:sz="8" w:color="065BAA"/>
            </w:tcBorders>
          </w:tcPr>
          <w:p>
            <w:pPr>
              <w:jc w:val="right"/>
              <w:spacing w:after="0"/>
              <w:rPr>
                <w:sz w:val="20"/>
                <w:szCs w:val="20"/>
                <w:color w:val="auto"/>
              </w:rPr>
            </w:pPr>
            <w:r>
              <w:rPr>
                <w:rFonts w:ascii="Arial" w:cs="Arial" w:eastAsia="Arial" w:hAnsi="Arial"/>
                <w:sz w:val="14"/>
                <w:szCs w:val="14"/>
                <w:b w:val="1"/>
                <w:bCs w:val="1"/>
                <w:color w:val="065BAA"/>
              </w:rPr>
              <w:t>(#)</w:t>
            </w:r>
          </w:p>
        </w:tc>
        <w:tc>
          <w:tcPr>
            <w:tcW w:w="920" w:type="dxa"/>
            <w:vAlign w:val="bottom"/>
            <w:tcBorders>
              <w:bottom w:val="single" w:sz="8" w:color="065BAA"/>
            </w:tcBorders>
          </w:tcPr>
          <w:p>
            <w:pPr>
              <w:jc w:val="right"/>
              <w:spacing w:after="0"/>
              <w:rPr>
                <w:sz w:val="20"/>
                <w:szCs w:val="20"/>
                <w:color w:val="auto"/>
              </w:rPr>
            </w:pPr>
            <w:r>
              <w:rPr>
                <w:rFonts w:ascii="Arial" w:cs="Arial" w:eastAsia="Arial" w:hAnsi="Arial"/>
                <w:sz w:val="14"/>
                <w:szCs w:val="14"/>
                <w:b w:val="1"/>
                <w:bCs w:val="1"/>
                <w:color w:val="065BAA"/>
              </w:rPr>
              <w:t>($)**</w:t>
            </w:r>
          </w:p>
        </w:tc>
      </w:tr>
      <w:tr>
        <w:trPr>
          <w:trHeight w:val="196"/>
        </w:trPr>
        <w:tc>
          <w:tcPr>
            <w:tcW w:w="4380" w:type="dxa"/>
            <w:vAlign w:val="bottom"/>
          </w:tcPr>
          <w:p>
            <w:pPr>
              <w:ind w:left="80"/>
              <w:spacing w:after="0"/>
              <w:rPr>
                <w:sz w:val="20"/>
                <w:szCs w:val="20"/>
                <w:color w:val="auto"/>
              </w:rPr>
            </w:pPr>
            <w:r>
              <w:rPr>
                <w:rFonts w:ascii="Arial" w:cs="Arial" w:eastAsia="Arial" w:hAnsi="Arial"/>
                <w:sz w:val="14"/>
                <w:szCs w:val="14"/>
                <w:b w:val="1"/>
                <w:bCs w:val="1"/>
                <w:color w:val="auto"/>
              </w:rPr>
              <w:t>Leonard S. Schleifer, M.D., Ph.D.*</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438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George D. Yancopoulos, M.D., Ph.D.*</w:t>
            </w:r>
          </w:p>
        </w:tc>
        <w:tc>
          <w:tcPr>
            <w:tcW w:w="1060" w:type="dxa"/>
            <w:vAlign w:val="bottom"/>
            <w:shd w:val="clear" w:color="auto" w:fill="DAEBF8"/>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DAEBF8"/>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AEBF8"/>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4380" w:type="dxa"/>
            <w:vAlign w:val="bottom"/>
          </w:tcPr>
          <w:p>
            <w:pPr>
              <w:ind w:left="80"/>
              <w:spacing w:after="0"/>
              <w:rPr>
                <w:sz w:val="20"/>
                <w:szCs w:val="20"/>
                <w:color w:val="auto"/>
              </w:rPr>
            </w:pPr>
            <w:r>
              <w:rPr>
                <w:rFonts w:ascii="Arial" w:cs="Arial" w:eastAsia="Arial" w:hAnsi="Arial"/>
                <w:sz w:val="14"/>
                <w:szCs w:val="14"/>
                <w:b w:val="1"/>
                <w:bCs w:val="1"/>
                <w:color w:val="auto"/>
              </w:rPr>
              <w:t>Christopher Fenimore</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3,300,000</w:t>
            </w:r>
          </w:p>
        </w:tc>
        <w:tc>
          <w:tcPr>
            <w:tcW w:w="640" w:type="dxa"/>
            <w:vAlign w:val="bottom"/>
          </w:tcPr>
          <w:p>
            <w:pPr>
              <w:jc w:val="right"/>
              <w:spacing w:after="0"/>
              <w:rPr>
                <w:sz w:val="20"/>
                <w:szCs w:val="20"/>
                <w:color w:val="auto"/>
              </w:rPr>
            </w:pPr>
            <w:r>
              <w:rPr>
                <w:rFonts w:ascii="Arial" w:cs="Arial" w:eastAsia="Arial" w:hAnsi="Arial"/>
                <w:sz w:val="14"/>
                <w:szCs w:val="14"/>
                <w:color w:val="auto"/>
              </w:rPr>
              <w:t>14,924</w:t>
            </w:r>
          </w:p>
        </w:tc>
        <w:tc>
          <w:tcPr>
            <w:tcW w:w="1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2,200,000</w:t>
            </w:r>
          </w:p>
        </w:tc>
        <w:tc>
          <w:tcPr>
            <w:tcW w:w="560" w:type="dxa"/>
            <w:vAlign w:val="bottom"/>
          </w:tcPr>
          <w:p>
            <w:pPr>
              <w:jc w:val="right"/>
              <w:spacing w:after="0"/>
              <w:rPr>
                <w:sz w:val="20"/>
                <w:szCs w:val="20"/>
                <w:color w:val="auto"/>
              </w:rPr>
            </w:pPr>
            <w:r>
              <w:rPr>
                <w:rFonts w:ascii="Arial" w:cs="Arial" w:eastAsia="Arial" w:hAnsi="Arial"/>
                <w:sz w:val="14"/>
                <w:szCs w:val="14"/>
                <w:color w:val="auto"/>
              </w:rPr>
              <w:t>3,027</w:t>
            </w:r>
          </w:p>
        </w:tc>
        <w:tc>
          <w:tcPr>
            <w:tcW w:w="920" w:type="dxa"/>
            <w:vAlign w:val="bottom"/>
          </w:tcPr>
          <w:p>
            <w:pPr>
              <w:jc w:val="right"/>
              <w:spacing w:after="0"/>
              <w:rPr>
                <w:sz w:val="20"/>
                <w:szCs w:val="20"/>
                <w:color w:val="auto"/>
              </w:rPr>
            </w:pPr>
            <w:r>
              <w:rPr>
                <w:rFonts w:ascii="Arial" w:cs="Arial" w:eastAsia="Arial" w:hAnsi="Arial"/>
                <w:sz w:val="14"/>
                <w:szCs w:val="14"/>
                <w:color w:val="auto"/>
              </w:rPr>
              <w:t>5,500,000</w:t>
            </w:r>
          </w:p>
        </w:tc>
      </w:tr>
      <w:tr>
        <w:trPr>
          <w:trHeight w:val="216"/>
        </w:trPr>
        <w:tc>
          <w:tcPr>
            <w:tcW w:w="438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Daniel P. Van Plew</w:t>
            </w:r>
          </w:p>
        </w:tc>
        <w:tc>
          <w:tcPr>
            <w:tcW w:w="1060" w:type="dxa"/>
            <w:vAlign w:val="bottom"/>
            <w:shd w:val="clear" w:color="auto" w:fill="DAEBF8"/>
          </w:tcPr>
          <w:p>
            <w:pPr>
              <w:jc w:val="right"/>
              <w:ind w:right="108"/>
              <w:spacing w:after="0"/>
              <w:rPr>
                <w:sz w:val="20"/>
                <w:szCs w:val="20"/>
                <w:color w:val="auto"/>
              </w:rPr>
            </w:pPr>
            <w:r>
              <w:rPr>
                <w:rFonts w:ascii="Arial" w:cs="Arial" w:eastAsia="Arial" w:hAnsi="Arial"/>
                <w:sz w:val="14"/>
                <w:szCs w:val="14"/>
                <w:color w:val="auto"/>
              </w:rPr>
              <w:t>4,050,000</w:t>
            </w:r>
          </w:p>
        </w:tc>
        <w:tc>
          <w:tcPr>
            <w:tcW w:w="6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18,315</w:t>
            </w:r>
          </w:p>
        </w:tc>
        <w:tc>
          <w:tcPr>
            <w:tcW w:w="180" w:type="dxa"/>
            <w:vAlign w:val="bottom"/>
            <w:shd w:val="clear" w:color="auto" w:fill="DAEBF8"/>
          </w:tcPr>
          <w:p>
            <w:pPr>
              <w:spacing w:after="0"/>
              <w:rPr>
                <w:sz w:val="18"/>
                <w:szCs w:val="18"/>
                <w:color w:val="auto"/>
              </w:rPr>
            </w:pPr>
          </w:p>
        </w:tc>
        <w:tc>
          <w:tcPr>
            <w:tcW w:w="1020" w:type="dxa"/>
            <w:vAlign w:val="bottom"/>
            <w:shd w:val="clear" w:color="auto" w:fill="DAEBF8"/>
          </w:tcPr>
          <w:p>
            <w:pPr>
              <w:jc w:val="right"/>
              <w:ind w:right="88"/>
              <w:spacing w:after="0"/>
              <w:rPr>
                <w:sz w:val="20"/>
                <w:szCs w:val="20"/>
                <w:color w:val="auto"/>
              </w:rPr>
            </w:pPr>
            <w:r>
              <w:rPr>
                <w:rFonts w:ascii="Arial" w:cs="Arial" w:eastAsia="Arial" w:hAnsi="Arial"/>
                <w:sz w:val="14"/>
                <w:szCs w:val="14"/>
                <w:color w:val="auto"/>
              </w:rPr>
              <w:t>2,700,000</w:t>
            </w: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3,715</w:t>
            </w:r>
          </w:p>
        </w:tc>
        <w:tc>
          <w:tcPr>
            <w:tcW w:w="9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6,750,000</w:t>
            </w:r>
          </w:p>
        </w:tc>
      </w:tr>
      <w:tr>
        <w:trPr>
          <w:trHeight w:val="216"/>
        </w:trPr>
        <w:tc>
          <w:tcPr>
            <w:tcW w:w="4380" w:type="dxa"/>
            <w:vAlign w:val="bottom"/>
          </w:tcPr>
          <w:p>
            <w:pPr>
              <w:ind w:left="80"/>
              <w:spacing w:after="0"/>
              <w:rPr>
                <w:sz w:val="20"/>
                <w:szCs w:val="20"/>
                <w:color w:val="auto"/>
              </w:rPr>
            </w:pPr>
            <w:r>
              <w:rPr>
                <w:rFonts w:ascii="Arial" w:cs="Arial" w:eastAsia="Arial" w:hAnsi="Arial"/>
                <w:sz w:val="14"/>
                <w:szCs w:val="14"/>
                <w:b w:val="1"/>
                <w:bCs w:val="1"/>
                <w:color w:val="auto"/>
              </w:rPr>
              <w:t>Andrew J. Murphy, Ph.D.</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4,050,000</w:t>
            </w:r>
          </w:p>
        </w:tc>
        <w:tc>
          <w:tcPr>
            <w:tcW w:w="640" w:type="dxa"/>
            <w:vAlign w:val="bottom"/>
          </w:tcPr>
          <w:p>
            <w:pPr>
              <w:jc w:val="right"/>
              <w:spacing w:after="0"/>
              <w:rPr>
                <w:sz w:val="20"/>
                <w:szCs w:val="20"/>
                <w:color w:val="auto"/>
              </w:rPr>
            </w:pPr>
            <w:r>
              <w:rPr>
                <w:rFonts w:ascii="Arial" w:cs="Arial" w:eastAsia="Arial" w:hAnsi="Arial"/>
                <w:sz w:val="14"/>
                <w:szCs w:val="14"/>
                <w:color w:val="auto"/>
              </w:rPr>
              <w:t>18,315</w:t>
            </w:r>
          </w:p>
        </w:tc>
        <w:tc>
          <w:tcPr>
            <w:tcW w:w="1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2,700,000</w:t>
            </w:r>
          </w:p>
        </w:tc>
        <w:tc>
          <w:tcPr>
            <w:tcW w:w="560" w:type="dxa"/>
            <w:vAlign w:val="bottom"/>
          </w:tcPr>
          <w:p>
            <w:pPr>
              <w:jc w:val="right"/>
              <w:spacing w:after="0"/>
              <w:rPr>
                <w:sz w:val="20"/>
                <w:szCs w:val="20"/>
                <w:color w:val="auto"/>
              </w:rPr>
            </w:pPr>
            <w:r>
              <w:rPr>
                <w:rFonts w:ascii="Arial" w:cs="Arial" w:eastAsia="Arial" w:hAnsi="Arial"/>
                <w:sz w:val="14"/>
                <w:szCs w:val="14"/>
                <w:color w:val="auto"/>
              </w:rPr>
              <w:t>3,715</w:t>
            </w:r>
          </w:p>
        </w:tc>
        <w:tc>
          <w:tcPr>
            <w:tcW w:w="920" w:type="dxa"/>
            <w:vAlign w:val="bottom"/>
          </w:tcPr>
          <w:p>
            <w:pPr>
              <w:jc w:val="right"/>
              <w:spacing w:after="0"/>
              <w:rPr>
                <w:sz w:val="20"/>
                <w:szCs w:val="20"/>
                <w:color w:val="auto"/>
              </w:rPr>
            </w:pPr>
            <w:r>
              <w:rPr>
                <w:rFonts w:ascii="Arial" w:cs="Arial" w:eastAsia="Arial" w:hAnsi="Arial"/>
                <w:sz w:val="14"/>
                <w:szCs w:val="14"/>
                <w:color w:val="auto"/>
              </w:rPr>
              <w:t>6,750,000</w:t>
            </w:r>
          </w:p>
        </w:tc>
      </w:tr>
      <w:tr>
        <w:trPr>
          <w:trHeight w:val="216"/>
        </w:trPr>
        <w:tc>
          <w:tcPr>
            <w:tcW w:w="4380" w:type="dxa"/>
            <w:vAlign w:val="bottom"/>
            <w:tcBorders>
              <w:bottom w:val="single" w:sz="8" w:color="065BAA"/>
            </w:tcBorders>
            <w:shd w:val="clear" w:color="auto" w:fill="DAEBF8"/>
          </w:tcPr>
          <w:p>
            <w:pPr>
              <w:ind w:left="80"/>
              <w:spacing w:after="0"/>
              <w:rPr>
                <w:sz w:val="20"/>
                <w:szCs w:val="20"/>
                <w:color w:val="auto"/>
              </w:rPr>
            </w:pPr>
            <w:r>
              <w:rPr>
                <w:rFonts w:ascii="Arial" w:cs="Arial" w:eastAsia="Arial" w:hAnsi="Arial"/>
                <w:sz w:val="14"/>
                <w:szCs w:val="14"/>
                <w:b w:val="1"/>
                <w:bCs w:val="1"/>
                <w:color w:val="auto"/>
              </w:rPr>
              <w:t>Joseph J. LaRosa</w:t>
            </w:r>
          </w:p>
        </w:tc>
        <w:tc>
          <w:tcPr>
            <w:tcW w:w="1060" w:type="dxa"/>
            <w:vAlign w:val="bottom"/>
            <w:tcBorders>
              <w:bottom w:val="single" w:sz="8" w:color="065BAA"/>
            </w:tcBorders>
            <w:shd w:val="clear" w:color="auto" w:fill="DAEBF8"/>
          </w:tcPr>
          <w:p>
            <w:pPr>
              <w:jc w:val="right"/>
              <w:ind w:right="108"/>
              <w:spacing w:after="0"/>
              <w:rPr>
                <w:sz w:val="20"/>
                <w:szCs w:val="20"/>
                <w:color w:val="auto"/>
              </w:rPr>
            </w:pPr>
            <w:r>
              <w:rPr>
                <w:rFonts w:ascii="Arial" w:cs="Arial" w:eastAsia="Arial" w:hAnsi="Arial"/>
                <w:sz w:val="14"/>
                <w:szCs w:val="14"/>
                <w:color w:val="auto"/>
              </w:rPr>
              <w:t>2,700,000</w:t>
            </w:r>
          </w:p>
        </w:tc>
        <w:tc>
          <w:tcPr>
            <w:tcW w:w="640" w:type="dxa"/>
            <w:vAlign w:val="bottom"/>
            <w:tcBorders>
              <w:bottom w:val="single" w:sz="8" w:color="065BAA"/>
            </w:tcBorders>
            <w:shd w:val="clear" w:color="auto" w:fill="DAEBF8"/>
          </w:tcPr>
          <w:p>
            <w:pPr>
              <w:jc w:val="right"/>
              <w:spacing w:after="0"/>
              <w:rPr>
                <w:sz w:val="20"/>
                <w:szCs w:val="20"/>
                <w:color w:val="auto"/>
              </w:rPr>
            </w:pPr>
            <w:r>
              <w:rPr>
                <w:rFonts w:ascii="Arial" w:cs="Arial" w:eastAsia="Arial" w:hAnsi="Arial"/>
                <w:sz w:val="14"/>
                <w:szCs w:val="14"/>
                <w:color w:val="auto"/>
              </w:rPr>
              <w:t>12,210</w:t>
            </w:r>
          </w:p>
        </w:tc>
        <w:tc>
          <w:tcPr>
            <w:tcW w:w="180" w:type="dxa"/>
            <w:vAlign w:val="bottom"/>
            <w:tcBorders>
              <w:bottom w:val="single" w:sz="8" w:color="065BAA"/>
            </w:tcBorders>
            <w:shd w:val="clear" w:color="auto" w:fill="DAEBF8"/>
          </w:tcPr>
          <w:p>
            <w:pPr>
              <w:spacing w:after="0"/>
              <w:rPr>
                <w:sz w:val="18"/>
                <w:szCs w:val="18"/>
                <w:color w:val="auto"/>
              </w:rPr>
            </w:pPr>
          </w:p>
        </w:tc>
        <w:tc>
          <w:tcPr>
            <w:tcW w:w="1020" w:type="dxa"/>
            <w:vAlign w:val="bottom"/>
            <w:tcBorders>
              <w:bottom w:val="single" w:sz="8" w:color="065BAA"/>
            </w:tcBorders>
            <w:shd w:val="clear" w:color="auto" w:fill="DAEBF8"/>
          </w:tcPr>
          <w:p>
            <w:pPr>
              <w:jc w:val="right"/>
              <w:ind w:right="88"/>
              <w:spacing w:after="0"/>
              <w:rPr>
                <w:sz w:val="20"/>
                <w:szCs w:val="20"/>
                <w:color w:val="auto"/>
              </w:rPr>
            </w:pPr>
            <w:r>
              <w:rPr>
                <w:rFonts w:ascii="Arial" w:cs="Arial" w:eastAsia="Arial" w:hAnsi="Arial"/>
                <w:sz w:val="14"/>
                <w:szCs w:val="14"/>
                <w:color w:val="auto"/>
              </w:rPr>
              <w:t>1,800,000</w:t>
            </w:r>
          </w:p>
        </w:tc>
        <w:tc>
          <w:tcPr>
            <w:tcW w:w="560" w:type="dxa"/>
            <w:vAlign w:val="bottom"/>
            <w:tcBorders>
              <w:bottom w:val="single" w:sz="8" w:color="065BAA"/>
            </w:tcBorders>
            <w:shd w:val="clear" w:color="auto" w:fill="DAEBF8"/>
          </w:tcPr>
          <w:p>
            <w:pPr>
              <w:jc w:val="right"/>
              <w:spacing w:after="0"/>
              <w:rPr>
                <w:sz w:val="20"/>
                <w:szCs w:val="20"/>
                <w:color w:val="auto"/>
              </w:rPr>
            </w:pPr>
            <w:r>
              <w:rPr>
                <w:rFonts w:ascii="Arial" w:cs="Arial" w:eastAsia="Arial" w:hAnsi="Arial"/>
                <w:sz w:val="14"/>
                <w:szCs w:val="14"/>
                <w:color w:val="auto"/>
              </w:rPr>
              <w:t>2,476</w:t>
            </w:r>
          </w:p>
        </w:tc>
        <w:tc>
          <w:tcPr>
            <w:tcW w:w="920" w:type="dxa"/>
            <w:vAlign w:val="bottom"/>
            <w:tcBorders>
              <w:bottom w:val="single" w:sz="8" w:color="065BAA"/>
            </w:tcBorders>
            <w:shd w:val="clear" w:color="auto" w:fill="DAEBF8"/>
          </w:tcPr>
          <w:p>
            <w:pPr>
              <w:jc w:val="right"/>
              <w:spacing w:after="0"/>
              <w:rPr>
                <w:sz w:val="20"/>
                <w:szCs w:val="20"/>
                <w:color w:val="auto"/>
              </w:rPr>
            </w:pPr>
            <w:r>
              <w:rPr>
                <w:rFonts w:ascii="Arial" w:cs="Arial" w:eastAsia="Arial" w:hAnsi="Arial"/>
                <w:sz w:val="14"/>
                <w:szCs w:val="14"/>
                <w:color w:val="auto"/>
              </w:rPr>
              <w:t>4,500,000</w:t>
            </w:r>
          </w:p>
        </w:tc>
      </w:tr>
    </w:tbl>
    <w:p>
      <w:pPr>
        <w:spacing w:after="0" w:line="117" w:lineRule="exact"/>
        <w:rPr>
          <w:sz w:val="20"/>
          <w:szCs w:val="20"/>
          <w:color w:val="auto"/>
        </w:rPr>
      </w:pPr>
    </w:p>
    <w:p>
      <w:pPr>
        <w:ind w:left="320" w:right="259" w:hanging="190"/>
        <w:spacing w:after="0" w:line="286" w:lineRule="auto"/>
        <w:tabs>
          <w:tab w:leader="none" w:pos="32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Drs. Schleifer and Yancopoulos did not receive any equity awards in 2025, as the Committee continued to actively discuss and consider a potential new CEO/CSO equity program design.</w:t>
      </w:r>
    </w:p>
    <w:p>
      <w:pPr>
        <w:spacing w:after="0" w:line="8" w:lineRule="exact"/>
        <w:rPr>
          <w:sz w:val="20"/>
          <w:szCs w:val="20"/>
          <w:color w:val="auto"/>
        </w:rPr>
      </w:pPr>
    </w:p>
    <w:p>
      <w:pPr>
        <w:ind w:left="320" w:right="499" w:hanging="190"/>
        <w:spacing w:after="0" w:line="286" w:lineRule="auto"/>
        <w:tabs>
          <w:tab w:leader="none" w:pos="32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Represents the target grant date fair value of the awards. See “Compensation Dashboard—2025 Executive Compensation Tables—2025 Summary Compensation Table” for the actual grant date fair value of such awards.</w:t>
      </w:r>
    </w:p>
    <w:p>
      <w:pPr>
        <w:spacing w:after="0" w:line="120" w:lineRule="exact"/>
        <w:rPr>
          <w:sz w:val="20"/>
          <w:szCs w:val="20"/>
          <w:color w:val="auto"/>
        </w:rPr>
      </w:pPr>
    </w:p>
    <w:p>
      <w:pPr>
        <w:ind w:left="140" w:right="699"/>
        <w:spacing w:after="0" w:line="286" w:lineRule="auto"/>
        <w:rPr>
          <w:sz w:val="20"/>
          <w:szCs w:val="20"/>
          <w:color w:val="auto"/>
        </w:rPr>
      </w:pPr>
      <w:r>
        <w:rPr>
          <w:rFonts w:ascii="Arial" w:cs="Arial" w:eastAsia="Arial" w:hAnsi="Arial"/>
          <w:sz w:val="16"/>
          <w:szCs w:val="16"/>
          <w:color w:val="auto"/>
        </w:rPr>
        <w:t>All of the equity awards granted to the NEOs in 2025 are subject to the Company’s policy regarding recoupment or reduction (clawback) of incentive compensation, including after such awards have been earned/vested.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70</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79" w:name="page80"/>
    <w:bookmarkEnd w:id="79"/>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Annual Stock Option Awards</w:t>
      </w:r>
    </w:p>
    <w:p>
      <w:pPr>
        <w:spacing w:after="0" w:line="97" w:lineRule="exact"/>
        <w:rPr>
          <w:sz w:val="20"/>
          <w:szCs w:val="20"/>
          <w:color w:val="auto"/>
        </w:rPr>
      </w:pPr>
    </w:p>
    <w:p>
      <w:pPr>
        <w:ind w:left="140" w:right="239"/>
        <w:spacing w:after="0" w:line="284" w:lineRule="auto"/>
        <w:rPr>
          <w:sz w:val="20"/>
          <w:szCs w:val="20"/>
          <w:color w:val="auto"/>
        </w:rPr>
      </w:pPr>
      <w:r>
        <w:rPr>
          <w:rFonts w:ascii="Arial" w:cs="Arial" w:eastAsia="Arial" w:hAnsi="Arial"/>
          <w:sz w:val="16"/>
          <w:szCs w:val="16"/>
          <w:color w:val="auto"/>
        </w:rPr>
        <w:t>Stock options represented 60% of the grant date fair value of the annual equity awards for each of the NEOs who received such awards in 2025. The use of stock options for 2025 annual equity awards to these NEOs was based on our long-held view that stock options are a useful compensation tool when used thoughtfully as part of a well-designed compensation program because of their simplicity and inherently performance-based nature, requiring stock price appreciation before there is any real value earned. No amount of time will make a stock option deliver any value unless the company’s stock price increases, and no sustainable stock price appreciation can be achieved by Regeneron without a productive pipeline of potential new medicines. In addition, stock options incentivize these NEOs to take actions that increase shareholder value over the entire 10-year option term, which we believe approximates the typical length of the drug discovery and development cycle.</w:t>
      </w:r>
    </w:p>
    <w:p>
      <w:pPr>
        <w:spacing w:after="0" w:line="120" w:lineRule="exact"/>
        <w:rPr>
          <w:sz w:val="20"/>
          <w:szCs w:val="20"/>
          <w:color w:val="auto"/>
        </w:rPr>
      </w:pPr>
    </w:p>
    <w:p>
      <w:pPr>
        <w:ind w:left="140" w:right="179"/>
        <w:spacing w:after="0" w:line="295" w:lineRule="auto"/>
        <w:rPr>
          <w:sz w:val="20"/>
          <w:szCs w:val="20"/>
          <w:color w:val="auto"/>
        </w:rPr>
      </w:pPr>
      <w:r>
        <w:rPr>
          <w:rFonts w:ascii="Arial" w:cs="Arial" w:eastAsia="Arial" w:hAnsi="Arial"/>
          <w:sz w:val="16"/>
          <w:szCs w:val="16"/>
          <w:color w:val="auto"/>
        </w:rPr>
        <w:t>Stock options awarded to our NEOs in 2025 have an exercise price of $726.71 per share, the average of the high and low sales price per share of our common stock as quoted on the Nasdaq Global Select Market on the date of grant. These grants consist of non-qualified stock options and vest ratably over a period of four years. Stock option vesting ceases, and unvested stock options are forfeited, upon termination of employment.</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Annual RSAs</w:t>
      </w:r>
    </w:p>
    <w:p>
      <w:pPr>
        <w:spacing w:after="0" w:line="83" w:lineRule="exact"/>
        <w:rPr>
          <w:sz w:val="20"/>
          <w:szCs w:val="20"/>
          <w:color w:val="auto"/>
        </w:rPr>
      </w:pPr>
    </w:p>
    <w:p>
      <w:pPr>
        <w:ind w:left="140" w:right="239"/>
        <w:spacing w:after="0" w:line="288" w:lineRule="auto"/>
        <w:rPr>
          <w:sz w:val="20"/>
          <w:szCs w:val="20"/>
          <w:color w:val="auto"/>
        </w:rPr>
      </w:pPr>
      <w:r>
        <w:rPr>
          <w:rFonts w:ascii="Arial" w:cs="Arial" w:eastAsia="Arial" w:hAnsi="Arial"/>
          <w:sz w:val="16"/>
          <w:szCs w:val="16"/>
          <w:color w:val="auto"/>
        </w:rPr>
        <w:t>Time-based RSAs represented 40% of the grant date fair value of the annual equity award for each of the NEOs who received such awards in 2025. In continuing to use RSAs as a component of the equity award mix for the 2025 annual equity awards to our NEOs and other employees located in the United States (with employees located outside the United States receiving RSUs), the Compensation Committee took into account, among other factors, shareholder feedback about the annual rate of equity compensation dilution, retention considerations, and employee input. The RSAs vest 50% on the second anniversary of the date of grant and 50% on the fourth anniversary of the date of grant, which is a more backloaded vesting schedule than is typical in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71</w:t>
            </w:r>
          </w:p>
        </w:tc>
      </w:tr>
    </w:tbl>
    <w:p>
      <w:pPr>
        <w:sectPr>
          <w:pgSz w:w="11900" w:h="16838" w:orient="portrait"/>
          <w:cols w:equalWidth="0" w:num="1">
            <w:col w:w="9019"/>
          </w:cols>
          <w:pgMar w:left="1440" w:top="657" w:right="1440" w:bottom="1440" w:gutter="0" w:footer="0" w:header="0"/>
        </w:sectPr>
      </w:pPr>
    </w:p>
    <w:bookmarkStart w:id="80" w:name="page81"/>
    <w:bookmarkEnd w:id="80"/>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Perquisites and Personal Benefits</w:t>
      </w:r>
    </w:p>
    <w:p>
      <w:pPr>
        <w:spacing w:after="0" w:line="180" w:lineRule="exact"/>
        <w:rPr>
          <w:sz w:val="20"/>
          <w:szCs w:val="20"/>
          <w:color w:val="auto"/>
        </w:rPr>
      </w:pPr>
    </w:p>
    <w:p>
      <w:pPr>
        <w:ind w:left="140" w:right="439"/>
        <w:spacing w:after="0" w:line="321" w:lineRule="auto"/>
        <w:rPr>
          <w:sz w:val="20"/>
          <w:szCs w:val="20"/>
          <w:color w:val="auto"/>
        </w:rPr>
      </w:pPr>
      <w:r>
        <w:rPr>
          <w:rFonts w:ascii="Arial" w:cs="Arial" w:eastAsia="Arial" w:hAnsi="Arial"/>
          <w:sz w:val="16"/>
          <w:szCs w:val="16"/>
          <w:color w:val="auto"/>
        </w:rPr>
        <w:t>Any perquisites provided to our NEOs must comply with a Compensation Committee-approved policy regarding senior officer perquisites and are periodically reviewed by the Committee.</w:t>
      </w:r>
    </w:p>
    <w:p>
      <w:pPr>
        <w:spacing w:after="0" w:line="88" w:lineRule="exact"/>
        <w:rPr>
          <w:sz w:val="20"/>
          <w:szCs w:val="20"/>
          <w:color w:val="auto"/>
        </w:rPr>
      </w:pPr>
    </w:p>
    <w:p>
      <w:pPr>
        <w:ind w:left="140" w:right="419"/>
        <w:spacing w:after="0" w:line="286" w:lineRule="auto"/>
        <w:rPr>
          <w:sz w:val="20"/>
          <w:szCs w:val="20"/>
          <w:color w:val="auto"/>
        </w:rPr>
      </w:pPr>
      <w:r>
        <w:rPr>
          <w:rFonts w:ascii="Arial" w:cs="Arial" w:eastAsia="Arial" w:hAnsi="Arial"/>
          <w:sz w:val="16"/>
          <w:szCs w:val="16"/>
          <w:color w:val="auto"/>
        </w:rPr>
        <w:t>Similar to our other employees, our NEOs may participate in Company-wide health, disability, life insurance, and other benefit plans, as well as our 401(k) Savings Plan (including matching contributions). See details concerning the 401(k) Savings Plan in the subsection “Compensation Dashboard—Additional Compensation Information—Perquisites and Personal Benefits.” Regeneron has no pension, deferred compensation, or retirement plans for U.S.-based employees other than our 401(k) Savings Plan. Our NEOs are also eligible to receive financial and tax planning assistance, which are taxable benefits.</w:t>
      </w:r>
    </w:p>
    <w:p>
      <w:pPr>
        <w:spacing w:after="0" w:line="116" w:lineRule="exact"/>
        <w:rPr>
          <w:sz w:val="20"/>
          <w:szCs w:val="20"/>
          <w:color w:val="auto"/>
        </w:rPr>
      </w:pPr>
    </w:p>
    <w:p>
      <w:pPr>
        <w:ind w:left="140" w:right="319"/>
        <w:spacing w:after="0" w:line="301" w:lineRule="auto"/>
        <w:rPr>
          <w:sz w:val="20"/>
          <w:szCs w:val="20"/>
          <w:color w:val="auto"/>
        </w:rPr>
      </w:pPr>
      <w:r>
        <w:rPr>
          <w:rFonts w:ascii="Arial" w:cs="Arial" w:eastAsia="Arial" w:hAnsi="Arial"/>
          <w:sz w:val="16"/>
          <w:szCs w:val="16"/>
          <w:color w:val="auto"/>
        </w:rPr>
        <w:t>In addition, our CEO is entitled to life insurance, long-term disability, medical malpractice insurance premiums, and additional tax and financial planning services pursuant to his employment agreement. These are described in footnote 4 to the Summary Compensation Table.</w:t>
      </w:r>
    </w:p>
    <w:p>
      <w:pPr>
        <w:spacing w:after="0" w:line="104" w:lineRule="exact"/>
        <w:rPr>
          <w:sz w:val="20"/>
          <w:szCs w:val="20"/>
          <w:color w:val="auto"/>
        </w:rPr>
      </w:pPr>
    </w:p>
    <w:p>
      <w:pPr>
        <w:ind w:left="140" w:right="199"/>
        <w:spacing w:after="0" w:line="285" w:lineRule="auto"/>
        <w:rPr>
          <w:sz w:val="20"/>
          <w:szCs w:val="20"/>
          <w:color w:val="auto"/>
        </w:rPr>
      </w:pPr>
      <w:r>
        <w:rPr>
          <w:rFonts w:ascii="Arial" w:cs="Arial" w:eastAsia="Arial" w:hAnsi="Arial"/>
          <w:sz w:val="16"/>
          <w:szCs w:val="16"/>
          <w:color w:val="auto"/>
        </w:rPr>
        <w:t>Our CEO and CSO are also eligible for various benefits under our board-approved security policy, the purpose of which is to ensure increased efficiencies and provide a more secure environment for these executives. Based on the recommendation of an independent, third-party security study, our security policy and related guidelines require our CEO and CSO to use, as much as practicable, Company-provided aircraft for all business and personal air travel. The security policy also provides for other security services consisting of secure car transportation, on-site residential security at the primary residence for each of Drs. Schleifer and Yancopoulos, and 24/7 personal security services for each of Drs. Schleifer and Yancopoulos.</w:t>
      </w:r>
    </w:p>
    <w:p>
      <w:pPr>
        <w:spacing w:after="0" w:line="118" w:lineRule="exact"/>
        <w:rPr>
          <w:sz w:val="20"/>
          <w:szCs w:val="20"/>
          <w:color w:val="auto"/>
        </w:rPr>
      </w:pPr>
    </w:p>
    <w:p>
      <w:pPr>
        <w:ind w:left="140" w:right="559"/>
        <w:spacing w:after="0" w:line="321" w:lineRule="auto"/>
        <w:rPr>
          <w:sz w:val="20"/>
          <w:szCs w:val="20"/>
          <w:color w:val="auto"/>
        </w:rPr>
      </w:pPr>
      <w:r>
        <w:rPr>
          <w:rFonts w:ascii="Arial" w:cs="Arial" w:eastAsia="Arial" w:hAnsi="Arial"/>
          <w:sz w:val="16"/>
          <w:szCs w:val="16"/>
          <w:color w:val="auto"/>
        </w:rPr>
        <w:t>In addition, the Company covers the cost of certain services related to internet connectivity at the residences of Drs. Schleifer and Yancopoulos as well as rent payments and related expenses for a local residence for Mr. LaRosa.</w:t>
      </w:r>
    </w:p>
    <w:p>
      <w:pPr>
        <w:spacing w:after="0" w:line="88" w:lineRule="exact"/>
        <w:rPr>
          <w:sz w:val="20"/>
          <w:szCs w:val="20"/>
          <w:color w:val="auto"/>
        </w:rPr>
      </w:pPr>
    </w:p>
    <w:p>
      <w:pPr>
        <w:jc w:val="both"/>
        <w:ind w:left="140" w:right="139"/>
        <w:spacing w:after="0" w:line="301" w:lineRule="auto"/>
        <w:rPr>
          <w:sz w:val="20"/>
          <w:szCs w:val="20"/>
          <w:color w:val="auto"/>
        </w:rPr>
      </w:pPr>
      <w:r>
        <w:rPr>
          <w:rFonts w:ascii="Arial" w:cs="Arial" w:eastAsia="Arial" w:hAnsi="Arial"/>
          <w:sz w:val="16"/>
          <w:szCs w:val="16"/>
          <w:color w:val="auto"/>
        </w:rPr>
        <w:t>Additional information regarding perquisites and other personal benefits provided to our NEOs in, or with respect to, 2025 is given in the applicable footnotes to the Summary Compensation Table and in the subsection “Compensation Dashboard —Additional Compensation Information—Perquisites and Personal Benefits.”</w:t>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Potential Severance Payments</w:t>
      </w:r>
    </w:p>
    <w:p>
      <w:pPr>
        <w:spacing w:after="0" w:line="180" w:lineRule="exact"/>
        <w:rPr>
          <w:sz w:val="20"/>
          <w:szCs w:val="20"/>
          <w:color w:val="auto"/>
        </w:rPr>
      </w:pPr>
    </w:p>
    <w:p>
      <w:pPr>
        <w:ind w:left="140" w:right="219"/>
        <w:spacing w:after="0" w:line="301" w:lineRule="auto"/>
        <w:rPr>
          <w:sz w:val="20"/>
          <w:szCs w:val="20"/>
          <w:color w:val="auto"/>
        </w:rPr>
      </w:pPr>
      <w:r>
        <w:rPr>
          <w:rFonts w:ascii="Arial" w:cs="Arial" w:eastAsia="Arial" w:hAnsi="Arial"/>
          <w:sz w:val="16"/>
          <w:szCs w:val="16"/>
          <w:color w:val="auto"/>
        </w:rPr>
        <w:t>Our NEOs are entitled to certain severance benefits upon the voluntary or involuntary termination of their employment, as discussed further in the subsection “Compensation Dashboard—Additional Compensation Information—Potential Severance Payments.”</w:t>
      </w:r>
    </w:p>
    <w:p>
      <w:pPr>
        <w:spacing w:after="0" w:line="91" w:lineRule="exact"/>
        <w:rPr>
          <w:sz w:val="20"/>
          <w:szCs w:val="20"/>
          <w:color w:val="auto"/>
        </w:rPr>
      </w:pPr>
    </w:p>
    <w:p>
      <w:pPr>
        <w:jc w:val="both"/>
        <w:ind w:left="140" w:right="179"/>
        <w:spacing w:after="0" w:line="301" w:lineRule="auto"/>
        <w:rPr>
          <w:sz w:val="20"/>
          <w:szCs w:val="20"/>
          <w:color w:val="auto"/>
        </w:rPr>
      </w:pPr>
      <w:r>
        <w:rPr>
          <w:rFonts w:ascii="Arial" w:cs="Arial" w:eastAsia="Arial" w:hAnsi="Arial"/>
          <w:sz w:val="16"/>
          <w:szCs w:val="16"/>
          <w:color w:val="auto"/>
        </w:rPr>
        <w:t>The award agreements governing unvested equity awards for our NEOs and other employees include a governance best-practice “double trigger” provision for the acceleration of vesting of awards granted thereunder only upon a without-cause termination by the Company within two years of a change in control.</w:t>
      </w:r>
    </w:p>
    <w:p>
      <w:pPr>
        <w:spacing w:after="0" w:line="104" w:lineRule="exact"/>
        <w:rPr>
          <w:sz w:val="20"/>
          <w:szCs w:val="20"/>
          <w:color w:val="auto"/>
        </w:rPr>
      </w:pPr>
    </w:p>
    <w:p>
      <w:pPr>
        <w:ind w:left="140" w:right="139"/>
        <w:spacing w:after="0" w:line="301" w:lineRule="auto"/>
        <w:rPr>
          <w:sz w:val="20"/>
          <w:szCs w:val="20"/>
          <w:color w:val="auto"/>
        </w:rPr>
      </w:pPr>
      <w:r>
        <w:rPr>
          <w:rFonts w:ascii="Arial" w:cs="Arial" w:eastAsia="Arial" w:hAnsi="Arial"/>
          <w:sz w:val="16"/>
          <w:szCs w:val="16"/>
          <w:color w:val="auto"/>
        </w:rPr>
        <w:t>We have a policy against excise tax gross-up provisions for payments contingent on a change in control of Regeneron in contracts, compensatory plans, and other arrangement with the Company’s officers (including NEOs) with the exception of the CEO under his existing employment agreement or amendments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72</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81" w:name="page82"/>
    <w:bookmarkEnd w:id="81"/>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Compensation Processes</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Compensation Committee</w:t>
      </w:r>
    </w:p>
    <w:p>
      <w:pPr>
        <w:spacing w:after="0" w:line="180" w:lineRule="exact"/>
        <w:rPr>
          <w:sz w:val="20"/>
          <w:szCs w:val="20"/>
          <w:color w:val="auto"/>
        </w:rPr>
      </w:pPr>
    </w:p>
    <w:p>
      <w:pPr>
        <w:ind w:left="140" w:right="299"/>
        <w:spacing w:after="0" w:line="291" w:lineRule="auto"/>
        <w:rPr>
          <w:sz w:val="20"/>
          <w:szCs w:val="20"/>
          <w:color w:val="auto"/>
        </w:rPr>
      </w:pPr>
      <w:r>
        <w:rPr>
          <w:rFonts w:ascii="Arial" w:cs="Arial" w:eastAsia="Arial" w:hAnsi="Arial"/>
          <w:sz w:val="16"/>
          <w:szCs w:val="16"/>
          <w:color w:val="auto"/>
        </w:rPr>
        <w:t xml:space="preserve">The Compensation Committee is responsible for overseeing the Company’s general compensation objectives and programs. The Compensation Committee evaluates the performance of our NEOs and approves their compensation—in the case of the CEO and the CSO, subject to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Arial" w:cs="Arial" w:eastAsia="Arial" w:hAnsi="Arial"/>
          <w:sz w:val="16"/>
          <w:szCs w:val="16"/>
          <w:b w:val="1"/>
          <w:bCs w:val="1"/>
          <w:color w:val="2069E7"/>
        </w:rPr>
        <w:t xml:space="preserve">www.regeneron.com </w:t>
      </w:r>
      <w:r>
        <w:rPr>
          <w:rFonts w:ascii="Arial" w:cs="Arial" w:eastAsia="Arial" w:hAnsi="Arial"/>
          <w:sz w:val="16"/>
          <w:szCs w:val="16"/>
          <w:color w:val="000000"/>
        </w:rPr>
        <w:t>under the “Governance” heading on the “Investors &amp; Media” page.</w:t>
      </w:r>
    </w:p>
    <w:p>
      <w:pPr>
        <w:spacing w:after="0" w:line="93" w:lineRule="exact"/>
        <w:rPr>
          <w:sz w:val="20"/>
          <w:szCs w:val="20"/>
          <w:color w:val="auto"/>
        </w:rPr>
      </w:pPr>
    </w:p>
    <w:p>
      <w:pPr>
        <w:ind w:left="140" w:right="279"/>
        <w:spacing w:after="0" w:line="287" w:lineRule="auto"/>
        <w:rPr>
          <w:sz w:val="20"/>
          <w:szCs w:val="20"/>
          <w:color w:val="auto"/>
        </w:rPr>
      </w:pPr>
      <w:r>
        <w:rPr>
          <w:rFonts w:ascii="Arial" w:cs="Arial" w:eastAsia="Arial" w:hAnsi="Arial"/>
          <w:sz w:val="16"/>
          <w:szCs w:val="16"/>
          <w:color w:val="auto"/>
        </w:rPr>
        <w:t>Annual salaries for the following year and year-end cash incentives and equity awards for all employees are determined in December of each year based on Company and individual performance, as well as other factors, which may include compensation trends among our Peer Group and in the biotechnology industry in general. With respect to our CEO, this process is formalized in the Compensation Committee’s charter, which specifies that the Compensation Committee is to annually present the proposed annual compensation of the CEO to the non-employee members of the board of directors for approval. The Company’s recent practice has been to require approval of the proposed annual compensation of the CSO by the non-employee members of the board of directors as well. The non-employee directors have also been involved in reviewing the Company’s performance for purposes of setting the annual cash incentive payout.</w:t>
      </w:r>
    </w:p>
    <w:p>
      <w:pPr>
        <w:spacing w:after="0" w:line="116" w:lineRule="exact"/>
        <w:rPr>
          <w:sz w:val="20"/>
          <w:szCs w:val="20"/>
          <w:color w:val="auto"/>
        </w:rPr>
      </w:pPr>
    </w:p>
    <w:p>
      <w:pPr>
        <w:ind w:left="140" w:right="199"/>
        <w:spacing w:after="0" w:line="283" w:lineRule="auto"/>
        <w:rPr>
          <w:sz w:val="20"/>
          <w:szCs w:val="20"/>
          <w:color w:val="auto"/>
        </w:rPr>
      </w:pPr>
      <w:r>
        <w:rPr>
          <w:rFonts w:ascii="Arial" w:cs="Arial" w:eastAsia="Arial" w:hAnsi="Arial"/>
          <w:sz w:val="16"/>
          <w:szCs w:val="16"/>
          <w:color w:val="auto"/>
        </w:rPr>
        <w:t>We make annual equity awards, including stock option awards, to the NEOs and other employees on a regular, predetermined schedule. The meetings at which such grants are approved are generally scheduled well in advance of the grant date, without regard to the timing of earnings or other major announcements that may constitute material, non-public information. As a result, the timing of such grants of equity awards, including stock options, occurs independent of the release of any material, non-public information, and we do not time the disclosure of material, non-public information for the purpose of affecting the value of equity-based compensation. We generally grant annual equity awards to eligible employees whose performance is determined to merit an annual grant, including the NEOs, at a meeting held during December. With respect to newly hired employees, our practice typically is to grant equity awards at the first regular meeting of the Compensation Committee following such employee's hire date, without regard to the timing of earnings or other major announcements that may constitute material, non-public information. In 2025, we did not grant stock options or other equity awards to our NEOs during any period beginning four business days before and ending one business day after the filing of any of the Company’s periodic reports on Form 10-Q or Form 10-K or the filing or furnishing of any of the Company’s current reports on Form 8-K that disclosed any material, non-public information.</w:t>
      </w:r>
    </w:p>
    <w:p>
      <w:pPr>
        <w:spacing w:after="0" w:line="123" w:lineRule="exact"/>
        <w:rPr>
          <w:sz w:val="20"/>
          <w:szCs w:val="20"/>
          <w:color w:val="auto"/>
        </w:rPr>
      </w:pPr>
    </w:p>
    <w:p>
      <w:pPr>
        <w:ind w:left="140" w:right="199"/>
        <w:spacing w:after="0" w:line="291" w:lineRule="auto"/>
        <w:rPr>
          <w:sz w:val="20"/>
          <w:szCs w:val="20"/>
          <w:color w:val="auto"/>
        </w:rPr>
      </w:pPr>
      <w:r>
        <w:rPr>
          <w:rFonts w:ascii="Arial" w:cs="Arial" w:eastAsia="Arial" w:hAnsi="Arial"/>
          <w:sz w:val="16"/>
          <w:szCs w:val="16"/>
          <w:color w:val="auto"/>
        </w:rPr>
        <w:t>Pursuant to the terms of the Second Amended and Restated Regeneron Pharmaceuticals, Inc. 2014 Long-Term Incentive Plan, stock option awards are granted with an exercise price equal to the average of the high and low sales price per share of our common stock as quoted on the Nasdaq Global Select Market on the date of the grant or, if such date is not a trading day, on the last preceding date on which there was a sale of our common stock on the Nasdaq Global Select Market.</w:t>
      </w:r>
    </w:p>
    <w:p>
      <w:pPr>
        <w:spacing w:after="0" w:line="100" w:lineRule="exact"/>
        <w:rPr>
          <w:sz w:val="20"/>
          <w:szCs w:val="20"/>
          <w:color w:val="auto"/>
        </w:rPr>
      </w:pPr>
    </w:p>
    <w:p>
      <w:pPr>
        <w:ind w:left="140" w:right="239"/>
        <w:spacing w:after="0" w:line="321" w:lineRule="auto"/>
        <w:rPr>
          <w:sz w:val="20"/>
          <w:szCs w:val="20"/>
          <w:color w:val="auto"/>
        </w:rPr>
      </w:pPr>
      <w:r>
        <w:rPr>
          <w:rFonts w:ascii="Arial" w:cs="Arial" w:eastAsia="Arial" w:hAnsi="Arial"/>
          <w:sz w:val="16"/>
          <w:szCs w:val="16"/>
          <w:color w:val="auto"/>
        </w:rPr>
        <w:t>We periodically evaluate the personal benefits and perquisites afforded to our NEOs. The Compensation Committee also regularly meets in executive session to discuss any of the matters that fall within its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73</w:t>
            </w:r>
          </w:p>
        </w:tc>
      </w:tr>
    </w:tbl>
    <w:p>
      <w:pPr>
        <w:sectPr>
          <w:pgSz w:w="11900" w:h="16838" w:orient="portrait"/>
          <w:cols w:equalWidth="0" w:num="1">
            <w:col w:w="9019"/>
          </w:cols>
          <w:pgMar w:left="1440" w:top="657" w:right="1440" w:bottom="1440" w:gutter="0" w:footer="0" w:header="0"/>
        </w:sectPr>
      </w:pPr>
    </w:p>
    <w:bookmarkStart w:id="82" w:name="page83"/>
    <w:bookmarkEnd w:id="82"/>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Management; Management’s Compensation Consultant</w:t>
      </w:r>
    </w:p>
    <w:p>
      <w:pPr>
        <w:spacing w:after="0" w:line="180" w:lineRule="exact"/>
        <w:rPr>
          <w:sz w:val="20"/>
          <w:szCs w:val="20"/>
          <w:color w:val="auto"/>
        </w:rPr>
      </w:pPr>
    </w:p>
    <w:p>
      <w:pPr>
        <w:ind w:left="140" w:right="139"/>
        <w:spacing w:after="0" w:line="288" w:lineRule="auto"/>
        <w:rPr>
          <w:sz w:val="20"/>
          <w:szCs w:val="20"/>
          <w:color w:val="auto"/>
        </w:rPr>
      </w:pPr>
      <w:r>
        <w:rPr>
          <w:rFonts w:ascii="Arial" w:cs="Arial" w:eastAsia="Arial" w:hAnsi="Arial"/>
          <w:sz w:val="16"/>
          <w:szCs w:val="16"/>
          <w:color w:val="auto"/>
        </w:rPr>
        <w:t>Members of our senior management play a role in the overall executive compensation process and assess performance of other officers. They also recommend for the Compensation Committee’s approval the salary, cash incentive, and equity grant budgets for non-officers and make specific recommendations for salary increases, cash incentives, and equity grants for other officers. Performance of our CEO and CSO is evaluated directly by the Compensation Committee based on the Company’s overall corporate performance, including performance against annual milestone goals that are identified at the beginning of each year, as discussed above. Our CEO evaluates the performance of our other NEOs and makes recommendations to the Compensation Committee regarding their compensation.</w:t>
      </w:r>
    </w:p>
    <w:p>
      <w:pPr>
        <w:spacing w:after="0" w:line="102" w:lineRule="exact"/>
        <w:rPr>
          <w:sz w:val="20"/>
          <w:szCs w:val="20"/>
          <w:color w:val="auto"/>
        </w:rPr>
      </w:pPr>
    </w:p>
    <w:p>
      <w:pPr>
        <w:ind w:left="140" w:right="179"/>
        <w:spacing w:after="0" w:line="289" w:lineRule="auto"/>
        <w:rPr>
          <w:sz w:val="20"/>
          <w:szCs w:val="20"/>
          <w:color w:val="auto"/>
        </w:rPr>
      </w:pPr>
      <w:r>
        <w:rPr>
          <w:rFonts w:ascii="Arial" w:cs="Arial" w:eastAsia="Arial" w:hAnsi="Arial"/>
          <w:sz w:val="16"/>
          <w:szCs w:val="16"/>
          <w:color w:val="auto"/>
        </w:rPr>
        <w:t>Management retains a compensation consultant for its own use. In 2025, management used the services of Radford (part of Aon plc), a compensation consultant focused on the technology and life sciences sectors. Radford provided various consulting services to management, including analyzing the competitiveness of specific compensation programs; preparing surveys of competitive pay practices; and assisting management in the development and analysis of executive compensation recommendations. Reports prepared by Radford that relate to executive compensation may also be shared with the Compensation Committee, the full board, or another committee of the board.</w:t>
      </w:r>
    </w:p>
    <w:p>
      <w:pPr>
        <w:spacing w:after="0" w:line="242"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Shareholder Input and Outreach and the 2025 Say-on-Pay Vote Result</w:t>
      </w:r>
    </w:p>
    <w:p>
      <w:pPr>
        <w:spacing w:after="0" w:line="180" w:lineRule="exact"/>
        <w:rPr>
          <w:sz w:val="20"/>
          <w:szCs w:val="20"/>
          <w:color w:val="auto"/>
        </w:rPr>
      </w:pPr>
    </w:p>
    <w:p>
      <w:pPr>
        <w:ind w:left="140" w:right="199"/>
        <w:spacing w:after="0" w:line="285" w:lineRule="auto"/>
        <w:rPr>
          <w:sz w:val="20"/>
          <w:szCs w:val="20"/>
          <w:color w:val="auto"/>
        </w:rPr>
      </w:pPr>
      <w:r>
        <w:rPr>
          <w:rFonts w:ascii="Arial" w:cs="Arial" w:eastAsia="Arial" w:hAnsi="Arial"/>
          <w:sz w:val="16"/>
          <w:szCs w:val="16"/>
          <w:color w:val="auto"/>
        </w:rPr>
        <w:t>Fostering long-term relationships and maintaining trust with our shareholders has been a key priority for us. We seek shareholder feedback through our annual say-on-pay votes as well as through discussions with our shareholders in connection with our annual shareholder meetings and in the “off-season,” where we discuss compensation, governance, and other issues of importance and interest to our shareholders. This outreach complements the many touchpoints our management and our investor relations team have with shareholders throughout the year. In addition, on a more informal basis, we engage with our shareholders through industry and corporate governance conferences and informal exchanges in other settings.</w:t>
      </w:r>
    </w:p>
    <w:p>
      <w:pPr>
        <w:spacing w:after="0" w:line="118" w:lineRule="exact"/>
        <w:rPr>
          <w:sz w:val="20"/>
          <w:szCs w:val="20"/>
          <w:color w:val="auto"/>
        </w:rPr>
      </w:pPr>
    </w:p>
    <w:p>
      <w:pPr>
        <w:ind w:left="140" w:right="259"/>
        <w:spacing w:after="0" w:line="287" w:lineRule="auto"/>
        <w:rPr>
          <w:sz w:val="20"/>
          <w:szCs w:val="20"/>
          <w:color w:val="auto"/>
        </w:rPr>
      </w:pPr>
      <w:r>
        <w:rPr>
          <w:rFonts w:ascii="Arial" w:cs="Arial" w:eastAsia="Arial" w:hAnsi="Arial"/>
          <w:sz w:val="16"/>
          <w:szCs w:val="16"/>
          <w:b w:val="1"/>
          <w:bCs w:val="1"/>
          <w:color w:val="auto"/>
        </w:rPr>
        <w:t xml:space="preserve">Say-on-pay vote. </w:t>
      </w:r>
      <w:r>
        <w:rPr>
          <w:rFonts w:ascii="Arial" w:cs="Arial" w:eastAsia="Arial" w:hAnsi="Arial"/>
          <w:sz w:val="16"/>
          <w:szCs w:val="16"/>
          <w:color w:val="auto"/>
        </w:rPr>
        <w:t>Our shareholders are provided with an opportunity to cast a non-binding, advisory vote on our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compensation program every year. We switched to the annual cadence of say-on-pay votes in 2022 in recognition of shareholder feedback and preference. Our most recent advisory say-on-pay vote was held at our 2025 annual shareholder meeting, at which this advisory proposal was approved by 93% of the votes cast. This was the fourth consecutive year of support nearing or exceeding 90%. Despite the solid approval rate of our compensation program by our shareholders evidenced by this result, we continued to engage with investors in 2025 to make sure we understand their perspectives and views of our compensation program and philosophy (as well as corporate governance and corporate responsibility matters relevant to our Company).</w:t>
      </w:r>
    </w:p>
    <w:p>
      <w:pPr>
        <w:spacing w:after="0" w:line="103" w:lineRule="exact"/>
        <w:rPr>
          <w:sz w:val="20"/>
          <w:szCs w:val="20"/>
          <w:color w:val="auto"/>
        </w:rPr>
      </w:pPr>
    </w:p>
    <w:p>
      <w:pPr>
        <w:ind w:left="140" w:right="219"/>
        <w:spacing w:after="0" w:line="286" w:lineRule="auto"/>
        <w:rPr>
          <w:sz w:val="20"/>
          <w:szCs w:val="20"/>
          <w:color w:val="auto"/>
        </w:rPr>
      </w:pPr>
      <w:r>
        <w:rPr>
          <w:rFonts w:ascii="Arial" w:cs="Arial" w:eastAsia="Arial" w:hAnsi="Arial"/>
          <w:sz w:val="16"/>
          <w:szCs w:val="16"/>
          <w:b w:val="1"/>
          <w:bCs w:val="1"/>
          <w:color w:val="auto"/>
        </w:rPr>
        <w:t xml:space="preserve">Shareholder outreach. </w:t>
      </w:r>
      <w:r>
        <w:rPr>
          <w:rFonts w:ascii="Arial" w:cs="Arial" w:eastAsia="Arial" w:hAnsi="Arial"/>
          <w:sz w:val="16"/>
          <w:szCs w:val="16"/>
          <w:color w:val="auto"/>
        </w:rPr>
        <w:t>For over a decade, we have actively and regularly engaged with our shareholders to</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feedback on many important areas, including corporate governance, executive compensation, and corporate responsibility matters, and are committed to continued engagement with portfolio managers and investment stewardship teams. Shareholder feedback is discussed with management and, depending on the topic, relayed for consideration to the appropriate committee of the board of directors (typically the Compensation Committee or the Corporate Governance and Compliance Committee), the full board, or both. In recent years, shareholder input resulted in specific changes to our compensation and corporate governance practices and policies. For example, as discussed above, in 2022 our board of directors voluntarily changed the frequency of our say-on-pay votes from every three years to every year to recognize the preference for annual say-on-pay votes expressed by several key shareholders during our shareholder outreach. See the table below for other recent changes related to executive compensation informed by shareholder feedback.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74</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83" w:name="page84"/>
    <w:bookmarkEnd w:id="83"/>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Compensation-Related Shareholder Outreach in 2025</w:t>
      </w:r>
    </w:p>
    <w:p>
      <w:pPr>
        <w:spacing w:after="0" w:line="97" w:lineRule="exact"/>
        <w:rPr>
          <w:sz w:val="20"/>
          <w:szCs w:val="20"/>
          <w:color w:val="auto"/>
        </w:rPr>
      </w:pPr>
    </w:p>
    <w:p>
      <w:pPr>
        <w:ind w:left="140" w:right="239"/>
        <w:spacing w:after="0" w:line="287" w:lineRule="auto"/>
        <w:rPr>
          <w:sz w:val="20"/>
          <w:szCs w:val="20"/>
          <w:color w:val="auto"/>
        </w:rPr>
      </w:pPr>
      <w:r>
        <w:rPr>
          <w:rFonts w:ascii="Arial" w:cs="Arial" w:eastAsia="Arial" w:hAnsi="Arial"/>
          <w:sz w:val="16"/>
          <w:szCs w:val="16"/>
          <w:color w:val="auto"/>
        </w:rPr>
        <w:t>In 2025, we reached out to shareholders collectively representing 51% of the public shares (i.e., shares of common stock outstanding as of December 31, 2025, excluding shares held by our directors and executive officers). This outreach resulted in one-on-one discussions with shareholders representing 42% of our public shares. As in prior years, we pursued engagement opportunities throughout the year, which allowed us to engage with several shareholders multiple times in 2025.</w:t>
      </w:r>
    </w:p>
    <w:p>
      <w:pPr>
        <w:spacing w:after="0" w:line="324" w:lineRule="exact"/>
        <w:rPr>
          <w:sz w:val="20"/>
          <w:szCs w:val="20"/>
          <w:color w:val="auto"/>
        </w:rPr>
      </w:pPr>
    </w:p>
    <w:p>
      <w:pPr>
        <w:ind w:left="2700"/>
        <w:spacing w:after="0"/>
        <w:tabs>
          <w:tab w:leader="none" w:pos="6000" w:val="left"/>
        </w:tabs>
        <w:rPr>
          <w:sz w:val="20"/>
          <w:szCs w:val="20"/>
          <w:color w:val="auto"/>
        </w:rPr>
      </w:pPr>
      <w:r>
        <w:rPr>
          <w:rFonts w:ascii="Arial" w:cs="Arial" w:eastAsia="Arial" w:hAnsi="Arial"/>
          <w:sz w:val="29"/>
          <w:szCs w:val="29"/>
          <w:b w:val="1"/>
          <w:bCs w:val="1"/>
          <w:color w:val="3B5AA4"/>
        </w:rPr>
        <w:t>42%</w:t>
      </w:r>
      <w:r>
        <w:rPr>
          <w:sz w:val="20"/>
          <w:szCs w:val="20"/>
          <w:color w:val="auto"/>
        </w:rPr>
        <w:tab/>
      </w:r>
      <w:r>
        <w:rPr>
          <w:rFonts w:ascii="Arial" w:cs="Arial" w:eastAsia="Arial" w:hAnsi="Arial"/>
          <w:sz w:val="29"/>
          <w:szCs w:val="29"/>
          <w:b w:val="1"/>
          <w:bCs w:val="1"/>
          <w:color w:val="3B5AA4"/>
        </w:rPr>
        <w:t>51%</w:t>
      </w:r>
    </w:p>
    <w:p>
      <w:pPr>
        <w:ind w:left="2700"/>
        <w:spacing w:after="0"/>
        <w:tabs>
          <w:tab w:leader="none" w:pos="5860" w:val="left"/>
        </w:tabs>
        <w:rPr>
          <w:sz w:val="20"/>
          <w:szCs w:val="20"/>
          <w:color w:val="auto"/>
        </w:rPr>
      </w:pPr>
      <w:r>
        <w:rPr>
          <w:rFonts w:ascii="Arial" w:cs="Arial" w:eastAsia="Arial" w:hAnsi="Arial"/>
          <w:sz w:val="16"/>
          <w:szCs w:val="16"/>
          <w:color w:val="auto"/>
        </w:rPr>
        <w:t>engaged</w:t>
      </w:r>
      <w:r>
        <w:rPr>
          <w:sz w:val="20"/>
          <w:szCs w:val="20"/>
          <w:color w:val="auto"/>
        </w:rPr>
        <w:tab/>
      </w:r>
      <w:r>
        <w:rPr>
          <w:rFonts w:ascii="Arial" w:cs="Arial" w:eastAsia="Arial" w:hAnsi="Arial"/>
          <w:sz w:val="16"/>
          <w:szCs w:val="16"/>
          <w:color w:val="auto"/>
        </w:rPr>
        <w:t>contacted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40" w:right="179"/>
        <w:spacing w:after="0" w:line="287" w:lineRule="auto"/>
        <w:rPr>
          <w:sz w:val="20"/>
          <w:szCs w:val="20"/>
          <w:color w:val="auto"/>
        </w:rPr>
      </w:pPr>
      <w:r>
        <w:rPr>
          <w:rFonts w:ascii="Arial" w:cs="Arial" w:eastAsia="Arial" w:hAnsi="Arial"/>
          <w:sz w:val="16"/>
          <w:szCs w:val="16"/>
          <w:color w:val="auto"/>
        </w:rPr>
        <w:t>With respect to executive compensation, several shareholders indicated that they understood and supported Regeneron’s compensation program, particularly the broad use of equity awards, which they viewed as a mitigating factor for a burn rate that in certain years may be higher than the burn rates reported by many similarly sized companies. A number of shareholders also inquired about the status of the Compensation Committee’s equity compensation design planning for our CEO and CSO in light of their eligibility for new awards commencing in December 2025, with certain of these shareholders specifically asking whether and how new awards would incorporate any “lessons learned” from the experience with the 2020 PSU awards to these executives. This feedback has been shared with the Compensation Committee and will continue to inform future executive compensation planning and decisions.</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Compensation-Related Changes Informed by Recent Shareholder Feedback</w:t>
      </w:r>
    </w:p>
    <w:p>
      <w:pPr>
        <w:spacing w:after="0" w:line="83" w:lineRule="exact"/>
        <w:rPr>
          <w:sz w:val="20"/>
          <w:szCs w:val="20"/>
          <w:color w:val="auto"/>
        </w:rPr>
      </w:pPr>
    </w:p>
    <w:p>
      <w:pPr>
        <w:ind w:left="140" w:right="199"/>
        <w:spacing w:after="0" w:line="295" w:lineRule="auto"/>
        <w:rPr>
          <w:sz w:val="20"/>
          <w:szCs w:val="20"/>
          <w:color w:val="auto"/>
        </w:rPr>
      </w:pPr>
      <w:r>
        <w:rPr>
          <w:rFonts w:ascii="Arial" w:cs="Arial" w:eastAsia="Arial" w:hAnsi="Arial"/>
          <w:sz w:val="16"/>
          <w:szCs w:val="16"/>
          <w:color w:val="auto"/>
        </w:rPr>
        <w:t>Set forth below are select changes to executive compensation practices and other compensation-related actions taken by the board and/or the relevant board committees in recent years that were informed by shareholder feedback. For a more comprehensive discussion of our engagement program and responsive actions implemented by Regeneron, see “Corporate Governance—Longstanding Commitment to Shareholder Engagement.”</w:t>
      </w:r>
    </w:p>
    <w:p>
      <w:pPr>
        <w:sectPr>
          <w:pgSz w:w="11900" w:h="16838" w:orient="portrait"/>
          <w:cols w:equalWidth="0" w:num="1">
            <w:col w:w="9019"/>
          </w:cols>
          <w:pgMar w:left="1440" w:top="657" w:right="1440" w:bottom="1440" w:gutter="0" w:footer="0" w:header="0"/>
        </w:sectPr>
      </w:pPr>
    </w:p>
    <w:p>
      <w:pPr>
        <w:spacing w:after="0" w:line="3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3B5AA4"/>
        </w:rPr>
        <w:t>Say-on-Pay</w:t>
      </w:r>
    </w:p>
    <w:p>
      <w:pPr>
        <w:spacing w:after="0" w:line="81" w:lineRule="exact"/>
        <w:rPr>
          <w:sz w:val="20"/>
          <w:szCs w:val="20"/>
          <w:color w:val="auto"/>
        </w:rPr>
      </w:pPr>
    </w:p>
    <w:p>
      <w:pPr>
        <w:ind w:left="540" w:right="740" w:hanging="187"/>
        <w:spacing w:after="0" w:line="321" w:lineRule="auto"/>
        <w:tabs>
          <w:tab w:leader="none" w:pos="540" w:val="left"/>
        </w:tabs>
        <w:numPr>
          <w:ilvl w:val="0"/>
          <w:numId w:val="138"/>
        </w:numPr>
        <w:rPr>
          <w:rFonts w:ascii="Arial" w:cs="Arial" w:eastAsia="Arial" w:hAnsi="Arial"/>
          <w:sz w:val="16"/>
          <w:szCs w:val="16"/>
          <w:color w:val="065BAA"/>
        </w:rPr>
      </w:pPr>
      <w:r>
        <w:rPr>
          <w:rFonts w:ascii="Arial" w:cs="Arial" w:eastAsia="Arial" w:hAnsi="Arial"/>
          <w:sz w:val="16"/>
          <w:szCs w:val="16"/>
          <w:color w:val="auto"/>
        </w:rPr>
        <w:t>Voluntarily adopted an annual say-on-pay vote (2022)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3B5AA4"/>
        </w:rPr>
        <w:t>Pay-for-Performance Alignment</w:t>
      </w:r>
    </w:p>
    <w:p>
      <w:pPr>
        <w:spacing w:after="0" w:line="81" w:lineRule="exact"/>
        <w:rPr>
          <w:sz w:val="20"/>
          <w:szCs w:val="20"/>
          <w:color w:val="auto"/>
        </w:rPr>
      </w:pPr>
    </w:p>
    <w:p>
      <w:pPr>
        <w:ind w:left="540" w:hanging="187"/>
        <w:spacing w:after="0" w:line="321" w:lineRule="auto"/>
        <w:tabs>
          <w:tab w:leader="none" w:pos="540" w:val="left"/>
        </w:tabs>
        <w:numPr>
          <w:ilvl w:val="0"/>
          <w:numId w:val="139"/>
        </w:numPr>
        <w:rPr>
          <w:rFonts w:ascii="Arial" w:cs="Arial" w:eastAsia="Arial" w:hAnsi="Arial"/>
          <w:sz w:val="16"/>
          <w:szCs w:val="16"/>
          <w:color w:val="065BAA"/>
        </w:rPr>
      </w:pPr>
      <w:r>
        <w:rPr>
          <w:rFonts w:ascii="Arial" w:cs="Arial" w:eastAsia="Arial" w:hAnsi="Arial"/>
          <w:sz w:val="16"/>
          <w:szCs w:val="16"/>
          <w:color w:val="auto"/>
        </w:rPr>
        <w:t>Introduced PSUs as a component of CEO and CSO equity awards (2019)</w:t>
      </w:r>
    </w:p>
    <w:p>
      <w:pPr>
        <w:spacing w:after="0" w:line="7" w:lineRule="exact"/>
        <w:rPr>
          <w:rFonts w:ascii="Arial" w:cs="Arial" w:eastAsia="Arial" w:hAnsi="Arial"/>
          <w:sz w:val="16"/>
          <w:szCs w:val="16"/>
          <w:color w:val="065BAA"/>
        </w:rPr>
      </w:pPr>
    </w:p>
    <w:p>
      <w:pPr>
        <w:ind w:left="540" w:right="160" w:hanging="187"/>
        <w:spacing w:after="0" w:line="321" w:lineRule="auto"/>
        <w:tabs>
          <w:tab w:leader="none" w:pos="540" w:val="left"/>
        </w:tabs>
        <w:numPr>
          <w:ilvl w:val="0"/>
          <w:numId w:val="139"/>
        </w:numPr>
        <w:rPr>
          <w:rFonts w:ascii="Arial" w:cs="Arial" w:eastAsia="Arial" w:hAnsi="Arial"/>
          <w:sz w:val="16"/>
          <w:szCs w:val="16"/>
          <w:color w:val="065BAA"/>
        </w:rPr>
      </w:pPr>
      <w:r>
        <w:rPr>
          <w:rFonts w:ascii="Arial" w:cs="Arial" w:eastAsia="Arial" w:hAnsi="Arial"/>
          <w:sz w:val="16"/>
          <w:szCs w:val="16"/>
          <w:color w:val="auto"/>
        </w:rPr>
        <w:t>Granted 100% of CEO and CSO equity awards in the form of PSUs (2020)</w:t>
      </w:r>
    </w:p>
    <w:p>
      <w:pPr>
        <w:spacing w:after="0" w:line="200" w:lineRule="exact"/>
        <w:rPr>
          <w:sz w:val="20"/>
          <w:szCs w:val="20"/>
          <w:color w:val="auto"/>
        </w:rPr>
      </w:pPr>
    </w:p>
    <w:p>
      <w:pPr>
        <w:spacing w:after="0" w:line="37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3B5AA4"/>
        </w:rPr>
        <w:t>Annual Cash Incentives</w:t>
      </w:r>
    </w:p>
    <w:p>
      <w:pPr>
        <w:spacing w:after="0" w:line="81" w:lineRule="exact"/>
        <w:rPr>
          <w:sz w:val="20"/>
          <w:szCs w:val="20"/>
          <w:color w:val="auto"/>
        </w:rPr>
      </w:pPr>
    </w:p>
    <w:p>
      <w:pPr>
        <w:ind w:left="660" w:right="40" w:hanging="204"/>
        <w:spacing w:after="0" w:line="289" w:lineRule="auto"/>
        <w:tabs>
          <w:tab w:leader="none" w:pos="660" w:val="left"/>
        </w:tabs>
        <w:numPr>
          <w:ilvl w:val="0"/>
          <w:numId w:val="140"/>
        </w:numPr>
        <w:rPr>
          <w:rFonts w:ascii="Arial" w:cs="Arial" w:eastAsia="Arial" w:hAnsi="Arial"/>
          <w:sz w:val="14"/>
          <w:szCs w:val="14"/>
          <w:color w:val="065BAA"/>
        </w:rPr>
      </w:pPr>
      <w:r>
        <w:rPr>
          <w:rFonts w:ascii="Arial" w:cs="Arial" w:eastAsia="Arial" w:hAnsi="Arial"/>
          <w:sz w:val="16"/>
          <w:szCs w:val="16"/>
          <w:color w:val="auto"/>
        </w:rPr>
        <w:t>Enhanced and standardized the process by which the Compensation Committee determines the Company performance multiplier for annual cash incentives (2023)</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3B5AA4"/>
        </w:rPr>
        <w:t>Enhanced Disclosure</w:t>
      </w:r>
    </w:p>
    <w:p>
      <w:pPr>
        <w:spacing w:after="0" w:line="81" w:lineRule="exact"/>
        <w:rPr>
          <w:sz w:val="20"/>
          <w:szCs w:val="20"/>
          <w:color w:val="auto"/>
        </w:rPr>
      </w:pPr>
    </w:p>
    <w:p>
      <w:pPr>
        <w:ind w:left="200" w:right="499" w:hanging="193"/>
        <w:spacing w:after="0" w:line="292" w:lineRule="auto"/>
        <w:tabs>
          <w:tab w:leader="none" w:pos="200" w:val="left"/>
        </w:tabs>
        <w:numPr>
          <w:ilvl w:val="0"/>
          <w:numId w:val="141"/>
        </w:numPr>
        <w:rPr>
          <w:rFonts w:ascii="Arial" w:cs="Arial" w:eastAsia="Arial" w:hAnsi="Arial"/>
          <w:sz w:val="16"/>
          <w:szCs w:val="16"/>
          <w:color w:val="065BAA"/>
        </w:rPr>
      </w:pPr>
      <w:r>
        <w:rPr>
          <w:rFonts w:ascii="Arial" w:cs="Arial" w:eastAsia="Arial" w:hAnsi="Arial"/>
          <w:sz w:val="16"/>
          <w:szCs w:val="16"/>
          <w:color w:val="auto"/>
        </w:rPr>
        <w:t>Enhanced proxy statement disclosure surrounding annual cash incentive and annual equity award determinations and 2020 PSUs (2022-2025)</w:t>
      </w:r>
    </w:p>
    <w:p>
      <w:pPr>
        <w:spacing w:after="0" w:line="43" w:lineRule="exact"/>
        <w:rPr>
          <w:rFonts w:ascii="Arial" w:cs="Arial" w:eastAsia="Arial" w:hAnsi="Arial"/>
          <w:sz w:val="16"/>
          <w:szCs w:val="16"/>
          <w:color w:val="065BAA"/>
        </w:rPr>
      </w:pPr>
    </w:p>
    <w:p>
      <w:pPr>
        <w:ind w:left="200" w:hanging="193"/>
        <w:spacing w:after="0"/>
        <w:tabs>
          <w:tab w:leader="none" w:pos="200" w:val="left"/>
        </w:tabs>
        <w:numPr>
          <w:ilvl w:val="0"/>
          <w:numId w:val="141"/>
        </w:numPr>
        <w:rPr>
          <w:rFonts w:ascii="Arial" w:cs="Arial" w:eastAsia="Arial" w:hAnsi="Arial"/>
          <w:sz w:val="16"/>
          <w:szCs w:val="16"/>
          <w:color w:val="065BAA"/>
        </w:rPr>
      </w:pPr>
      <w:r>
        <w:rPr>
          <w:rFonts w:ascii="Arial" w:cs="Arial" w:eastAsia="Arial" w:hAnsi="Arial"/>
          <w:sz w:val="16"/>
          <w:szCs w:val="16"/>
          <w:color w:val="auto"/>
        </w:rPr>
        <w:t>Shortened and streamlined CD&amp;A (2024-2026)</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3B5AA4"/>
        </w:rPr>
        <w:t>Dilution/Burn Rate Concerns</w:t>
      </w:r>
    </w:p>
    <w:p>
      <w:pPr>
        <w:spacing w:after="0" w:line="81" w:lineRule="exact"/>
        <w:rPr>
          <w:sz w:val="20"/>
          <w:szCs w:val="20"/>
          <w:color w:val="auto"/>
        </w:rPr>
      </w:pPr>
    </w:p>
    <w:p>
      <w:pPr>
        <w:ind w:left="200" w:right="619" w:hanging="193"/>
        <w:spacing w:after="0" w:line="292" w:lineRule="auto"/>
        <w:tabs>
          <w:tab w:leader="none" w:pos="200" w:val="left"/>
        </w:tabs>
        <w:numPr>
          <w:ilvl w:val="0"/>
          <w:numId w:val="142"/>
        </w:numPr>
        <w:rPr>
          <w:rFonts w:ascii="Arial" w:cs="Arial" w:eastAsia="Arial" w:hAnsi="Arial"/>
          <w:sz w:val="16"/>
          <w:szCs w:val="16"/>
          <w:color w:val="065BAA"/>
        </w:rPr>
      </w:pPr>
      <w:r>
        <w:rPr>
          <w:rFonts w:ascii="Arial" w:cs="Arial" w:eastAsia="Arial" w:hAnsi="Arial"/>
          <w:sz w:val="16"/>
          <w:szCs w:val="16"/>
          <w:color w:val="auto"/>
        </w:rPr>
        <w:t>Introduced and maintained the use of full-value awards as a component of annual equity awards (2019-2025)</w:t>
      </w:r>
    </w:p>
    <w:p>
      <w:pPr>
        <w:spacing w:after="0" w:line="43" w:lineRule="exact"/>
        <w:rPr>
          <w:rFonts w:ascii="Arial" w:cs="Arial" w:eastAsia="Arial" w:hAnsi="Arial"/>
          <w:sz w:val="16"/>
          <w:szCs w:val="16"/>
          <w:color w:val="065BAA"/>
        </w:rPr>
      </w:pPr>
    </w:p>
    <w:p>
      <w:pPr>
        <w:ind w:left="200" w:right="479" w:hanging="193"/>
        <w:spacing w:after="0" w:line="301" w:lineRule="auto"/>
        <w:tabs>
          <w:tab w:leader="none" w:pos="200" w:val="left"/>
        </w:tabs>
        <w:numPr>
          <w:ilvl w:val="0"/>
          <w:numId w:val="142"/>
        </w:numPr>
        <w:rPr>
          <w:rFonts w:ascii="Arial" w:cs="Arial" w:eastAsia="Arial" w:hAnsi="Arial"/>
          <w:sz w:val="16"/>
          <w:szCs w:val="16"/>
          <w:color w:val="065BAA"/>
        </w:rPr>
      </w:pPr>
      <w:r>
        <w:rPr>
          <w:rFonts w:ascii="Arial" w:cs="Arial" w:eastAsia="Arial" w:hAnsi="Arial"/>
          <w:sz w:val="16"/>
          <w:szCs w:val="16"/>
          <w:color w:val="auto"/>
        </w:rPr>
        <w:t>Recalibrated equity award size and/or mix (stock options and/or RSAs/RSUs) for NEOs below the CEO/CSO level and other employees (2019-2025)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3B5AA4"/>
        </w:rPr>
        <w:t>Perquisites Policy</w:t>
      </w:r>
    </w:p>
    <w:p>
      <w:pPr>
        <w:spacing w:after="0" w:line="81" w:lineRule="exact"/>
        <w:rPr>
          <w:sz w:val="20"/>
          <w:szCs w:val="20"/>
          <w:color w:val="auto"/>
        </w:rPr>
      </w:pPr>
    </w:p>
    <w:p>
      <w:pPr>
        <w:ind w:left="200" w:right="539" w:hanging="193"/>
        <w:spacing w:after="0" w:line="292" w:lineRule="auto"/>
        <w:tabs>
          <w:tab w:leader="none" w:pos="200" w:val="left"/>
        </w:tabs>
        <w:numPr>
          <w:ilvl w:val="0"/>
          <w:numId w:val="143"/>
        </w:numPr>
        <w:rPr>
          <w:rFonts w:ascii="Arial" w:cs="Arial" w:eastAsia="Arial" w:hAnsi="Arial"/>
          <w:sz w:val="16"/>
          <w:szCs w:val="16"/>
          <w:color w:val="065BAA"/>
        </w:rPr>
      </w:pPr>
      <w:r>
        <w:rPr>
          <w:rFonts w:ascii="Arial" w:cs="Arial" w:eastAsia="Arial" w:hAnsi="Arial"/>
          <w:sz w:val="16"/>
          <w:szCs w:val="16"/>
          <w:color w:val="auto"/>
        </w:rPr>
        <w:t>Adopted a Compensation Committee-approved policy covering perquisites of our NEOs and other senior officers (2024)</w:t>
      </w:r>
    </w:p>
    <w:p>
      <w:pPr>
        <w:spacing w:after="0" w:line="414" w:lineRule="exact"/>
        <w:rPr>
          <w:sz w:val="20"/>
          <w:szCs w:val="20"/>
          <w:color w:val="auto"/>
        </w:rPr>
      </w:pPr>
    </w:p>
    <w:p>
      <w:pPr>
        <w:sectPr>
          <w:pgSz w:w="11900" w:h="16838" w:orient="portrait"/>
          <w:cols w:equalWidth="0" w:num="2">
            <w:col w:w="4260" w:space="460"/>
            <w:col w:w="429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75</w:t>
            </w:r>
          </w:p>
        </w:tc>
      </w:tr>
    </w:tbl>
    <w:p>
      <w:pPr>
        <w:sectPr>
          <w:pgSz w:w="11900" w:h="16838" w:orient="portrait"/>
          <w:cols w:equalWidth="0" w:num="1">
            <w:col w:w="9019"/>
          </w:cols>
          <w:pgMar w:left="1440" w:top="657" w:right="1440" w:bottom="1440" w:gutter="0" w:footer="0" w:header="0"/>
          <w:type w:val="continuous"/>
        </w:sectPr>
      </w:pPr>
    </w:p>
    <w:bookmarkStart w:id="84" w:name="page85"/>
    <w:bookmarkEnd w:id="84"/>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Independent Compensation Consultant</w:t>
      </w:r>
    </w:p>
    <w:p>
      <w:pPr>
        <w:spacing w:after="0" w:line="180" w:lineRule="exact"/>
        <w:rPr>
          <w:sz w:val="20"/>
          <w:szCs w:val="20"/>
          <w:color w:val="auto"/>
        </w:rPr>
      </w:pPr>
    </w:p>
    <w:p>
      <w:pPr>
        <w:ind w:left="140" w:right="239"/>
        <w:spacing w:after="0" w:line="285" w:lineRule="auto"/>
        <w:rPr>
          <w:sz w:val="20"/>
          <w:szCs w:val="20"/>
          <w:color w:val="auto"/>
        </w:rPr>
      </w:pPr>
      <w:r>
        <w:rPr>
          <w:rFonts w:ascii="Arial" w:cs="Arial" w:eastAsia="Arial" w:hAnsi="Arial"/>
          <w:sz w:val="16"/>
          <w:szCs w:val="16"/>
          <w:color w:val="auto"/>
        </w:rPr>
        <w:t>The Compensation Committee has the sole authority to retain, at the Company’s expense, one or more third-party compensation consultants to assist the Compensation Committee in performing its responsibilities and to terminate the services of the consultant if the Compensation Committee deems it appropriate. The Compensation Committee has utilized the services of Pay Governance LLC since 2021. In addition, as discussed above under “Board of Directors— Compensation of Directors,” the Corporate Governance and Compliance Committee has engaged Pay Governance LLC with respect to non-employee director compensation matters. In order to maintain its independence, the Compensation Committee retained Pay Governance LLC directly, and Pay Governance LLC performed services for the Compensation Committee exclusively at the Compensation Committee’s direction. In accordance with applicable listing standards of the Nasdaq Stock Market LLC and SEC rules, the Compensation Committee periodically evaluates the independence of Pay Governance LLC; and, on the basis of this evaluation conducted for 2025, concluded that the engagement of Pay Governance LLC did not raise any conflicts of interest.</w:t>
      </w:r>
    </w:p>
    <w:p>
      <w:pPr>
        <w:spacing w:after="0" w:line="108" w:lineRule="exact"/>
        <w:rPr>
          <w:sz w:val="20"/>
          <w:szCs w:val="20"/>
          <w:color w:val="auto"/>
        </w:rPr>
      </w:pPr>
    </w:p>
    <w:p>
      <w:pPr>
        <w:ind w:left="140" w:right="139"/>
        <w:spacing w:after="0" w:line="287" w:lineRule="auto"/>
        <w:rPr>
          <w:sz w:val="20"/>
          <w:szCs w:val="20"/>
          <w:color w:val="auto"/>
        </w:rPr>
      </w:pPr>
      <w:r>
        <w:rPr>
          <w:rFonts w:ascii="Arial" w:cs="Arial" w:eastAsia="Arial" w:hAnsi="Arial"/>
          <w:sz w:val="16"/>
          <w:szCs w:val="16"/>
          <w:color w:val="auto"/>
        </w:rPr>
        <w:t>The Compensation Committee’s consultant reviews management recommendations for compensation plans, budgets, and strategies, and also advises the Compensation Committee on how regulations and trends in executive compensation nationally and specifically in the pharmaceutical and biopharmaceutical industries may be relevant to the Company. It also assists with developing the Peer Group; provides comparative compensation information for our CEO and CSO and other senior executives (using the Peer Group and other compensation data as described below); reviews senior management’s compensation recommendations for other officers, including the other NEOs; and provides general advice to the Compensation Committee on compensation matters, including facilitating the articulation and periodic review of the Company’s compensation philosophy and replenishment of our long-term equity incentive plan.</w:t>
      </w:r>
    </w:p>
    <w:p>
      <w:pPr>
        <w:spacing w:after="0" w:line="230"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Peer and Other Market Data</w:t>
      </w:r>
    </w:p>
    <w:p>
      <w:pPr>
        <w:spacing w:after="0" w:line="180" w:lineRule="exact"/>
        <w:rPr>
          <w:sz w:val="20"/>
          <w:szCs w:val="20"/>
          <w:color w:val="auto"/>
        </w:rPr>
      </w:pPr>
    </w:p>
    <w:p>
      <w:pPr>
        <w:ind w:left="140" w:right="159"/>
        <w:spacing w:after="0" w:line="295" w:lineRule="auto"/>
        <w:rPr>
          <w:sz w:val="20"/>
          <w:szCs w:val="20"/>
          <w:color w:val="auto"/>
        </w:rPr>
      </w:pPr>
      <w:r>
        <w:rPr>
          <w:rFonts w:ascii="Arial" w:cs="Arial" w:eastAsia="Arial" w:hAnsi="Arial"/>
          <w:sz w:val="16"/>
          <w:szCs w:val="16"/>
          <w:color w:val="auto"/>
        </w:rPr>
        <w:t>For purposes of setting our NEOs’ and other senior executives’ compensation, we use comparative compensation information from a relevant peer group of companies (referred to in this proxy statement as the “Peer Group”). In 2025, we selected the companies in the Peer Group with the assistance of Pay Governance LLC based on factors including, but not limited to, the following:</w:t>
      </w:r>
    </w:p>
    <w:p>
      <w:pPr>
        <w:spacing w:after="0" w:line="108" w:lineRule="exact"/>
        <w:rPr>
          <w:sz w:val="20"/>
          <w:szCs w:val="20"/>
          <w:color w:val="auto"/>
        </w:rPr>
      </w:pPr>
    </w:p>
    <w:p>
      <w:pPr>
        <w:ind w:left="320" w:hanging="190"/>
        <w:spacing w:after="0"/>
        <w:tabs>
          <w:tab w:leader="none" w:pos="320" w:val="left"/>
        </w:tabs>
        <w:numPr>
          <w:ilvl w:val="0"/>
          <w:numId w:val="144"/>
        </w:numPr>
        <w:rPr>
          <w:rFonts w:ascii="Arial" w:cs="Arial" w:eastAsia="Arial" w:hAnsi="Arial"/>
          <w:sz w:val="16"/>
          <w:szCs w:val="16"/>
          <w:color w:val="065BAA"/>
        </w:rPr>
      </w:pPr>
      <w:r>
        <w:rPr>
          <w:rFonts w:ascii="Arial" w:cs="Arial" w:eastAsia="Arial" w:hAnsi="Arial"/>
          <w:sz w:val="16"/>
          <w:szCs w:val="16"/>
          <w:color w:val="auto"/>
        </w:rPr>
        <w:t>research and development orientation;</w:t>
      </w:r>
    </w:p>
    <w:p>
      <w:pPr>
        <w:spacing w:after="0" w:line="99" w:lineRule="exact"/>
        <w:rPr>
          <w:rFonts w:ascii="Arial" w:cs="Arial" w:eastAsia="Arial" w:hAnsi="Arial"/>
          <w:sz w:val="16"/>
          <w:szCs w:val="16"/>
          <w:color w:val="065BAA"/>
        </w:rPr>
      </w:pPr>
    </w:p>
    <w:p>
      <w:pPr>
        <w:ind w:left="320" w:hanging="190"/>
        <w:spacing w:after="0"/>
        <w:tabs>
          <w:tab w:leader="none" w:pos="320" w:val="left"/>
        </w:tabs>
        <w:numPr>
          <w:ilvl w:val="0"/>
          <w:numId w:val="144"/>
        </w:numPr>
        <w:rPr>
          <w:rFonts w:ascii="Arial" w:cs="Arial" w:eastAsia="Arial" w:hAnsi="Arial"/>
          <w:sz w:val="16"/>
          <w:szCs w:val="16"/>
          <w:color w:val="065BAA"/>
        </w:rPr>
      </w:pPr>
      <w:r>
        <w:rPr>
          <w:rFonts w:ascii="Arial" w:cs="Arial" w:eastAsia="Arial" w:hAnsi="Arial"/>
          <w:sz w:val="16"/>
          <w:szCs w:val="16"/>
          <w:color w:val="auto"/>
        </w:rPr>
        <w:t>market capitalization;</w:t>
      </w:r>
    </w:p>
    <w:p>
      <w:pPr>
        <w:spacing w:after="0" w:line="99" w:lineRule="exact"/>
        <w:rPr>
          <w:rFonts w:ascii="Arial" w:cs="Arial" w:eastAsia="Arial" w:hAnsi="Arial"/>
          <w:sz w:val="16"/>
          <w:szCs w:val="16"/>
          <w:color w:val="065BAA"/>
        </w:rPr>
      </w:pPr>
    </w:p>
    <w:p>
      <w:pPr>
        <w:ind w:left="320" w:hanging="190"/>
        <w:spacing w:after="0"/>
        <w:tabs>
          <w:tab w:leader="none" w:pos="320" w:val="left"/>
        </w:tabs>
        <w:numPr>
          <w:ilvl w:val="0"/>
          <w:numId w:val="144"/>
        </w:numPr>
        <w:rPr>
          <w:rFonts w:ascii="Arial" w:cs="Arial" w:eastAsia="Arial" w:hAnsi="Arial"/>
          <w:sz w:val="16"/>
          <w:szCs w:val="16"/>
          <w:color w:val="065BAA"/>
        </w:rPr>
      </w:pPr>
      <w:r>
        <w:rPr>
          <w:rFonts w:ascii="Arial" w:cs="Arial" w:eastAsia="Arial" w:hAnsi="Arial"/>
          <w:sz w:val="16"/>
          <w:szCs w:val="16"/>
          <w:color w:val="auto"/>
        </w:rPr>
        <w:t>number of employees;</w:t>
      </w:r>
    </w:p>
    <w:p>
      <w:pPr>
        <w:spacing w:after="0" w:line="113" w:lineRule="exact"/>
        <w:rPr>
          <w:rFonts w:ascii="Arial" w:cs="Arial" w:eastAsia="Arial" w:hAnsi="Arial"/>
          <w:sz w:val="16"/>
          <w:szCs w:val="16"/>
          <w:color w:val="065BAA"/>
        </w:rPr>
      </w:pPr>
    </w:p>
    <w:p>
      <w:pPr>
        <w:ind w:left="320" w:hanging="190"/>
        <w:spacing w:after="0"/>
        <w:tabs>
          <w:tab w:leader="none" w:pos="320" w:val="left"/>
        </w:tabs>
        <w:numPr>
          <w:ilvl w:val="0"/>
          <w:numId w:val="144"/>
        </w:numPr>
        <w:rPr>
          <w:rFonts w:ascii="Arial" w:cs="Arial" w:eastAsia="Arial" w:hAnsi="Arial"/>
          <w:sz w:val="16"/>
          <w:szCs w:val="16"/>
          <w:color w:val="065BAA"/>
        </w:rPr>
      </w:pPr>
      <w:r>
        <w:rPr>
          <w:rFonts w:ascii="Arial" w:cs="Arial" w:eastAsia="Arial" w:hAnsi="Arial"/>
          <w:sz w:val="16"/>
          <w:szCs w:val="16"/>
          <w:color w:val="auto"/>
        </w:rPr>
        <w:t>stage of development; and</w:t>
      </w:r>
    </w:p>
    <w:p>
      <w:pPr>
        <w:spacing w:after="0" w:line="99" w:lineRule="exact"/>
        <w:rPr>
          <w:rFonts w:ascii="Arial" w:cs="Arial" w:eastAsia="Arial" w:hAnsi="Arial"/>
          <w:sz w:val="16"/>
          <w:szCs w:val="16"/>
          <w:color w:val="065BAA"/>
        </w:rPr>
      </w:pPr>
    </w:p>
    <w:p>
      <w:pPr>
        <w:ind w:left="320" w:hanging="190"/>
        <w:spacing w:after="0"/>
        <w:tabs>
          <w:tab w:leader="none" w:pos="320" w:val="left"/>
        </w:tabs>
        <w:numPr>
          <w:ilvl w:val="0"/>
          <w:numId w:val="144"/>
        </w:numPr>
        <w:rPr>
          <w:rFonts w:ascii="Arial" w:cs="Arial" w:eastAsia="Arial" w:hAnsi="Arial"/>
          <w:sz w:val="16"/>
          <w:szCs w:val="16"/>
          <w:color w:val="065BAA"/>
        </w:rPr>
      </w:pPr>
      <w:r>
        <w:rPr>
          <w:rFonts w:ascii="Arial" w:cs="Arial" w:eastAsia="Arial" w:hAnsi="Arial"/>
          <w:sz w:val="16"/>
          <w:szCs w:val="16"/>
          <w:color w:val="auto"/>
        </w:rPr>
        <w:t>total revenues.</w:t>
      </w:r>
    </w:p>
    <w:p>
      <w:pPr>
        <w:spacing w:after="0" w:line="181" w:lineRule="exact"/>
        <w:rPr>
          <w:sz w:val="20"/>
          <w:szCs w:val="20"/>
          <w:color w:val="auto"/>
        </w:rPr>
      </w:pPr>
    </w:p>
    <w:p>
      <w:pPr>
        <w:ind w:left="140" w:right="479"/>
        <w:spacing w:after="0" w:line="295" w:lineRule="auto"/>
        <w:rPr>
          <w:sz w:val="20"/>
          <w:szCs w:val="20"/>
          <w:color w:val="auto"/>
        </w:rPr>
      </w:pPr>
      <w:r>
        <w:rPr>
          <w:rFonts w:ascii="Arial" w:cs="Arial" w:eastAsia="Arial" w:hAnsi="Arial"/>
          <w:sz w:val="16"/>
          <w:szCs w:val="16"/>
          <w:color w:val="auto"/>
        </w:rPr>
        <w:t>The Peer Group is also meant to provide a representative sample of companies with which we compete for talent. We periodically reassess the composition of the Peer Group and make changes as appropriate based on factors such as changes in the Company’s market capitalization and merger-and-acquisition activity impacting the existing Peer Group companies.</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Peer Group utilized in 2025 consists of the following 11 companies: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520" w:type="dxa"/>
            <w:vAlign w:val="bottom"/>
          </w:tcPr>
          <w:p>
            <w:pPr>
              <w:ind w:left="80"/>
              <w:spacing w:after="0"/>
              <w:rPr>
                <w:sz w:val="20"/>
                <w:szCs w:val="20"/>
                <w:color w:val="auto"/>
              </w:rPr>
            </w:pPr>
            <w:r>
              <w:rPr>
                <w:rFonts w:ascii="Arial" w:cs="Arial" w:eastAsia="Arial" w:hAnsi="Arial"/>
                <w:sz w:val="14"/>
                <w:szCs w:val="14"/>
                <w:color w:val="auto"/>
              </w:rPr>
              <w:t>AbbVie Inc.</w:t>
            </w:r>
          </w:p>
        </w:tc>
        <w:tc>
          <w:tcPr>
            <w:tcW w:w="2980" w:type="dxa"/>
            <w:vAlign w:val="bottom"/>
          </w:tcPr>
          <w:p>
            <w:pPr>
              <w:ind w:left="500"/>
              <w:spacing w:after="0"/>
              <w:rPr>
                <w:sz w:val="20"/>
                <w:szCs w:val="20"/>
                <w:color w:val="auto"/>
              </w:rPr>
            </w:pPr>
            <w:r>
              <w:rPr>
                <w:rFonts w:ascii="Arial" w:cs="Arial" w:eastAsia="Arial" w:hAnsi="Arial"/>
                <w:sz w:val="14"/>
                <w:szCs w:val="14"/>
                <w:color w:val="auto"/>
              </w:rPr>
              <w:t>BioMarin Pharmaceutical Inc.</w:t>
            </w:r>
          </w:p>
        </w:tc>
        <w:tc>
          <w:tcPr>
            <w:tcW w:w="3220" w:type="dxa"/>
            <w:vAlign w:val="bottom"/>
          </w:tcPr>
          <w:p>
            <w:pPr>
              <w:ind w:left="480"/>
              <w:spacing w:after="0"/>
              <w:rPr>
                <w:sz w:val="20"/>
                <w:szCs w:val="20"/>
                <w:color w:val="auto"/>
              </w:rPr>
            </w:pPr>
            <w:r>
              <w:rPr>
                <w:rFonts w:ascii="Arial" w:cs="Arial" w:eastAsia="Arial" w:hAnsi="Arial"/>
                <w:sz w:val="14"/>
                <w:szCs w:val="14"/>
                <w:color w:val="auto"/>
              </w:rPr>
              <w:t>Incyte Corporation</w:t>
            </w:r>
          </w:p>
        </w:tc>
      </w:tr>
      <w:tr>
        <w:trPr>
          <w:trHeight w:val="210"/>
        </w:trPr>
        <w:tc>
          <w:tcPr>
            <w:tcW w:w="2520" w:type="dxa"/>
            <w:vAlign w:val="bottom"/>
            <w:tcBorders>
              <w:bottom w:val="single" w:sz="8" w:color="DAEBF8"/>
            </w:tcBorders>
            <w:shd w:val="clear" w:color="auto" w:fill="DAEBF8"/>
          </w:tcPr>
          <w:p>
            <w:pPr>
              <w:ind w:left="80"/>
              <w:spacing w:after="0"/>
              <w:rPr>
                <w:sz w:val="20"/>
                <w:szCs w:val="20"/>
                <w:color w:val="auto"/>
              </w:rPr>
            </w:pPr>
            <w:r>
              <w:rPr>
                <w:rFonts w:ascii="Arial" w:cs="Arial" w:eastAsia="Arial" w:hAnsi="Arial"/>
                <w:sz w:val="14"/>
                <w:szCs w:val="14"/>
                <w:color w:val="auto"/>
              </w:rPr>
              <w:t>Alnylam Pharmaceuticals, Inc.</w:t>
            </w:r>
          </w:p>
        </w:tc>
        <w:tc>
          <w:tcPr>
            <w:tcW w:w="2980" w:type="dxa"/>
            <w:vAlign w:val="bottom"/>
            <w:tcBorders>
              <w:bottom w:val="single" w:sz="8" w:color="DAEBF8"/>
            </w:tcBorders>
            <w:shd w:val="clear" w:color="auto" w:fill="DAEBF8"/>
          </w:tcPr>
          <w:p>
            <w:pPr>
              <w:ind w:left="500"/>
              <w:spacing w:after="0"/>
              <w:rPr>
                <w:sz w:val="20"/>
                <w:szCs w:val="20"/>
                <w:color w:val="auto"/>
              </w:rPr>
            </w:pPr>
            <w:r>
              <w:rPr>
                <w:rFonts w:ascii="Arial" w:cs="Arial" w:eastAsia="Arial" w:hAnsi="Arial"/>
                <w:sz w:val="14"/>
                <w:szCs w:val="14"/>
                <w:color w:val="auto"/>
              </w:rPr>
              <w:t>Bristol-Myers Squibb Company</w:t>
            </w:r>
          </w:p>
        </w:tc>
        <w:tc>
          <w:tcPr>
            <w:tcW w:w="3220" w:type="dxa"/>
            <w:vAlign w:val="bottom"/>
            <w:tcBorders>
              <w:bottom w:val="single" w:sz="8" w:color="DAEBF8"/>
            </w:tcBorders>
            <w:shd w:val="clear" w:color="auto" w:fill="DAEBF8"/>
          </w:tcPr>
          <w:p>
            <w:pPr>
              <w:ind w:left="480"/>
              <w:spacing w:after="0"/>
              <w:rPr>
                <w:sz w:val="20"/>
                <w:szCs w:val="20"/>
                <w:color w:val="auto"/>
              </w:rPr>
            </w:pPr>
            <w:r>
              <w:rPr>
                <w:rFonts w:ascii="Arial" w:cs="Arial" w:eastAsia="Arial" w:hAnsi="Arial"/>
                <w:sz w:val="14"/>
                <w:szCs w:val="14"/>
                <w:color w:val="auto"/>
              </w:rPr>
              <w:t>Merck &amp; Co., Inc.</w:t>
            </w:r>
          </w:p>
        </w:tc>
      </w:tr>
      <w:tr>
        <w:trPr>
          <w:trHeight w:val="208"/>
        </w:trPr>
        <w:tc>
          <w:tcPr>
            <w:tcW w:w="2520" w:type="dxa"/>
            <w:vAlign w:val="bottom"/>
          </w:tcPr>
          <w:p>
            <w:pPr>
              <w:ind w:left="80"/>
              <w:spacing w:after="0"/>
              <w:rPr>
                <w:sz w:val="20"/>
                <w:szCs w:val="20"/>
                <w:color w:val="auto"/>
              </w:rPr>
            </w:pPr>
            <w:r>
              <w:rPr>
                <w:rFonts w:ascii="Arial" w:cs="Arial" w:eastAsia="Arial" w:hAnsi="Arial"/>
                <w:sz w:val="14"/>
                <w:szCs w:val="14"/>
                <w:color w:val="auto"/>
              </w:rPr>
              <w:t>Amgen Inc.</w:t>
            </w:r>
          </w:p>
        </w:tc>
        <w:tc>
          <w:tcPr>
            <w:tcW w:w="2980" w:type="dxa"/>
            <w:vAlign w:val="bottom"/>
          </w:tcPr>
          <w:p>
            <w:pPr>
              <w:ind w:left="500"/>
              <w:spacing w:after="0"/>
              <w:rPr>
                <w:sz w:val="20"/>
                <w:szCs w:val="20"/>
                <w:color w:val="auto"/>
              </w:rPr>
            </w:pPr>
            <w:r>
              <w:rPr>
                <w:rFonts w:ascii="Arial" w:cs="Arial" w:eastAsia="Arial" w:hAnsi="Arial"/>
                <w:sz w:val="14"/>
                <w:szCs w:val="14"/>
                <w:color w:val="auto"/>
              </w:rPr>
              <w:t>Eli Lilly and Company</w:t>
            </w:r>
          </w:p>
        </w:tc>
        <w:tc>
          <w:tcPr>
            <w:tcW w:w="3220" w:type="dxa"/>
            <w:vAlign w:val="bottom"/>
          </w:tcPr>
          <w:p>
            <w:pPr>
              <w:ind w:left="480"/>
              <w:spacing w:after="0"/>
              <w:rPr>
                <w:sz w:val="20"/>
                <w:szCs w:val="20"/>
                <w:color w:val="auto"/>
              </w:rPr>
            </w:pPr>
            <w:r>
              <w:rPr>
                <w:rFonts w:ascii="Arial" w:cs="Arial" w:eastAsia="Arial" w:hAnsi="Arial"/>
                <w:sz w:val="14"/>
                <w:szCs w:val="14"/>
                <w:color w:val="auto"/>
              </w:rPr>
              <w:t>Vertex Pharmaceuticals Incorporated</w:t>
            </w:r>
          </w:p>
        </w:tc>
      </w:tr>
      <w:tr>
        <w:trPr>
          <w:trHeight w:val="22"/>
        </w:trPr>
        <w:tc>
          <w:tcPr>
            <w:tcW w:w="25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9"/>
        </w:trPr>
        <w:tc>
          <w:tcPr>
            <w:tcW w:w="2520" w:type="dxa"/>
            <w:vAlign w:val="bottom"/>
            <w:tcBorders>
              <w:bottom w:val="single" w:sz="8" w:color="DAEBF8"/>
            </w:tcBorders>
            <w:shd w:val="clear" w:color="auto" w:fill="DAEBF8"/>
          </w:tcPr>
          <w:p>
            <w:pPr>
              <w:ind w:left="80"/>
              <w:spacing w:after="0"/>
              <w:rPr>
                <w:sz w:val="20"/>
                <w:szCs w:val="20"/>
                <w:color w:val="auto"/>
              </w:rPr>
            </w:pPr>
            <w:r>
              <w:rPr>
                <w:rFonts w:ascii="Arial" w:cs="Arial" w:eastAsia="Arial" w:hAnsi="Arial"/>
                <w:sz w:val="14"/>
                <w:szCs w:val="14"/>
                <w:color w:val="auto"/>
              </w:rPr>
              <w:t>Biogen Inc.</w:t>
            </w:r>
          </w:p>
        </w:tc>
        <w:tc>
          <w:tcPr>
            <w:tcW w:w="2980" w:type="dxa"/>
            <w:vAlign w:val="bottom"/>
            <w:tcBorders>
              <w:bottom w:val="single" w:sz="8" w:color="DAEBF8"/>
            </w:tcBorders>
            <w:shd w:val="clear" w:color="auto" w:fill="DAEBF8"/>
          </w:tcPr>
          <w:p>
            <w:pPr>
              <w:ind w:left="500"/>
              <w:spacing w:after="0"/>
              <w:rPr>
                <w:sz w:val="20"/>
                <w:szCs w:val="20"/>
                <w:color w:val="auto"/>
              </w:rPr>
            </w:pPr>
            <w:r>
              <w:rPr>
                <w:rFonts w:ascii="Arial" w:cs="Arial" w:eastAsia="Arial" w:hAnsi="Arial"/>
                <w:sz w:val="14"/>
                <w:szCs w:val="14"/>
                <w:color w:val="auto"/>
              </w:rPr>
              <w:t>Gilead Sciences, Inc.</w:t>
            </w:r>
          </w:p>
        </w:tc>
        <w:tc>
          <w:tcPr>
            <w:tcW w:w="3220" w:type="dxa"/>
            <w:vAlign w:val="bottom"/>
            <w:tcBorders>
              <w:bottom w:val="single" w:sz="8" w:color="DAEBF8"/>
            </w:tcBorders>
            <w:shd w:val="clear" w:color="auto" w:fill="DAEBF8"/>
          </w:tcPr>
          <w:p>
            <w:pPr>
              <w:spacing w:after="0"/>
              <w:rPr>
                <w:sz w:val="18"/>
                <w:szCs w:val="18"/>
                <w:color w:val="auto"/>
              </w:rPr>
            </w:pPr>
          </w:p>
        </w:tc>
      </w:tr>
      <w:tr>
        <w:trPr>
          <w:trHeight w:val="20"/>
        </w:trPr>
        <w:tc>
          <w:tcPr>
            <w:tcW w:w="2520" w:type="dxa"/>
            <w:vAlign w:val="bottom"/>
            <w:shd w:val="clear" w:color="auto" w:fill="3B5AA4"/>
          </w:tcPr>
          <w:p>
            <w:pPr>
              <w:spacing w:after="0" w:line="20" w:lineRule="exact"/>
              <w:rPr>
                <w:sz w:val="1"/>
                <w:szCs w:val="1"/>
                <w:color w:val="auto"/>
              </w:rPr>
            </w:pPr>
          </w:p>
        </w:tc>
        <w:tc>
          <w:tcPr>
            <w:tcW w:w="2980" w:type="dxa"/>
            <w:vAlign w:val="bottom"/>
            <w:shd w:val="clear" w:color="auto" w:fill="3B5AA4"/>
          </w:tcPr>
          <w:p>
            <w:pPr>
              <w:spacing w:after="0" w:line="20" w:lineRule="exact"/>
              <w:rPr>
                <w:sz w:val="1"/>
                <w:szCs w:val="1"/>
                <w:color w:val="auto"/>
              </w:rPr>
            </w:pPr>
          </w:p>
        </w:tc>
        <w:tc>
          <w:tcPr>
            <w:tcW w:w="3220" w:type="dxa"/>
            <w:vAlign w:val="bottom"/>
            <w:shd w:val="clear" w:color="auto" w:fill="3B5AA4"/>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76</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85" w:name="page86"/>
    <w:bookmarkEnd w:id="85"/>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0" w:right="159"/>
        <w:spacing w:after="0" w:line="289" w:lineRule="auto"/>
        <w:rPr>
          <w:sz w:val="20"/>
          <w:szCs w:val="20"/>
          <w:color w:val="auto"/>
        </w:rPr>
      </w:pPr>
      <w:r>
        <w:rPr>
          <w:rFonts w:ascii="Arial" w:cs="Arial" w:eastAsia="Arial" w:hAnsi="Arial"/>
          <w:sz w:val="16"/>
          <w:szCs w:val="16"/>
          <w:color w:val="auto"/>
        </w:rPr>
        <w:t>The Compensation Committee most recently reviewed the Peer Group in June 2025 and, based on the recommendation of Pay Governance LLC, did not make any changes. The Committee’s assessment included consideration of Regeneron’s percentile rank in the Peer Group for market capitalization, revenues for the last four completed quarters, and the then-available reported number of employees, as shown in the table below. In the Committee’s view, the Peer Group remains relevant and appropriate in providing the Committee and management with the market context for executive compensation decision-making.</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065BAA"/>
        </w:rPr>
        <w:t>Market Capitalization</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065BAA"/>
        </w:rPr>
        <w:t>($ Millions)</w:t>
      </w:r>
    </w:p>
    <w:p>
      <w:pPr>
        <w:spacing w:after="0" w:line="6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065BAA"/>
              </w:rPr>
              <w:t>Revenues Last</w:t>
            </w:r>
          </w:p>
        </w:tc>
        <w:tc>
          <w:tcPr>
            <w:tcW w:w="1680" w:type="dxa"/>
            <w:vAlign w:val="bottom"/>
          </w:tcPr>
          <w:p>
            <w:pPr>
              <w:spacing w:after="0"/>
              <w:rPr>
                <w:sz w:val="14"/>
                <w:szCs w:val="14"/>
                <w:color w:val="auto"/>
              </w:rPr>
            </w:pPr>
          </w:p>
        </w:tc>
      </w:tr>
      <w:tr>
        <w:trPr>
          <w:trHeight w:val="164"/>
        </w:trPr>
        <w:tc>
          <w:tcPr>
            <w:tcW w:w="2960" w:type="dxa"/>
            <w:vAlign w:val="bottom"/>
          </w:tcPr>
          <w:p>
            <w:pPr>
              <w:spacing w:after="0"/>
              <w:rPr>
                <w:sz w:val="14"/>
                <w:szCs w:val="14"/>
                <w:color w:val="auto"/>
              </w:rPr>
            </w:pPr>
          </w:p>
        </w:tc>
        <w:tc>
          <w:tcPr>
            <w:tcW w:w="15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065BAA"/>
              </w:rPr>
              <w:t>90-Day Average</w:t>
            </w:r>
          </w:p>
        </w:tc>
        <w:tc>
          <w:tcPr>
            <w:tcW w:w="13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065BAA"/>
              </w:rPr>
              <w:t>30-Day Average</w:t>
            </w:r>
          </w:p>
        </w:tc>
        <w:tc>
          <w:tcPr>
            <w:tcW w:w="1280" w:type="dxa"/>
            <w:vAlign w:val="bottom"/>
            <w:gridSpan w:val="2"/>
          </w:tcPr>
          <w:p>
            <w:pPr>
              <w:jc w:val="right"/>
              <w:ind w:right="88"/>
              <w:spacing w:after="0" w:line="164" w:lineRule="exact"/>
              <w:rPr>
                <w:sz w:val="20"/>
                <w:szCs w:val="20"/>
                <w:color w:val="auto"/>
              </w:rPr>
            </w:pPr>
            <w:r>
              <w:rPr>
                <w:rFonts w:ascii="Arial" w:cs="Arial" w:eastAsia="Arial" w:hAnsi="Arial"/>
                <w:sz w:val="14"/>
                <w:szCs w:val="14"/>
                <w:b w:val="1"/>
                <w:bCs w:val="1"/>
                <w:color w:val="065BAA"/>
              </w:rPr>
              <w:t>Four Quarters</w:t>
            </w:r>
            <w:r>
              <w:rPr>
                <w:rFonts w:ascii="Arial" w:cs="Arial" w:eastAsia="Arial" w:hAnsi="Arial"/>
                <w:sz w:val="18"/>
                <w:szCs w:val="18"/>
                <w:b w:val="1"/>
                <w:bCs w:val="1"/>
                <w:color w:val="065BAA"/>
                <w:vertAlign w:val="superscript"/>
              </w:rPr>
              <w:t>1</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065BAA"/>
              </w:rPr>
              <w:t>Employees</w:t>
            </w:r>
          </w:p>
        </w:tc>
      </w:tr>
      <w:tr>
        <w:trPr>
          <w:trHeight w:val="185"/>
        </w:trPr>
        <w:tc>
          <w:tcPr>
            <w:tcW w:w="2960" w:type="dxa"/>
            <w:vAlign w:val="bottom"/>
            <w:tcBorders>
              <w:bottom w:val="single" w:sz="8" w:color="3B5AA4"/>
            </w:tcBorders>
          </w:tcPr>
          <w:p>
            <w:pPr>
              <w:ind w:left="80"/>
              <w:spacing w:after="0"/>
              <w:rPr>
                <w:sz w:val="20"/>
                <w:szCs w:val="20"/>
                <w:color w:val="auto"/>
              </w:rPr>
            </w:pPr>
            <w:r>
              <w:rPr>
                <w:rFonts w:ascii="Arial" w:cs="Arial" w:eastAsia="Arial" w:hAnsi="Arial"/>
                <w:sz w:val="14"/>
                <w:szCs w:val="14"/>
                <w:b w:val="1"/>
                <w:bCs w:val="1"/>
                <w:color w:val="065BAA"/>
              </w:rPr>
              <w:t>Company</w:t>
            </w:r>
          </w:p>
        </w:tc>
        <w:tc>
          <w:tcPr>
            <w:tcW w:w="1540" w:type="dxa"/>
            <w:vAlign w:val="bottom"/>
            <w:tcBorders>
              <w:bottom w:val="single" w:sz="8" w:color="3B5AA4"/>
            </w:tcBorders>
            <w:gridSpan w:val="2"/>
          </w:tcPr>
          <w:p>
            <w:pPr>
              <w:jc w:val="right"/>
              <w:ind w:right="48"/>
              <w:spacing w:after="0"/>
              <w:rPr>
                <w:sz w:val="20"/>
                <w:szCs w:val="20"/>
                <w:color w:val="auto"/>
              </w:rPr>
            </w:pPr>
            <w:r>
              <w:rPr>
                <w:rFonts w:ascii="Arial" w:cs="Arial" w:eastAsia="Arial" w:hAnsi="Arial"/>
                <w:sz w:val="14"/>
                <w:szCs w:val="14"/>
                <w:b w:val="1"/>
                <w:bCs w:val="1"/>
                <w:color w:val="065BAA"/>
              </w:rPr>
              <w:t>(as of 5/23/25)</w:t>
            </w:r>
          </w:p>
        </w:tc>
        <w:tc>
          <w:tcPr>
            <w:tcW w:w="1300" w:type="dxa"/>
            <w:vAlign w:val="bottom"/>
            <w:tcBorders>
              <w:bottom w:val="single" w:sz="8" w:color="3B5AA4"/>
            </w:tcBorders>
            <w:gridSpan w:val="2"/>
          </w:tcPr>
          <w:p>
            <w:pPr>
              <w:jc w:val="right"/>
              <w:ind w:right="48"/>
              <w:spacing w:after="0"/>
              <w:rPr>
                <w:sz w:val="20"/>
                <w:szCs w:val="20"/>
                <w:color w:val="auto"/>
              </w:rPr>
            </w:pPr>
            <w:r>
              <w:rPr>
                <w:rFonts w:ascii="Arial" w:cs="Arial" w:eastAsia="Arial" w:hAnsi="Arial"/>
                <w:sz w:val="14"/>
                <w:szCs w:val="14"/>
                <w:b w:val="1"/>
                <w:bCs w:val="1"/>
                <w:color w:val="065BAA"/>
              </w:rPr>
              <w:t>(as of 5/23/25)</w:t>
            </w:r>
          </w:p>
        </w:tc>
        <w:tc>
          <w:tcPr>
            <w:tcW w:w="1280" w:type="dxa"/>
            <w:vAlign w:val="bottom"/>
            <w:tcBorders>
              <w:bottom w:val="single" w:sz="8" w:color="3B5AA4"/>
            </w:tcBorders>
            <w:gridSpan w:val="2"/>
          </w:tcPr>
          <w:p>
            <w:pPr>
              <w:jc w:val="right"/>
              <w:ind w:right="88"/>
              <w:spacing w:after="0"/>
              <w:rPr>
                <w:sz w:val="20"/>
                <w:szCs w:val="20"/>
                <w:color w:val="auto"/>
              </w:rPr>
            </w:pPr>
            <w:r>
              <w:rPr>
                <w:rFonts w:ascii="Arial" w:cs="Arial" w:eastAsia="Arial" w:hAnsi="Arial"/>
                <w:sz w:val="14"/>
                <w:szCs w:val="14"/>
                <w:b w:val="1"/>
                <w:bCs w:val="1"/>
                <w:color w:val="065BAA"/>
              </w:rPr>
              <w:t>($ Millions)</w:t>
            </w:r>
          </w:p>
        </w:tc>
        <w:tc>
          <w:tcPr>
            <w:tcW w:w="1680" w:type="dxa"/>
            <w:vAlign w:val="bottom"/>
            <w:tcBorders>
              <w:bottom w:val="single" w:sz="8" w:color="3B5AA4"/>
            </w:tcBorders>
          </w:tcPr>
          <w:p>
            <w:pPr>
              <w:jc w:val="right"/>
              <w:spacing w:after="0" w:line="185" w:lineRule="exact"/>
              <w:rPr>
                <w:sz w:val="20"/>
                <w:szCs w:val="20"/>
                <w:color w:val="auto"/>
              </w:rPr>
            </w:pPr>
            <w:r>
              <w:rPr>
                <w:rFonts w:ascii="Arial" w:cs="Arial" w:eastAsia="Arial" w:hAnsi="Arial"/>
                <w:sz w:val="14"/>
                <w:szCs w:val="14"/>
                <w:b w:val="1"/>
                <w:bCs w:val="1"/>
                <w:color w:val="065BAA"/>
              </w:rPr>
              <w:t>(as of last SEC filing)</w:t>
            </w:r>
            <w:r>
              <w:rPr>
                <w:rFonts w:ascii="Arial" w:cs="Arial" w:eastAsia="Arial" w:hAnsi="Arial"/>
                <w:sz w:val="18"/>
                <w:szCs w:val="18"/>
                <w:b w:val="1"/>
                <w:bCs w:val="1"/>
                <w:color w:val="065BAA"/>
                <w:vertAlign w:val="superscript"/>
              </w:rPr>
              <w:t>1</w:t>
            </w:r>
          </w:p>
        </w:tc>
      </w:tr>
      <w:tr>
        <w:trPr>
          <w:trHeight w:val="209"/>
        </w:trPr>
        <w:tc>
          <w:tcPr>
            <w:tcW w:w="2960" w:type="dxa"/>
            <w:vAlign w:val="bottom"/>
          </w:tcPr>
          <w:p>
            <w:pPr>
              <w:ind w:left="80"/>
              <w:spacing w:after="0"/>
              <w:rPr>
                <w:sz w:val="20"/>
                <w:szCs w:val="20"/>
                <w:color w:val="auto"/>
              </w:rPr>
            </w:pPr>
            <w:r>
              <w:rPr>
                <w:rFonts w:ascii="Arial" w:cs="Arial" w:eastAsia="Arial" w:hAnsi="Arial"/>
                <w:sz w:val="14"/>
                <w:szCs w:val="14"/>
                <w:b w:val="1"/>
                <w:bCs w:val="1"/>
                <w:color w:val="auto"/>
              </w:rPr>
              <w:t>Eli Lilly and Company</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733,249</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704,525</w:t>
            </w:r>
          </w:p>
        </w:tc>
        <w:tc>
          <w:tcPr>
            <w:tcW w:w="1280" w:type="dxa"/>
            <w:vAlign w:val="bottom"/>
            <w:gridSpan w:val="2"/>
          </w:tcPr>
          <w:p>
            <w:pPr>
              <w:ind w:left="580"/>
              <w:spacing w:after="0"/>
              <w:rPr>
                <w:sz w:val="20"/>
                <w:szCs w:val="20"/>
                <w:color w:val="auto"/>
              </w:rPr>
            </w:pPr>
            <w:r>
              <w:rPr>
                <w:rFonts w:ascii="Arial" w:cs="Arial" w:eastAsia="Arial" w:hAnsi="Arial"/>
                <w:sz w:val="14"/>
                <w:szCs w:val="14"/>
                <w:color w:val="auto"/>
              </w:rPr>
              <w:t>$ 49,003</w:t>
            </w:r>
          </w:p>
        </w:tc>
        <w:tc>
          <w:tcPr>
            <w:tcW w:w="1680" w:type="dxa"/>
            <w:vAlign w:val="bottom"/>
          </w:tcPr>
          <w:p>
            <w:pPr>
              <w:jc w:val="right"/>
              <w:spacing w:after="0"/>
              <w:rPr>
                <w:sz w:val="20"/>
                <w:szCs w:val="20"/>
                <w:color w:val="auto"/>
              </w:rPr>
            </w:pPr>
            <w:r>
              <w:rPr>
                <w:rFonts w:ascii="Arial" w:cs="Arial" w:eastAsia="Arial" w:hAnsi="Arial"/>
                <w:sz w:val="14"/>
                <w:szCs w:val="14"/>
                <w:color w:val="auto"/>
              </w:rPr>
              <w:t>47,000</w:t>
            </w:r>
          </w:p>
        </w:tc>
      </w:tr>
      <w:tr>
        <w:trPr>
          <w:trHeight w:val="229"/>
        </w:trPr>
        <w:tc>
          <w:tcPr>
            <w:tcW w:w="296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AbbVie Inc.</w:t>
            </w: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DAEBF8"/>
          </w:tcPr>
          <w:p>
            <w:pPr>
              <w:jc w:val="right"/>
              <w:ind w:right="68"/>
              <w:spacing w:after="0"/>
              <w:rPr>
                <w:sz w:val="20"/>
                <w:szCs w:val="20"/>
                <w:color w:val="auto"/>
              </w:rPr>
            </w:pPr>
            <w:r>
              <w:rPr>
                <w:rFonts w:ascii="Arial" w:cs="Arial" w:eastAsia="Arial" w:hAnsi="Arial"/>
                <w:sz w:val="14"/>
                <w:szCs w:val="14"/>
                <w:color w:val="auto"/>
              </w:rPr>
              <w:t>339,899</w:t>
            </w:r>
          </w:p>
        </w:tc>
        <w:tc>
          <w:tcPr>
            <w:tcW w:w="6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DAEBF8"/>
          </w:tcPr>
          <w:p>
            <w:pPr>
              <w:jc w:val="right"/>
              <w:ind w:right="48"/>
              <w:spacing w:after="0"/>
              <w:rPr>
                <w:sz w:val="20"/>
                <w:szCs w:val="20"/>
                <w:color w:val="auto"/>
              </w:rPr>
            </w:pPr>
            <w:r>
              <w:rPr>
                <w:rFonts w:ascii="Arial" w:cs="Arial" w:eastAsia="Arial" w:hAnsi="Arial"/>
                <w:sz w:val="14"/>
                <w:szCs w:val="14"/>
                <w:color w:val="auto"/>
              </w:rPr>
              <w:t>325,121</w:t>
            </w:r>
          </w:p>
        </w:tc>
        <w:tc>
          <w:tcPr>
            <w:tcW w:w="1280" w:type="dxa"/>
            <w:vAlign w:val="bottom"/>
            <w:gridSpan w:val="2"/>
            <w:shd w:val="clear" w:color="auto" w:fill="DAEBF8"/>
          </w:tcPr>
          <w:p>
            <w:pPr>
              <w:ind w:left="580"/>
              <w:spacing w:after="0"/>
              <w:rPr>
                <w:sz w:val="20"/>
                <w:szCs w:val="20"/>
                <w:color w:val="auto"/>
              </w:rPr>
            </w:pPr>
            <w:r>
              <w:rPr>
                <w:rFonts w:ascii="Arial" w:cs="Arial" w:eastAsia="Arial" w:hAnsi="Arial"/>
                <w:sz w:val="14"/>
                <w:szCs w:val="14"/>
                <w:color w:val="auto"/>
              </w:rPr>
              <w:t>$ 57,367</w:t>
            </w:r>
          </w:p>
        </w:tc>
        <w:tc>
          <w:tcPr>
            <w:tcW w:w="16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55,000</w:t>
            </w:r>
          </w:p>
        </w:tc>
      </w:tr>
      <w:tr>
        <w:trPr>
          <w:trHeight w:val="230"/>
        </w:trPr>
        <w:tc>
          <w:tcPr>
            <w:tcW w:w="2960" w:type="dxa"/>
            <w:vAlign w:val="bottom"/>
          </w:tcPr>
          <w:p>
            <w:pPr>
              <w:ind w:left="80"/>
              <w:spacing w:after="0"/>
              <w:rPr>
                <w:sz w:val="20"/>
                <w:szCs w:val="20"/>
                <w:color w:val="auto"/>
              </w:rPr>
            </w:pPr>
            <w:r>
              <w:rPr>
                <w:rFonts w:ascii="Arial" w:cs="Arial" w:eastAsia="Arial" w:hAnsi="Arial"/>
                <w:sz w:val="14"/>
                <w:szCs w:val="14"/>
                <w:b w:val="1"/>
                <w:bCs w:val="1"/>
                <w:color w:val="auto"/>
              </w:rPr>
              <w:t>Merck &amp; Co., Inc.</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218,933</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198,781</w:t>
            </w:r>
          </w:p>
        </w:tc>
        <w:tc>
          <w:tcPr>
            <w:tcW w:w="1280" w:type="dxa"/>
            <w:vAlign w:val="bottom"/>
            <w:gridSpan w:val="2"/>
          </w:tcPr>
          <w:p>
            <w:pPr>
              <w:ind w:left="580"/>
              <w:spacing w:after="0"/>
              <w:rPr>
                <w:sz w:val="20"/>
                <w:szCs w:val="20"/>
                <w:color w:val="auto"/>
              </w:rPr>
            </w:pPr>
            <w:r>
              <w:rPr>
                <w:rFonts w:ascii="Arial" w:cs="Arial" w:eastAsia="Arial" w:hAnsi="Arial"/>
                <w:sz w:val="14"/>
                <w:szCs w:val="14"/>
                <w:color w:val="auto"/>
              </w:rPr>
              <w:t>$ 63,922</w:t>
            </w:r>
          </w:p>
        </w:tc>
        <w:tc>
          <w:tcPr>
            <w:tcW w:w="1680" w:type="dxa"/>
            <w:vAlign w:val="bottom"/>
          </w:tcPr>
          <w:p>
            <w:pPr>
              <w:jc w:val="right"/>
              <w:spacing w:after="0"/>
              <w:rPr>
                <w:sz w:val="20"/>
                <w:szCs w:val="20"/>
                <w:color w:val="auto"/>
              </w:rPr>
            </w:pPr>
            <w:r>
              <w:rPr>
                <w:rFonts w:ascii="Arial" w:cs="Arial" w:eastAsia="Arial" w:hAnsi="Arial"/>
                <w:sz w:val="14"/>
                <w:szCs w:val="14"/>
                <w:color w:val="auto"/>
              </w:rPr>
              <w:t>74,000</w:t>
            </w:r>
          </w:p>
        </w:tc>
      </w:tr>
      <w:tr>
        <w:trPr>
          <w:trHeight w:val="229"/>
        </w:trPr>
        <w:tc>
          <w:tcPr>
            <w:tcW w:w="296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Amgen Inc.</w:t>
            </w: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DAEBF8"/>
          </w:tcPr>
          <w:p>
            <w:pPr>
              <w:jc w:val="right"/>
              <w:ind w:right="68"/>
              <w:spacing w:after="0"/>
              <w:rPr>
                <w:sz w:val="20"/>
                <w:szCs w:val="20"/>
                <w:color w:val="auto"/>
              </w:rPr>
            </w:pPr>
            <w:r>
              <w:rPr>
                <w:rFonts w:ascii="Arial" w:cs="Arial" w:eastAsia="Arial" w:hAnsi="Arial"/>
                <w:sz w:val="14"/>
                <w:szCs w:val="14"/>
                <w:color w:val="auto"/>
              </w:rPr>
              <w:t>157,376</w:t>
            </w:r>
          </w:p>
        </w:tc>
        <w:tc>
          <w:tcPr>
            <w:tcW w:w="6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DAEBF8"/>
          </w:tcPr>
          <w:p>
            <w:pPr>
              <w:jc w:val="right"/>
              <w:ind w:right="48"/>
              <w:spacing w:after="0"/>
              <w:rPr>
                <w:sz w:val="20"/>
                <w:szCs w:val="20"/>
                <w:color w:val="auto"/>
              </w:rPr>
            </w:pPr>
            <w:r>
              <w:rPr>
                <w:rFonts w:ascii="Arial" w:cs="Arial" w:eastAsia="Arial" w:hAnsi="Arial"/>
                <w:sz w:val="14"/>
                <w:szCs w:val="14"/>
                <w:color w:val="auto"/>
              </w:rPr>
              <w:t>149,385</w:t>
            </w:r>
          </w:p>
        </w:tc>
        <w:tc>
          <w:tcPr>
            <w:tcW w:w="1280" w:type="dxa"/>
            <w:vAlign w:val="bottom"/>
            <w:gridSpan w:val="2"/>
            <w:shd w:val="clear" w:color="auto" w:fill="DAEBF8"/>
          </w:tcPr>
          <w:p>
            <w:pPr>
              <w:ind w:left="580"/>
              <w:spacing w:after="0"/>
              <w:rPr>
                <w:sz w:val="20"/>
                <w:szCs w:val="20"/>
                <w:color w:val="auto"/>
              </w:rPr>
            </w:pPr>
            <w:r>
              <w:rPr>
                <w:rFonts w:ascii="Arial" w:cs="Arial" w:eastAsia="Arial" w:hAnsi="Arial"/>
                <w:sz w:val="14"/>
                <w:szCs w:val="14"/>
                <w:color w:val="auto"/>
              </w:rPr>
              <w:t>$ 34,126</w:t>
            </w:r>
          </w:p>
        </w:tc>
        <w:tc>
          <w:tcPr>
            <w:tcW w:w="16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28,000</w:t>
            </w:r>
          </w:p>
        </w:tc>
      </w:tr>
      <w:tr>
        <w:trPr>
          <w:trHeight w:val="216"/>
        </w:trPr>
        <w:tc>
          <w:tcPr>
            <w:tcW w:w="2960" w:type="dxa"/>
            <w:vAlign w:val="bottom"/>
          </w:tcPr>
          <w:p>
            <w:pPr>
              <w:ind w:left="80"/>
              <w:spacing w:after="0"/>
              <w:rPr>
                <w:sz w:val="20"/>
                <w:szCs w:val="20"/>
                <w:color w:val="auto"/>
              </w:rPr>
            </w:pPr>
            <w:r>
              <w:rPr>
                <w:rFonts w:ascii="Arial" w:cs="Arial" w:eastAsia="Arial" w:hAnsi="Arial"/>
                <w:sz w:val="14"/>
                <w:szCs w:val="14"/>
                <w:b w:val="1"/>
                <w:bCs w:val="1"/>
                <w:color w:val="auto"/>
              </w:rPr>
              <w:t>Gilead Sciences, Inc.</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130,977</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129,188</w:t>
            </w:r>
          </w:p>
        </w:tc>
        <w:tc>
          <w:tcPr>
            <w:tcW w:w="1280" w:type="dxa"/>
            <w:vAlign w:val="bottom"/>
            <w:gridSpan w:val="2"/>
          </w:tcPr>
          <w:p>
            <w:pPr>
              <w:ind w:left="580"/>
              <w:spacing w:after="0"/>
              <w:rPr>
                <w:sz w:val="20"/>
                <w:szCs w:val="20"/>
                <w:color w:val="auto"/>
              </w:rPr>
            </w:pPr>
            <w:r>
              <w:rPr>
                <w:rFonts w:ascii="Arial" w:cs="Arial" w:eastAsia="Arial" w:hAnsi="Arial"/>
                <w:sz w:val="14"/>
                <w:szCs w:val="14"/>
                <w:color w:val="auto"/>
              </w:rPr>
              <w:t>$ 28,735</w:t>
            </w:r>
          </w:p>
        </w:tc>
        <w:tc>
          <w:tcPr>
            <w:tcW w:w="1680" w:type="dxa"/>
            <w:vAlign w:val="bottom"/>
          </w:tcPr>
          <w:p>
            <w:pPr>
              <w:jc w:val="right"/>
              <w:spacing w:after="0"/>
              <w:rPr>
                <w:sz w:val="20"/>
                <w:szCs w:val="20"/>
                <w:color w:val="auto"/>
              </w:rPr>
            </w:pPr>
            <w:r>
              <w:rPr>
                <w:rFonts w:ascii="Arial" w:cs="Arial" w:eastAsia="Arial" w:hAnsi="Arial"/>
                <w:sz w:val="14"/>
                <w:szCs w:val="14"/>
                <w:color w:val="auto"/>
              </w:rPr>
              <w:t>17,600</w:t>
            </w:r>
          </w:p>
        </w:tc>
      </w:tr>
      <w:tr>
        <w:trPr>
          <w:trHeight w:val="230"/>
        </w:trPr>
        <w:tc>
          <w:tcPr>
            <w:tcW w:w="296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Vertex Pharmaceuticals Incorporated</w:t>
            </w: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DAEBF8"/>
          </w:tcPr>
          <w:p>
            <w:pPr>
              <w:jc w:val="right"/>
              <w:ind w:right="68"/>
              <w:spacing w:after="0"/>
              <w:rPr>
                <w:sz w:val="20"/>
                <w:szCs w:val="20"/>
                <w:color w:val="auto"/>
              </w:rPr>
            </w:pPr>
            <w:r>
              <w:rPr>
                <w:rFonts w:ascii="Arial" w:cs="Arial" w:eastAsia="Arial" w:hAnsi="Arial"/>
                <w:sz w:val="14"/>
                <w:szCs w:val="14"/>
                <w:color w:val="auto"/>
              </w:rPr>
              <w:t>121,750</w:t>
            </w:r>
          </w:p>
        </w:tc>
        <w:tc>
          <w:tcPr>
            <w:tcW w:w="6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DAEBF8"/>
          </w:tcPr>
          <w:p>
            <w:pPr>
              <w:jc w:val="right"/>
              <w:ind w:right="48"/>
              <w:spacing w:after="0"/>
              <w:rPr>
                <w:sz w:val="20"/>
                <w:szCs w:val="20"/>
                <w:color w:val="auto"/>
              </w:rPr>
            </w:pPr>
            <w:r>
              <w:rPr>
                <w:rFonts w:ascii="Arial" w:cs="Arial" w:eastAsia="Arial" w:hAnsi="Arial"/>
                <w:sz w:val="14"/>
                <w:szCs w:val="14"/>
                <w:color w:val="auto"/>
              </w:rPr>
              <w:t>120,000</w:t>
            </w:r>
          </w:p>
        </w:tc>
        <w:tc>
          <w:tcPr>
            <w:tcW w:w="1280" w:type="dxa"/>
            <w:vAlign w:val="bottom"/>
            <w:gridSpan w:val="2"/>
            <w:shd w:val="clear" w:color="auto" w:fill="DAEBF8"/>
          </w:tcPr>
          <w:p>
            <w:pPr>
              <w:ind w:left="580"/>
              <w:spacing w:after="0"/>
              <w:rPr>
                <w:sz w:val="20"/>
                <w:szCs w:val="20"/>
                <w:color w:val="auto"/>
              </w:rPr>
            </w:pPr>
            <w:r>
              <w:rPr>
                <w:rFonts w:ascii="Arial" w:cs="Arial" w:eastAsia="Arial" w:hAnsi="Arial"/>
                <w:sz w:val="14"/>
                <w:szCs w:val="14"/>
                <w:color w:val="auto"/>
              </w:rPr>
              <w:t>$ 11,100</w:t>
            </w:r>
          </w:p>
        </w:tc>
        <w:tc>
          <w:tcPr>
            <w:tcW w:w="16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6,100</w:t>
            </w:r>
          </w:p>
        </w:tc>
      </w:tr>
      <w:tr>
        <w:trPr>
          <w:trHeight w:val="229"/>
        </w:trPr>
        <w:tc>
          <w:tcPr>
            <w:tcW w:w="2960" w:type="dxa"/>
            <w:vAlign w:val="bottom"/>
          </w:tcPr>
          <w:p>
            <w:pPr>
              <w:ind w:left="80"/>
              <w:spacing w:after="0"/>
              <w:rPr>
                <w:sz w:val="20"/>
                <w:szCs w:val="20"/>
                <w:color w:val="auto"/>
              </w:rPr>
            </w:pPr>
            <w:r>
              <w:rPr>
                <w:rFonts w:ascii="Arial" w:cs="Arial" w:eastAsia="Arial" w:hAnsi="Arial"/>
                <w:sz w:val="14"/>
                <w:szCs w:val="14"/>
                <w:b w:val="1"/>
                <w:bCs w:val="1"/>
                <w:color w:val="auto"/>
              </w:rPr>
              <w:t>Bristol-Myers Squibb Company</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111,446</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98,262</w:t>
            </w:r>
          </w:p>
        </w:tc>
        <w:tc>
          <w:tcPr>
            <w:tcW w:w="1280" w:type="dxa"/>
            <w:vAlign w:val="bottom"/>
            <w:gridSpan w:val="2"/>
          </w:tcPr>
          <w:p>
            <w:pPr>
              <w:ind w:left="580"/>
              <w:spacing w:after="0"/>
              <w:rPr>
                <w:sz w:val="20"/>
                <w:szCs w:val="20"/>
                <w:color w:val="auto"/>
              </w:rPr>
            </w:pPr>
            <w:r>
              <w:rPr>
                <w:rFonts w:ascii="Arial" w:cs="Arial" w:eastAsia="Arial" w:hAnsi="Arial"/>
                <w:sz w:val="14"/>
                <w:szCs w:val="14"/>
                <w:color w:val="auto"/>
              </w:rPr>
              <w:t>$ 47,636</w:t>
            </w:r>
          </w:p>
        </w:tc>
        <w:tc>
          <w:tcPr>
            <w:tcW w:w="1680" w:type="dxa"/>
            <w:vAlign w:val="bottom"/>
          </w:tcPr>
          <w:p>
            <w:pPr>
              <w:jc w:val="right"/>
              <w:spacing w:after="0"/>
              <w:rPr>
                <w:sz w:val="20"/>
                <w:szCs w:val="20"/>
                <w:color w:val="auto"/>
              </w:rPr>
            </w:pPr>
            <w:r>
              <w:rPr>
                <w:rFonts w:ascii="Arial" w:cs="Arial" w:eastAsia="Arial" w:hAnsi="Arial"/>
                <w:sz w:val="14"/>
                <w:szCs w:val="14"/>
                <w:color w:val="auto"/>
              </w:rPr>
              <w:t>34,100</w:t>
            </w:r>
          </w:p>
        </w:tc>
      </w:tr>
      <w:tr>
        <w:trPr>
          <w:trHeight w:val="230"/>
        </w:trPr>
        <w:tc>
          <w:tcPr>
            <w:tcW w:w="296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Alnylam Pharmaceuticals, Inc.</w:t>
            </w: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DAEBF8"/>
          </w:tcPr>
          <w:p>
            <w:pPr>
              <w:jc w:val="right"/>
              <w:ind w:right="68"/>
              <w:spacing w:after="0"/>
              <w:rPr>
                <w:sz w:val="20"/>
                <w:szCs w:val="20"/>
                <w:color w:val="auto"/>
              </w:rPr>
            </w:pPr>
            <w:r>
              <w:rPr>
                <w:rFonts w:ascii="Arial" w:cs="Arial" w:eastAsia="Arial" w:hAnsi="Arial"/>
                <w:sz w:val="14"/>
                <w:szCs w:val="14"/>
                <w:color w:val="auto"/>
              </w:rPr>
              <w:t>33,534</w:t>
            </w:r>
          </w:p>
        </w:tc>
        <w:tc>
          <w:tcPr>
            <w:tcW w:w="6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DAEBF8"/>
          </w:tcPr>
          <w:p>
            <w:pPr>
              <w:jc w:val="right"/>
              <w:ind w:right="48"/>
              <w:spacing w:after="0"/>
              <w:rPr>
                <w:sz w:val="20"/>
                <w:szCs w:val="20"/>
                <w:color w:val="auto"/>
              </w:rPr>
            </w:pPr>
            <w:r>
              <w:rPr>
                <w:rFonts w:ascii="Arial" w:cs="Arial" w:eastAsia="Arial" w:hAnsi="Arial"/>
                <w:sz w:val="14"/>
                <w:szCs w:val="14"/>
                <w:color w:val="auto"/>
              </w:rPr>
              <w:t>33,920</w:t>
            </w:r>
          </w:p>
        </w:tc>
        <w:tc>
          <w:tcPr>
            <w:tcW w:w="700" w:type="dxa"/>
            <w:vAlign w:val="bottom"/>
            <w:shd w:val="clear" w:color="auto" w:fill="DAEBF8"/>
          </w:tcPr>
          <w:p>
            <w:pPr>
              <w:ind w:left="580"/>
              <w:spacing w:after="0"/>
              <w:rPr>
                <w:sz w:val="20"/>
                <w:szCs w:val="20"/>
                <w:color w:val="auto"/>
              </w:rPr>
            </w:pPr>
            <w:r>
              <w:rPr>
                <w:rFonts w:ascii="Arial" w:cs="Arial" w:eastAsia="Arial" w:hAnsi="Arial"/>
                <w:sz w:val="14"/>
                <w:szCs w:val="14"/>
                <w:color w:val="auto"/>
              </w:rPr>
              <w:t>$</w:t>
            </w:r>
          </w:p>
        </w:tc>
        <w:tc>
          <w:tcPr>
            <w:tcW w:w="580" w:type="dxa"/>
            <w:vAlign w:val="bottom"/>
            <w:shd w:val="clear" w:color="auto" w:fill="DAEBF8"/>
          </w:tcPr>
          <w:p>
            <w:pPr>
              <w:ind w:left="60"/>
              <w:spacing w:after="0"/>
              <w:rPr>
                <w:sz w:val="20"/>
                <w:szCs w:val="20"/>
                <w:color w:val="auto"/>
              </w:rPr>
            </w:pPr>
            <w:r>
              <w:rPr>
                <w:rFonts w:ascii="Arial" w:cs="Arial" w:eastAsia="Arial" w:hAnsi="Arial"/>
                <w:sz w:val="14"/>
                <w:szCs w:val="14"/>
                <w:color w:val="auto"/>
              </w:rPr>
              <w:t>2,348</w:t>
            </w:r>
          </w:p>
        </w:tc>
        <w:tc>
          <w:tcPr>
            <w:tcW w:w="16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2,230</w:t>
            </w:r>
          </w:p>
        </w:tc>
      </w:tr>
      <w:tr>
        <w:trPr>
          <w:trHeight w:val="229"/>
        </w:trPr>
        <w:tc>
          <w:tcPr>
            <w:tcW w:w="2960" w:type="dxa"/>
            <w:vAlign w:val="bottom"/>
          </w:tcPr>
          <w:p>
            <w:pPr>
              <w:ind w:left="80"/>
              <w:spacing w:after="0"/>
              <w:rPr>
                <w:sz w:val="20"/>
                <w:szCs w:val="20"/>
                <w:color w:val="auto"/>
              </w:rPr>
            </w:pPr>
            <w:r>
              <w:rPr>
                <w:rFonts w:ascii="Arial" w:cs="Arial" w:eastAsia="Arial" w:hAnsi="Arial"/>
                <w:sz w:val="14"/>
                <w:szCs w:val="14"/>
                <w:b w:val="1"/>
                <w:bCs w:val="1"/>
                <w:color w:val="auto"/>
              </w:rPr>
              <w:t>Biogen Inc.</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19,461</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17,727</w:t>
            </w:r>
          </w:p>
        </w:tc>
        <w:tc>
          <w:tcPr>
            <w:tcW w:w="700" w:type="dxa"/>
            <w:vAlign w:val="bottom"/>
          </w:tcPr>
          <w:p>
            <w:pPr>
              <w:ind w:left="580"/>
              <w:spacing w:after="0"/>
              <w:rPr>
                <w:sz w:val="20"/>
                <w:szCs w:val="20"/>
                <w:color w:val="auto"/>
              </w:rPr>
            </w:pPr>
            <w:r>
              <w:rPr>
                <w:rFonts w:ascii="Arial" w:cs="Arial" w:eastAsia="Arial" w:hAnsi="Arial"/>
                <w:sz w:val="14"/>
                <w:szCs w:val="14"/>
                <w:color w:val="auto"/>
              </w:rPr>
              <w:t>$</w:t>
            </w:r>
          </w:p>
        </w:tc>
        <w:tc>
          <w:tcPr>
            <w:tcW w:w="580" w:type="dxa"/>
            <w:vAlign w:val="bottom"/>
          </w:tcPr>
          <w:p>
            <w:pPr>
              <w:ind w:left="60"/>
              <w:spacing w:after="0"/>
              <w:rPr>
                <w:sz w:val="20"/>
                <w:szCs w:val="20"/>
                <w:color w:val="auto"/>
              </w:rPr>
            </w:pPr>
            <w:r>
              <w:rPr>
                <w:rFonts w:ascii="Arial" w:cs="Arial" w:eastAsia="Arial" w:hAnsi="Arial"/>
                <w:sz w:val="14"/>
                <w:szCs w:val="14"/>
                <w:color w:val="auto"/>
              </w:rPr>
              <w:t>9,816</w:t>
            </w:r>
          </w:p>
        </w:tc>
        <w:tc>
          <w:tcPr>
            <w:tcW w:w="1680" w:type="dxa"/>
            <w:vAlign w:val="bottom"/>
          </w:tcPr>
          <w:p>
            <w:pPr>
              <w:jc w:val="right"/>
              <w:spacing w:after="0"/>
              <w:rPr>
                <w:sz w:val="20"/>
                <w:szCs w:val="20"/>
                <w:color w:val="auto"/>
              </w:rPr>
            </w:pPr>
            <w:r>
              <w:rPr>
                <w:rFonts w:ascii="Arial" w:cs="Arial" w:eastAsia="Arial" w:hAnsi="Arial"/>
                <w:sz w:val="14"/>
                <w:szCs w:val="14"/>
                <w:color w:val="auto"/>
              </w:rPr>
              <w:t>7,605</w:t>
            </w:r>
          </w:p>
        </w:tc>
      </w:tr>
      <w:tr>
        <w:trPr>
          <w:trHeight w:val="229"/>
        </w:trPr>
        <w:tc>
          <w:tcPr>
            <w:tcW w:w="296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Incyte Corporation</w:t>
            </w: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DAEBF8"/>
          </w:tcPr>
          <w:p>
            <w:pPr>
              <w:jc w:val="right"/>
              <w:ind w:right="68"/>
              <w:spacing w:after="0"/>
              <w:rPr>
                <w:sz w:val="20"/>
                <w:szCs w:val="20"/>
                <w:color w:val="auto"/>
              </w:rPr>
            </w:pPr>
            <w:r>
              <w:rPr>
                <w:rFonts w:ascii="Arial" w:cs="Arial" w:eastAsia="Arial" w:hAnsi="Arial"/>
                <w:sz w:val="14"/>
                <w:szCs w:val="14"/>
                <w:color w:val="auto"/>
              </w:rPr>
              <w:t>12,665</w:t>
            </w:r>
          </w:p>
        </w:tc>
        <w:tc>
          <w:tcPr>
            <w:tcW w:w="6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DAEBF8"/>
          </w:tcPr>
          <w:p>
            <w:pPr>
              <w:jc w:val="right"/>
              <w:ind w:right="68"/>
              <w:spacing w:after="0"/>
              <w:rPr>
                <w:sz w:val="20"/>
                <w:szCs w:val="20"/>
                <w:color w:val="auto"/>
              </w:rPr>
            </w:pPr>
            <w:r>
              <w:rPr>
                <w:rFonts w:ascii="Arial" w:cs="Arial" w:eastAsia="Arial" w:hAnsi="Arial"/>
                <w:sz w:val="14"/>
                <w:szCs w:val="14"/>
                <w:color w:val="auto"/>
              </w:rPr>
              <w:t>11,739</w:t>
            </w:r>
          </w:p>
        </w:tc>
        <w:tc>
          <w:tcPr>
            <w:tcW w:w="700" w:type="dxa"/>
            <w:vAlign w:val="bottom"/>
            <w:shd w:val="clear" w:color="auto" w:fill="DAEBF8"/>
          </w:tcPr>
          <w:p>
            <w:pPr>
              <w:ind w:left="580"/>
              <w:spacing w:after="0"/>
              <w:rPr>
                <w:sz w:val="20"/>
                <w:szCs w:val="20"/>
                <w:color w:val="auto"/>
              </w:rPr>
            </w:pPr>
            <w:r>
              <w:rPr>
                <w:rFonts w:ascii="Arial" w:cs="Arial" w:eastAsia="Arial" w:hAnsi="Arial"/>
                <w:sz w:val="14"/>
                <w:szCs w:val="14"/>
                <w:color w:val="auto"/>
              </w:rPr>
              <w:t>$</w:t>
            </w:r>
          </w:p>
        </w:tc>
        <w:tc>
          <w:tcPr>
            <w:tcW w:w="580" w:type="dxa"/>
            <w:vAlign w:val="bottom"/>
            <w:shd w:val="clear" w:color="auto" w:fill="DAEBF8"/>
          </w:tcPr>
          <w:p>
            <w:pPr>
              <w:ind w:left="60"/>
              <w:spacing w:after="0"/>
              <w:rPr>
                <w:sz w:val="20"/>
                <w:szCs w:val="20"/>
                <w:color w:val="auto"/>
              </w:rPr>
            </w:pPr>
            <w:r>
              <w:rPr>
                <w:rFonts w:ascii="Arial" w:cs="Arial" w:eastAsia="Arial" w:hAnsi="Arial"/>
                <w:sz w:val="14"/>
                <w:szCs w:val="14"/>
                <w:color w:val="auto"/>
              </w:rPr>
              <w:t>4,413</w:t>
            </w:r>
          </w:p>
        </w:tc>
        <w:tc>
          <w:tcPr>
            <w:tcW w:w="16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2,617</w:t>
            </w:r>
          </w:p>
        </w:tc>
      </w:tr>
      <w:tr>
        <w:trPr>
          <w:trHeight w:val="230"/>
        </w:trPr>
        <w:tc>
          <w:tcPr>
            <w:tcW w:w="2960" w:type="dxa"/>
            <w:vAlign w:val="bottom"/>
            <w:tcBorders>
              <w:bottom w:val="single" w:sz="8" w:color="3B5AA4"/>
            </w:tcBorders>
          </w:tcPr>
          <w:p>
            <w:pPr>
              <w:ind w:left="80"/>
              <w:spacing w:after="0"/>
              <w:rPr>
                <w:sz w:val="20"/>
                <w:szCs w:val="20"/>
                <w:color w:val="auto"/>
              </w:rPr>
            </w:pPr>
            <w:r>
              <w:rPr>
                <w:rFonts w:ascii="Arial" w:cs="Arial" w:eastAsia="Arial" w:hAnsi="Arial"/>
                <w:sz w:val="14"/>
                <w:szCs w:val="14"/>
                <w:b w:val="1"/>
                <w:bCs w:val="1"/>
                <w:color w:val="auto"/>
              </w:rPr>
              <w:t>BioMarin Pharmaceuticals, Inc.</w:t>
            </w:r>
          </w:p>
        </w:tc>
        <w:tc>
          <w:tcPr>
            <w:tcW w:w="860" w:type="dxa"/>
            <w:vAlign w:val="bottom"/>
            <w:tcBorders>
              <w:bottom w:val="single" w:sz="8" w:color="3B5AA4"/>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3B5AA4"/>
            </w:tcBorders>
          </w:tcPr>
          <w:p>
            <w:pPr>
              <w:jc w:val="right"/>
              <w:ind w:right="68"/>
              <w:spacing w:after="0"/>
              <w:rPr>
                <w:sz w:val="20"/>
                <w:szCs w:val="20"/>
                <w:color w:val="auto"/>
              </w:rPr>
            </w:pPr>
            <w:r>
              <w:rPr>
                <w:rFonts w:ascii="Arial" w:cs="Arial" w:eastAsia="Arial" w:hAnsi="Arial"/>
                <w:sz w:val="14"/>
                <w:szCs w:val="14"/>
                <w:color w:val="auto"/>
              </w:rPr>
              <w:t>12,336</w:t>
            </w:r>
          </w:p>
        </w:tc>
        <w:tc>
          <w:tcPr>
            <w:tcW w:w="640" w:type="dxa"/>
            <w:vAlign w:val="bottom"/>
            <w:tcBorders>
              <w:bottom w:val="single" w:sz="8" w:color="3B5AA4"/>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3B5AA4"/>
            </w:tcBorders>
          </w:tcPr>
          <w:p>
            <w:pPr>
              <w:jc w:val="right"/>
              <w:ind w:right="68"/>
              <w:spacing w:after="0"/>
              <w:rPr>
                <w:sz w:val="20"/>
                <w:szCs w:val="20"/>
                <w:color w:val="auto"/>
              </w:rPr>
            </w:pPr>
            <w:r>
              <w:rPr>
                <w:rFonts w:ascii="Arial" w:cs="Arial" w:eastAsia="Arial" w:hAnsi="Arial"/>
                <w:sz w:val="14"/>
                <w:szCs w:val="14"/>
                <w:color w:val="auto"/>
              </w:rPr>
              <w:t>11,556</w:t>
            </w:r>
          </w:p>
        </w:tc>
        <w:tc>
          <w:tcPr>
            <w:tcW w:w="700" w:type="dxa"/>
            <w:vAlign w:val="bottom"/>
            <w:tcBorders>
              <w:bottom w:val="single" w:sz="8" w:color="3B5AA4"/>
            </w:tcBorders>
          </w:tcPr>
          <w:p>
            <w:pPr>
              <w:ind w:left="58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3B5AA4"/>
            </w:tcBorders>
          </w:tcPr>
          <w:p>
            <w:pPr>
              <w:ind w:left="60"/>
              <w:spacing w:after="0"/>
              <w:rPr>
                <w:sz w:val="20"/>
                <w:szCs w:val="20"/>
                <w:color w:val="auto"/>
              </w:rPr>
            </w:pPr>
            <w:r>
              <w:rPr>
                <w:rFonts w:ascii="Arial" w:cs="Arial" w:eastAsia="Arial" w:hAnsi="Arial"/>
                <w:sz w:val="14"/>
                <w:szCs w:val="14"/>
                <w:color w:val="auto"/>
              </w:rPr>
              <w:t>2,950</w:t>
            </w:r>
          </w:p>
        </w:tc>
        <w:tc>
          <w:tcPr>
            <w:tcW w:w="1680" w:type="dxa"/>
            <w:vAlign w:val="bottom"/>
            <w:tcBorders>
              <w:bottom w:val="single" w:sz="8" w:color="3B5AA4"/>
            </w:tcBorders>
          </w:tcPr>
          <w:p>
            <w:pPr>
              <w:jc w:val="right"/>
              <w:spacing w:after="0"/>
              <w:rPr>
                <w:sz w:val="20"/>
                <w:szCs w:val="20"/>
                <w:color w:val="auto"/>
              </w:rPr>
            </w:pPr>
            <w:r>
              <w:rPr>
                <w:rFonts w:ascii="Arial" w:cs="Arial" w:eastAsia="Arial" w:hAnsi="Arial"/>
                <w:sz w:val="14"/>
                <w:szCs w:val="14"/>
                <w:color w:val="auto"/>
              </w:rPr>
              <w:t>3,040</w:t>
            </w:r>
          </w:p>
        </w:tc>
      </w:tr>
      <w:tr>
        <w:trPr>
          <w:trHeight w:val="385"/>
        </w:trPr>
        <w:tc>
          <w:tcPr>
            <w:tcW w:w="2960" w:type="dxa"/>
            <w:vAlign w:val="bottom"/>
            <w:tcBorders>
              <w:bottom w:val="single" w:sz="8" w:color="3B5AA4"/>
            </w:tcBorders>
          </w:tcPr>
          <w:p>
            <w:pPr>
              <w:ind w:left="80"/>
              <w:spacing w:after="0"/>
              <w:rPr>
                <w:sz w:val="20"/>
                <w:szCs w:val="20"/>
                <w:color w:val="auto"/>
              </w:rPr>
            </w:pPr>
            <w:r>
              <w:rPr>
                <w:rFonts w:ascii="Arial" w:cs="Arial" w:eastAsia="Arial" w:hAnsi="Arial"/>
                <w:sz w:val="14"/>
                <w:szCs w:val="14"/>
                <w:b w:val="1"/>
                <w:bCs w:val="1"/>
                <w:color w:val="065BAA"/>
              </w:rPr>
              <w:t>Summary Statistics:</w:t>
            </w:r>
          </w:p>
        </w:tc>
        <w:tc>
          <w:tcPr>
            <w:tcW w:w="860" w:type="dxa"/>
            <w:vAlign w:val="bottom"/>
            <w:tcBorders>
              <w:bottom w:val="single" w:sz="8" w:color="3B5AA4"/>
            </w:tcBorders>
          </w:tcPr>
          <w:p>
            <w:pPr>
              <w:spacing w:after="0"/>
              <w:rPr>
                <w:sz w:val="24"/>
                <w:szCs w:val="24"/>
                <w:color w:val="auto"/>
              </w:rPr>
            </w:pPr>
          </w:p>
        </w:tc>
        <w:tc>
          <w:tcPr>
            <w:tcW w:w="680" w:type="dxa"/>
            <w:vAlign w:val="bottom"/>
            <w:tcBorders>
              <w:bottom w:val="single" w:sz="8" w:color="3B5AA4"/>
            </w:tcBorders>
          </w:tcPr>
          <w:p>
            <w:pPr>
              <w:spacing w:after="0"/>
              <w:rPr>
                <w:sz w:val="24"/>
                <w:szCs w:val="24"/>
                <w:color w:val="auto"/>
              </w:rPr>
            </w:pPr>
          </w:p>
        </w:tc>
        <w:tc>
          <w:tcPr>
            <w:tcW w:w="640" w:type="dxa"/>
            <w:vAlign w:val="bottom"/>
            <w:tcBorders>
              <w:bottom w:val="single" w:sz="8" w:color="3B5AA4"/>
            </w:tcBorders>
          </w:tcPr>
          <w:p>
            <w:pPr>
              <w:spacing w:after="0"/>
              <w:rPr>
                <w:sz w:val="24"/>
                <w:szCs w:val="24"/>
                <w:color w:val="auto"/>
              </w:rPr>
            </w:pPr>
          </w:p>
        </w:tc>
        <w:tc>
          <w:tcPr>
            <w:tcW w:w="660" w:type="dxa"/>
            <w:vAlign w:val="bottom"/>
            <w:tcBorders>
              <w:bottom w:val="single" w:sz="8" w:color="3B5AA4"/>
            </w:tcBorders>
          </w:tcPr>
          <w:p>
            <w:pPr>
              <w:spacing w:after="0"/>
              <w:rPr>
                <w:sz w:val="24"/>
                <w:szCs w:val="24"/>
                <w:color w:val="auto"/>
              </w:rPr>
            </w:pPr>
          </w:p>
        </w:tc>
        <w:tc>
          <w:tcPr>
            <w:tcW w:w="700" w:type="dxa"/>
            <w:vAlign w:val="bottom"/>
            <w:tcBorders>
              <w:bottom w:val="single" w:sz="8" w:color="3B5AA4"/>
            </w:tcBorders>
          </w:tcPr>
          <w:p>
            <w:pPr>
              <w:spacing w:after="0"/>
              <w:rPr>
                <w:sz w:val="24"/>
                <w:szCs w:val="24"/>
                <w:color w:val="auto"/>
              </w:rPr>
            </w:pPr>
          </w:p>
        </w:tc>
        <w:tc>
          <w:tcPr>
            <w:tcW w:w="580" w:type="dxa"/>
            <w:vAlign w:val="bottom"/>
            <w:tcBorders>
              <w:bottom w:val="single" w:sz="8" w:color="3B5AA4"/>
            </w:tcBorders>
          </w:tcPr>
          <w:p>
            <w:pPr>
              <w:spacing w:after="0"/>
              <w:rPr>
                <w:sz w:val="24"/>
                <w:szCs w:val="24"/>
                <w:color w:val="auto"/>
              </w:rPr>
            </w:pPr>
          </w:p>
        </w:tc>
        <w:tc>
          <w:tcPr>
            <w:tcW w:w="1680" w:type="dxa"/>
            <w:vAlign w:val="bottom"/>
            <w:tcBorders>
              <w:bottom w:val="single" w:sz="8" w:color="3B5AA4"/>
            </w:tcBorders>
          </w:tcPr>
          <w:p>
            <w:pPr>
              <w:spacing w:after="0"/>
              <w:rPr>
                <w:sz w:val="24"/>
                <w:szCs w:val="24"/>
                <w:color w:val="auto"/>
              </w:rPr>
            </w:pPr>
          </w:p>
        </w:tc>
      </w:tr>
      <w:tr>
        <w:trPr>
          <w:trHeight w:val="210"/>
        </w:trPr>
        <w:tc>
          <w:tcPr>
            <w:tcW w:w="2960" w:type="dxa"/>
            <w:vAlign w:val="bottom"/>
            <w:shd w:val="clear" w:color="auto" w:fill="DAEBF8"/>
          </w:tcPr>
          <w:p>
            <w:pPr>
              <w:ind w:left="80"/>
              <w:spacing w:after="0"/>
              <w:rPr>
                <w:sz w:val="20"/>
                <w:szCs w:val="20"/>
                <w:color w:val="auto"/>
              </w:rPr>
            </w:pPr>
            <w:r>
              <w:rPr>
                <w:rFonts w:ascii="Arial" w:cs="Arial" w:eastAsia="Arial" w:hAnsi="Arial"/>
                <w:sz w:val="14"/>
                <w:szCs w:val="14"/>
                <w:color w:val="auto"/>
              </w:rPr>
              <w:t>75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DAEBF8"/>
          </w:tcPr>
          <w:p>
            <w:pPr>
              <w:jc w:val="right"/>
              <w:ind w:right="68"/>
              <w:spacing w:after="0"/>
              <w:rPr>
                <w:sz w:val="20"/>
                <w:szCs w:val="20"/>
                <w:color w:val="auto"/>
              </w:rPr>
            </w:pPr>
            <w:r>
              <w:rPr>
                <w:rFonts w:ascii="Arial" w:cs="Arial" w:eastAsia="Arial" w:hAnsi="Arial"/>
                <w:sz w:val="14"/>
                <w:szCs w:val="14"/>
                <w:color w:val="auto"/>
              </w:rPr>
              <w:t>188,155</w:t>
            </w:r>
          </w:p>
        </w:tc>
        <w:tc>
          <w:tcPr>
            <w:tcW w:w="6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DAEBF8"/>
          </w:tcPr>
          <w:p>
            <w:pPr>
              <w:jc w:val="right"/>
              <w:ind w:right="48"/>
              <w:spacing w:after="0"/>
              <w:rPr>
                <w:sz w:val="20"/>
                <w:szCs w:val="20"/>
                <w:color w:val="auto"/>
              </w:rPr>
            </w:pPr>
            <w:r>
              <w:rPr>
                <w:rFonts w:ascii="Arial" w:cs="Arial" w:eastAsia="Arial" w:hAnsi="Arial"/>
                <w:sz w:val="14"/>
                <w:szCs w:val="14"/>
                <w:color w:val="auto"/>
              </w:rPr>
              <w:t>174,083</w:t>
            </w:r>
          </w:p>
        </w:tc>
        <w:tc>
          <w:tcPr>
            <w:tcW w:w="1280" w:type="dxa"/>
            <w:vAlign w:val="bottom"/>
            <w:gridSpan w:val="2"/>
            <w:shd w:val="clear" w:color="auto" w:fill="DAEBF8"/>
          </w:tcPr>
          <w:p>
            <w:pPr>
              <w:ind w:left="580"/>
              <w:spacing w:after="0"/>
              <w:rPr>
                <w:sz w:val="20"/>
                <w:szCs w:val="20"/>
                <w:color w:val="auto"/>
              </w:rPr>
            </w:pPr>
            <w:r>
              <w:rPr>
                <w:rFonts w:ascii="Arial" w:cs="Arial" w:eastAsia="Arial" w:hAnsi="Arial"/>
                <w:sz w:val="14"/>
                <w:szCs w:val="14"/>
                <w:color w:val="auto"/>
              </w:rPr>
              <w:t>$ 48,320</w:t>
            </w:r>
          </w:p>
        </w:tc>
        <w:tc>
          <w:tcPr>
            <w:tcW w:w="16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40,550</w:t>
            </w:r>
          </w:p>
        </w:tc>
      </w:tr>
      <w:tr>
        <w:trPr>
          <w:trHeight w:val="230"/>
        </w:trPr>
        <w:tc>
          <w:tcPr>
            <w:tcW w:w="2960" w:type="dxa"/>
            <w:vAlign w:val="bottom"/>
          </w:tcPr>
          <w:p>
            <w:pPr>
              <w:ind w:left="80"/>
              <w:spacing w:after="0"/>
              <w:rPr>
                <w:sz w:val="20"/>
                <w:szCs w:val="20"/>
                <w:color w:val="auto"/>
              </w:rPr>
            </w:pPr>
            <w:r>
              <w:rPr>
                <w:rFonts w:ascii="Arial" w:cs="Arial" w:eastAsia="Arial" w:hAnsi="Arial"/>
                <w:sz w:val="14"/>
                <w:szCs w:val="14"/>
                <w:b w:val="1"/>
                <w:bCs w:val="1"/>
                <w:color w:val="auto"/>
              </w:rPr>
              <w:t>Median</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121,750</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120,000</w:t>
            </w:r>
          </w:p>
        </w:tc>
        <w:tc>
          <w:tcPr>
            <w:tcW w:w="1280" w:type="dxa"/>
            <w:vAlign w:val="bottom"/>
            <w:gridSpan w:val="2"/>
          </w:tcPr>
          <w:p>
            <w:pPr>
              <w:ind w:left="580"/>
              <w:spacing w:after="0"/>
              <w:rPr>
                <w:sz w:val="20"/>
                <w:szCs w:val="20"/>
                <w:color w:val="auto"/>
              </w:rPr>
            </w:pPr>
            <w:r>
              <w:rPr>
                <w:rFonts w:ascii="Arial" w:cs="Arial" w:eastAsia="Arial" w:hAnsi="Arial"/>
                <w:sz w:val="14"/>
                <w:szCs w:val="14"/>
                <w:b w:val="1"/>
                <w:bCs w:val="1"/>
                <w:color w:val="auto"/>
              </w:rPr>
              <w:t>$ 28,735</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17,600</w:t>
            </w:r>
          </w:p>
        </w:tc>
      </w:tr>
      <w:tr>
        <w:trPr>
          <w:trHeight w:val="230"/>
        </w:trPr>
        <w:tc>
          <w:tcPr>
            <w:tcW w:w="2960" w:type="dxa"/>
            <w:vAlign w:val="bottom"/>
            <w:shd w:val="clear" w:color="auto" w:fill="DAEBF8"/>
          </w:tcPr>
          <w:p>
            <w:pPr>
              <w:ind w:left="80"/>
              <w:spacing w:after="0"/>
              <w:rPr>
                <w:sz w:val="20"/>
                <w:szCs w:val="20"/>
                <w:color w:val="auto"/>
              </w:rPr>
            </w:pPr>
            <w:r>
              <w:rPr>
                <w:rFonts w:ascii="Arial" w:cs="Arial" w:eastAsia="Arial" w:hAnsi="Arial"/>
                <w:sz w:val="14"/>
                <w:szCs w:val="14"/>
                <w:color w:val="auto"/>
              </w:rPr>
              <w:t>25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DAEBF8"/>
          </w:tcPr>
          <w:p>
            <w:pPr>
              <w:jc w:val="right"/>
              <w:ind w:right="68"/>
              <w:spacing w:after="0"/>
              <w:rPr>
                <w:sz w:val="20"/>
                <w:szCs w:val="20"/>
                <w:color w:val="auto"/>
              </w:rPr>
            </w:pPr>
            <w:r>
              <w:rPr>
                <w:rFonts w:ascii="Arial" w:cs="Arial" w:eastAsia="Arial" w:hAnsi="Arial"/>
                <w:sz w:val="14"/>
                <w:szCs w:val="14"/>
                <w:color w:val="auto"/>
              </w:rPr>
              <w:t>26,498</w:t>
            </w:r>
          </w:p>
        </w:tc>
        <w:tc>
          <w:tcPr>
            <w:tcW w:w="6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DAEBF8"/>
          </w:tcPr>
          <w:p>
            <w:pPr>
              <w:jc w:val="right"/>
              <w:ind w:right="48"/>
              <w:spacing w:after="0"/>
              <w:rPr>
                <w:sz w:val="20"/>
                <w:szCs w:val="20"/>
                <w:color w:val="auto"/>
              </w:rPr>
            </w:pPr>
            <w:r>
              <w:rPr>
                <w:rFonts w:ascii="Arial" w:cs="Arial" w:eastAsia="Arial" w:hAnsi="Arial"/>
                <w:sz w:val="14"/>
                <w:szCs w:val="14"/>
                <w:color w:val="auto"/>
              </w:rPr>
              <w:t>25,824</w:t>
            </w:r>
          </w:p>
        </w:tc>
        <w:tc>
          <w:tcPr>
            <w:tcW w:w="700" w:type="dxa"/>
            <w:vAlign w:val="bottom"/>
            <w:shd w:val="clear" w:color="auto" w:fill="DAEBF8"/>
          </w:tcPr>
          <w:p>
            <w:pPr>
              <w:ind w:left="580"/>
              <w:spacing w:after="0"/>
              <w:rPr>
                <w:sz w:val="20"/>
                <w:szCs w:val="20"/>
                <w:color w:val="auto"/>
              </w:rPr>
            </w:pPr>
            <w:r>
              <w:rPr>
                <w:rFonts w:ascii="Arial" w:cs="Arial" w:eastAsia="Arial" w:hAnsi="Arial"/>
                <w:sz w:val="14"/>
                <w:szCs w:val="14"/>
                <w:color w:val="auto"/>
              </w:rPr>
              <w:t>$</w:t>
            </w:r>
          </w:p>
        </w:tc>
        <w:tc>
          <w:tcPr>
            <w:tcW w:w="580" w:type="dxa"/>
            <w:vAlign w:val="bottom"/>
            <w:shd w:val="clear" w:color="auto" w:fill="DAEBF8"/>
          </w:tcPr>
          <w:p>
            <w:pPr>
              <w:ind w:left="60"/>
              <w:spacing w:after="0"/>
              <w:rPr>
                <w:sz w:val="20"/>
                <w:szCs w:val="20"/>
                <w:color w:val="auto"/>
              </w:rPr>
            </w:pPr>
            <w:r>
              <w:rPr>
                <w:rFonts w:ascii="Arial" w:cs="Arial" w:eastAsia="Arial" w:hAnsi="Arial"/>
                <w:sz w:val="14"/>
                <w:szCs w:val="14"/>
                <w:color w:val="auto"/>
              </w:rPr>
              <w:t>7,115</w:t>
            </w:r>
          </w:p>
        </w:tc>
        <w:tc>
          <w:tcPr>
            <w:tcW w:w="16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4,570</w:t>
            </w:r>
          </w:p>
        </w:tc>
      </w:tr>
      <w:tr>
        <w:trPr>
          <w:trHeight w:val="229"/>
        </w:trPr>
        <w:tc>
          <w:tcPr>
            <w:tcW w:w="2960" w:type="dxa"/>
            <w:vAlign w:val="bottom"/>
          </w:tcPr>
          <w:p>
            <w:pPr>
              <w:ind w:left="80"/>
              <w:spacing w:after="0"/>
              <w:rPr>
                <w:sz w:val="20"/>
                <w:szCs w:val="20"/>
                <w:color w:val="auto"/>
              </w:rPr>
            </w:pPr>
            <w:r>
              <w:rPr>
                <w:rFonts w:ascii="Arial" w:cs="Arial" w:eastAsia="Arial" w:hAnsi="Arial"/>
                <w:sz w:val="14"/>
                <w:szCs w:val="14"/>
                <w:b w:val="1"/>
                <w:bCs w:val="1"/>
                <w:color w:val="auto"/>
              </w:rPr>
              <w:t>Regeneron Pharmaceuticals, Inc.</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68,172</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61,482</w:t>
            </w:r>
          </w:p>
        </w:tc>
        <w:tc>
          <w:tcPr>
            <w:tcW w:w="1280" w:type="dxa"/>
            <w:vAlign w:val="bottom"/>
            <w:gridSpan w:val="2"/>
          </w:tcPr>
          <w:p>
            <w:pPr>
              <w:ind w:left="580"/>
              <w:spacing w:after="0"/>
              <w:rPr>
                <w:sz w:val="20"/>
                <w:szCs w:val="20"/>
                <w:color w:val="auto"/>
              </w:rPr>
            </w:pPr>
            <w:r>
              <w:rPr>
                <w:rFonts w:ascii="Arial" w:cs="Arial" w:eastAsia="Arial" w:hAnsi="Arial"/>
                <w:sz w:val="14"/>
                <w:szCs w:val="14"/>
                <w:b w:val="1"/>
                <w:bCs w:val="1"/>
                <w:color w:val="auto"/>
              </w:rPr>
              <w:t>$ 14,086</w:t>
            </w:r>
          </w:p>
        </w:tc>
        <w:tc>
          <w:tcPr>
            <w:tcW w:w="1680" w:type="dxa"/>
            <w:vAlign w:val="bottom"/>
          </w:tcPr>
          <w:p>
            <w:pPr>
              <w:jc w:val="right"/>
              <w:spacing w:after="0"/>
              <w:rPr>
                <w:sz w:val="20"/>
                <w:szCs w:val="20"/>
                <w:color w:val="auto"/>
              </w:rPr>
            </w:pPr>
            <w:r>
              <w:rPr>
                <w:rFonts w:ascii="Arial" w:cs="Arial" w:eastAsia="Arial" w:hAnsi="Arial"/>
                <w:sz w:val="14"/>
                <w:szCs w:val="14"/>
                <w:color w:val="auto"/>
              </w:rPr>
              <w:t>15,222</w:t>
            </w:r>
          </w:p>
        </w:tc>
      </w:tr>
      <w:tr>
        <w:trPr>
          <w:trHeight w:val="230"/>
        </w:trPr>
        <w:tc>
          <w:tcPr>
            <w:tcW w:w="2960" w:type="dxa"/>
            <w:vAlign w:val="bottom"/>
            <w:tcBorders>
              <w:bottom w:val="single" w:sz="8" w:color="3B5AA4"/>
            </w:tcBorders>
            <w:shd w:val="clear" w:color="auto" w:fill="DAEBF8"/>
          </w:tcPr>
          <w:p>
            <w:pPr>
              <w:ind w:left="80"/>
              <w:spacing w:after="0"/>
              <w:rPr>
                <w:sz w:val="20"/>
                <w:szCs w:val="20"/>
                <w:color w:val="auto"/>
              </w:rPr>
            </w:pPr>
            <w:r>
              <w:rPr>
                <w:rFonts w:ascii="Arial" w:cs="Arial" w:eastAsia="Arial" w:hAnsi="Arial"/>
                <w:sz w:val="14"/>
                <w:szCs w:val="14"/>
                <w:b w:val="1"/>
                <w:bCs w:val="1"/>
                <w:i w:val="1"/>
                <w:iCs w:val="1"/>
                <w:color w:val="auto"/>
              </w:rPr>
              <w:t>Percentile Rank</w:t>
            </w:r>
          </w:p>
        </w:tc>
        <w:tc>
          <w:tcPr>
            <w:tcW w:w="860" w:type="dxa"/>
            <w:vAlign w:val="bottom"/>
            <w:tcBorders>
              <w:bottom w:val="single" w:sz="8" w:color="3B5AA4"/>
            </w:tcBorders>
            <w:shd w:val="clear" w:color="auto" w:fill="DAEBF8"/>
          </w:tcPr>
          <w:p>
            <w:pPr>
              <w:spacing w:after="0"/>
              <w:rPr>
                <w:sz w:val="19"/>
                <w:szCs w:val="19"/>
                <w:color w:val="auto"/>
              </w:rPr>
            </w:pPr>
          </w:p>
        </w:tc>
        <w:tc>
          <w:tcPr>
            <w:tcW w:w="680" w:type="dxa"/>
            <w:vAlign w:val="bottom"/>
            <w:tcBorders>
              <w:bottom w:val="single" w:sz="8" w:color="3B5AA4"/>
            </w:tcBorders>
            <w:shd w:val="clear" w:color="auto" w:fill="DAEBF8"/>
          </w:tcPr>
          <w:p>
            <w:pPr>
              <w:jc w:val="right"/>
              <w:ind w:right="48"/>
              <w:spacing w:after="0"/>
              <w:rPr>
                <w:sz w:val="20"/>
                <w:szCs w:val="20"/>
                <w:color w:val="auto"/>
              </w:rPr>
            </w:pPr>
            <w:r>
              <w:rPr>
                <w:rFonts w:ascii="Arial" w:cs="Arial" w:eastAsia="Arial" w:hAnsi="Arial"/>
                <w:sz w:val="14"/>
                <w:szCs w:val="14"/>
                <w:b w:val="1"/>
                <w:bCs w:val="1"/>
                <w:i w:val="1"/>
                <w:iCs w:val="1"/>
                <w:color w:val="auto"/>
              </w:rPr>
              <w:t>P34</w:t>
            </w:r>
          </w:p>
        </w:tc>
        <w:tc>
          <w:tcPr>
            <w:tcW w:w="640" w:type="dxa"/>
            <w:vAlign w:val="bottom"/>
            <w:tcBorders>
              <w:bottom w:val="single" w:sz="8" w:color="3B5AA4"/>
            </w:tcBorders>
            <w:shd w:val="clear" w:color="auto" w:fill="DAEBF8"/>
          </w:tcPr>
          <w:p>
            <w:pPr>
              <w:spacing w:after="0"/>
              <w:rPr>
                <w:sz w:val="19"/>
                <w:szCs w:val="19"/>
                <w:color w:val="auto"/>
              </w:rPr>
            </w:pPr>
          </w:p>
        </w:tc>
        <w:tc>
          <w:tcPr>
            <w:tcW w:w="660" w:type="dxa"/>
            <w:vAlign w:val="bottom"/>
            <w:tcBorders>
              <w:bottom w:val="single" w:sz="8" w:color="3B5AA4"/>
            </w:tcBorders>
            <w:shd w:val="clear" w:color="auto" w:fill="DAEBF8"/>
          </w:tcPr>
          <w:p>
            <w:pPr>
              <w:jc w:val="right"/>
              <w:ind w:right="48"/>
              <w:spacing w:after="0"/>
              <w:rPr>
                <w:sz w:val="20"/>
                <w:szCs w:val="20"/>
                <w:color w:val="auto"/>
              </w:rPr>
            </w:pPr>
            <w:r>
              <w:rPr>
                <w:rFonts w:ascii="Arial" w:cs="Arial" w:eastAsia="Arial" w:hAnsi="Arial"/>
                <w:sz w:val="14"/>
                <w:szCs w:val="14"/>
                <w:b w:val="1"/>
                <w:bCs w:val="1"/>
                <w:i w:val="1"/>
                <w:iCs w:val="1"/>
                <w:color w:val="auto"/>
              </w:rPr>
              <w:t>P34</w:t>
            </w:r>
          </w:p>
        </w:tc>
        <w:tc>
          <w:tcPr>
            <w:tcW w:w="700" w:type="dxa"/>
            <w:vAlign w:val="bottom"/>
            <w:tcBorders>
              <w:bottom w:val="single" w:sz="8" w:color="3B5AA4"/>
            </w:tcBorders>
            <w:shd w:val="clear" w:color="auto" w:fill="DAEBF8"/>
          </w:tcPr>
          <w:p>
            <w:pPr>
              <w:spacing w:after="0"/>
              <w:rPr>
                <w:sz w:val="19"/>
                <w:szCs w:val="19"/>
                <w:color w:val="auto"/>
              </w:rPr>
            </w:pPr>
          </w:p>
        </w:tc>
        <w:tc>
          <w:tcPr>
            <w:tcW w:w="580" w:type="dxa"/>
            <w:vAlign w:val="bottom"/>
            <w:tcBorders>
              <w:bottom w:val="single" w:sz="8" w:color="3B5AA4"/>
            </w:tcBorders>
            <w:shd w:val="clear" w:color="auto" w:fill="DAEBF8"/>
          </w:tcPr>
          <w:p>
            <w:pPr>
              <w:jc w:val="right"/>
              <w:ind w:right="88"/>
              <w:spacing w:after="0"/>
              <w:rPr>
                <w:sz w:val="20"/>
                <w:szCs w:val="20"/>
                <w:color w:val="auto"/>
              </w:rPr>
            </w:pPr>
            <w:r>
              <w:rPr>
                <w:rFonts w:ascii="Arial" w:cs="Arial" w:eastAsia="Arial" w:hAnsi="Arial"/>
                <w:sz w:val="14"/>
                <w:szCs w:val="14"/>
                <w:b w:val="1"/>
                <w:bCs w:val="1"/>
                <w:i w:val="1"/>
                <w:iCs w:val="1"/>
                <w:color w:val="auto"/>
              </w:rPr>
              <w:t>P42</w:t>
            </w:r>
          </w:p>
        </w:tc>
        <w:tc>
          <w:tcPr>
            <w:tcW w:w="1680" w:type="dxa"/>
            <w:vAlign w:val="bottom"/>
            <w:tcBorders>
              <w:bottom w:val="single" w:sz="8" w:color="3B5AA4"/>
            </w:tcBorders>
            <w:shd w:val="clear" w:color="auto" w:fill="DAEBF8"/>
          </w:tcPr>
          <w:p>
            <w:pPr>
              <w:jc w:val="right"/>
              <w:spacing w:after="0"/>
              <w:rPr>
                <w:sz w:val="20"/>
                <w:szCs w:val="20"/>
                <w:color w:val="auto"/>
              </w:rPr>
            </w:pPr>
            <w:r>
              <w:rPr>
                <w:rFonts w:ascii="Arial" w:cs="Arial" w:eastAsia="Arial" w:hAnsi="Arial"/>
                <w:sz w:val="14"/>
                <w:szCs w:val="14"/>
                <w:b w:val="1"/>
                <w:bCs w:val="1"/>
                <w:i w:val="1"/>
                <w:iCs w:val="1"/>
                <w:color w:val="auto"/>
              </w:rPr>
              <w:t>P48</w:t>
            </w:r>
          </w:p>
        </w:tc>
      </w:tr>
    </w:tbl>
    <w:p>
      <w:pPr>
        <w:spacing w:after="0" w:line="99" w:lineRule="exact"/>
        <w:rPr>
          <w:sz w:val="20"/>
          <w:szCs w:val="20"/>
          <w:color w:val="auto"/>
        </w:rPr>
      </w:pPr>
    </w:p>
    <w:p>
      <w:pPr>
        <w:ind w:left="320" w:hanging="190"/>
        <w:spacing w:after="0"/>
        <w:tabs>
          <w:tab w:leader="none" w:pos="320" w:val="left"/>
        </w:tabs>
        <w:numPr>
          <w:ilvl w:val="0"/>
          <w:numId w:val="145"/>
        </w:numPr>
        <w:rPr>
          <w:rFonts w:ascii="Arial" w:cs="Arial" w:eastAsia="Arial" w:hAnsi="Arial"/>
          <w:sz w:val="16"/>
          <w:szCs w:val="16"/>
          <w:color w:val="auto"/>
          <w:vertAlign w:val="superscript"/>
        </w:rPr>
      </w:pPr>
      <w:r>
        <w:rPr>
          <w:rFonts w:ascii="Arial" w:cs="Arial" w:eastAsia="Arial" w:hAnsi="Arial"/>
          <w:sz w:val="13"/>
          <w:szCs w:val="13"/>
          <w:color w:val="auto"/>
        </w:rPr>
        <w:t>Based on available data as of May 2025</w:t>
      </w:r>
    </w:p>
    <w:p>
      <w:pPr>
        <w:spacing w:after="0" w:line="148" w:lineRule="exact"/>
        <w:rPr>
          <w:sz w:val="20"/>
          <w:szCs w:val="20"/>
          <w:color w:val="auto"/>
        </w:rPr>
      </w:pPr>
    </w:p>
    <w:p>
      <w:pPr>
        <w:ind w:left="140" w:right="139"/>
        <w:spacing w:after="0" w:line="278" w:lineRule="auto"/>
        <w:rPr>
          <w:sz w:val="20"/>
          <w:szCs w:val="20"/>
          <w:color w:val="auto"/>
        </w:rPr>
      </w:pPr>
      <w:r>
        <w:rPr>
          <w:rFonts w:ascii="Arial" w:cs="Arial" w:eastAsia="Arial" w:hAnsi="Arial"/>
          <w:sz w:val="16"/>
          <w:szCs w:val="16"/>
          <w:color w:val="auto"/>
        </w:rPr>
        <w:t>In making the compensation decisions in December 2025, we used data from publicly filed proxy statements of the companies in the Peer Group (as compiled by the Compensation Committee’s compensation consultant and management's compensation consultant) to review each component of compensation of our NEOs against their peers in the Peer Group as well as their total annual compensation in relation to the Peer Group, while giving regard to various factors such as the executives’ respective performance, past compensation history, experience, and role in the Company’s success. We use Peer Group data as a point of reference for measurement, but Peer Group data do not represent the only factor considered and there is no targeted pay level percentile or benchmarking. The Compensation Committee retains discretion in determining the nature and extent of the use of Peer Group data. The Compensation Committee may also review relevant data from U.S. life sciences compensation surveys. The total direct pay of each of our NEOs typically approximates the 75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of a composite benchmark reflecting data from the Peer Group and broader U.S. life sciences compensation surveys.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77</w:t>
            </w:r>
          </w:p>
        </w:tc>
      </w:tr>
    </w:tbl>
    <w:p>
      <w:pPr>
        <w:sectPr>
          <w:pgSz w:w="11900" w:h="16838" w:orient="portrait"/>
          <w:cols w:equalWidth="0" w:num="1">
            <w:col w:w="9019"/>
          </w:cols>
          <w:pgMar w:left="1440" w:top="657" w:right="1440" w:bottom="1440" w:gutter="0" w:footer="0" w:header="0"/>
        </w:sectPr>
      </w:pPr>
    </w:p>
    <w:bookmarkStart w:id="86" w:name="page87"/>
    <w:bookmarkEnd w:id="86"/>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Risk Assessment</w:t>
      </w:r>
    </w:p>
    <w:p>
      <w:pPr>
        <w:spacing w:after="0" w:line="180" w:lineRule="exact"/>
        <w:rPr>
          <w:sz w:val="20"/>
          <w:szCs w:val="20"/>
          <w:color w:val="auto"/>
        </w:rPr>
      </w:pPr>
    </w:p>
    <w:p>
      <w:pPr>
        <w:ind w:left="140" w:right="179"/>
        <w:spacing w:after="0" w:line="288" w:lineRule="auto"/>
        <w:rPr>
          <w:sz w:val="20"/>
          <w:szCs w:val="20"/>
          <w:color w:val="auto"/>
        </w:rPr>
      </w:pPr>
      <w:r>
        <w:rPr>
          <w:rFonts w:ascii="Arial" w:cs="Arial" w:eastAsia="Arial" w:hAnsi="Arial"/>
          <w:sz w:val="16"/>
          <w:szCs w:val="16"/>
          <w:color w:val="auto"/>
        </w:rPr>
        <w:t>We believe that the Company’s programs balance risk and potential reward in a manner that is appropriate to the Company’s circumstances and in the best interests of the Company’s shareholders over the long term. We regularly review the Company’s compensation and benefits programs, including its executive compensation program and its incentive-based compensation programs (such as sales incentive plans) for employees. At least annually, the Compensation Committee reviews and considers a compensation program risk assessment performed by its independent compensation consultant. Based on these reviews and discussions, the Compensation Committee does not believe our compensation program creates risks that are reasonably likely to have a material adverse effect on the Company.</w:t>
      </w:r>
    </w:p>
    <w:p>
      <w:pPr>
        <w:spacing w:after="0" w:line="102" w:lineRule="exact"/>
        <w:rPr>
          <w:sz w:val="20"/>
          <w:szCs w:val="20"/>
          <w:color w:val="auto"/>
        </w:rPr>
      </w:pPr>
    </w:p>
    <w:p>
      <w:pPr>
        <w:ind w:left="140" w:right="159"/>
        <w:spacing w:after="0" w:line="283" w:lineRule="auto"/>
        <w:rPr>
          <w:sz w:val="20"/>
          <w:szCs w:val="20"/>
          <w:color w:val="auto"/>
        </w:rPr>
      </w:pPr>
      <w:r>
        <w:rPr>
          <w:rFonts w:ascii="Arial" w:cs="Arial" w:eastAsia="Arial" w:hAnsi="Arial"/>
          <w:sz w:val="16"/>
          <w:szCs w:val="16"/>
          <w:color w:val="auto"/>
        </w:rPr>
        <w:t>The Company’s compensation and governance-related policies are further enhanced by our stock ownership guidelines applicable to our senior officers (see “Corporate Governance—Certain Governance Policies—Stock Ownership Guidelines” for more information) and our policy regarding recoupment or reduction (clawback) of incentive compensation. Since 2015, the Company has maintained a policy regarding recoupment or reduction (clawback) of incentive compensation awarded to our officers and other specified employees for compliance violations, which applies to bonus and other incentive compensation regardless of whether paid or payable in cash, equity, or otherwise and regardless of whether such compensation has been earned or vested (the “Clawback Policy”). In addition, the Clawback Policy covers both financial and non-financial violations resulting in a significant harm to the Company’s business, prospects, results of operations, or financial condition. Under the Clawback Policy, the board and any designated committee of the board have full discretion to make recoupment and reduction decisions as they may deem appropriate subject to applicable law, the Company’s compensation plans in effect from time to time, and all relevant contractual obligations. In addition, in 2023, the Company adopted a supplement to the Clawback Policy (the “Clawback Policy Supplement”) to comply with changes to the listing standards of the Nasdaq Stock Market LLC. The Clawback Policy Supplement generally provides that, in the event we are required to prepare an accounting restatement due to material noncompliance with financial reporting requirements, we will recover any Incentive-Based Compensation (as defined below) erroneously received on or after October 2, 2023 by a current or former “officer” of the Company (as defined under Section 16 of the Exchange Act) during the three completed fiscal years immediately preceding the date on which the accounting restatement is determined to be required. Under the Clawback Policy Supplement, “Incentive-Based Compensation” is defined as any compensation that is granted, earned, or vested based wholly or in part upon the attainment of a financial reporting measure (which is defined to include stock price and TSR).</w:t>
      </w:r>
    </w:p>
    <w:p>
      <w:pPr>
        <w:spacing w:after="0" w:line="116" w:lineRule="exact"/>
        <w:rPr>
          <w:sz w:val="20"/>
          <w:szCs w:val="20"/>
          <w:color w:val="auto"/>
        </w:rPr>
      </w:pPr>
    </w:p>
    <w:p>
      <w:pPr>
        <w:ind w:left="140" w:right="319"/>
        <w:spacing w:after="0" w:line="291" w:lineRule="auto"/>
        <w:rPr>
          <w:sz w:val="20"/>
          <w:szCs w:val="20"/>
          <w:color w:val="auto"/>
        </w:rPr>
      </w:pPr>
      <w:r>
        <w:rPr>
          <w:rFonts w:ascii="Arial" w:cs="Arial" w:eastAsia="Arial" w:hAnsi="Arial"/>
          <w:sz w:val="16"/>
          <w:szCs w:val="16"/>
          <w:color w:val="auto"/>
        </w:rPr>
        <w:t>We also have adopted policies against hedging and pledging of our securities by our directors and employees, including the NEOs; and against including excise tax gross-up provisions with respect to payments contingent upon a change in control of Regeneron in contracts, compensatory plans, or other arrangements with the Company’s executive officers, including the NEOs (other than the existing employment agreement with our CEO or any amendments thereto, which is expressly exempted).</w:t>
      </w:r>
    </w:p>
    <w:p>
      <w:pPr>
        <w:spacing w:after="0" w:line="113" w:lineRule="exact"/>
        <w:rPr>
          <w:sz w:val="20"/>
          <w:szCs w:val="20"/>
          <w:color w:val="auto"/>
        </w:rPr>
      </w:pPr>
    </w:p>
    <w:p>
      <w:pPr>
        <w:ind w:left="140" w:right="159"/>
        <w:spacing w:after="0" w:line="301" w:lineRule="auto"/>
        <w:rPr>
          <w:sz w:val="20"/>
          <w:szCs w:val="20"/>
          <w:color w:val="auto"/>
        </w:rPr>
      </w:pPr>
      <w:r>
        <w:rPr>
          <w:rFonts w:ascii="Arial" w:cs="Arial" w:eastAsia="Arial" w:hAnsi="Arial"/>
          <w:sz w:val="16"/>
          <w:szCs w:val="16"/>
          <w:color w:val="auto"/>
        </w:rPr>
        <w:t>These policies demonstrate Regeneron’s continued commitment to robust corporate governance and are meant to reduce compensation-related risks and ensure greater alignment of the interests of our employees, including the NEOs, and those of the Company and our shareholders.</w:t>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Tax Implications</w:t>
      </w:r>
    </w:p>
    <w:p>
      <w:pPr>
        <w:spacing w:after="0" w:line="180" w:lineRule="exact"/>
        <w:rPr>
          <w:sz w:val="20"/>
          <w:szCs w:val="20"/>
          <w:color w:val="auto"/>
        </w:rPr>
      </w:pPr>
    </w:p>
    <w:p>
      <w:pPr>
        <w:jc w:val="both"/>
        <w:ind w:left="140" w:right="199"/>
        <w:spacing w:after="0" w:line="291" w:lineRule="auto"/>
        <w:rPr>
          <w:sz w:val="20"/>
          <w:szCs w:val="20"/>
          <w:color w:val="auto"/>
        </w:rPr>
      </w:pPr>
      <w:r>
        <w:rPr>
          <w:rFonts w:ascii="Arial" w:cs="Arial" w:eastAsia="Arial" w:hAnsi="Arial"/>
          <w:sz w:val="16"/>
          <w:szCs w:val="16"/>
          <w:color w:val="auto"/>
        </w:rPr>
        <w:t>We take tax considerations into account in making our compensation-related assessments and decisions, including the deductibility of compensation in determining NEOs’ compensation. However, we reserve the right to use our judgment to authorize compensation payments that are not deductible, such as when we believe that such payments are necessary to maintain the flexibility needed to attract talent, promote executive retention, reward performance, or attain other Company objectives, or as required to comply with the Company’s contractual commitments.</w:t>
      </w:r>
    </w:p>
    <w:p>
      <w:pPr>
        <w:spacing w:after="0" w:line="113" w:lineRule="exact"/>
        <w:rPr>
          <w:sz w:val="20"/>
          <w:szCs w:val="20"/>
          <w:color w:val="auto"/>
        </w:rPr>
      </w:pPr>
    </w:p>
    <w:p>
      <w:pPr>
        <w:ind w:left="140" w:right="219"/>
        <w:spacing w:after="0" w:line="289" w:lineRule="auto"/>
        <w:rPr>
          <w:sz w:val="20"/>
          <w:szCs w:val="20"/>
          <w:color w:val="auto"/>
        </w:rPr>
      </w:pPr>
      <w:r>
        <w:rPr>
          <w:rFonts w:ascii="Arial" w:cs="Arial" w:eastAsia="Arial" w:hAnsi="Arial"/>
          <w:sz w:val="16"/>
          <w:szCs w:val="16"/>
          <w:color w:val="auto"/>
        </w:rPr>
        <w:t>Due to the requirements set forth in Section 274(e)(2) of the Internal Revenue Code, Company-provided personal and guest air travel (which is provided by the Company only to the extent permitted under board-approved guidelines and a security policy adopted by the board based on an independent, third-party security study) results in a partial disallowance of the related corporate tax deductions. In 2025, this disallowance amounted to approximately $4.1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78</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87" w:name="page88"/>
    <w:bookmarkEnd w:id="87"/>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Compensation Committee Report</w:t>
      </w:r>
    </w:p>
    <w:p>
      <w:pPr>
        <w:spacing w:after="0" w:line="195" w:lineRule="exact"/>
        <w:rPr>
          <w:sz w:val="20"/>
          <w:szCs w:val="20"/>
          <w:color w:val="auto"/>
        </w:rPr>
      </w:pPr>
    </w:p>
    <w:p>
      <w:pPr>
        <w:ind w:left="140" w:right="239"/>
        <w:spacing w:after="0" w:line="295" w:lineRule="auto"/>
        <w:rPr>
          <w:sz w:val="20"/>
          <w:szCs w:val="20"/>
          <w:color w:val="auto"/>
        </w:rPr>
      </w:pPr>
      <w:r>
        <w:rPr>
          <w:rFonts w:ascii="Arial" w:cs="Arial" w:eastAsia="Arial" w:hAnsi="Arial"/>
          <w:sz w:val="16"/>
          <w:szCs w:val="16"/>
          <w:color w:val="auto"/>
        </w:rPr>
        <w:t>We, the undersigned members of the Compensation Committee, have reviewed and discussed with management the Compensation Discussion and Analysis set forth above. Based on that review and discussion, the undersigned members of the Compensation Committee have recommended to the board of directors that the Compensation Discussion and Analysis be included in this proxy statement.</w:t>
      </w:r>
    </w:p>
    <w:p>
      <w:pPr>
        <w:spacing w:after="0" w:line="96" w:lineRule="exact"/>
        <w:rPr>
          <w:sz w:val="20"/>
          <w:szCs w:val="20"/>
          <w:color w:val="auto"/>
        </w:rPr>
      </w:pPr>
    </w:p>
    <w:p>
      <w:pPr>
        <w:ind w:left="5960"/>
        <w:spacing w:after="0"/>
        <w:rPr>
          <w:sz w:val="20"/>
          <w:szCs w:val="20"/>
          <w:color w:val="auto"/>
        </w:rPr>
      </w:pPr>
      <w:r>
        <w:rPr>
          <w:rFonts w:ascii="Arial" w:cs="Arial" w:eastAsia="Arial" w:hAnsi="Arial"/>
          <w:sz w:val="16"/>
          <w:szCs w:val="16"/>
          <w:i w:val="1"/>
          <w:iCs w:val="1"/>
          <w:color w:val="auto"/>
        </w:rPr>
        <w:t>The Compensation Committee</w:t>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Christine A. Poon, Chair</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N. Anthony Coles, M.D.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David P. Schenkein, M.D.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George L. Sing</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Huda Y. Zoghbi, M.D.</w:t>
      </w:r>
    </w:p>
    <w:p>
      <w:pPr>
        <w:spacing w:after="0" w:line="297" w:lineRule="exact"/>
        <w:rPr>
          <w:sz w:val="20"/>
          <w:szCs w:val="20"/>
          <w:color w:val="auto"/>
        </w:rPr>
      </w:pPr>
    </w:p>
    <w:p>
      <w:pPr>
        <w:ind w:left="140" w:right="2239"/>
        <w:spacing w:after="0" w:line="273" w:lineRule="auto"/>
        <w:rPr>
          <w:sz w:val="20"/>
          <w:szCs w:val="20"/>
          <w:color w:val="auto"/>
        </w:rPr>
      </w:pPr>
      <w:r>
        <w:rPr>
          <w:rFonts w:ascii="Arial" w:cs="Arial" w:eastAsia="Arial" w:hAnsi="Arial"/>
          <w:sz w:val="34"/>
          <w:szCs w:val="34"/>
          <w:b w:val="1"/>
          <w:bCs w:val="1"/>
          <w:color w:val="002273"/>
        </w:rPr>
        <w:t>Compensation Committee Interlocks and Insider Participation</w:t>
      </w:r>
    </w:p>
    <w:p>
      <w:pPr>
        <w:spacing w:after="0" w:line="61" w:lineRule="exact"/>
        <w:rPr>
          <w:sz w:val="20"/>
          <w:szCs w:val="20"/>
          <w:color w:val="auto"/>
        </w:rPr>
      </w:pPr>
    </w:p>
    <w:p>
      <w:pPr>
        <w:ind w:left="140" w:right="339"/>
        <w:spacing w:after="0" w:line="295" w:lineRule="auto"/>
        <w:rPr>
          <w:sz w:val="20"/>
          <w:szCs w:val="20"/>
          <w:color w:val="auto"/>
        </w:rPr>
      </w:pPr>
      <w:r>
        <w:rPr>
          <w:rFonts w:ascii="Arial" w:cs="Arial" w:eastAsia="Arial" w:hAnsi="Arial"/>
          <w:sz w:val="16"/>
          <w:szCs w:val="16"/>
          <w:color w:val="auto"/>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79</w:t>
            </w:r>
          </w:p>
        </w:tc>
      </w:tr>
    </w:tbl>
    <w:p>
      <w:pPr>
        <w:sectPr>
          <w:pgSz w:w="11900" w:h="16838" w:orient="portrait"/>
          <w:cols w:equalWidth="0" w:num="1">
            <w:col w:w="9019"/>
          </w:cols>
          <w:pgMar w:left="1440" w:top="657" w:right="1440" w:bottom="1440" w:gutter="0" w:footer="0" w:header="0"/>
        </w:sectPr>
      </w:pPr>
    </w:p>
    <w:bookmarkStart w:id="88" w:name="page89"/>
    <w:bookmarkEnd w:id="88"/>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Compensation Dashboard</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2025 Executive Compensation Tables</w:t>
      </w:r>
    </w:p>
    <w:p>
      <w:pPr>
        <w:spacing w:after="0" w:line="132" w:lineRule="exact"/>
        <w:rPr>
          <w:sz w:val="20"/>
          <w:szCs w:val="20"/>
          <w:color w:val="auto"/>
        </w:rPr>
      </w:pPr>
    </w:p>
    <w:p>
      <w:pPr>
        <w:jc w:val="both"/>
        <w:ind w:left="140" w:right="379"/>
        <w:spacing w:after="0" w:line="301" w:lineRule="auto"/>
        <w:rPr>
          <w:sz w:val="20"/>
          <w:szCs w:val="20"/>
          <w:color w:val="auto"/>
        </w:rPr>
      </w:pPr>
      <w:r>
        <w:rPr>
          <w:rFonts w:ascii="Arial" w:cs="Arial" w:eastAsia="Arial" w:hAnsi="Arial"/>
          <w:sz w:val="16"/>
          <w:szCs w:val="16"/>
          <w:color w:val="auto"/>
        </w:rPr>
        <w:t>The following table and accompanying footnotes provide information regarding compensation earned by, or paid to, our NEOs during the last three fiscal years (other than with respect to Mr. Fenimore, who qualified as an NEO for 2025 and 2024 but not for 2023; and Mr. LaRosa, who qualified as an NEO for 2025 but not for 2024 or 2023).</w:t>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2025 Summary Compensation Table</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80" w:type="dxa"/>
            <w:vAlign w:val="bottom"/>
            <w:tcBorders>
              <w:bottom w:val="single" w:sz="8" w:color="065BAA"/>
            </w:tcBorders>
          </w:tcPr>
          <w:p>
            <w:pPr>
              <w:ind w:left="1100"/>
              <w:spacing w:after="0"/>
              <w:rPr>
                <w:sz w:val="20"/>
                <w:szCs w:val="20"/>
                <w:color w:val="auto"/>
              </w:rPr>
            </w:pPr>
            <w:r>
              <w:rPr>
                <w:rFonts w:ascii="Arial" w:cs="Arial" w:eastAsia="Arial" w:hAnsi="Arial"/>
                <w:sz w:val="14"/>
                <w:szCs w:val="14"/>
                <w:b w:val="1"/>
                <w:bCs w:val="1"/>
                <w:color w:val="065BAA"/>
              </w:rPr>
              <w:t>A</w:t>
            </w:r>
          </w:p>
        </w:tc>
        <w:tc>
          <w:tcPr>
            <w:tcW w:w="420" w:type="dxa"/>
            <w:vAlign w:val="bottom"/>
            <w:tcBorders>
              <w:bottom w:val="single" w:sz="8" w:color="065BAA"/>
            </w:tcBorders>
          </w:tcPr>
          <w:p>
            <w:pPr>
              <w:jc w:val="center"/>
              <w:spacing w:after="0"/>
              <w:rPr>
                <w:sz w:val="20"/>
                <w:szCs w:val="20"/>
                <w:color w:val="auto"/>
              </w:rPr>
            </w:pPr>
            <w:r>
              <w:rPr>
                <w:rFonts w:ascii="Arial" w:cs="Arial" w:eastAsia="Arial" w:hAnsi="Arial"/>
                <w:sz w:val="14"/>
                <w:szCs w:val="14"/>
                <w:b w:val="1"/>
                <w:bCs w:val="1"/>
                <w:color w:val="065BAA"/>
                <w:w w:val="98"/>
              </w:rPr>
              <w:t>B</w:t>
            </w:r>
          </w:p>
        </w:tc>
        <w:tc>
          <w:tcPr>
            <w:tcW w:w="720" w:type="dxa"/>
            <w:vAlign w:val="bottom"/>
            <w:tcBorders>
              <w:bottom w:val="single" w:sz="8" w:color="065BAA"/>
            </w:tcBorders>
          </w:tcPr>
          <w:p>
            <w:pPr>
              <w:jc w:val="right"/>
              <w:ind w:right="252"/>
              <w:spacing w:after="0"/>
              <w:rPr>
                <w:sz w:val="20"/>
                <w:szCs w:val="20"/>
                <w:color w:val="auto"/>
              </w:rPr>
            </w:pPr>
            <w:r>
              <w:rPr>
                <w:rFonts w:ascii="Arial" w:cs="Arial" w:eastAsia="Arial" w:hAnsi="Arial"/>
                <w:sz w:val="14"/>
                <w:szCs w:val="14"/>
                <w:b w:val="1"/>
                <w:bCs w:val="1"/>
                <w:color w:val="065BAA"/>
              </w:rPr>
              <w:t>C</w:t>
            </w:r>
          </w:p>
        </w:tc>
        <w:tc>
          <w:tcPr>
            <w:tcW w:w="900" w:type="dxa"/>
            <w:vAlign w:val="bottom"/>
            <w:tcBorders>
              <w:bottom w:val="single" w:sz="8" w:color="065BAA"/>
            </w:tcBorders>
          </w:tcPr>
          <w:p>
            <w:pPr>
              <w:jc w:val="right"/>
              <w:ind w:right="432"/>
              <w:spacing w:after="0"/>
              <w:rPr>
                <w:sz w:val="20"/>
                <w:szCs w:val="20"/>
                <w:color w:val="auto"/>
              </w:rPr>
            </w:pPr>
            <w:r>
              <w:rPr>
                <w:rFonts w:ascii="Arial" w:cs="Arial" w:eastAsia="Arial" w:hAnsi="Arial"/>
                <w:sz w:val="14"/>
                <w:szCs w:val="14"/>
                <w:b w:val="1"/>
                <w:bCs w:val="1"/>
                <w:color w:val="065BAA"/>
              </w:rPr>
              <w:t>D</w:t>
            </w:r>
          </w:p>
        </w:tc>
        <w:tc>
          <w:tcPr>
            <w:tcW w:w="740" w:type="dxa"/>
            <w:vAlign w:val="bottom"/>
            <w:tcBorders>
              <w:bottom w:val="single" w:sz="8" w:color="065BAA"/>
            </w:tcBorders>
          </w:tcPr>
          <w:p>
            <w:pPr>
              <w:jc w:val="right"/>
              <w:ind w:right="272"/>
              <w:spacing w:after="0"/>
              <w:rPr>
                <w:sz w:val="20"/>
                <w:szCs w:val="20"/>
                <w:color w:val="auto"/>
              </w:rPr>
            </w:pPr>
            <w:r>
              <w:rPr>
                <w:rFonts w:ascii="Arial" w:cs="Arial" w:eastAsia="Arial" w:hAnsi="Arial"/>
                <w:sz w:val="14"/>
                <w:szCs w:val="14"/>
                <w:b w:val="1"/>
                <w:bCs w:val="1"/>
                <w:color w:val="065BAA"/>
              </w:rPr>
              <w:t>E</w:t>
            </w:r>
          </w:p>
        </w:tc>
        <w:tc>
          <w:tcPr>
            <w:tcW w:w="720" w:type="dxa"/>
            <w:vAlign w:val="bottom"/>
            <w:tcBorders>
              <w:bottom w:val="single" w:sz="8" w:color="065BAA"/>
            </w:tcBorders>
          </w:tcPr>
          <w:p>
            <w:pPr>
              <w:jc w:val="right"/>
              <w:ind w:right="272"/>
              <w:spacing w:after="0"/>
              <w:rPr>
                <w:sz w:val="20"/>
                <w:szCs w:val="20"/>
                <w:color w:val="auto"/>
              </w:rPr>
            </w:pPr>
            <w:r>
              <w:rPr>
                <w:rFonts w:ascii="Arial" w:cs="Arial" w:eastAsia="Arial" w:hAnsi="Arial"/>
                <w:sz w:val="14"/>
                <w:szCs w:val="14"/>
                <w:b w:val="1"/>
                <w:bCs w:val="1"/>
                <w:color w:val="065BAA"/>
              </w:rPr>
              <w:t>F</w:t>
            </w:r>
          </w:p>
        </w:tc>
        <w:tc>
          <w:tcPr>
            <w:tcW w:w="1020" w:type="dxa"/>
            <w:vAlign w:val="bottom"/>
            <w:tcBorders>
              <w:bottom w:val="single" w:sz="8" w:color="065BAA"/>
            </w:tcBorders>
          </w:tcPr>
          <w:p>
            <w:pPr>
              <w:jc w:val="right"/>
              <w:ind w:right="392"/>
              <w:spacing w:after="0"/>
              <w:rPr>
                <w:sz w:val="20"/>
                <w:szCs w:val="20"/>
                <w:color w:val="auto"/>
              </w:rPr>
            </w:pPr>
            <w:r>
              <w:rPr>
                <w:rFonts w:ascii="Arial" w:cs="Arial" w:eastAsia="Arial" w:hAnsi="Arial"/>
                <w:sz w:val="14"/>
                <w:szCs w:val="14"/>
                <w:b w:val="1"/>
                <w:bCs w:val="1"/>
                <w:color w:val="065BAA"/>
              </w:rPr>
              <w:t>G</w:t>
            </w:r>
          </w:p>
        </w:tc>
        <w:tc>
          <w:tcPr>
            <w:tcW w:w="1040" w:type="dxa"/>
            <w:vAlign w:val="bottom"/>
            <w:tcBorders>
              <w:bottom w:val="single" w:sz="8" w:color="065BAA"/>
            </w:tcBorders>
          </w:tcPr>
          <w:p>
            <w:pPr>
              <w:jc w:val="right"/>
              <w:ind w:right="432"/>
              <w:spacing w:after="0"/>
              <w:rPr>
                <w:sz w:val="20"/>
                <w:szCs w:val="20"/>
                <w:color w:val="auto"/>
              </w:rPr>
            </w:pPr>
            <w:r>
              <w:rPr>
                <w:rFonts w:ascii="Arial" w:cs="Arial" w:eastAsia="Arial" w:hAnsi="Arial"/>
                <w:sz w:val="14"/>
                <w:szCs w:val="14"/>
                <w:b w:val="1"/>
                <w:bCs w:val="1"/>
                <w:color w:val="065BAA"/>
              </w:rPr>
              <w:t>I</w:t>
            </w:r>
          </w:p>
        </w:tc>
        <w:tc>
          <w:tcPr>
            <w:tcW w:w="200" w:type="dxa"/>
            <w:vAlign w:val="bottom"/>
            <w:tcBorders>
              <w:bottom w:val="single" w:sz="8" w:color="065BAA"/>
            </w:tcBorders>
          </w:tcPr>
          <w:p>
            <w:pPr>
              <w:spacing w:after="0"/>
              <w:rPr>
                <w:sz w:val="14"/>
                <w:szCs w:val="14"/>
                <w:color w:val="auto"/>
              </w:rPr>
            </w:pPr>
          </w:p>
        </w:tc>
        <w:tc>
          <w:tcPr>
            <w:tcW w:w="720" w:type="dxa"/>
            <w:vAlign w:val="bottom"/>
            <w:tcBorders>
              <w:bottom w:val="single" w:sz="8" w:color="065BAA"/>
            </w:tcBorders>
          </w:tcPr>
          <w:p>
            <w:pPr>
              <w:ind w:left="320"/>
              <w:spacing w:after="0"/>
              <w:rPr>
                <w:sz w:val="20"/>
                <w:szCs w:val="20"/>
                <w:color w:val="auto"/>
              </w:rPr>
            </w:pPr>
            <w:r>
              <w:rPr>
                <w:rFonts w:ascii="Arial" w:cs="Arial" w:eastAsia="Arial" w:hAnsi="Arial"/>
                <w:sz w:val="14"/>
                <w:szCs w:val="14"/>
                <w:b w:val="1"/>
                <w:bCs w:val="1"/>
                <w:color w:val="065BAA"/>
              </w:rPr>
              <w:t>J</w:t>
            </w:r>
          </w:p>
        </w:tc>
        <w:tc>
          <w:tcPr>
            <w:tcW w:w="0" w:type="dxa"/>
            <w:vAlign w:val="bottom"/>
          </w:tcPr>
          <w:p>
            <w:pPr>
              <w:spacing w:after="0"/>
              <w:rPr>
                <w:sz w:val="1"/>
                <w:szCs w:val="1"/>
                <w:color w:val="auto"/>
              </w:rPr>
            </w:pPr>
          </w:p>
        </w:tc>
      </w:tr>
      <w:tr>
        <w:trPr>
          <w:trHeight w:val="222"/>
        </w:trPr>
        <w:tc>
          <w:tcPr>
            <w:tcW w:w="2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065BAA"/>
              </w:rPr>
              <w:t>Non-Equity</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065BAA"/>
              </w:rPr>
              <w:t>Stock</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065BAA"/>
              </w:rPr>
              <w:t>Option</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065BAA"/>
              </w:rPr>
              <w:t>Incentive Plan</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065BAA"/>
              </w:rPr>
              <w:t>All Other</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065BAA"/>
              </w:rPr>
              <w:t>Salary</w:t>
            </w:r>
          </w:p>
        </w:tc>
        <w:tc>
          <w:tcPr>
            <w:tcW w:w="900" w:type="dxa"/>
            <w:vAlign w:val="bottom"/>
          </w:tcPr>
          <w:p>
            <w:pPr>
              <w:jc w:val="right"/>
              <w:ind w:right="192"/>
              <w:spacing w:after="0"/>
              <w:rPr>
                <w:sz w:val="20"/>
                <w:szCs w:val="20"/>
                <w:color w:val="auto"/>
              </w:rPr>
            </w:pPr>
            <w:r>
              <w:rPr>
                <w:rFonts w:ascii="Arial" w:cs="Arial" w:eastAsia="Arial" w:hAnsi="Arial"/>
                <w:sz w:val="13"/>
                <w:szCs w:val="13"/>
                <w:b w:val="1"/>
                <w:bCs w:val="1"/>
                <w:color w:val="065BAA"/>
              </w:rPr>
              <w:t>Bonus</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065BAA"/>
              </w:rPr>
              <w:t>awards</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065BAA"/>
              </w:rPr>
              <w:t>awards</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065BAA"/>
              </w:rPr>
              <w:t>Compensation</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065BAA"/>
              </w:rPr>
              <w:t>Compensation</w:t>
            </w:r>
          </w:p>
        </w:tc>
        <w:tc>
          <w:tcPr>
            <w:tcW w:w="200" w:type="dxa"/>
            <w:vAlign w:val="bottom"/>
          </w:tcPr>
          <w:p>
            <w:pPr>
              <w:spacing w:after="0"/>
              <w:rPr>
                <w:sz w:val="13"/>
                <w:szCs w:val="13"/>
                <w:color w:val="auto"/>
              </w:rPr>
            </w:pPr>
          </w:p>
        </w:tc>
        <w:tc>
          <w:tcPr>
            <w:tcW w:w="720" w:type="dxa"/>
            <w:vAlign w:val="bottom"/>
          </w:tcPr>
          <w:p>
            <w:pPr>
              <w:ind w:left="340"/>
              <w:spacing w:after="0"/>
              <w:rPr>
                <w:sz w:val="20"/>
                <w:szCs w:val="20"/>
                <w:color w:val="auto"/>
              </w:rPr>
            </w:pPr>
            <w:r>
              <w:rPr>
                <w:rFonts w:ascii="Arial" w:cs="Arial" w:eastAsia="Arial" w:hAnsi="Arial"/>
                <w:sz w:val="13"/>
                <w:szCs w:val="13"/>
                <w:b w:val="1"/>
                <w:bCs w:val="1"/>
                <w:color w:val="065BAA"/>
              </w:rPr>
              <w:t>Total</w:t>
            </w:r>
          </w:p>
        </w:tc>
        <w:tc>
          <w:tcPr>
            <w:tcW w:w="0" w:type="dxa"/>
            <w:vAlign w:val="bottom"/>
          </w:tcPr>
          <w:p>
            <w:pPr>
              <w:spacing w:after="0"/>
              <w:rPr>
                <w:sz w:val="1"/>
                <w:szCs w:val="1"/>
                <w:color w:val="auto"/>
              </w:rPr>
            </w:pPr>
          </w:p>
        </w:tc>
      </w:tr>
      <w:tr>
        <w:trPr>
          <w:trHeight w:val="182"/>
        </w:trPr>
        <w:tc>
          <w:tcPr>
            <w:tcW w:w="2280" w:type="dxa"/>
            <w:vAlign w:val="bottom"/>
            <w:tcBorders>
              <w:bottom w:val="single" w:sz="8" w:color="006BAA"/>
            </w:tcBorders>
          </w:tcPr>
          <w:p>
            <w:pPr>
              <w:ind w:left="80"/>
              <w:spacing w:after="0"/>
              <w:rPr>
                <w:sz w:val="20"/>
                <w:szCs w:val="20"/>
                <w:color w:val="auto"/>
              </w:rPr>
            </w:pPr>
            <w:r>
              <w:rPr>
                <w:rFonts w:ascii="Arial" w:cs="Arial" w:eastAsia="Arial" w:hAnsi="Arial"/>
                <w:sz w:val="13"/>
                <w:szCs w:val="13"/>
                <w:b w:val="1"/>
                <w:bCs w:val="1"/>
                <w:color w:val="065BAA"/>
              </w:rPr>
              <w:t>Name and principal position</w:t>
            </w:r>
          </w:p>
        </w:tc>
        <w:tc>
          <w:tcPr>
            <w:tcW w:w="420" w:type="dxa"/>
            <w:vAlign w:val="bottom"/>
            <w:tcBorders>
              <w:bottom w:val="single" w:sz="8" w:color="006BAA"/>
            </w:tcBorders>
          </w:tcPr>
          <w:p>
            <w:pPr>
              <w:jc w:val="center"/>
              <w:spacing w:after="0"/>
              <w:rPr>
                <w:sz w:val="20"/>
                <w:szCs w:val="20"/>
                <w:color w:val="auto"/>
              </w:rPr>
            </w:pPr>
            <w:r>
              <w:rPr>
                <w:rFonts w:ascii="Arial" w:cs="Arial" w:eastAsia="Arial" w:hAnsi="Arial"/>
                <w:sz w:val="13"/>
                <w:szCs w:val="13"/>
                <w:b w:val="1"/>
                <w:bCs w:val="1"/>
                <w:color w:val="065BAA"/>
                <w:w w:val="99"/>
              </w:rPr>
              <w:t>Year</w:t>
            </w:r>
          </w:p>
        </w:tc>
        <w:tc>
          <w:tcPr>
            <w:tcW w:w="720" w:type="dxa"/>
            <w:vAlign w:val="bottom"/>
            <w:tcBorders>
              <w:bottom w:val="single" w:sz="8" w:color="006BAA"/>
            </w:tcBorders>
          </w:tcPr>
          <w:p>
            <w:pPr>
              <w:jc w:val="right"/>
              <w:spacing w:after="0"/>
              <w:rPr>
                <w:sz w:val="20"/>
                <w:szCs w:val="20"/>
                <w:color w:val="auto"/>
              </w:rPr>
            </w:pPr>
            <w:r>
              <w:rPr>
                <w:rFonts w:ascii="Arial" w:cs="Arial" w:eastAsia="Arial" w:hAnsi="Arial"/>
                <w:sz w:val="13"/>
                <w:szCs w:val="13"/>
                <w:b w:val="1"/>
                <w:bCs w:val="1"/>
                <w:color w:val="065BAA"/>
              </w:rPr>
              <w:t>($)</w:t>
            </w:r>
          </w:p>
        </w:tc>
        <w:tc>
          <w:tcPr>
            <w:tcW w:w="900" w:type="dxa"/>
            <w:vAlign w:val="bottom"/>
            <w:tcBorders>
              <w:bottom w:val="single" w:sz="8" w:color="006BAA"/>
            </w:tcBorders>
          </w:tcPr>
          <w:p>
            <w:pPr>
              <w:jc w:val="right"/>
              <w:ind w:right="192"/>
              <w:spacing w:after="0"/>
              <w:rPr>
                <w:sz w:val="20"/>
                <w:szCs w:val="20"/>
                <w:color w:val="auto"/>
              </w:rPr>
            </w:pPr>
            <w:r>
              <w:rPr>
                <w:rFonts w:ascii="Arial" w:cs="Arial" w:eastAsia="Arial" w:hAnsi="Arial"/>
                <w:sz w:val="13"/>
                <w:szCs w:val="13"/>
                <w:b w:val="1"/>
                <w:bCs w:val="1"/>
                <w:color w:val="065BAA"/>
              </w:rPr>
              <w:t>($)</w:t>
            </w:r>
          </w:p>
        </w:tc>
        <w:tc>
          <w:tcPr>
            <w:tcW w:w="740" w:type="dxa"/>
            <w:vAlign w:val="bottom"/>
            <w:tcBorders>
              <w:bottom w:val="single" w:sz="8" w:color="006BAA"/>
            </w:tcBorders>
          </w:tcPr>
          <w:p>
            <w:pPr>
              <w:jc w:val="right"/>
              <w:spacing w:after="0" w:line="182" w:lineRule="exact"/>
              <w:rPr>
                <w:sz w:val="20"/>
                <w:szCs w:val="20"/>
                <w:color w:val="auto"/>
              </w:rPr>
            </w:pPr>
            <w:r>
              <w:rPr>
                <w:rFonts w:ascii="Arial" w:cs="Arial" w:eastAsia="Arial" w:hAnsi="Arial"/>
                <w:sz w:val="13"/>
                <w:szCs w:val="13"/>
                <w:b w:val="1"/>
                <w:bCs w:val="1"/>
                <w:color w:val="065BAA"/>
              </w:rPr>
              <w:t>($)</w:t>
            </w:r>
            <w:r>
              <w:rPr>
                <w:rFonts w:ascii="Arial" w:cs="Arial" w:eastAsia="Arial" w:hAnsi="Arial"/>
                <w:sz w:val="17"/>
                <w:szCs w:val="17"/>
                <w:b w:val="1"/>
                <w:bCs w:val="1"/>
                <w:color w:val="065BAA"/>
                <w:vertAlign w:val="superscript"/>
              </w:rPr>
              <w:t>1</w:t>
            </w:r>
          </w:p>
        </w:tc>
        <w:tc>
          <w:tcPr>
            <w:tcW w:w="720" w:type="dxa"/>
            <w:vAlign w:val="bottom"/>
            <w:tcBorders>
              <w:bottom w:val="single" w:sz="8" w:color="006BAA"/>
            </w:tcBorders>
          </w:tcPr>
          <w:p>
            <w:pPr>
              <w:jc w:val="right"/>
              <w:spacing w:after="0" w:line="182" w:lineRule="exact"/>
              <w:rPr>
                <w:sz w:val="20"/>
                <w:szCs w:val="20"/>
                <w:color w:val="auto"/>
              </w:rPr>
            </w:pPr>
            <w:r>
              <w:rPr>
                <w:rFonts w:ascii="Arial" w:cs="Arial" w:eastAsia="Arial" w:hAnsi="Arial"/>
                <w:sz w:val="13"/>
                <w:szCs w:val="13"/>
                <w:b w:val="1"/>
                <w:bCs w:val="1"/>
                <w:color w:val="065BAA"/>
              </w:rPr>
              <w:t>($)</w:t>
            </w:r>
            <w:r>
              <w:rPr>
                <w:rFonts w:ascii="Arial" w:cs="Arial" w:eastAsia="Arial" w:hAnsi="Arial"/>
                <w:sz w:val="17"/>
                <w:szCs w:val="17"/>
                <w:b w:val="1"/>
                <w:bCs w:val="1"/>
                <w:color w:val="065BAA"/>
                <w:vertAlign w:val="superscript"/>
              </w:rPr>
              <w:t>1</w:t>
            </w:r>
          </w:p>
        </w:tc>
        <w:tc>
          <w:tcPr>
            <w:tcW w:w="1020" w:type="dxa"/>
            <w:vAlign w:val="bottom"/>
            <w:tcBorders>
              <w:bottom w:val="single" w:sz="8" w:color="006BAA"/>
            </w:tcBorders>
          </w:tcPr>
          <w:p>
            <w:pPr>
              <w:jc w:val="right"/>
              <w:spacing w:after="0" w:line="182" w:lineRule="exact"/>
              <w:rPr>
                <w:sz w:val="20"/>
                <w:szCs w:val="20"/>
                <w:color w:val="auto"/>
              </w:rPr>
            </w:pPr>
            <w:r>
              <w:rPr>
                <w:rFonts w:ascii="Arial" w:cs="Arial" w:eastAsia="Arial" w:hAnsi="Arial"/>
                <w:sz w:val="13"/>
                <w:szCs w:val="13"/>
                <w:b w:val="1"/>
                <w:bCs w:val="1"/>
                <w:color w:val="065BAA"/>
              </w:rPr>
              <w:t>($)</w:t>
            </w:r>
            <w:r>
              <w:rPr>
                <w:rFonts w:ascii="Arial" w:cs="Arial" w:eastAsia="Arial" w:hAnsi="Arial"/>
                <w:sz w:val="17"/>
                <w:szCs w:val="17"/>
                <w:b w:val="1"/>
                <w:bCs w:val="1"/>
                <w:color w:val="065BAA"/>
                <w:vertAlign w:val="superscript"/>
              </w:rPr>
              <w:t>2</w:t>
            </w:r>
          </w:p>
        </w:tc>
        <w:tc>
          <w:tcPr>
            <w:tcW w:w="1040" w:type="dxa"/>
            <w:vAlign w:val="bottom"/>
            <w:tcBorders>
              <w:bottom w:val="single" w:sz="8" w:color="006BAA"/>
            </w:tcBorders>
          </w:tcPr>
          <w:p>
            <w:pPr>
              <w:jc w:val="right"/>
              <w:spacing w:after="0" w:line="182" w:lineRule="exact"/>
              <w:rPr>
                <w:sz w:val="20"/>
                <w:szCs w:val="20"/>
                <w:color w:val="auto"/>
              </w:rPr>
            </w:pPr>
            <w:r>
              <w:rPr>
                <w:rFonts w:ascii="Arial" w:cs="Arial" w:eastAsia="Arial" w:hAnsi="Arial"/>
                <w:sz w:val="13"/>
                <w:szCs w:val="13"/>
                <w:b w:val="1"/>
                <w:bCs w:val="1"/>
                <w:color w:val="065BAA"/>
              </w:rPr>
              <w:t>($)</w:t>
            </w:r>
            <w:r>
              <w:rPr>
                <w:rFonts w:ascii="Arial" w:cs="Arial" w:eastAsia="Arial" w:hAnsi="Arial"/>
                <w:sz w:val="17"/>
                <w:szCs w:val="17"/>
                <w:b w:val="1"/>
                <w:bCs w:val="1"/>
                <w:color w:val="065BAA"/>
                <w:vertAlign w:val="superscript"/>
              </w:rPr>
              <w:t>3</w:t>
            </w:r>
          </w:p>
        </w:tc>
        <w:tc>
          <w:tcPr>
            <w:tcW w:w="200" w:type="dxa"/>
            <w:vAlign w:val="bottom"/>
            <w:tcBorders>
              <w:bottom w:val="single" w:sz="8" w:color="006BAA"/>
            </w:tcBorders>
          </w:tcPr>
          <w:p>
            <w:pPr>
              <w:spacing w:after="0"/>
              <w:rPr>
                <w:sz w:val="15"/>
                <w:szCs w:val="15"/>
                <w:color w:val="auto"/>
              </w:rPr>
            </w:pPr>
          </w:p>
        </w:tc>
        <w:tc>
          <w:tcPr>
            <w:tcW w:w="720" w:type="dxa"/>
            <w:vAlign w:val="bottom"/>
            <w:tcBorders>
              <w:bottom w:val="single" w:sz="8" w:color="006BAA"/>
            </w:tcBorders>
          </w:tcPr>
          <w:p>
            <w:pPr>
              <w:ind w:left="500"/>
              <w:spacing w:after="0"/>
              <w:rPr>
                <w:sz w:val="20"/>
                <w:szCs w:val="20"/>
                <w:color w:val="auto"/>
              </w:rPr>
            </w:pPr>
            <w:r>
              <w:rPr>
                <w:rFonts w:ascii="Arial" w:cs="Arial" w:eastAsia="Arial" w:hAnsi="Arial"/>
                <w:sz w:val="13"/>
                <w:szCs w:val="13"/>
                <w:b w:val="1"/>
                <w:bCs w:val="1"/>
                <w:color w:val="065BAA"/>
              </w:rPr>
              <w:t>($)</w:t>
            </w:r>
          </w:p>
        </w:tc>
        <w:tc>
          <w:tcPr>
            <w:tcW w:w="0" w:type="dxa"/>
            <w:vAlign w:val="bottom"/>
          </w:tcPr>
          <w:p>
            <w:pPr>
              <w:spacing w:after="0"/>
              <w:rPr>
                <w:sz w:val="1"/>
                <w:szCs w:val="1"/>
                <w:color w:val="auto"/>
              </w:rPr>
            </w:pPr>
          </w:p>
        </w:tc>
      </w:tr>
      <w:tr>
        <w:trPr>
          <w:trHeight w:val="180"/>
        </w:trPr>
        <w:tc>
          <w:tcPr>
            <w:tcW w:w="2280" w:type="dxa"/>
            <w:vAlign w:val="bottom"/>
          </w:tcPr>
          <w:p>
            <w:pPr>
              <w:ind w:left="80"/>
              <w:spacing w:after="0"/>
              <w:rPr>
                <w:sz w:val="20"/>
                <w:szCs w:val="20"/>
                <w:color w:val="auto"/>
              </w:rPr>
            </w:pPr>
            <w:r>
              <w:rPr>
                <w:rFonts w:ascii="Arial" w:cs="Arial" w:eastAsia="Arial" w:hAnsi="Arial"/>
                <w:sz w:val="13"/>
                <w:szCs w:val="13"/>
                <w:b w:val="1"/>
                <w:bCs w:val="1"/>
                <w:color w:val="auto"/>
              </w:rPr>
              <w:t>Leonard S. Schleifer, M.D., Ph.D.</w:t>
            </w:r>
          </w:p>
        </w:tc>
        <w:tc>
          <w:tcPr>
            <w:tcW w:w="420" w:type="dxa"/>
            <w:vAlign w:val="bottom"/>
          </w:tcPr>
          <w:p>
            <w:pPr>
              <w:jc w:val="center"/>
              <w:spacing w:after="0"/>
              <w:rPr>
                <w:sz w:val="20"/>
                <w:szCs w:val="20"/>
                <w:color w:val="auto"/>
              </w:rPr>
            </w:pPr>
            <w:r>
              <w:rPr>
                <w:rFonts w:ascii="Arial" w:cs="Arial" w:eastAsia="Arial" w:hAnsi="Arial"/>
                <w:sz w:val="13"/>
                <w:szCs w:val="13"/>
                <w:color w:val="auto"/>
              </w:rPr>
              <w:t>2025</w:t>
            </w:r>
          </w:p>
        </w:tc>
        <w:tc>
          <w:tcPr>
            <w:tcW w:w="720" w:type="dxa"/>
            <w:vAlign w:val="bottom"/>
          </w:tcPr>
          <w:p>
            <w:pPr>
              <w:jc w:val="right"/>
              <w:spacing w:after="0"/>
              <w:rPr>
                <w:sz w:val="20"/>
                <w:szCs w:val="20"/>
                <w:color w:val="auto"/>
              </w:rPr>
            </w:pPr>
            <w:r>
              <w:rPr>
                <w:rFonts w:ascii="Arial" w:cs="Arial" w:eastAsia="Arial" w:hAnsi="Arial"/>
                <w:sz w:val="13"/>
                <w:szCs w:val="13"/>
                <w:color w:val="auto"/>
              </w:rPr>
              <w:t>1,979,922</w:t>
            </w:r>
          </w:p>
        </w:tc>
        <w:tc>
          <w:tcPr>
            <w:tcW w:w="900" w:type="dxa"/>
            <w:vAlign w:val="bottom"/>
          </w:tcPr>
          <w:p>
            <w:pPr>
              <w:jc w:val="right"/>
              <w:ind w:right="192"/>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3,682,655</w:t>
            </w:r>
          </w:p>
        </w:tc>
        <w:tc>
          <w:tcPr>
            <w:tcW w:w="1040" w:type="dxa"/>
            <w:vAlign w:val="bottom"/>
          </w:tcPr>
          <w:p>
            <w:pPr>
              <w:jc w:val="right"/>
              <w:spacing w:after="0"/>
              <w:rPr>
                <w:sz w:val="20"/>
                <w:szCs w:val="20"/>
                <w:color w:val="auto"/>
              </w:rPr>
            </w:pPr>
            <w:r>
              <w:rPr>
                <w:rFonts w:ascii="Arial" w:cs="Arial" w:eastAsia="Arial" w:hAnsi="Arial"/>
                <w:sz w:val="13"/>
                <w:szCs w:val="13"/>
                <w:color w:val="auto"/>
              </w:rPr>
              <w:t>1,617,972</w:t>
            </w:r>
          </w:p>
        </w:tc>
        <w:tc>
          <w:tcPr>
            <w:tcW w:w="200" w:type="dxa"/>
            <w:vAlign w:val="bottom"/>
          </w:tcPr>
          <w:p>
            <w:pPr>
              <w:ind w:left="40"/>
              <w:spacing w:after="0"/>
              <w:rPr>
                <w:sz w:val="20"/>
                <w:szCs w:val="20"/>
                <w:color w:val="auto"/>
              </w:rPr>
            </w:pPr>
            <w:r>
              <w:rPr>
                <w:rFonts w:ascii="Arial" w:cs="Arial" w:eastAsia="Arial" w:hAnsi="Arial"/>
                <w:sz w:val="9"/>
                <w:szCs w:val="9"/>
                <w:color w:val="auto"/>
              </w:rPr>
              <w:t>4</w:t>
            </w:r>
          </w:p>
        </w:tc>
        <w:tc>
          <w:tcPr>
            <w:tcW w:w="720" w:type="dxa"/>
            <w:vAlign w:val="bottom"/>
          </w:tcPr>
          <w:p>
            <w:pPr>
              <w:ind w:left="60"/>
              <w:spacing w:after="0"/>
              <w:rPr>
                <w:sz w:val="20"/>
                <w:szCs w:val="20"/>
                <w:color w:val="auto"/>
              </w:rPr>
            </w:pPr>
            <w:r>
              <w:rPr>
                <w:rFonts w:ascii="Arial" w:cs="Arial" w:eastAsia="Arial" w:hAnsi="Arial"/>
                <w:sz w:val="13"/>
                <w:szCs w:val="13"/>
                <w:color w:val="auto"/>
              </w:rPr>
              <w:t>7,280,549</w:t>
            </w:r>
          </w:p>
        </w:tc>
        <w:tc>
          <w:tcPr>
            <w:tcW w:w="0" w:type="dxa"/>
            <w:vAlign w:val="bottom"/>
          </w:tcPr>
          <w:p>
            <w:pPr>
              <w:spacing w:after="0"/>
              <w:rPr>
                <w:sz w:val="1"/>
                <w:szCs w:val="1"/>
                <w:color w:val="auto"/>
              </w:rPr>
            </w:pPr>
          </w:p>
        </w:tc>
      </w:tr>
      <w:tr>
        <w:trPr>
          <w:trHeight w:val="179"/>
        </w:trPr>
        <w:tc>
          <w:tcPr>
            <w:tcW w:w="2280" w:type="dxa"/>
            <w:vAlign w:val="bottom"/>
          </w:tcPr>
          <w:p>
            <w:pPr>
              <w:ind w:left="80"/>
              <w:spacing w:after="0"/>
              <w:rPr>
                <w:sz w:val="20"/>
                <w:szCs w:val="20"/>
                <w:color w:val="auto"/>
              </w:rPr>
            </w:pPr>
            <w:r>
              <w:rPr>
                <w:rFonts w:ascii="Arial" w:cs="Arial" w:eastAsia="Arial" w:hAnsi="Arial"/>
                <w:sz w:val="13"/>
                <w:szCs w:val="13"/>
                <w:color w:val="auto"/>
              </w:rPr>
              <w:t>Board co-Chair, President</w:t>
            </w:r>
          </w:p>
        </w:tc>
        <w:tc>
          <w:tcPr>
            <w:tcW w:w="420" w:type="dxa"/>
            <w:vAlign w:val="bottom"/>
          </w:tcPr>
          <w:p>
            <w:pPr>
              <w:jc w:val="center"/>
              <w:spacing w:after="0"/>
              <w:rPr>
                <w:sz w:val="20"/>
                <w:szCs w:val="20"/>
                <w:color w:val="auto"/>
              </w:rPr>
            </w:pPr>
            <w:r>
              <w:rPr>
                <w:rFonts w:ascii="Arial" w:cs="Arial" w:eastAsia="Arial" w:hAnsi="Arial"/>
                <w:sz w:val="13"/>
                <w:szCs w:val="13"/>
                <w:color w:val="auto"/>
              </w:rPr>
              <w:t>2024</w:t>
            </w:r>
          </w:p>
        </w:tc>
        <w:tc>
          <w:tcPr>
            <w:tcW w:w="720" w:type="dxa"/>
            <w:vAlign w:val="bottom"/>
          </w:tcPr>
          <w:p>
            <w:pPr>
              <w:jc w:val="right"/>
              <w:spacing w:after="0"/>
              <w:rPr>
                <w:sz w:val="20"/>
                <w:szCs w:val="20"/>
                <w:color w:val="auto"/>
              </w:rPr>
            </w:pPr>
            <w:r>
              <w:rPr>
                <w:rFonts w:ascii="Arial" w:cs="Arial" w:eastAsia="Arial" w:hAnsi="Arial"/>
                <w:sz w:val="13"/>
                <w:szCs w:val="13"/>
                <w:color w:val="auto"/>
              </w:rPr>
              <w:t>1,941,100</w:t>
            </w:r>
          </w:p>
        </w:tc>
        <w:tc>
          <w:tcPr>
            <w:tcW w:w="900" w:type="dxa"/>
            <w:vAlign w:val="bottom"/>
          </w:tcPr>
          <w:p>
            <w:pPr>
              <w:jc w:val="right"/>
              <w:ind w:right="192"/>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3,493,980</w:t>
            </w:r>
          </w:p>
        </w:tc>
        <w:tc>
          <w:tcPr>
            <w:tcW w:w="1040" w:type="dxa"/>
            <w:vAlign w:val="bottom"/>
          </w:tcPr>
          <w:p>
            <w:pPr>
              <w:jc w:val="right"/>
              <w:spacing w:after="0"/>
              <w:rPr>
                <w:sz w:val="20"/>
                <w:szCs w:val="20"/>
                <w:color w:val="auto"/>
              </w:rPr>
            </w:pPr>
            <w:r>
              <w:rPr>
                <w:rFonts w:ascii="Arial" w:cs="Arial" w:eastAsia="Arial" w:hAnsi="Arial"/>
                <w:sz w:val="13"/>
                <w:szCs w:val="13"/>
                <w:color w:val="auto"/>
              </w:rPr>
              <w:t>1,387,954</w:t>
            </w:r>
          </w:p>
        </w:tc>
        <w:tc>
          <w:tcPr>
            <w:tcW w:w="20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auto"/>
              </w:rPr>
              <w:t>6,823,034</w:t>
            </w:r>
          </w:p>
        </w:tc>
        <w:tc>
          <w:tcPr>
            <w:tcW w:w="0" w:type="dxa"/>
            <w:vAlign w:val="bottom"/>
          </w:tcPr>
          <w:p>
            <w:pPr>
              <w:spacing w:after="0"/>
              <w:rPr>
                <w:sz w:val="1"/>
                <w:szCs w:val="1"/>
                <w:color w:val="auto"/>
              </w:rPr>
            </w:pPr>
          </w:p>
        </w:tc>
      </w:tr>
      <w:tr>
        <w:trPr>
          <w:trHeight w:val="176"/>
        </w:trPr>
        <w:tc>
          <w:tcPr>
            <w:tcW w:w="2280" w:type="dxa"/>
            <w:vAlign w:val="bottom"/>
          </w:tcPr>
          <w:p>
            <w:pPr>
              <w:ind w:left="80"/>
              <w:spacing w:after="0"/>
              <w:rPr>
                <w:sz w:val="20"/>
                <w:szCs w:val="20"/>
                <w:color w:val="auto"/>
              </w:rPr>
            </w:pPr>
            <w:r>
              <w:rPr>
                <w:rFonts w:ascii="Arial" w:cs="Arial" w:eastAsia="Arial" w:hAnsi="Arial"/>
                <w:sz w:val="13"/>
                <w:szCs w:val="13"/>
                <w:color w:val="auto"/>
              </w:rPr>
              <w:t>and Chief Executive Officer</w:t>
            </w:r>
          </w:p>
        </w:tc>
        <w:tc>
          <w:tcPr>
            <w:tcW w:w="420" w:type="dxa"/>
            <w:vAlign w:val="bottom"/>
            <w:vMerge w:val="restart"/>
          </w:tcPr>
          <w:p>
            <w:pPr>
              <w:jc w:val="center"/>
              <w:spacing w:after="0"/>
              <w:rPr>
                <w:sz w:val="20"/>
                <w:szCs w:val="20"/>
                <w:color w:val="auto"/>
              </w:rPr>
            </w:pPr>
            <w:r>
              <w:rPr>
                <w:rFonts w:ascii="Arial" w:cs="Arial" w:eastAsia="Arial" w:hAnsi="Arial"/>
                <w:sz w:val="13"/>
                <w:szCs w:val="13"/>
                <w:color w:val="auto"/>
              </w:rPr>
              <w:t>2023</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1,875,415</w:t>
            </w:r>
          </w:p>
        </w:tc>
        <w:tc>
          <w:tcPr>
            <w:tcW w:w="900" w:type="dxa"/>
            <w:vAlign w:val="bottom"/>
            <w:vMerge w:val="restart"/>
          </w:tcPr>
          <w:p>
            <w:pPr>
              <w:jc w:val="right"/>
              <w:ind w:right="192"/>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4,275,946</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2,032,977</w:t>
            </w:r>
          </w:p>
        </w:tc>
        <w:tc>
          <w:tcPr>
            <w:tcW w:w="20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auto"/>
              </w:rPr>
              <w:t>8,184,338</w:t>
            </w:r>
          </w:p>
        </w:tc>
        <w:tc>
          <w:tcPr>
            <w:tcW w:w="0" w:type="dxa"/>
            <w:vAlign w:val="bottom"/>
          </w:tcPr>
          <w:p>
            <w:pPr>
              <w:spacing w:after="0"/>
              <w:rPr>
                <w:sz w:val="1"/>
                <w:szCs w:val="1"/>
                <w:color w:val="auto"/>
              </w:rPr>
            </w:pPr>
          </w:p>
        </w:tc>
      </w:tr>
      <w:tr>
        <w:trPr>
          <w:trHeight w:val="68"/>
        </w:trPr>
        <w:tc>
          <w:tcPr>
            <w:tcW w:w="22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280" w:type="dxa"/>
            <w:vAlign w:val="bottom"/>
            <w:shd w:val="clear" w:color="auto" w:fill="DAEBF8"/>
          </w:tcPr>
          <w:p>
            <w:pPr>
              <w:ind w:left="80"/>
              <w:spacing w:after="0"/>
              <w:rPr>
                <w:sz w:val="20"/>
                <w:szCs w:val="20"/>
                <w:color w:val="auto"/>
              </w:rPr>
            </w:pPr>
            <w:r>
              <w:rPr>
                <w:rFonts w:ascii="Arial" w:cs="Arial" w:eastAsia="Arial" w:hAnsi="Arial"/>
                <w:sz w:val="13"/>
                <w:szCs w:val="13"/>
                <w:b w:val="1"/>
                <w:bCs w:val="1"/>
                <w:color w:val="auto"/>
              </w:rPr>
              <w:t>George D. Yancopoulos, M.D.,</w:t>
            </w:r>
          </w:p>
        </w:tc>
        <w:tc>
          <w:tcPr>
            <w:tcW w:w="420" w:type="dxa"/>
            <w:vAlign w:val="bottom"/>
            <w:shd w:val="clear" w:color="auto" w:fill="DAEBF8"/>
          </w:tcPr>
          <w:p>
            <w:pPr>
              <w:jc w:val="center"/>
              <w:spacing w:after="0"/>
              <w:rPr>
                <w:sz w:val="20"/>
                <w:szCs w:val="20"/>
                <w:color w:val="auto"/>
              </w:rPr>
            </w:pPr>
            <w:r>
              <w:rPr>
                <w:rFonts w:ascii="Arial" w:cs="Arial" w:eastAsia="Arial" w:hAnsi="Arial"/>
                <w:sz w:val="13"/>
                <w:szCs w:val="13"/>
                <w:color w:val="auto"/>
              </w:rPr>
              <w:t>2025</w:t>
            </w:r>
          </w:p>
        </w:tc>
        <w:tc>
          <w:tcPr>
            <w:tcW w:w="720" w:type="dxa"/>
            <w:vAlign w:val="bottom"/>
            <w:shd w:val="clear" w:color="auto" w:fill="DAEBF8"/>
          </w:tcPr>
          <w:p>
            <w:pPr>
              <w:jc w:val="right"/>
              <w:spacing w:after="0"/>
              <w:rPr>
                <w:sz w:val="20"/>
                <w:szCs w:val="20"/>
                <w:color w:val="auto"/>
              </w:rPr>
            </w:pPr>
            <w:r>
              <w:rPr>
                <w:rFonts w:ascii="Arial" w:cs="Arial" w:eastAsia="Arial" w:hAnsi="Arial"/>
                <w:sz w:val="13"/>
                <w:szCs w:val="13"/>
                <w:color w:val="auto"/>
              </w:rPr>
              <w:t>1,979,922</w:t>
            </w:r>
          </w:p>
        </w:tc>
        <w:tc>
          <w:tcPr>
            <w:tcW w:w="900" w:type="dxa"/>
            <w:vAlign w:val="bottom"/>
            <w:shd w:val="clear" w:color="auto" w:fill="DAEBF8"/>
          </w:tcPr>
          <w:p>
            <w:pPr>
              <w:jc w:val="right"/>
              <w:ind w:right="192"/>
              <w:spacing w:after="0"/>
              <w:rPr>
                <w:sz w:val="20"/>
                <w:szCs w:val="20"/>
                <w:color w:val="auto"/>
              </w:rPr>
            </w:pPr>
            <w:r>
              <w:rPr>
                <w:rFonts w:ascii="Arial" w:cs="Arial" w:eastAsia="Arial" w:hAnsi="Arial"/>
                <w:sz w:val="13"/>
                <w:szCs w:val="13"/>
                <w:color w:val="auto"/>
              </w:rPr>
              <w:t>—</w:t>
            </w:r>
          </w:p>
        </w:tc>
        <w:tc>
          <w:tcPr>
            <w:tcW w:w="740" w:type="dxa"/>
            <w:vAlign w:val="bottom"/>
            <w:shd w:val="clear" w:color="auto" w:fill="DAEBF8"/>
          </w:tcPr>
          <w:p>
            <w:pPr>
              <w:spacing w:after="0"/>
              <w:rPr>
                <w:sz w:val="17"/>
                <w:szCs w:val="17"/>
                <w:color w:val="auto"/>
              </w:rPr>
            </w:pPr>
          </w:p>
        </w:tc>
        <w:tc>
          <w:tcPr>
            <w:tcW w:w="720" w:type="dxa"/>
            <w:vAlign w:val="bottom"/>
            <w:shd w:val="clear" w:color="auto" w:fill="DAEBF8"/>
          </w:tcPr>
          <w:p>
            <w:pPr>
              <w:spacing w:after="0"/>
              <w:rPr>
                <w:sz w:val="17"/>
                <w:szCs w:val="17"/>
                <w:color w:val="auto"/>
              </w:rPr>
            </w:pPr>
          </w:p>
        </w:tc>
        <w:tc>
          <w:tcPr>
            <w:tcW w:w="1020" w:type="dxa"/>
            <w:vAlign w:val="bottom"/>
            <w:shd w:val="clear" w:color="auto" w:fill="DAEBF8"/>
          </w:tcPr>
          <w:p>
            <w:pPr>
              <w:jc w:val="right"/>
              <w:spacing w:after="0"/>
              <w:rPr>
                <w:sz w:val="20"/>
                <w:szCs w:val="20"/>
                <w:color w:val="auto"/>
              </w:rPr>
            </w:pPr>
            <w:r>
              <w:rPr>
                <w:rFonts w:ascii="Arial" w:cs="Arial" w:eastAsia="Arial" w:hAnsi="Arial"/>
                <w:sz w:val="13"/>
                <w:szCs w:val="13"/>
                <w:color w:val="auto"/>
              </w:rPr>
              <w:t>3,682,655</w:t>
            </w:r>
          </w:p>
        </w:tc>
        <w:tc>
          <w:tcPr>
            <w:tcW w:w="1040" w:type="dxa"/>
            <w:vAlign w:val="bottom"/>
            <w:shd w:val="clear" w:color="auto" w:fill="DAEBF8"/>
          </w:tcPr>
          <w:p>
            <w:pPr>
              <w:jc w:val="right"/>
              <w:spacing w:after="0"/>
              <w:rPr>
                <w:sz w:val="20"/>
                <w:szCs w:val="20"/>
                <w:color w:val="auto"/>
              </w:rPr>
            </w:pPr>
            <w:r>
              <w:rPr>
                <w:rFonts w:ascii="Arial" w:cs="Arial" w:eastAsia="Arial" w:hAnsi="Arial"/>
                <w:sz w:val="13"/>
                <w:szCs w:val="13"/>
                <w:color w:val="auto"/>
              </w:rPr>
              <w:t>1,286,892</w:t>
            </w:r>
          </w:p>
        </w:tc>
        <w:tc>
          <w:tcPr>
            <w:tcW w:w="200" w:type="dxa"/>
            <w:vAlign w:val="bottom"/>
            <w:shd w:val="clear" w:color="auto" w:fill="DAEBF8"/>
          </w:tcPr>
          <w:p>
            <w:pPr>
              <w:ind w:left="40"/>
              <w:spacing w:after="0"/>
              <w:rPr>
                <w:sz w:val="20"/>
                <w:szCs w:val="20"/>
                <w:color w:val="auto"/>
              </w:rPr>
            </w:pPr>
            <w:r>
              <w:rPr>
                <w:rFonts w:ascii="Arial" w:cs="Arial" w:eastAsia="Arial" w:hAnsi="Arial"/>
                <w:sz w:val="9"/>
                <w:szCs w:val="9"/>
                <w:color w:val="auto"/>
              </w:rPr>
              <w:t>5</w:t>
            </w:r>
          </w:p>
        </w:tc>
        <w:tc>
          <w:tcPr>
            <w:tcW w:w="720" w:type="dxa"/>
            <w:vAlign w:val="bottom"/>
            <w:shd w:val="clear" w:color="auto" w:fill="DAEBF8"/>
          </w:tcPr>
          <w:p>
            <w:pPr>
              <w:ind w:left="60"/>
              <w:spacing w:after="0"/>
              <w:rPr>
                <w:sz w:val="20"/>
                <w:szCs w:val="20"/>
                <w:color w:val="auto"/>
              </w:rPr>
            </w:pPr>
            <w:r>
              <w:rPr>
                <w:rFonts w:ascii="Arial" w:cs="Arial" w:eastAsia="Arial" w:hAnsi="Arial"/>
                <w:sz w:val="13"/>
                <w:szCs w:val="13"/>
                <w:color w:val="auto"/>
              </w:rPr>
              <w:t>6,949,469</w:t>
            </w:r>
          </w:p>
        </w:tc>
        <w:tc>
          <w:tcPr>
            <w:tcW w:w="0" w:type="dxa"/>
            <w:vAlign w:val="bottom"/>
          </w:tcPr>
          <w:p>
            <w:pPr>
              <w:spacing w:after="0"/>
              <w:rPr>
                <w:sz w:val="1"/>
                <w:szCs w:val="1"/>
                <w:color w:val="auto"/>
              </w:rPr>
            </w:pPr>
          </w:p>
        </w:tc>
      </w:tr>
      <w:tr>
        <w:trPr>
          <w:trHeight w:val="180"/>
        </w:trPr>
        <w:tc>
          <w:tcPr>
            <w:tcW w:w="2280" w:type="dxa"/>
            <w:vAlign w:val="bottom"/>
            <w:shd w:val="clear" w:color="auto" w:fill="DAEBF8"/>
          </w:tcPr>
          <w:p>
            <w:pPr>
              <w:ind w:left="80"/>
              <w:spacing w:after="0"/>
              <w:rPr>
                <w:sz w:val="20"/>
                <w:szCs w:val="20"/>
                <w:color w:val="auto"/>
              </w:rPr>
            </w:pPr>
            <w:r>
              <w:rPr>
                <w:rFonts w:ascii="Arial" w:cs="Arial" w:eastAsia="Arial" w:hAnsi="Arial"/>
                <w:sz w:val="13"/>
                <w:szCs w:val="13"/>
                <w:b w:val="1"/>
                <w:bCs w:val="1"/>
                <w:color w:val="auto"/>
              </w:rPr>
              <w:t>Ph.D.</w:t>
            </w:r>
          </w:p>
        </w:tc>
        <w:tc>
          <w:tcPr>
            <w:tcW w:w="420" w:type="dxa"/>
            <w:vAlign w:val="bottom"/>
            <w:shd w:val="clear" w:color="auto" w:fill="DAEBF8"/>
          </w:tcPr>
          <w:p>
            <w:pPr>
              <w:jc w:val="center"/>
              <w:spacing w:after="0"/>
              <w:rPr>
                <w:sz w:val="20"/>
                <w:szCs w:val="20"/>
                <w:color w:val="auto"/>
              </w:rPr>
            </w:pPr>
            <w:r>
              <w:rPr>
                <w:rFonts w:ascii="Arial" w:cs="Arial" w:eastAsia="Arial" w:hAnsi="Arial"/>
                <w:sz w:val="13"/>
                <w:szCs w:val="13"/>
                <w:color w:val="auto"/>
              </w:rPr>
              <w:t>2024</w:t>
            </w:r>
          </w:p>
        </w:tc>
        <w:tc>
          <w:tcPr>
            <w:tcW w:w="720" w:type="dxa"/>
            <w:vAlign w:val="bottom"/>
            <w:shd w:val="clear" w:color="auto" w:fill="DAEBF8"/>
          </w:tcPr>
          <w:p>
            <w:pPr>
              <w:jc w:val="right"/>
              <w:spacing w:after="0"/>
              <w:rPr>
                <w:sz w:val="20"/>
                <w:szCs w:val="20"/>
                <w:color w:val="auto"/>
              </w:rPr>
            </w:pPr>
            <w:r>
              <w:rPr>
                <w:rFonts w:ascii="Arial" w:cs="Arial" w:eastAsia="Arial" w:hAnsi="Arial"/>
                <w:sz w:val="13"/>
                <w:szCs w:val="13"/>
                <w:color w:val="auto"/>
              </w:rPr>
              <w:t>1,941,100</w:t>
            </w:r>
          </w:p>
        </w:tc>
        <w:tc>
          <w:tcPr>
            <w:tcW w:w="900" w:type="dxa"/>
            <w:vAlign w:val="bottom"/>
            <w:shd w:val="clear" w:color="auto" w:fill="DAEBF8"/>
          </w:tcPr>
          <w:p>
            <w:pPr>
              <w:jc w:val="right"/>
              <w:ind w:right="192"/>
              <w:spacing w:after="0"/>
              <w:rPr>
                <w:sz w:val="20"/>
                <w:szCs w:val="20"/>
                <w:color w:val="auto"/>
              </w:rPr>
            </w:pPr>
            <w:r>
              <w:rPr>
                <w:rFonts w:ascii="Arial" w:cs="Arial" w:eastAsia="Arial" w:hAnsi="Arial"/>
                <w:sz w:val="13"/>
                <w:szCs w:val="13"/>
                <w:color w:val="auto"/>
              </w:rPr>
              <w:t>—</w:t>
            </w:r>
          </w:p>
        </w:tc>
        <w:tc>
          <w:tcPr>
            <w:tcW w:w="740" w:type="dxa"/>
            <w:vAlign w:val="bottom"/>
            <w:shd w:val="clear" w:color="auto" w:fill="DAEBF8"/>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DAEBF8"/>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DAEBF8"/>
          </w:tcPr>
          <w:p>
            <w:pPr>
              <w:jc w:val="right"/>
              <w:spacing w:after="0"/>
              <w:rPr>
                <w:sz w:val="20"/>
                <w:szCs w:val="20"/>
                <w:color w:val="auto"/>
              </w:rPr>
            </w:pPr>
            <w:r>
              <w:rPr>
                <w:rFonts w:ascii="Arial" w:cs="Arial" w:eastAsia="Arial" w:hAnsi="Arial"/>
                <w:sz w:val="13"/>
                <w:szCs w:val="13"/>
                <w:color w:val="auto"/>
              </w:rPr>
              <w:t>3,493,980</w:t>
            </w:r>
          </w:p>
        </w:tc>
        <w:tc>
          <w:tcPr>
            <w:tcW w:w="1040" w:type="dxa"/>
            <w:vAlign w:val="bottom"/>
            <w:shd w:val="clear" w:color="auto" w:fill="DAEBF8"/>
          </w:tcPr>
          <w:p>
            <w:pPr>
              <w:jc w:val="right"/>
              <w:spacing w:after="0"/>
              <w:rPr>
                <w:sz w:val="20"/>
                <w:szCs w:val="20"/>
                <w:color w:val="auto"/>
              </w:rPr>
            </w:pPr>
            <w:r>
              <w:rPr>
                <w:rFonts w:ascii="Arial" w:cs="Arial" w:eastAsia="Arial" w:hAnsi="Arial"/>
                <w:sz w:val="13"/>
                <w:szCs w:val="13"/>
                <w:color w:val="auto"/>
              </w:rPr>
              <w:t>1,361,703</w:t>
            </w:r>
          </w:p>
        </w:tc>
        <w:tc>
          <w:tcPr>
            <w:tcW w:w="200" w:type="dxa"/>
            <w:vAlign w:val="bottom"/>
            <w:shd w:val="clear" w:color="auto" w:fill="DAEBF8"/>
          </w:tcPr>
          <w:p>
            <w:pPr>
              <w:spacing w:after="0"/>
              <w:rPr>
                <w:sz w:val="15"/>
                <w:szCs w:val="15"/>
                <w:color w:val="auto"/>
              </w:rPr>
            </w:pPr>
          </w:p>
        </w:tc>
        <w:tc>
          <w:tcPr>
            <w:tcW w:w="720" w:type="dxa"/>
            <w:vAlign w:val="bottom"/>
            <w:shd w:val="clear" w:color="auto" w:fill="DAEBF8"/>
          </w:tcPr>
          <w:p>
            <w:pPr>
              <w:ind w:left="60"/>
              <w:spacing w:after="0"/>
              <w:rPr>
                <w:sz w:val="20"/>
                <w:szCs w:val="20"/>
                <w:color w:val="auto"/>
              </w:rPr>
            </w:pPr>
            <w:r>
              <w:rPr>
                <w:rFonts w:ascii="Arial" w:cs="Arial" w:eastAsia="Arial" w:hAnsi="Arial"/>
                <w:sz w:val="13"/>
                <w:szCs w:val="13"/>
                <w:color w:val="auto"/>
              </w:rPr>
              <w:t>6,796,783</w:t>
            </w:r>
          </w:p>
        </w:tc>
        <w:tc>
          <w:tcPr>
            <w:tcW w:w="0" w:type="dxa"/>
            <w:vAlign w:val="bottom"/>
          </w:tcPr>
          <w:p>
            <w:pPr>
              <w:spacing w:after="0"/>
              <w:rPr>
                <w:sz w:val="1"/>
                <w:szCs w:val="1"/>
                <w:color w:val="auto"/>
              </w:rPr>
            </w:pPr>
          </w:p>
        </w:tc>
      </w:tr>
      <w:tr>
        <w:trPr>
          <w:trHeight w:val="175"/>
        </w:trPr>
        <w:tc>
          <w:tcPr>
            <w:tcW w:w="2280" w:type="dxa"/>
            <w:vAlign w:val="bottom"/>
            <w:shd w:val="clear" w:color="auto" w:fill="DAEBF8"/>
          </w:tcPr>
          <w:p>
            <w:pPr>
              <w:ind w:left="80"/>
              <w:spacing w:after="0"/>
              <w:rPr>
                <w:sz w:val="20"/>
                <w:szCs w:val="20"/>
                <w:color w:val="auto"/>
              </w:rPr>
            </w:pPr>
            <w:r>
              <w:rPr>
                <w:rFonts w:ascii="Arial" w:cs="Arial" w:eastAsia="Arial" w:hAnsi="Arial"/>
                <w:sz w:val="13"/>
                <w:szCs w:val="13"/>
                <w:color w:val="auto"/>
              </w:rPr>
              <w:t>Board co-Chair, President</w:t>
            </w:r>
          </w:p>
        </w:tc>
        <w:tc>
          <w:tcPr>
            <w:tcW w:w="420" w:type="dxa"/>
            <w:vAlign w:val="bottom"/>
            <w:vMerge w:val="restart"/>
            <w:shd w:val="clear" w:color="auto" w:fill="DAEBF8"/>
          </w:tcPr>
          <w:p>
            <w:pPr>
              <w:jc w:val="center"/>
              <w:spacing w:after="0"/>
              <w:rPr>
                <w:sz w:val="20"/>
                <w:szCs w:val="20"/>
                <w:color w:val="auto"/>
              </w:rPr>
            </w:pPr>
            <w:r>
              <w:rPr>
                <w:rFonts w:ascii="Arial" w:cs="Arial" w:eastAsia="Arial" w:hAnsi="Arial"/>
                <w:sz w:val="13"/>
                <w:szCs w:val="13"/>
                <w:color w:val="auto"/>
              </w:rPr>
              <w:t>2023</w:t>
            </w:r>
          </w:p>
        </w:tc>
        <w:tc>
          <w:tcPr>
            <w:tcW w:w="720" w:type="dxa"/>
            <w:vAlign w:val="bottom"/>
            <w:vMerge w:val="restart"/>
            <w:shd w:val="clear" w:color="auto" w:fill="DAEBF8"/>
          </w:tcPr>
          <w:p>
            <w:pPr>
              <w:jc w:val="right"/>
              <w:spacing w:after="0"/>
              <w:rPr>
                <w:sz w:val="20"/>
                <w:szCs w:val="20"/>
                <w:color w:val="auto"/>
              </w:rPr>
            </w:pPr>
            <w:r>
              <w:rPr>
                <w:rFonts w:ascii="Arial" w:cs="Arial" w:eastAsia="Arial" w:hAnsi="Arial"/>
                <w:sz w:val="13"/>
                <w:szCs w:val="13"/>
                <w:color w:val="auto"/>
              </w:rPr>
              <w:t>1,875,415</w:t>
            </w:r>
          </w:p>
        </w:tc>
        <w:tc>
          <w:tcPr>
            <w:tcW w:w="900" w:type="dxa"/>
            <w:vAlign w:val="bottom"/>
            <w:vMerge w:val="restart"/>
            <w:shd w:val="clear" w:color="auto" w:fill="DAEBF8"/>
          </w:tcPr>
          <w:p>
            <w:pPr>
              <w:jc w:val="right"/>
              <w:ind w:right="192"/>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DAEBF8"/>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DAEBF8"/>
          </w:tcPr>
          <w:p>
            <w:pPr>
              <w:jc w:val="right"/>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DAEBF8"/>
          </w:tcPr>
          <w:p>
            <w:pPr>
              <w:jc w:val="right"/>
              <w:spacing w:after="0"/>
              <w:rPr>
                <w:sz w:val="20"/>
                <w:szCs w:val="20"/>
                <w:color w:val="auto"/>
              </w:rPr>
            </w:pPr>
            <w:r>
              <w:rPr>
                <w:rFonts w:ascii="Arial" w:cs="Arial" w:eastAsia="Arial" w:hAnsi="Arial"/>
                <w:sz w:val="13"/>
                <w:szCs w:val="13"/>
                <w:color w:val="auto"/>
              </w:rPr>
              <w:t>4,275,946</w:t>
            </w:r>
          </w:p>
        </w:tc>
        <w:tc>
          <w:tcPr>
            <w:tcW w:w="1040" w:type="dxa"/>
            <w:vAlign w:val="bottom"/>
            <w:vMerge w:val="restart"/>
            <w:shd w:val="clear" w:color="auto" w:fill="DAEBF8"/>
          </w:tcPr>
          <w:p>
            <w:pPr>
              <w:jc w:val="right"/>
              <w:spacing w:after="0"/>
              <w:rPr>
                <w:sz w:val="20"/>
                <w:szCs w:val="20"/>
                <w:color w:val="auto"/>
              </w:rPr>
            </w:pPr>
            <w:r>
              <w:rPr>
                <w:rFonts w:ascii="Arial" w:cs="Arial" w:eastAsia="Arial" w:hAnsi="Arial"/>
                <w:sz w:val="13"/>
                <w:szCs w:val="13"/>
                <w:color w:val="auto"/>
              </w:rPr>
              <w:t>1,608,469</w:t>
            </w:r>
          </w:p>
        </w:tc>
        <w:tc>
          <w:tcPr>
            <w:tcW w:w="200" w:type="dxa"/>
            <w:vAlign w:val="bottom"/>
            <w:shd w:val="clear" w:color="auto" w:fill="DAEBF8"/>
          </w:tcPr>
          <w:p>
            <w:pPr>
              <w:spacing w:after="0"/>
              <w:rPr>
                <w:sz w:val="15"/>
                <w:szCs w:val="15"/>
                <w:color w:val="auto"/>
              </w:rPr>
            </w:pPr>
          </w:p>
        </w:tc>
        <w:tc>
          <w:tcPr>
            <w:tcW w:w="720" w:type="dxa"/>
            <w:vAlign w:val="bottom"/>
            <w:vMerge w:val="restart"/>
            <w:shd w:val="clear" w:color="auto" w:fill="DAEBF8"/>
          </w:tcPr>
          <w:p>
            <w:pPr>
              <w:ind w:left="60"/>
              <w:spacing w:after="0"/>
              <w:rPr>
                <w:sz w:val="20"/>
                <w:szCs w:val="20"/>
                <w:color w:val="auto"/>
              </w:rPr>
            </w:pPr>
            <w:r>
              <w:rPr>
                <w:rFonts w:ascii="Arial" w:cs="Arial" w:eastAsia="Arial" w:hAnsi="Arial"/>
                <w:sz w:val="13"/>
                <w:szCs w:val="13"/>
                <w:color w:val="auto"/>
              </w:rPr>
              <w:t>7,759,830</w:t>
            </w:r>
          </w:p>
        </w:tc>
        <w:tc>
          <w:tcPr>
            <w:tcW w:w="0" w:type="dxa"/>
            <w:vAlign w:val="bottom"/>
          </w:tcPr>
          <w:p>
            <w:pPr>
              <w:spacing w:after="0"/>
              <w:rPr>
                <w:sz w:val="1"/>
                <w:szCs w:val="1"/>
                <w:color w:val="auto"/>
              </w:rPr>
            </w:pPr>
          </w:p>
        </w:tc>
      </w:tr>
      <w:tr>
        <w:trPr>
          <w:trHeight w:val="68"/>
        </w:trPr>
        <w:tc>
          <w:tcPr>
            <w:tcW w:w="2280" w:type="dxa"/>
            <w:vAlign w:val="bottom"/>
            <w:vMerge w:val="restart"/>
            <w:shd w:val="clear" w:color="auto" w:fill="DAEBF8"/>
          </w:tcPr>
          <w:p>
            <w:pPr>
              <w:ind w:left="80"/>
              <w:spacing w:after="0"/>
              <w:rPr>
                <w:sz w:val="20"/>
                <w:szCs w:val="20"/>
                <w:color w:val="auto"/>
              </w:rPr>
            </w:pPr>
            <w:r>
              <w:rPr>
                <w:rFonts w:ascii="Arial" w:cs="Arial" w:eastAsia="Arial" w:hAnsi="Arial"/>
                <w:sz w:val="13"/>
                <w:szCs w:val="13"/>
                <w:color w:val="auto"/>
              </w:rPr>
              <w:t>and Chief Scientific Officer</w:t>
            </w:r>
          </w:p>
        </w:tc>
        <w:tc>
          <w:tcPr>
            <w:tcW w:w="420" w:type="dxa"/>
            <w:vAlign w:val="bottom"/>
            <w:vMerge w:val="continue"/>
            <w:shd w:val="clear" w:color="auto" w:fill="DAEBF8"/>
          </w:tcPr>
          <w:p>
            <w:pPr>
              <w:spacing w:after="0"/>
              <w:rPr>
                <w:sz w:val="5"/>
                <w:szCs w:val="5"/>
                <w:color w:val="auto"/>
              </w:rPr>
            </w:pPr>
          </w:p>
        </w:tc>
        <w:tc>
          <w:tcPr>
            <w:tcW w:w="720" w:type="dxa"/>
            <w:vAlign w:val="bottom"/>
            <w:vMerge w:val="continue"/>
            <w:shd w:val="clear" w:color="auto" w:fill="DAEBF8"/>
          </w:tcPr>
          <w:p>
            <w:pPr>
              <w:spacing w:after="0"/>
              <w:rPr>
                <w:sz w:val="5"/>
                <w:szCs w:val="5"/>
                <w:color w:val="auto"/>
              </w:rPr>
            </w:pPr>
          </w:p>
        </w:tc>
        <w:tc>
          <w:tcPr>
            <w:tcW w:w="900" w:type="dxa"/>
            <w:vAlign w:val="bottom"/>
            <w:vMerge w:val="continue"/>
            <w:shd w:val="clear" w:color="auto" w:fill="DAEBF8"/>
          </w:tcPr>
          <w:p>
            <w:pPr>
              <w:spacing w:after="0"/>
              <w:rPr>
                <w:sz w:val="5"/>
                <w:szCs w:val="5"/>
                <w:color w:val="auto"/>
              </w:rPr>
            </w:pPr>
          </w:p>
        </w:tc>
        <w:tc>
          <w:tcPr>
            <w:tcW w:w="740" w:type="dxa"/>
            <w:vAlign w:val="bottom"/>
            <w:vMerge w:val="continue"/>
            <w:shd w:val="clear" w:color="auto" w:fill="DAEBF8"/>
          </w:tcPr>
          <w:p>
            <w:pPr>
              <w:spacing w:after="0"/>
              <w:rPr>
                <w:sz w:val="5"/>
                <w:szCs w:val="5"/>
                <w:color w:val="auto"/>
              </w:rPr>
            </w:pPr>
          </w:p>
        </w:tc>
        <w:tc>
          <w:tcPr>
            <w:tcW w:w="720" w:type="dxa"/>
            <w:vAlign w:val="bottom"/>
            <w:vMerge w:val="continue"/>
            <w:shd w:val="clear" w:color="auto" w:fill="DAEBF8"/>
          </w:tcPr>
          <w:p>
            <w:pPr>
              <w:spacing w:after="0"/>
              <w:rPr>
                <w:sz w:val="5"/>
                <w:szCs w:val="5"/>
                <w:color w:val="auto"/>
              </w:rPr>
            </w:pPr>
          </w:p>
        </w:tc>
        <w:tc>
          <w:tcPr>
            <w:tcW w:w="1020" w:type="dxa"/>
            <w:vAlign w:val="bottom"/>
            <w:vMerge w:val="continue"/>
            <w:shd w:val="clear" w:color="auto" w:fill="DAEBF8"/>
          </w:tcPr>
          <w:p>
            <w:pPr>
              <w:spacing w:after="0"/>
              <w:rPr>
                <w:sz w:val="5"/>
                <w:szCs w:val="5"/>
                <w:color w:val="auto"/>
              </w:rPr>
            </w:pPr>
          </w:p>
        </w:tc>
        <w:tc>
          <w:tcPr>
            <w:tcW w:w="1040" w:type="dxa"/>
            <w:vAlign w:val="bottom"/>
            <w:vMerge w:val="continue"/>
            <w:shd w:val="clear" w:color="auto" w:fill="DAEBF8"/>
          </w:tcPr>
          <w:p>
            <w:pPr>
              <w:spacing w:after="0"/>
              <w:rPr>
                <w:sz w:val="5"/>
                <w:szCs w:val="5"/>
                <w:color w:val="auto"/>
              </w:rPr>
            </w:pPr>
          </w:p>
        </w:tc>
        <w:tc>
          <w:tcPr>
            <w:tcW w:w="200" w:type="dxa"/>
            <w:vAlign w:val="bottom"/>
            <w:shd w:val="clear" w:color="auto" w:fill="DAEBF8"/>
          </w:tcPr>
          <w:p>
            <w:pPr>
              <w:spacing w:after="0"/>
              <w:rPr>
                <w:sz w:val="5"/>
                <w:szCs w:val="5"/>
                <w:color w:val="auto"/>
              </w:rPr>
            </w:pPr>
          </w:p>
        </w:tc>
        <w:tc>
          <w:tcPr>
            <w:tcW w:w="720" w:type="dxa"/>
            <w:vAlign w:val="bottom"/>
            <w:vMerge w:val="continue"/>
            <w:shd w:val="clear" w:color="auto" w:fill="DAEBF8"/>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280" w:type="dxa"/>
            <w:vAlign w:val="bottom"/>
            <w:tcBorders>
              <w:bottom w:val="single" w:sz="8" w:color="DAEBF8"/>
            </w:tcBorders>
            <w:vMerge w:val="continue"/>
            <w:shd w:val="clear" w:color="auto" w:fill="DAEBF8"/>
          </w:tcPr>
          <w:p>
            <w:pPr>
              <w:spacing w:after="0"/>
              <w:rPr>
                <w:sz w:val="9"/>
                <w:szCs w:val="9"/>
                <w:color w:val="auto"/>
              </w:rPr>
            </w:pPr>
          </w:p>
        </w:tc>
        <w:tc>
          <w:tcPr>
            <w:tcW w:w="420" w:type="dxa"/>
            <w:vAlign w:val="bottom"/>
            <w:tcBorders>
              <w:bottom w:val="single" w:sz="8" w:color="DAEBF8"/>
            </w:tcBorders>
            <w:shd w:val="clear" w:color="auto" w:fill="DAEBF8"/>
          </w:tcPr>
          <w:p>
            <w:pPr>
              <w:spacing w:after="0"/>
              <w:rPr>
                <w:sz w:val="9"/>
                <w:szCs w:val="9"/>
                <w:color w:val="auto"/>
              </w:rPr>
            </w:pPr>
          </w:p>
        </w:tc>
        <w:tc>
          <w:tcPr>
            <w:tcW w:w="720" w:type="dxa"/>
            <w:vAlign w:val="bottom"/>
            <w:tcBorders>
              <w:bottom w:val="single" w:sz="8" w:color="DAEBF8"/>
            </w:tcBorders>
            <w:shd w:val="clear" w:color="auto" w:fill="DAEBF8"/>
          </w:tcPr>
          <w:p>
            <w:pPr>
              <w:spacing w:after="0"/>
              <w:rPr>
                <w:sz w:val="9"/>
                <w:szCs w:val="9"/>
                <w:color w:val="auto"/>
              </w:rPr>
            </w:pPr>
          </w:p>
        </w:tc>
        <w:tc>
          <w:tcPr>
            <w:tcW w:w="900" w:type="dxa"/>
            <w:vAlign w:val="bottom"/>
            <w:tcBorders>
              <w:bottom w:val="single" w:sz="8" w:color="DAEBF8"/>
            </w:tcBorders>
            <w:shd w:val="clear" w:color="auto" w:fill="DAEBF8"/>
          </w:tcPr>
          <w:p>
            <w:pPr>
              <w:spacing w:after="0"/>
              <w:rPr>
                <w:sz w:val="9"/>
                <w:szCs w:val="9"/>
                <w:color w:val="auto"/>
              </w:rPr>
            </w:pPr>
          </w:p>
        </w:tc>
        <w:tc>
          <w:tcPr>
            <w:tcW w:w="740" w:type="dxa"/>
            <w:vAlign w:val="bottom"/>
            <w:tcBorders>
              <w:bottom w:val="single" w:sz="8" w:color="DAEBF8"/>
            </w:tcBorders>
            <w:shd w:val="clear" w:color="auto" w:fill="DAEBF8"/>
          </w:tcPr>
          <w:p>
            <w:pPr>
              <w:spacing w:after="0"/>
              <w:rPr>
                <w:sz w:val="9"/>
                <w:szCs w:val="9"/>
                <w:color w:val="auto"/>
              </w:rPr>
            </w:pPr>
          </w:p>
        </w:tc>
        <w:tc>
          <w:tcPr>
            <w:tcW w:w="720" w:type="dxa"/>
            <w:vAlign w:val="bottom"/>
            <w:tcBorders>
              <w:bottom w:val="single" w:sz="8" w:color="DAEBF8"/>
            </w:tcBorders>
            <w:shd w:val="clear" w:color="auto" w:fill="DAEBF8"/>
          </w:tcPr>
          <w:p>
            <w:pPr>
              <w:spacing w:after="0"/>
              <w:rPr>
                <w:sz w:val="9"/>
                <w:szCs w:val="9"/>
                <w:color w:val="auto"/>
              </w:rPr>
            </w:pPr>
          </w:p>
        </w:tc>
        <w:tc>
          <w:tcPr>
            <w:tcW w:w="1020" w:type="dxa"/>
            <w:vAlign w:val="bottom"/>
            <w:tcBorders>
              <w:bottom w:val="single" w:sz="8" w:color="DAEBF8"/>
            </w:tcBorders>
            <w:shd w:val="clear" w:color="auto" w:fill="DAEBF8"/>
          </w:tcPr>
          <w:p>
            <w:pPr>
              <w:spacing w:after="0"/>
              <w:rPr>
                <w:sz w:val="9"/>
                <w:szCs w:val="9"/>
                <w:color w:val="auto"/>
              </w:rPr>
            </w:pPr>
          </w:p>
        </w:tc>
        <w:tc>
          <w:tcPr>
            <w:tcW w:w="1040" w:type="dxa"/>
            <w:vAlign w:val="bottom"/>
            <w:tcBorders>
              <w:bottom w:val="single" w:sz="8" w:color="DAEBF8"/>
            </w:tcBorders>
            <w:shd w:val="clear" w:color="auto" w:fill="DAEBF8"/>
          </w:tcPr>
          <w:p>
            <w:pPr>
              <w:spacing w:after="0"/>
              <w:rPr>
                <w:sz w:val="9"/>
                <w:szCs w:val="9"/>
                <w:color w:val="auto"/>
              </w:rPr>
            </w:pPr>
          </w:p>
        </w:tc>
        <w:tc>
          <w:tcPr>
            <w:tcW w:w="200" w:type="dxa"/>
            <w:vAlign w:val="bottom"/>
            <w:tcBorders>
              <w:bottom w:val="single" w:sz="8" w:color="DAEBF8"/>
            </w:tcBorders>
            <w:shd w:val="clear" w:color="auto" w:fill="DAEBF8"/>
          </w:tcPr>
          <w:p>
            <w:pPr>
              <w:spacing w:after="0"/>
              <w:rPr>
                <w:sz w:val="9"/>
                <w:szCs w:val="9"/>
                <w:color w:val="auto"/>
              </w:rPr>
            </w:pPr>
          </w:p>
        </w:tc>
        <w:tc>
          <w:tcPr>
            <w:tcW w:w="720" w:type="dxa"/>
            <w:vAlign w:val="bottom"/>
            <w:tcBorders>
              <w:bottom w:val="single" w:sz="8" w:color="DAEBF8"/>
            </w:tcBorders>
            <w:shd w:val="clear" w:color="auto" w:fill="DAEBF8"/>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80"/>
              <w:spacing w:after="0"/>
              <w:rPr>
                <w:sz w:val="20"/>
                <w:szCs w:val="20"/>
                <w:color w:val="auto"/>
              </w:rPr>
            </w:pPr>
            <w:r>
              <w:rPr>
                <w:rFonts w:ascii="Arial" w:cs="Arial" w:eastAsia="Arial" w:hAnsi="Arial"/>
                <w:sz w:val="13"/>
                <w:szCs w:val="13"/>
                <w:b w:val="1"/>
                <w:bCs w:val="1"/>
                <w:color w:val="auto"/>
              </w:rPr>
              <w:t>Christopher Fenimore</w:t>
            </w:r>
          </w:p>
        </w:tc>
        <w:tc>
          <w:tcPr>
            <w:tcW w:w="420" w:type="dxa"/>
            <w:vAlign w:val="bottom"/>
          </w:tcPr>
          <w:p>
            <w:pPr>
              <w:jc w:val="center"/>
              <w:spacing w:after="0"/>
              <w:rPr>
                <w:sz w:val="20"/>
                <w:szCs w:val="20"/>
                <w:color w:val="auto"/>
              </w:rPr>
            </w:pPr>
            <w:r>
              <w:rPr>
                <w:rFonts w:ascii="Arial" w:cs="Arial" w:eastAsia="Arial" w:hAnsi="Arial"/>
                <w:sz w:val="13"/>
                <w:szCs w:val="13"/>
                <w:color w:val="auto"/>
              </w:rPr>
              <w:t>2025</w:t>
            </w:r>
          </w:p>
        </w:tc>
        <w:tc>
          <w:tcPr>
            <w:tcW w:w="720" w:type="dxa"/>
            <w:vAlign w:val="bottom"/>
          </w:tcPr>
          <w:p>
            <w:pPr>
              <w:jc w:val="right"/>
              <w:spacing w:after="0"/>
              <w:rPr>
                <w:sz w:val="20"/>
                <w:szCs w:val="20"/>
                <w:color w:val="auto"/>
              </w:rPr>
            </w:pPr>
            <w:r>
              <w:rPr>
                <w:rFonts w:ascii="Arial" w:cs="Arial" w:eastAsia="Arial" w:hAnsi="Arial"/>
                <w:sz w:val="13"/>
                <w:szCs w:val="13"/>
                <w:color w:val="auto"/>
              </w:rPr>
              <w:t>725,000</w:t>
            </w:r>
          </w:p>
        </w:tc>
        <w:tc>
          <w:tcPr>
            <w:tcW w:w="900" w:type="dxa"/>
            <w:vAlign w:val="bottom"/>
          </w:tcPr>
          <w:p>
            <w:pPr>
              <w:jc w:val="right"/>
              <w:ind w:right="192"/>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2"/>
              <w:spacing w:after="0"/>
              <w:rPr>
                <w:sz w:val="20"/>
                <w:szCs w:val="20"/>
                <w:color w:val="auto"/>
              </w:rPr>
            </w:pPr>
            <w:r>
              <w:rPr>
                <w:rFonts w:ascii="Arial" w:cs="Arial" w:eastAsia="Arial" w:hAnsi="Arial"/>
                <w:sz w:val="13"/>
                <w:szCs w:val="13"/>
                <w:color w:val="auto"/>
              </w:rPr>
              <w:t>2,199,751</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3,299,977</w:t>
            </w:r>
          </w:p>
        </w:tc>
        <w:tc>
          <w:tcPr>
            <w:tcW w:w="1020" w:type="dxa"/>
            <w:vAlign w:val="bottom"/>
          </w:tcPr>
          <w:p>
            <w:pPr>
              <w:jc w:val="right"/>
              <w:spacing w:after="0"/>
              <w:rPr>
                <w:sz w:val="20"/>
                <w:szCs w:val="20"/>
                <w:color w:val="auto"/>
              </w:rPr>
            </w:pPr>
            <w:r>
              <w:rPr>
                <w:rFonts w:ascii="Arial" w:cs="Arial" w:eastAsia="Arial" w:hAnsi="Arial"/>
                <w:sz w:val="13"/>
                <w:szCs w:val="13"/>
                <w:color w:val="auto"/>
              </w:rPr>
              <w:t>721,013</w:t>
            </w:r>
          </w:p>
        </w:tc>
        <w:tc>
          <w:tcPr>
            <w:tcW w:w="1040" w:type="dxa"/>
            <w:vAlign w:val="bottom"/>
          </w:tcPr>
          <w:p>
            <w:pPr>
              <w:jc w:val="right"/>
              <w:spacing w:after="0"/>
              <w:rPr>
                <w:sz w:val="20"/>
                <w:szCs w:val="20"/>
                <w:color w:val="auto"/>
              </w:rPr>
            </w:pPr>
            <w:r>
              <w:rPr>
                <w:rFonts w:ascii="Arial" w:cs="Arial" w:eastAsia="Arial" w:hAnsi="Arial"/>
                <w:sz w:val="13"/>
                <w:szCs w:val="13"/>
                <w:color w:val="auto"/>
              </w:rPr>
              <w:t>39,623</w:t>
            </w:r>
          </w:p>
        </w:tc>
        <w:tc>
          <w:tcPr>
            <w:tcW w:w="200" w:type="dxa"/>
            <w:vAlign w:val="bottom"/>
          </w:tcPr>
          <w:p>
            <w:pPr>
              <w:ind w:left="40"/>
              <w:spacing w:after="0"/>
              <w:rPr>
                <w:sz w:val="20"/>
                <w:szCs w:val="20"/>
                <w:color w:val="auto"/>
              </w:rPr>
            </w:pPr>
            <w:r>
              <w:rPr>
                <w:rFonts w:ascii="Arial" w:cs="Arial" w:eastAsia="Arial" w:hAnsi="Arial"/>
                <w:sz w:val="9"/>
                <w:szCs w:val="9"/>
                <w:color w:val="auto"/>
              </w:rPr>
              <w:t>7</w:t>
            </w:r>
          </w:p>
        </w:tc>
        <w:tc>
          <w:tcPr>
            <w:tcW w:w="720" w:type="dxa"/>
            <w:vAlign w:val="bottom"/>
          </w:tcPr>
          <w:p>
            <w:pPr>
              <w:ind w:left="60"/>
              <w:spacing w:after="0"/>
              <w:rPr>
                <w:sz w:val="20"/>
                <w:szCs w:val="20"/>
                <w:color w:val="auto"/>
              </w:rPr>
            </w:pPr>
            <w:r>
              <w:rPr>
                <w:rFonts w:ascii="Arial" w:cs="Arial" w:eastAsia="Arial" w:hAnsi="Arial"/>
                <w:sz w:val="13"/>
                <w:szCs w:val="13"/>
                <w:color w:val="auto"/>
              </w:rPr>
              <w:t>6,985,364</w:t>
            </w:r>
          </w:p>
        </w:tc>
        <w:tc>
          <w:tcPr>
            <w:tcW w:w="0" w:type="dxa"/>
            <w:vAlign w:val="bottom"/>
          </w:tcPr>
          <w:p>
            <w:pPr>
              <w:spacing w:after="0"/>
              <w:rPr>
                <w:sz w:val="1"/>
                <w:szCs w:val="1"/>
                <w:color w:val="auto"/>
              </w:rPr>
            </w:pPr>
          </w:p>
        </w:tc>
      </w:tr>
      <w:tr>
        <w:trPr>
          <w:trHeight w:val="173"/>
        </w:trPr>
        <w:tc>
          <w:tcPr>
            <w:tcW w:w="2280" w:type="dxa"/>
            <w:vAlign w:val="bottom"/>
          </w:tcPr>
          <w:p>
            <w:pPr>
              <w:ind w:left="80"/>
              <w:spacing w:after="0"/>
              <w:rPr>
                <w:sz w:val="20"/>
                <w:szCs w:val="20"/>
                <w:color w:val="auto"/>
              </w:rPr>
            </w:pPr>
            <w:r>
              <w:rPr>
                <w:rFonts w:ascii="Arial" w:cs="Arial" w:eastAsia="Arial" w:hAnsi="Arial"/>
                <w:sz w:val="13"/>
                <w:szCs w:val="13"/>
                <w:color w:val="auto"/>
              </w:rPr>
              <w:t>Executive Vice President,</w:t>
            </w:r>
          </w:p>
        </w:tc>
        <w:tc>
          <w:tcPr>
            <w:tcW w:w="420" w:type="dxa"/>
            <w:vAlign w:val="bottom"/>
          </w:tcPr>
          <w:p>
            <w:pPr>
              <w:jc w:val="center"/>
              <w:spacing w:after="0"/>
              <w:rPr>
                <w:sz w:val="20"/>
                <w:szCs w:val="20"/>
                <w:color w:val="auto"/>
              </w:rPr>
            </w:pPr>
            <w:r>
              <w:rPr>
                <w:rFonts w:ascii="Arial" w:cs="Arial" w:eastAsia="Arial" w:hAnsi="Arial"/>
                <w:sz w:val="13"/>
                <w:szCs w:val="13"/>
                <w:color w:val="auto"/>
              </w:rPr>
              <w:t>2024</w:t>
            </w:r>
          </w:p>
        </w:tc>
        <w:tc>
          <w:tcPr>
            <w:tcW w:w="720" w:type="dxa"/>
            <w:vAlign w:val="bottom"/>
          </w:tcPr>
          <w:p>
            <w:pPr>
              <w:jc w:val="right"/>
              <w:spacing w:after="0"/>
              <w:rPr>
                <w:sz w:val="20"/>
                <w:szCs w:val="20"/>
                <w:color w:val="auto"/>
              </w:rPr>
            </w:pPr>
            <w:r>
              <w:rPr>
                <w:rFonts w:ascii="Arial" w:cs="Arial" w:eastAsia="Arial" w:hAnsi="Arial"/>
                <w:sz w:val="13"/>
                <w:szCs w:val="13"/>
                <w:color w:val="auto"/>
              </w:rPr>
              <w:t>660,000</w:t>
            </w:r>
          </w:p>
        </w:tc>
        <w:tc>
          <w:tcPr>
            <w:tcW w:w="900" w:type="dxa"/>
            <w:vAlign w:val="bottom"/>
          </w:tcPr>
          <w:p>
            <w:pPr>
              <w:jc w:val="right"/>
              <w:ind w:right="192"/>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2"/>
              <w:spacing w:after="0"/>
              <w:rPr>
                <w:sz w:val="20"/>
                <w:szCs w:val="20"/>
                <w:color w:val="auto"/>
              </w:rPr>
            </w:pPr>
            <w:r>
              <w:rPr>
                <w:rFonts w:ascii="Arial" w:cs="Arial" w:eastAsia="Arial" w:hAnsi="Arial"/>
                <w:sz w:val="13"/>
                <w:szCs w:val="13"/>
                <w:color w:val="auto"/>
              </w:rPr>
              <w:t>1,999,319</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2,999,683</w:t>
            </w:r>
          </w:p>
        </w:tc>
        <w:tc>
          <w:tcPr>
            <w:tcW w:w="1020" w:type="dxa"/>
            <w:vAlign w:val="bottom"/>
          </w:tcPr>
          <w:p>
            <w:pPr>
              <w:jc w:val="right"/>
              <w:spacing w:after="0"/>
              <w:rPr>
                <w:sz w:val="20"/>
                <w:szCs w:val="20"/>
                <w:color w:val="auto"/>
              </w:rPr>
            </w:pPr>
            <w:r>
              <w:rPr>
                <w:rFonts w:ascii="Arial" w:cs="Arial" w:eastAsia="Arial" w:hAnsi="Arial"/>
                <w:sz w:val="13"/>
                <w:szCs w:val="13"/>
                <w:color w:val="auto"/>
              </w:rPr>
              <w:t>594,000</w:t>
            </w:r>
          </w:p>
        </w:tc>
        <w:tc>
          <w:tcPr>
            <w:tcW w:w="1040" w:type="dxa"/>
            <w:vAlign w:val="bottom"/>
          </w:tcPr>
          <w:p>
            <w:pPr>
              <w:jc w:val="right"/>
              <w:spacing w:after="0"/>
              <w:rPr>
                <w:sz w:val="20"/>
                <w:szCs w:val="20"/>
                <w:color w:val="auto"/>
              </w:rPr>
            </w:pPr>
            <w:r>
              <w:rPr>
                <w:rFonts w:ascii="Arial" w:cs="Arial" w:eastAsia="Arial" w:hAnsi="Arial"/>
                <w:sz w:val="13"/>
                <w:szCs w:val="13"/>
                <w:color w:val="auto"/>
              </w:rPr>
              <w:t>15,250</w:t>
            </w:r>
          </w:p>
        </w:tc>
        <w:tc>
          <w:tcPr>
            <w:tcW w:w="20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auto"/>
              </w:rPr>
              <w:t>6,268,252</w:t>
            </w:r>
          </w:p>
        </w:tc>
        <w:tc>
          <w:tcPr>
            <w:tcW w:w="0" w:type="dxa"/>
            <w:vAlign w:val="bottom"/>
          </w:tcPr>
          <w:p>
            <w:pPr>
              <w:spacing w:after="0"/>
              <w:rPr>
                <w:sz w:val="1"/>
                <w:szCs w:val="1"/>
                <w:color w:val="auto"/>
              </w:rPr>
            </w:pPr>
          </w:p>
        </w:tc>
      </w:tr>
      <w:tr>
        <w:trPr>
          <w:trHeight w:val="182"/>
        </w:trPr>
        <w:tc>
          <w:tcPr>
            <w:tcW w:w="2280" w:type="dxa"/>
            <w:vAlign w:val="bottom"/>
          </w:tcPr>
          <w:p>
            <w:pPr>
              <w:ind w:left="80"/>
              <w:spacing w:after="0" w:line="182" w:lineRule="exact"/>
              <w:rPr>
                <w:sz w:val="20"/>
                <w:szCs w:val="20"/>
                <w:color w:val="auto"/>
              </w:rPr>
            </w:pPr>
            <w:r>
              <w:rPr>
                <w:rFonts w:ascii="Arial" w:cs="Arial" w:eastAsia="Arial" w:hAnsi="Arial"/>
                <w:sz w:val="13"/>
                <w:szCs w:val="13"/>
                <w:color w:val="auto"/>
              </w:rPr>
              <w:t>Finance and Chief Financial Officer</w:t>
            </w:r>
            <w:r>
              <w:rPr>
                <w:rFonts w:ascii="Arial" w:cs="Arial" w:eastAsia="Arial" w:hAnsi="Arial"/>
                <w:sz w:val="17"/>
                <w:szCs w:val="17"/>
                <w:color w:val="auto"/>
                <w:vertAlign w:val="superscript"/>
              </w:rPr>
              <w:t>6</w:t>
            </w: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280" w:type="dxa"/>
            <w:vAlign w:val="bottom"/>
            <w:shd w:val="clear" w:color="auto" w:fill="DAEBF8"/>
          </w:tcPr>
          <w:p>
            <w:pPr>
              <w:ind w:left="80"/>
              <w:spacing w:after="0"/>
              <w:rPr>
                <w:sz w:val="20"/>
                <w:szCs w:val="20"/>
                <w:color w:val="auto"/>
              </w:rPr>
            </w:pPr>
            <w:r>
              <w:rPr>
                <w:rFonts w:ascii="Arial" w:cs="Arial" w:eastAsia="Arial" w:hAnsi="Arial"/>
                <w:sz w:val="13"/>
                <w:szCs w:val="13"/>
                <w:b w:val="1"/>
                <w:bCs w:val="1"/>
                <w:color w:val="auto"/>
              </w:rPr>
              <w:t>Daniel P. Van Plew</w:t>
            </w:r>
          </w:p>
        </w:tc>
        <w:tc>
          <w:tcPr>
            <w:tcW w:w="420" w:type="dxa"/>
            <w:vAlign w:val="bottom"/>
            <w:shd w:val="clear" w:color="auto" w:fill="DAEBF8"/>
          </w:tcPr>
          <w:p>
            <w:pPr>
              <w:jc w:val="center"/>
              <w:spacing w:after="0"/>
              <w:rPr>
                <w:sz w:val="20"/>
                <w:szCs w:val="20"/>
                <w:color w:val="auto"/>
              </w:rPr>
            </w:pPr>
            <w:r>
              <w:rPr>
                <w:rFonts w:ascii="Arial" w:cs="Arial" w:eastAsia="Arial" w:hAnsi="Arial"/>
                <w:sz w:val="13"/>
                <w:szCs w:val="13"/>
                <w:color w:val="auto"/>
              </w:rPr>
              <w:t>2025</w:t>
            </w:r>
          </w:p>
        </w:tc>
        <w:tc>
          <w:tcPr>
            <w:tcW w:w="720" w:type="dxa"/>
            <w:vAlign w:val="bottom"/>
            <w:shd w:val="clear" w:color="auto" w:fill="DAEBF8"/>
          </w:tcPr>
          <w:p>
            <w:pPr>
              <w:jc w:val="right"/>
              <w:spacing w:after="0"/>
              <w:rPr>
                <w:sz w:val="20"/>
                <w:szCs w:val="20"/>
                <w:color w:val="auto"/>
              </w:rPr>
            </w:pPr>
            <w:r>
              <w:rPr>
                <w:rFonts w:ascii="Arial" w:cs="Arial" w:eastAsia="Arial" w:hAnsi="Arial"/>
                <w:sz w:val="13"/>
                <w:szCs w:val="13"/>
                <w:color w:val="auto"/>
              </w:rPr>
              <w:t>983,382</w:t>
            </w:r>
          </w:p>
        </w:tc>
        <w:tc>
          <w:tcPr>
            <w:tcW w:w="900" w:type="dxa"/>
            <w:vAlign w:val="bottom"/>
            <w:shd w:val="clear" w:color="auto" w:fill="DAEBF8"/>
          </w:tcPr>
          <w:p>
            <w:pPr>
              <w:jc w:val="right"/>
              <w:ind w:right="192"/>
              <w:spacing w:after="0"/>
              <w:rPr>
                <w:sz w:val="20"/>
                <w:szCs w:val="20"/>
                <w:color w:val="auto"/>
              </w:rPr>
            </w:pPr>
            <w:r>
              <w:rPr>
                <w:rFonts w:ascii="Arial" w:cs="Arial" w:eastAsia="Arial" w:hAnsi="Arial"/>
                <w:sz w:val="13"/>
                <w:szCs w:val="13"/>
                <w:color w:val="auto"/>
              </w:rPr>
              <w:t>—</w:t>
            </w:r>
          </w:p>
        </w:tc>
        <w:tc>
          <w:tcPr>
            <w:tcW w:w="740" w:type="dxa"/>
            <w:vAlign w:val="bottom"/>
            <w:shd w:val="clear" w:color="auto" w:fill="DAEBF8"/>
          </w:tcPr>
          <w:p>
            <w:pPr>
              <w:jc w:val="right"/>
              <w:ind w:right="12"/>
              <w:spacing w:after="0"/>
              <w:rPr>
                <w:sz w:val="20"/>
                <w:szCs w:val="20"/>
                <w:color w:val="auto"/>
              </w:rPr>
            </w:pPr>
            <w:r>
              <w:rPr>
                <w:rFonts w:ascii="Arial" w:cs="Arial" w:eastAsia="Arial" w:hAnsi="Arial"/>
                <w:sz w:val="13"/>
                <w:szCs w:val="13"/>
                <w:color w:val="auto"/>
              </w:rPr>
              <w:t>2,699,728</w:t>
            </w:r>
          </w:p>
        </w:tc>
        <w:tc>
          <w:tcPr>
            <w:tcW w:w="720" w:type="dxa"/>
            <w:vAlign w:val="bottom"/>
            <w:shd w:val="clear" w:color="auto" w:fill="DAEBF8"/>
          </w:tcPr>
          <w:p>
            <w:pPr>
              <w:jc w:val="right"/>
              <w:ind w:right="12"/>
              <w:spacing w:after="0"/>
              <w:rPr>
                <w:sz w:val="20"/>
                <w:szCs w:val="20"/>
                <w:color w:val="auto"/>
              </w:rPr>
            </w:pPr>
            <w:r>
              <w:rPr>
                <w:rFonts w:ascii="Arial" w:cs="Arial" w:eastAsia="Arial" w:hAnsi="Arial"/>
                <w:sz w:val="13"/>
                <w:szCs w:val="13"/>
                <w:color w:val="auto"/>
              </w:rPr>
              <w:t>4,049,757</w:t>
            </w:r>
          </w:p>
        </w:tc>
        <w:tc>
          <w:tcPr>
            <w:tcW w:w="1020" w:type="dxa"/>
            <w:vAlign w:val="bottom"/>
            <w:shd w:val="clear" w:color="auto" w:fill="DAEBF8"/>
          </w:tcPr>
          <w:p>
            <w:pPr>
              <w:jc w:val="right"/>
              <w:spacing w:after="0"/>
              <w:rPr>
                <w:sz w:val="20"/>
                <w:szCs w:val="20"/>
                <w:color w:val="auto"/>
              </w:rPr>
            </w:pPr>
            <w:r>
              <w:rPr>
                <w:rFonts w:ascii="Arial" w:cs="Arial" w:eastAsia="Arial" w:hAnsi="Arial"/>
                <w:sz w:val="13"/>
                <w:szCs w:val="13"/>
                <w:color w:val="auto"/>
              </w:rPr>
              <w:t>965,189</w:t>
            </w:r>
          </w:p>
        </w:tc>
        <w:tc>
          <w:tcPr>
            <w:tcW w:w="1040" w:type="dxa"/>
            <w:vAlign w:val="bottom"/>
            <w:shd w:val="clear" w:color="auto" w:fill="DAEBF8"/>
          </w:tcPr>
          <w:p>
            <w:pPr>
              <w:jc w:val="right"/>
              <w:spacing w:after="0"/>
              <w:rPr>
                <w:sz w:val="20"/>
                <w:szCs w:val="20"/>
                <w:color w:val="auto"/>
              </w:rPr>
            </w:pPr>
            <w:r>
              <w:rPr>
                <w:rFonts w:ascii="Arial" w:cs="Arial" w:eastAsia="Arial" w:hAnsi="Arial"/>
                <w:sz w:val="13"/>
                <w:szCs w:val="13"/>
                <w:color w:val="auto"/>
              </w:rPr>
              <w:t>82,207</w:t>
            </w:r>
          </w:p>
        </w:tc>
        <w:tc>
          <w:tcPr>
            <w:tcW w:w="200" w:type="dxa"/>
            <w:vAlign w:val="bottom"/>
            <w:shd w:val="clear" w:color="auto" w:fill="DAEBF8"/>
          </w:tcPr>
          <w:p>
            <w:pPr>
              <w:ind w:left="40"/>
              <w:spacing w:after="0"/>
              <w:rPr>
                <w:sz w:val="20"/>
                <w:szCs w:val="20"/>
                <w:color w:val="auto"/>
              </w:rPr>
            </w:pPr>
            <w:r>
              <w:rPr>
                <w:rFonts w:ascii="Arial" w:cs="Arial" w:eastAsia="Arial" w:hAnsi="Arial"/>
                <w:sz w:val="9"/>
                <w:szCs w:val="9"/>
                <w:color w:val="auto"/>
              </w:rPr>
              <w:t>8</w:t>
            </w:r>
          </w:p>
        </w:tc>
        <w:tc>
          <w:tcPr>
            <w:tcW w:w="720" w:type="dxa"/>
            <w:vAlign w:val="bottom"/>
            <w:shd w:val="clear" w:color="auto" w:fill="DAEBF8"/>
          </w:tcPr>
          <w:p>
            <w:pPr>
              <w:ind w:left="60"/>
              <w:spacing w:after="0"/>
              <w:rPr>
                <w:sz w:val="20"/>
                <w:szCs w:val="20"/>
                <w:color w:val="auto"/>
              </w:rPr>
            </w:pPr>
            <w:r>
              <w:rPr>
                <w:rFonts w:ascii="Arial" w:cs="Arial" w:eastAsia="Arial" w:hAnsi="Arial"/>
                <w:sz w:val="13"/>
                <w:szCs w:val="13"/>
                <w:color w:val="auto"/>
              </w:rPr>
              <w:t>8,780,263</w:t>
            </w:r>
          </w:p>
        </w:tc>
        <w:tc>
          <w:tcPr>
            <w:tcW w:w="0" w:type="dxa"/>
            <w:vAlign w:val="bottom"/>
          </w:tcPr>
          <w:p>
            <w:pPr>
              <w:spacing w:after="0"/>
              <w:rPr>
                <w:sz w:val="1"/>
                <w:szCs w:val="1"/>
                <w:color w:val="auto"/>
              </w:rPr>
            </w:pPr>
          </w:p>
        </w:tc>
      </w:tr>
      <w:tr>
        <w:trPr>
          <w:trHeight w:val="180"/>
        </w:trPr>
        <w:tc>
          <w:tcPr>
            <w:tcW w:w="2280" w:type="dxa"/>
            <w:vAlign w:val="bottom"/>
            <w:shd w:val="clear" w:color="auto" w:fill="DAEBF8"/>
          </w:tcPr>
          <w:p>
            <w:pPr>
              <w:ind w:left="80"/>
              <w:spacing w:after="0"/>
              <w:rPr>
                <w:sz w:val="20"/>
                <w:szCs w:val="20"/>
                <w:color w:val="auto"/>
              </w:rPr>
            </w:pPr>
            <w:r>
              <w:rPr>
                <w:rFonts w:ascii="Arial" w:cs="Arial" w:eastAsia="Arial" w:hAnsi="Arial"/>
                <w:sz w:val="13"/>
                <w:szCs w:val="13"/>
                <w:color w:val="auto"/>
              </w:rPr>
              <w:t>Executive Vice President and</w:t>
            </w:r>
          </w:p>
        </w:tc>
        <w:tc>
          <w:tcPr>
            <w:tcW w:w="420" w:type="dxa"/>
            <w:vAlign w:val="bottom"/>
            <w:shd w:val="clear" w:color="auto" w:fill="DAEBF8"/>
          </w:tcPr>
          <w:p>
            <w:pPr>
              <w:jc w:val="center"/>
              <w:spacing w:after="0"/>
              <w:rPr>
                <w:sz w:val="20"/>
                <w:szCs w:val="20"/>
                <w:color w:val="auto"/>
              </w:rPr>
            </w:pPr>
            <w:r>
              <w:rPr>
                <w:rFonts w:ascii="Arial" w:cs="Arial" w:eastAsia="Arial" w:hAnsi="Arial"/>
                <w:sz w:val="13"/>
                <w:szCs w:val="13"/>
                <w:color w:val="auto"/>
              </w:rPr>
              <w:t>2024</w:t>
            </w:r>
          </w:p>
        </w:tc>
        <w:tc>
          <w:tcPr>
            <w:tcW w:w="720" w:type="dxa"/>
            <w:vAlign w:val="bottom"/>
            <w:shd w:val="clear" w:color="auto" w:fill="DAEBF8"/>
          </w:tcPr>
          <w:p>
            <w:pPr>
              <w:jc w:val="right"/>
              <w:spacing w:after="0"/>
              <w:rPr>
                <w:sz w:val="20"/>
                <w:szCs w:val="20"/>
                <w:color w:val="auto"/>
              </w:rPr>
            </w:pPr>
            <w:r>
              <w:rPr>
                <w:rFonts w:ascii="Arial" w:cs="Arial" w:eastAsia="Arial" w:hAnsi="Arial"/>
                <w:sz w:val="13"/>
                <w:szCs w:val="13"/>
                <w:color w:val="auto"/>
              </w:rPr>
              <w:t>964,100</w:t>
            </w:r>
          </w:p>
        </w:tc>
        <w:tc>
          <w:tcPr>
            <w:tcW w:w="900" w:type="dxa"/>
            <w:vAlign w:val="bottom"/>
            <w:shd w:val="clear" w:color="auto" w:fill="DAEBF8"/>
          </w:tcPr>
          <w:p>
            <w:pPr>
              <w:jc w:val="right"/>
              <w:ind w:right="192"/>
              <w:spacing w:after="0"/>
              <w:rPr>
                <w:sz w:val="20"/>
                <w:szCs w:val="20"/>
                <w:color w:val="auto"/>
              </w:rPr>
            </w:pPr>
            <w:r>
              <w:rPr>
                <w:rFonts w:ascii="Arial" w:cs="Arial" w:eastAsia="Arial" w:hAnsi="Arial"/>
                <w:sz w:val="13"/>
                <w:szCs w:val="13"/>
                <w:color w:val="auto"/>
              </w:rPr>
              <w:t>—</w:t>
            </w:r>
          </w:p>
        </w:tc>
        <w:tc>
          <w:tcPr>
            <w:tcW w:w="740" w:type="dxa"/>
            <w:vAlign w:val="bottom"/>
            <w:shd w:val="clear" w:color="auto" w:fill="DAEBF8"/>
          </w:tcPr>
          <w:p>
            <w:pPr>
              <w:jc w:val="right"/>
              <w:ind w:right="12"/>
              <w:spacing w:after="0"/>
              <w:rPr>
                <w:sz w:val="20"/>
                <w:szCs w:val="20"/>
                <w:color w:val="auto"/>
              </w:rPr>
            </w:pPr>
            <w:r>
              <w:rPr>
                <w:rFonts w:ascii="Arial" w:cs="Arial" w:eastAsia="Arial" w:hAnsi="Arial"/>
                <w:sz w:val="13"/>
                <w:szCs w:val="13"/>
                <w:color w:val="auto"/>
              </w:rPr>
              <w:t>2,699,968</w:t>
            </w:r>
          </w:p>
        </w:tc>
        <w:tc>
          <w:tcPr>
            <w:tcW w:w="720" w:type="dxa"/>
            <w:vAlign w:val="bottom"/>
            <w:shd w:val="clear" w:color="auto" w:fill="DAEBF8"/>
          </w:tcPr>
          <w:p>
            <w:pPr>
              <w:jc w:val="right"/>
              <w:ind w:right="12"/>
              <w:spacing w:after="0"/>
              <w:rPr>
                <w:sz w:val="20"/>
                <w:szCs w:val="20"/>
                <w:color w:val="auto"/>
              </w:rPr>
            </w:pPr>
            <w:r>
              <w:rPr>
                <w:rFonts w:ascii="Arial" w:cs="Arial" w:eastAsia="Arial" w:hAnsi="Arial"/>
                <w:sz w:val="13"/>
                <w:szCs w:val="13"/>
                <w:color w:val="auto"/>
              </w:rPr>
              <w:t>4,049,729</w:t>
            </w:r>
          </w:p>
        </w:tc>
        <w:tc>
          <w:tcPr>
            <w:tcW w:w="1020" w:type="dxa"/>
            <w:vAlign w:val="bottom"/>
            <w:shd w:val="clear" w:color="auto" w:fill="DAEBF8"/>
          </w:tcPr>
          <w:p>
            <w:pPr>
              <w:jc w:val="right"/>
              <w:spacing w:after="0"/>
              <w:rPr>
                <w:sz w:val="20"/>
                <w:szCs w:val="20"/>
                <w:color w:val="auto"/>
              </w:rPr>
            </w:pPr>
            <w:r>
              <w:rPr>
                <w:rFonts w:ascii="Arial" w:cs="Arial" w:eastAsia="Arial" w:hAnsi="Arial"/>
                <w:sz w:val="13"/>
                <w:szCs w:val="13"/>
                <w:color w:val="auto"/>
              </w:rPr>
              <w:t>914,931</w:t>
            </w:r>
          </w:p>
        </w:tc>
        <w:tc>
          <w:tcPr>
            <w:tcW w:w="1040" w:type="dxa"/>
            <w:vAlign w:val="bottom"/>
            <w:shd w:val="clear" w:color="auto" w:fill="DAEBF8"/>
          </w:tcPr>
          <w:p>
            <w:pPr>
              <w:jc w:val="right"/>
              <w:spacing w:after="0"/>
              <w:rPr>
                <w:sz w:val="20"/>
                <w:szCs w:val="20"/>
                <w:color w:val="auto"/>
              </w:rPr>
            </w:pPr>
            <w:r>
              <w:rPr>
                <w:rFonts w:ascii="Arial" w:cs="Arial" w:eastAsia="Arial" w:hAnsi="Arial"/>
                <w:sz w:val="13"/>
                <w:szCs w:val="13"/>
                <w:color w:val="auto"/>
              </w:rPr>
              <w:t>26,450</w:t>
            </w:r>
          </w:p>
        </w:tc>
        <w:tc>
          <w:tcPr>
            <w:tcW w:w="200" w:type="dxa"/>
            <w:vAlign w:val="bottom"/>
            <w:shd w:val="clear" w:color="auto" w:fill="DAEBF8"/>
          </w:tcPr>
          <w:p>
            <w:pPr>
              <w:spacing w:after="0"/>
              <w:rPr>
                <w:sz w:val="15"/>
                <w:szCs w:val="15"/>
                <w:color w:val="auto"/>
              </w:rPr>
            </w:pPr>
          </w:p>
        </w:tc>
        <w:tc>
          <w:tcPr>
            <w:tcW w:w="720" w:type="dxa"/>
            <w:vAlign w:val="bottom"/>
            <w:shd w:val="clear" w:color="auto" w:fill="DAEBF8"/>
          </w:tcPr>
          <w:p>
            <w:pPr>
              <w:ind w:left="60"/>
              <w:spacing w:after="0"/>
              <w:rPr>
                <w:sz w:val="20"/>
                <w:szCs w:val="20"/>
                <w:color w:val="auto"/>
              </w:rPr>
            </w:pPr>
            <w:r>
              <w:rPr>
                <w:rFonts w:ascii="Arial" w:cs="Arial" w:eastAsia="Arial" w:hAnsi="Arial"/>
                <w:sz w:val="13"/>
                <w:szCs w:val="13"/>
                <w:color w:val="auto"/>
              </w:rPr>
              <w:t>8,655,178</w:t>
            </w:r>
          </w:p>
        </w:tc>
        <w:tc>
          <w:tcPr>
            <w:tcW w:w="0" w:type="dxa"/>
            <w:vAlign w:val="bottom"/>
          </w:tcPr>
          <w:p>
            <w:pPr>
              <w:spacing w:after="0"/>
              <w:rPr>
                <w:sz w:val="1"/>
                <w:szCs w:val="1"/>
                <w:color w:val="auto"/>
              </w:rPr>
            </w:pPr>
          </w:p>
        </w:tc>
      </w:tr>
      <w:tr>
        <w:trPr>
          <w:trHeight w:val="175"/>
        </w:trPr>
        <w:tc>
          <w:tcPr>
            <w:tcW w:w="2280" w:type="dxa"/>
            <w:vAlign w:val="bottom"/>
            <w:shd w:val="clear" w:color="auto" w:fill="DAEBF8"/>
          </w:tcPr>
          <w:p>
            <w:pPr>
              <w:ind w:left="80"/>
              <w:spacing w:after="0"/>
              <w:rPr>
                <w:sz w:val="20"/>
                <w:szCs w:val="20"/>
                <w:color w:val="auto"/>
              </w:rPr>
            </w:pPr>
            <w:r>
              <w:rPr>
                <w:rFonts w:ascii="Arial" w:cs="Arial" w:eastAsia="Arial" w:hAnsi="Arial"/>
                <w:sz w:val="13"/>
                <w:szCs w:val="13"/>
                <w:color w:val="auto"/>
              </w:rPr>
              <w:t>General Manager, Industrial</w:t>
            </w:r>
          </w:p>
        </w:tc>
        <w:tc>
          <w:tcPr>
            <w:tcW w:w="420" w:type="dxa"/>
            <w:vAlign w:val="bottom"/>
            <w:vMerge w:val="restart"/>
            <w:shd w:val="clear" w:color="auto" w:fill="DAEBF8"/>
          </w:tcPr>
          <w:p>
            <w:pPr>
              <w:jc w:val="center"/>
              <w:spacing w:after="0"/>
              <w:rPr>
                <w:sz w:val="20"/>
                <w:szCs w:val="20"/>
                <w:color w:val="auto"/>
              </w:rPr>
            </w:pPr>
            <w:r>
              <w:rPr>
                <w:rFonts w:ascii="Arial" w:cs="Arial" w:eastAsia="Arial" w:hAnsi="Arial"/>
                <w:sz w:val="13"/>
                <w:szCs w:val="13"/>
                <w:color w:val="auto"/>
              </w:rPr>
              <w:t>2023</w:t>
            </w:r>
          </w:p>
        </w:tc>
        <w:tc>
          <w:tcPr>
            <w:tcW w:w="720" w:type="dxa"/>
            <w:vAlign w:val="bottom"/>
            <w:vMerge w:val="restart"/>
            <w:shd w:val="clear" w:color="auto" w:fill="DAEBF8"/>
          </w:tcPr>
          <w:p>
            <w:pPr>
              <w:jc w:val="right"/>
              <w:spacing w:after="0"/>
              <w:rPr>
                <w:sz w:val="20"/>
                <w:szCs w:val="20"/>
                <w:color w:val="auto"/>
              </w:rPr>
            </w:pPr>
            <w:r>
              <w:rPr>
                <w:rFonts w:ascii="Arial" w:cs="Arial" w:eastAsia="Arial" w:hAnsi="Arial"/>
                <w:sz w:val="13"/>
                <w:szCs w:val="13"/>
                <w:color w:val="auto"/>
              </w:rPr>
              <w:t>931,500</w:t>
            </w:r>
          </w:p>
        </w:tc>
        <w:tc>
          <w:tcPr>
            <w:tcW w:w="900" w:type="dxa"/>
            <w:vAlign w:val="bottom"/>
            <w:vMerge w:val="restart"/>
            <w:shd w:val="clear" w:color="auto" w:fill="DAEBF8"/>
          </w:tcPr>
          <w:p>
            <w:pPr>
              <w:jc w:val="right"/>
              <w:ind w:right="192"/>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DAEBF8"/>
          </w:tcPr>
          <w:p>
            <w:pPr>
              <w:jc w:val="right"/>
              <w:ind w:right="12"/>
              <w:spacing w:after="0"/>
              <w:rPr>
                <w:sz w:val="20"/>
                <w:szCs w:val="20"/>
                <w:color w:val="auto"/>
              </w:rPr>
            </w:pPr>
            <w:r>
              <w:rPr>
                <w:rFonts w:ascii="Arial" w:cs="Arial" w:eastAsia="Arial" w:hAnsi="Arial"/>
                <w:sz w:val="13"/>
                <w:szCs w:val="13"/>
                <w:color w:val="auto"/>
              </w:rPr>
              <w:t>2,699,284</w:t>
            </w:r>
          </w:p>
        </w:tc>
        <w:tc>
          <w:tcPr>
            <w:tcW w:w="720" w:type="dxa"/>
            <w:vAlign w:val="bottom"/>
            <w:vMerge w:val="restart"/>
            <w:shd w:val="clear" w:color="auto" w:fill="DAEBF8"/>
          </w:tcPr>
          <w:p>
            <w:pPr>
              <w:jc w:val="right"/>
              <w:ind w:right="12"/>
              <w:spacing w:after="0"/>
              <w:rPr>
                <w:sz w:val="20"/>
                <w:szCs w:val="20"/>
                <w:color w:val="auto"/>
              </w:rPr>
            </w:pPr>
            <w:r>
              <w:rPr>
                <w:rFonts w:ascii="Arial" w:cs="Arial" w:eastAsia="Arial" w:hAnsi="Arial"/>
                <w:sz w:val="13"/>
                <w:szCs w:val="13"/>
                <w:color w:val="auto"/>
              </w:rPr>
              <w:t>4,049,638</w:t>
            </w:r>
          </w:p>
        </w:tc>
        <w:tc>
          <w:tcPr>
            <w:tcW w:w="1020" w:type="dxa"/>
            <w:vAlign w:val="bottom"/>
            <w:vMerge w:val="restart"/>
            <w:shd w:val="clear" w:color="auto" w:fill="DAEBF8"/>
          </w:tcPr>
          <w:p>
            <w:pPr>
              <w:jc w:val="right"/>
              <w:spacing w:after="0"/>
              <w:rPr>
                <w:sz w:val="20"/>
                <w:szCs w:val="20"/>
                <w:color w:val="auto"/>
              </w:rPr>
            </w:pPr>
            <w:r>
              <w:rPr>
                <w:rFonts w:ascii="Arial" w:cs="Arial" w:eastAsia="Arial" w:hAnsi="Arial"/>
                <w:sz w:val="13"/>
                <w:szCs w:val="13"/>
                <w:color w:val="auto"/>
              </w:rPr>
              <w:t>1,053,527</w:t>
            </w:r>
          </w:p>
        </w:tc>
        <w:tc>
          <w:tcPr>
            <w:tcW w:w="1040" w:type="dxa"/>
            <w:vAlign w:val="bottom"/>
            <w:vMerge w:val="restart"/>
            <w:shd w:val="clear" w:color="auto" w:fill="DAEBF8"/>
          </w:tcPr>
          <w:p>
            <w:pPr>
              <w:jc w:val="right"/>
              <w:spacing w:after="0"/>
              <w:rPr>
                <w:sz w:val="20"/>
                <w:szCs w:val="20"/>
                <w:color w:val="auto"/>
              </w:rPr>
            </w:pPr>
            <w:r>
              <w:rPr>
                <w:rFonts w:ascii="Arial" w:cs="Arial" w:eastAsia="Arial" w:hAnsi="Arial"/>
                <w:sz w:val="13"/>
                <w:szCs w:val="13"/>
                <w:color w:val="auto"/>
              </w:rPr>
              <w:t>26,200</w:t>
            </w:r>
          </w:p>
        </w:tc>
        <w:tc>
          <w:tcPr>
            <w:tcW w:w="200" w:type="dxa"/>
            <w:vAlign w:val="bottom"/>
            <w:shd w:val="clear" w:color="auto" w:fill="DAEBF8"/>
          </w:tcPr>
          <w:p>
            <w:pPr>
              <w:spacing w:after="0"/>
              <w:rPr>
                <w:sz w:val="15"/>
                <w:szCs w:val="15"/>
                <w:color w:val="auto"/>
              </w:rPr>
            </w:pPr>
          </w:p>
        </w:tc>
        <w:tc>
          <w:tcPr>
            <w:tcW w:w="720" w:type="dxa"/>
            <w:vAlign w:val="bottom"/>
            <w:vMerge w:val="restart"/>
            <w:shd w:val="clear" w:color="auto" w:fill="DAEBF8"/>
          </w:tcPr>
          <w:p>
            <w:pPr>
              <w:ind w:left="60"/>
              <w:spacing w:after="0"/>
              <w:rPr>
                <w:sz w:val="20"/>
                <w:szCs w:val="20"/>
                <w:color w:val="auto"/>
              </w:rPr>
            </w:pPr>
            <w:r>
              <w:rPr>
                <w:rFonts w:ascii="Arial" w:cs="Arial" w:eastAsia="Arial" w:hAnsi="Arial"/>
                <w:sz w:val="13"/>
                <w:szCs w:val="13"/>
                <w:color w:val="auto"/>
              </w:rPr>
              <w:t>8,760,149</w:t>
            </w:r>
          </w:p>
        </w:tc>
        <w:tc>
          <w:tcPr>
            <w:tcW w:w="0" w:type="dxa"/>
            <w:vAlign w:val="bottom"/>
          </w:tcPr>
          <w:p>
            <w:pPr>
              <w:spacing w:after="0"/>
              <w:rPr>
                <w:sz w:val="1"/>
                <w:szCs w:val="1"/>
                <w:color w:val="auto"/>
              </w:rPr>
            </w:pPr>
          </w:p>
        </w:tc>
      </w:tr>
      <w:tr>
        <w:trPr>
          <w:trHeight w:val="68"/>
        </w:trPr>
        <w:tc>
          <w:tcPr>
            <w:tcW w:w="2280" w:type="dxa"/>
            <w:vAlign w:val="bottom"/>
            <w:vMerge w:val="restart"/>
            <w:shd w:val="clear" w:color="auto" w:fill="DAEBF8"/>
          </w:tcPr>
          <w:p>
            <w:pPr>
              <w:ind w:left="80"/>
              <w:spacing w:after="0"/>
              <w:rPr>
                <w:sz w:val="20"/>
                <w:szCs w:val="20"/>
                <w:color w:val="auto"/>
              </w:rPr>
            </w:pPr>
            <w:r>
              <w:rPr>
                <w:rFonts w:ascii="Arial" w:cs="Arial" w:eastAsia="Arial" w:hAnsi="Arial"/>
                <w:sz w:val="13"/>
                <w:szCs w:val="13"/>
                <w:color w:val="auto"/>
              </w:rPr>
              <w:t>Operations and Product Supply</w:t>
            </w:r>
          </w:p>
        </w:tc>
        <w:tc>
          <w:tcPr>
            <w:tcW w:w="420" w:type="dxa"/>
            <w:vAlign w:val="bottom"/>
            <w:vMerge w:val="continue"/>
            <w:shd w:val="clear" w:color="auto" w:fill="DAEBF8"/>
          </w:tcPr>
          <w:p>
            <w:pPr>
              <w:spacing w:after="0"/>
              <w:rPr>
                <w:sz w:val="5"/>
                <w:szCs w:val="5"/>
                <w:color w:val="auto"/>
              </w:rPr>
            </w:pPr>
          </w:p>
        </w:tc>
        <w:tc>
          <w:tcPr>
            <w:tcW w:w="720" w:type="dxa"/>
            <w:vAlign w:val="bottom"/>
            <w:vMerge w:val="continue"/>
            <w:shd w:val="clear" w:color="auto" w:fill="DAEBF8"/>
          </w:tcPr>
          <w:p>
            <w:pPr>
              <w:spacing w:after="0"/>
              <w:rPr>
                <w:sz w:val="5"/>
                <w:szCs w:val="5"/>
                <w:color w:val="auto"/>
              </w:rPr>
            </w:pPr>
          </w:p>
        </w:tc>
        <w:tc>
          <w:tcPr>
            <w:tcW w:w="900" w:type="dxa"/>
            <w:vAlign w:val="bottom"/>
            <w:vMerge w:val="continue"/>
            <w:shd w:val="clear" w:color="auto" w:fill="DAEBF8"/>
          </w:tcPr>
          <w:p>
            <w:pPr>
              <w:spacing w:after="0"/>
              <w:rPr>
                <w:sz w:val="5"/>
                <w:szCs w:val="5"/>
                <w:color w:val="auto"/>
              </w:rPr>
            </w:pPr>
          </w:p>
        </w:tc>
        <w:tc>
          <w:tcPr>
            <w:tcW w:w="740" w:type="dxa"/>
            <w:vAlign w:val="bottom"/>
            <w:vMerge w:val="continue"/>
            <w:shd w:val="clear" w:color="auto" w:fill="DAEBF8"/>
          </w:tcPr>
          <w:p>
            <w:pPr>
              <w:spacing w:after="0"/>
              <w:rPr>
                <w:sz w:val="5"/>
                <w:szCs w:val="5"/>
                <w:color w:val="auto"/>
              </w:rPr>
            </w:pPr>
          </w:p>
        </w:tc>
        <w:tc>
          <w:tcPr>
            <w:tcW w:w="720" w:type="dxa"/>
            <w:vAlign w:val="bottom"/>
            <w:vMerge w:val="continue"/>
            <w:shd w:val="clear" w:color="auto" w:fill="DAEBF8"/>
          </w:tcPr>
          <w:p>
            <w:pPr>
              <w:spacing w:after="0"/>
              <w:rPr>
                <w:sz w:val="5"/>
                <w:szCs w:val="5"/>
                <w:color w:val="auto"/>
              </w:rPr>
            </w:pPr>
          </w:p>
        </w:tc>
        <w:tc>
          <w:tcPr>
            <w:tcW w:w="1020" w:type="dxa"/>
            <w:vAlign w:val="bottom"/>
            <w:vMerge w:val="continue"/>
            <w:shd w:val="clear" w:color="auto" w:fill="DAEBF8"/>
          </w:tcPr>
          <w:p>
            <w:pPr>
              <w:spacing w:after="0"/>
              <w:rPr>
                <w:sz w:val="5"/>
                <w:szCs w:val="5"/>
                <w:color w:val="auto"/>
              </w:rPr>
            </w:pPr>
          </w:p>
        </w:tc>
        <w:tc>
          <w:tcPr>
            <w:tcW w:w="1040" w:type="dxa"/>
            <w:vAlign w:val="bottom"/>
            <w:vMerge w:val="continue"/>
            <w:shd w:val="clear" w:color="auto" w:fill="DAEBF8"/>
          </w:tcPr>
          <w:p>
            <w:pPr>
              <w:spacing w:after="0"/>
              <w:rPr>
                <w:sz w:val="5"/>
                <w:szCs w:val="5"/>
                <w:color w:val="auto"/>
              </w:rPr>
            </w:pPr>
          </w:p>
        </w:tc>
        <w:tc>
          <w:tcPr>
            <w:tcW w:w="200" w:type="dxa"/>
            <w:vAlign w:val="bottom"/>
            <w:shd w:val="clear" w:color="auto" w:fill="DAEBF8"/>
          </w:tcPr>
          <w:p>
            <w:pPr>
              <w:spacing w:after="0"/>
              <w:rPr>
                <w:sz w:val="5"/>
                <w:szCs w:val="5"/>
                <w:color w:val="auto"/>
              </w:rPr>
            </w:pPr>
          </w:p>
        </w:tc>
        <w:tc>
          <w:tcPr>
            <w:tcW w:w="720" w:type="dxa"/>
            <w:vAlign w:val="bottom"/>
            <w:vMerge w:val="continue"/>
            <w:shd w:val="clear" w:color="auto" w:fill="DAEBF8"/>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280" w:type="dxa"/>
            <w:vAlign w:val="bottom"/>
            <w:vMerge w:val="continue"/>
            <w:shd w:val="clear" w:color="auto" w:fill="DAEBF8"/>
          </w:tcPr>
          <w:p>
            <w:pPr>
              <w:spacing w:after="0"/>
              <w:rPr>
                <w:sz w:val="10"/>
                <w:szCs w:val="10"/>
                <w:color w:val="auto"/>
              </w:rPr>
            </w:pPr>
          </w:p>
        </w:tc>
        <w:tc>
          <w:tcPr>
            <w:tcW w:w="420" w:type="dxa"/>
            <w:vAlign w:val="bottom"/>
            <w:shd w:val="clear" w:color="auto" w:fill="DAEBF8"/>
          </w:tcPr>
          <w:p>
            <w:pPr>
              <w:spacing w:after="0"/>
              <w:rPr>
                <w:sz w:val="10"/>
                <w:szCs w:val="10"/>
                <w:color w:val="auto"/>
              </w:rPr>
            </w:pPr>
          </w:p>
        </w:tc>
        <w:tc>
          <w:tcPr>
            <w:tcW w:w="720" w:type="dxa"/>
            <w:vAlign w:val="bottom"/>
            <w:shd w:val="clear" w:color="auto" w:fill="DAEBF8"/>
          </w:tcPr>
          <w:p>
            <w:pPr>
              <w:spacing w:after="0"/>
              <w:rPr>
                <w:sz w:val="10"/>
                <w:szCs w:val="10"/>
                <w:color w:val="auto"/>
              </w:rPr>
            </w:pPr>
          </w:p>
        </w:tc>
        <w:tc>
          <w:tcPr>
            <w:tcW w:w="900" w:type="dxa"/>
            <w:vAlign w:val="bottom"/>
            <w:shd w:val="clear" w:color="auto" w:fill="DAEBF8"/>
          </w:tcPr>
          <w:p>
            <w:pPr>
              <w:spacing w:after="0"/>
              <w:rPr>
                <w:sz w:val="10"/>
                <w:szCs w:val="10"/>
                <w:color w:val="auto"/>
              </w:rPr>
            </w:pPr>
          </w:p>
        </w:tc>
        <w:tc>
          <w:tcPr>
            <w:tcW w:w="740" w:type="dxa"/>
            <w:vAlign w:val="bottom"/>
            <w:shd w:val="clear" w:color="auto" w:fill="DAEBF8"/>
          </w:tcPr>
          <w:p>
            <w:pPr>
              <w:spacing w:after="0"/>
              <w:rPr>
                <w:sz w:val="10"/>
                <w:szCs w:val="10"/>
                <w:color w:val="auto"/>
              </w:rPr>
            </w:pPr>
          </w:p>
        </w:tc>
        <w:tc>
          <w:tcPr>
            <w:tcW w:w="720" w:type="dxa"/>
            <w:vAlign w:val="bottom"/>
            <w:shd w:val="clear" w:color="auto" w:fill="DAEBF8"/>
          </w:tcPr>
          <w:p>
            <w:pPr>
              <w:spacing w:after="0"/>
              <w:rPr>
                <w:sz w:val="10"/>
                <w:szCs w:val="10"/>
                <w:color w:val="auto"/>
              </w:rPr>
            </w:pPr>
          </w:p>
        </w:tc>
        <w:tc>
          <w:tcPr>
            <w:tcW w:w="1020" w:type="dxa"/>
            <w:vAlign w:val="bottom"/>
            <w:shd w:val="clear" w:color="auto" w:fill="DAEBF8"/>
          </w:tcPr>
          <w:p>
            <w:pPr>
              <w:spacing w:after="0"/>
              <w:rPr>
                <w:sz w:val="10"/>
                <w:szCs w:val="10"/>
                <w:color w:val="auto"/>
              </w:rPr>
            </w:pPr>
          </w:p>
        </w:tc>
        <w:tc>
          <w:tcPr>
            <w:tcW w:w="1040" w:type="dxa"/>
            <w:vAlign w:val="bottom"/>
            <w:shd w:val="clear" w:color="auto" w:fill="DAEBF8"/>
          </w:tcPr>
          <w:p>
            <w:pPr>
              <w:spacing w:after="0"/>
              <w:rPr>
                <w:sz w:val="10"/>
                <w:szCs w:val="10"/>
                <w:color w:val="auto"/>
              </w:rPr>
            </w:pPr>
          </w:p>
        </w:tc>
        <w:tc>
          <w:tcPr>
            <w:tcW w:w="200" w:type="dxa"/>
            <w:vAlign w:val="bottom"/>
            <w:shd w:val="clear" w:color="auto" w:fill="DAEBF8"/>
          </w:tcPr>
          <w:p>
            <w:pPr>
              <w:spacing w:after="0"/>
              <w:rPr>
                <w:sz w:val="10"/>
                <w:szCs w:val="10"/>
                <w:color w:val="auto"/>
              </w:rPr>
            </w:pPr>
          </w:p>
        </w:tc>
        <w:tc>
          <w:tcPr>
            <w:tcW w:w="720" w:type="dxa"/>
            <w:vAlign w:val="bottom"/>
            <w:shd w:val="clear" w:color="auto" w:fill="DAEBF8"/>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80"/>
              <w:spacing w:after="0"/>
              <w:rPr>
                <w:sz w:val="20"/>
                <w:szCs w:val="20"/>
                <w:color w:val="auto"/>
              </w:rPr>
            </w:pPr>
            <w:r>
              <w:rPr>
                <w:rFonts w:ascii="Arial" w:cs="Arial" w:eastAsia="Arial" w:hAnsi="Arial"/>
                <w:sz w:val="13"/>
                <w:szCs w:val="13"/>
                <w:b w:val="1"/>
                <w:bCs w:val="1"/>
                <w:color w:val="auto"/>
              </w:rPr>
              <w:t>Andrew J. Murphy, Ph.D.</w:t>
            </w:r>
          </w:p>
        </w:tc>
        <w:tc>
          <w:tcPr>
            <w:tcW w:w="420" w:type="dxa"/>
            <w:vAlign w:val="bottom"/>
          </w:tcPr>
          <w:p>
            <w:pPr>
              <w:jc w:val="center"/>
              <w:spacing w:after="0"/>
              <w:rPr>
                <w:sz w:val="20"/>
                <w:szCs w:val="20"/>
                <w:color w:val="auto"/>
              </w:rPr>
            </w:pPr>
            <w:r>
              <w:rPr>
                <w:rFonts w:ascii="Arial" w:cs="Arial" w:eastAsia="Arial" w:hAnsi="Arial"/>
                <w:sz w:val="13"/>
                <w:szCs w:val="13"/>
                <w:color w:val="auto"/>
              </w:rPr>
              <w:t>2025</w:t>
            </w:r>
          </w:p>
        </w:tc>
        <w:tc>
          <w:tcPr>
            <w:tcW w:w="720" w:type="dxa"/>
            <w:vAlign w:val="bottom"/>
          </w:tcPr>
          <w:p>
            <w:pPr>
              <w:jc w:val="right"/>
              <w:spacing w:after="0"/>
              <w:rPr>
                <w:sz w:val="20"/>
                <w:szCs w:val="20"/>
                <w:color w:val="auto"/>
              </w:rPr>
            </w:pPr>
            <w:r>
              <w:rPr>
                <w:rFonts w:ascii="Arial" w:cs="Arial" w:eastAsia="Arial" w:hAnsi="Arial"/>
                <w:sz w:val="13"/>
                <w:szCs w:val="13"/>
                <w:color w:val="auto"/>
              </w:rPr>
              <w:t>819,672</w:t>
            </w:r>
          </w:p>
        </w:tc>
        <w:tc>
          <w:tcPr>
            <w:tcW w:w="900" w:type="dxa"/>
            <w:vAlign w:val="bottom"/>
          </w:tcPr>
          <w:p>
            <w:pPr>
              <w:jc w:val="right"/>
              <w:ind w:right="192"/>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2"/>
              <w:spacing w:after="0"/>
              <w:rPr>
                <w:sz w:val="20"/>
                <w:szCs w:val="20"/>
                <w:color w:val="auto"/>
              </w:rPr>
            </w:pPr>
            <w:r>
              <w:rPr>
                <w:rFonts w:ascii="Arial" w:cs="Arial" w:eastAsia="Arial" w:hAnsi="Arial"/>
                <w:sz w:val="13"/>
                <w:szCs w:val="13"/>
                <w:color w:val="auto"/>
              </w:rPr>
              <w:t>2,699,728</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4,049,757</w:t>
            </w:r>
          </w:p>
        </w:tc>
        <w:tc>
          <w:tcPr>
            <w:tcW w:w="1020" w:type="dxa"/>
            <w:vAlign w:val="bottom"/>
          </w:tcPr>
          <w:p>
            <w:pPr>
              <w:jc w:val="right"/>
              <w:spacing w:after="0"/>
              <w:rPr>
                <w:sz w:val="20"/>
                <w:szCs w:val="20"/>
                <w:color w:val="auto"/>
              </w:rPr>
            </w:pPr>
            <w:r>
              <w:rPr>
                <w:rFonts w:ascii="Arial" w:cs="Arial" w:eastAsia="Arial" w:hAnsi="Arial"/>
                <w:sz w:val="13"/>
                <w:szCs w:val="13"/>
                <w:color w:val="auto"/>
              </w:rPr>
              <w:t>815,164</w:t>
            </w:r>
          </w:p>
        </w:tc>
        <w:tc>
          <w:tcPr>
            <w:tcW w:w="1040" w:type="dxa"/>
            <w:vAlign w:val="bottom"/>
          </w:tcPr>
          <w:p>
            <w:pPr>
              <w:jc w:val="right"/>
              <w:spacing w:after="0"/>
              <w:rPr>
                <w:sz w:val="20"/>
                <w:szCs w:val="20"/>
                <w:color w:val="auto"/>
              </w:rPr>
            </w:pPr>
            <w:r>
              <w:rPr>
                <w:rFonts w:ascii="Arial" w:cs="Arial" w:eastAsia="Arial" w:hAnsi="Arial"/>
                <w:sz w:val="13"/>
                <w:szCs w:val="13"/>
                <w:color w:val="auto"/>
              </w:rPr>
              <w:t>92,798</w:t>
            </w:r>
          </w:p>
        </w:tc>
        <w:tc>
          <w:tcPr>
            <w:tcW w:w="200" w:type="dxa"/>
            <w:vAlign w:val="bottom"/>
          </w:tcPr>
          <w:p>
            <w:pPr>
              <w:ind w:left="40"/>
              <w:spacing w:after="0"/>
              <w:rPr>
                <w:sz w:val="20"/>
                <w:szCs w:val="20"/>
                <w:color w:val="auto"/>
              </w:rPr>
            </w:pPr>
            <w:r>
              <w:rPr>
                <w:rFonts w:ascii="Arial" w:cs="Arial" w:eastAsia="Arial" w:hAnsi="Arial"/>
                <w:sz w:val="9"/>
                <w:szCs w:val="9"/>
                <w:color w:val="auto"/>
              </w:rPr>
              <w:t>9</w:t>
            </w:r>
          </w:p>
        </w:tc>
        <w:tc>
          <w:tcPr>
            <w:tcW w:w="720" w:type="dxa"/>
            <w:vAlign w:val="bottom"/>
          </w:tcPr>
          <w:p>
            <w:pPr>
              <w:ind w:left="60"/>
              <w:spacing w:after="0"/>
              <w:rPr>
                <w:sz w:val="20"/>
                <w:szCs w:val="20"/>
                <w:color w:val="auto"/>
              </w:rPr>
            </w:pPr>
            <w:r>
              <w:rPr>
                <w:rFonts w:ascii="Arial" w:cs="Arial" w:eastAsia="Arial" w:hAnsi="Arial"/>
                <w:sz w:val="13"/>
                <w:szCs w:val="13"/>
                <w:color w:val="auto"/>
              </w:rPr>
              <w:t>8,477,119</w:t>
            </w:r>
          </w:p>
        </w:tc>
        <w:tc>
          <w:tcPr>
            <w:tcW w:w="0" w:type="dxa"/>
            <w:vAlign w:val="bottom"/>
          </w:tcPr>
          <w:p>
            <w:pPr>
              <w:spacing w:after="0"/>
              <w:rPr>
                <w:sz w:val="1"/>
                <w:szCs w:val="1"/>
                <w:color w:val="auto"/>
              </w:rPr>
            </w:pPr>
          </w:p>
        </w:tc>
      </w:tr>
      <w:tr>
        <w:trPr>
          <w:trHeight w:val="180"/>
        </w:trPr>
        <w:tc>
          <w:tcPr>
            <w:tcW w:w="2280" w:type="dxa"/>
            <w:vAlign w:val="bottom"/>
          </w:tcPr>
          <w:p>
            <w:pPr>
              <w:ind w:left="80"/>
              <w:spacing w:after="0"/>
              <w:rPr>
                <w:sz w:val="20"/>
                <w:szCs w:val="20"/>
                <w:color w:val="auto"/>
              </w:rPr>
            </w:pPr>
            <w:r>
              <w:rPr>
                <w:rFonts w:ascii="Arial" w:cs="Arial" w:eastAsia="Arial" w:hAnsi="Arial"/>
                <w:sz w:val="13"/>
                <w:szCs w:val="13"/>
                <w:color w:val="auto"/>
              </w:rPr>
              <w:t>Executive Vice President, Co-Chief</w:t>
            </w:r>
          </w:p>
        </w:tc>
        <w:tc>
          <w:tcPr>
            <w:tcW w:w="420" w:type="dxa"/>
            <w:vAlign w:val="bottom"/>
          </w:tcPr>
          <w:p>
            <w:pPr>
              <w:jc w:val="center"/>
              <w:spacing w:after="0"/>
              <w:rPr>
                <w:sz w:val="20"/>
                <w:szCs w:val="20"/>
                <w:color w:val="auto"/>
              </w:rPr>
            </w:pPr>
            <w:r>
              <w:rPr>
                <w:rFonts w:ascii="Arial" w:cs="Arial" w:eastAsia="Arial" w:hAnsi="Arial"/>
                <w:sz w:val="13"/>
                <w:szCs w:val="13"/>
                <w:color w:val="auto"/>
              </w:rPr>
              <w:t>2024</w:t>
            </w:r>
          </w:p>
        </w:tc>
        <w:tc>
          <w:tcPr>
            <w:tcW w:w="720" w:type="dxa"/>
            <w:vAlign w:val="bottom"/>
          </w:tcPr>
          <w:p>
            <w:pPr>
              <w:jc w:val="right"/>
              <w:spacing w:after="0"/>
              <w:rPr>
                <w:sz w:val="20"/>
                <w:szCs w:val="20"/>
                <w:color w:val="auto"/>
              </w:rPr>
            </w:pPr>
            <w:r>
              <w:rPr>
                <w:rFonts w:ascii="Arial" w:cs="Arial" w:eastAsia="Arial" w:hAnsi="Arial"/>
                <w:sz w:val="13"/>
                <w:szCs w:val="13"/>
                <w:color w:val="auto"/>
              </w:rPr>
              <w:t>803,600</w:t>
            </w:r>
          </w:p>
        </w:tc>
        <w:tc>
          <w:tcPr>
            <w:tcW w:w="900" w:type="dxa"/>
            <w:vAlign w:val="bottom"/>
          </w:tcPr>
          <w:p>
            <w:pPr>
              <w:jc w:val="right"/>
              <w:ind w:right="192"/>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2"/>
              <w:spacing w:after="0"/>
              <w:rPr>
                <w:sz w:val="20"/>
                <w:szCs w:val="20"/>
                <w:color w:val="auto"/>
              </w:rPr>
            </w:pPr>
            <w:r>
              <w:rPr>
                <w:rFonts w:ascii="Arial" w:cs="Arial" w:eastAsia="Arial" w:hAnsi="Arial"/>
                <w:sz w:val="13"/>
                <w:szCs w:val="13"/>
                <w:color w:val="auto"/>
              </w:rPr>
              <w:t>2,699,968</w:t>
            </w:r>
          </w:p>
        </w:tc>
        <w:tc>
          <w:tcPr>
            <w:tcW w:w="720" w:type="dxa"/>
            <w:vAlign w:val="bottom"/>
          </w:tcPr>
          <w:p>
            <w:pPr>
              <w:jc w:val="right"/>
              <w:ind w:right="12"/>
              <w:spacing w:after="0"/>
              <w:rPr>
                <w:sz w:val="20"/>
                <w:szCs w:val="20"/>
                <w:color w:val="auto"/>
              </w:rPr>
            </w:pPr>
            <w:r>
              <w:rPr>
                <w:rFonts w:ascii="Arial" w:cs="Arial" w:eastAsia="Arial" w:hAnsi="Arial"/>
                <w:sz w:val="13"/>
                <w:szCs w:val="13"/>
                <w:color w:val="auto"/>
              </w:rPr>
              <w:t>4,049,729</w:t>
            </w:r>
          </w:p>
        </w:tc>
        <w:tc>
          <w:tcPr>
            <w:tcW w:w="1020" w:type="dxa"/>
            <w:vAlign w:val="bottom"/>
          </w:tcPr>
          <w:p>
            <w:pPr>
              <w:jc w:val="right"/>
              <w:spacing w:after="0"/>
              <w:rPr>
                <w:sz w:val="20"/>
                <w:szCs w:val="20"/>
                <w:color w:val="auto"/>
              </w:rPr>
            </w:pPr>
            <w:r>
              <w:rPr>
                <w:rFonts w:ascii="Arial" w:cs="Arial" w:eastAsia="Arial" w:hAnsi="Arial"/>
                <w:sz w:val="13"/>
                <w:szCs w:val="13"/>
                <w:color w:val="auto"/>
              </w:rPr>
              <w:t>783,510</w:t>
            </w:r>
          </w:p>
        </w:tc>
        <w:tc>
          <w:tcPr>
            <w:tcW w:w="1040" w:type="dxa"/>
            <w:vAlign w:val="bottom"/>
          </w:tcPr>
          <w:p>
            <w:pPr>
              <w:jc w:val="right"/>
              <w:spacing w:after="0"/>
              <w:rPr>
                <w:sz w:val="20"/>
                <w:szCs w:val="20"/>
                <w:color w:val="auto"/>
              </w:rPr>
            </w:pPr>
            <w:r>
              <w:rPr>
                <w:rFonts w:ascii="Arial" w:cs="Arial" w:eastAsia="Arial" w:hAnsi="Arial"/>
                <w:sz w:val="13"/>
                <w:szCs w:val="13"/>
                <w:color w:val="auto"/>
              </w:rPr>
              <w:t>26,450</w:t>
            </w:r>
          </w:p>
        </w:tc>
        <w:tc>
          <w:tcPr>
            <w:tcW w:w="20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auto"/>
              </w:rPr>
              <w:t>8,363,257</w:t>
            </w:r>
          </w:p>
        </w:tc>
        <w:tc>
          <w:tcPr>
            <w:tcW w:w="0" w:type="dxa"/>
            <w:vAlign w:val="bottom"/>
          </w:tcPr>
          <w:p>
            <w:pPr>
              <w:spacing w:after="0"/>
              <w:rPr>
                <w:sz w:val="1"/>
                <w:szCs w:val="1"/>
                <w:color w:val="auto"/>
              </w:rPr>
            </w:pPr>
          </w:p>
        </w:tc>
      </w:tr>
      <w:tr>
        <w:trPr>
          <w:trHeight w:val="176"/>
        </w:trPr>
        <w:tc>
          <w:tcPr>
            <w:tcW w:w="2280" w:type="dxa"/>
            <w:vAlign w:val="bottom"/>
          </w:tcPr>
          <w:p>
            <w:pPr>
              <w:ind w:left="80"/>
              <w:spacing w:after="0"/>
              <w:rPr>
                <w:sz w:val="20"/>
                <w:szCs w:val="20"/>
                <w:color w:val="auto"/>
              </w:rPr>
            </w:pPr>
            <w:r>
              <w:rPr>
                <w:rFonts w:ascii="Arial" w:cs="Arial" w:eastAsia="Arial" w:hAnsi="Arial"/>
                <w:sz w:val="13"/>
                <w:szCs w:val="13"/>
                <w:color w:val="auto"/>
              </w:rPr>
              <w:t>Scientific Officer</w:t>
            </w:r>
          </w:p>
        </w:tc>
        <w:tc>
          <w:tcPr>
            <w:tcW w:w="420" w:type="dxa"/>
            <w:vAlign w:val="bottom"/>
            <w:vMerge w:val="restart"/>
          </w:tcPr>
          <w:p>
            <w:pPr>
              <w:jc w:val="center"/>
              <w:spacing w:after="0"/>
              <w:rPr>
                <w:sz w:val="20"/>
                <w:szCs w:val="20"/>
                <w:color w:val="auto"/>
              </w:rPr>
            </w:pPr>
            <w:r>
              <w:rPr>
                <w:rFonts w:ascii="Arial" w:cs="Arial" w:eastAsia="Arial" w:hAnsi="Arial"/>
                <w:sz w:val="13"/>
                <w:szCs w:val="13"/>
                <w:color w:val="auto"/>
              </w:rPr>
              <w:t>2023</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776,250</w:t>
            </w:r>
          </w:p>
        </w:tc>
        <w:tc>
          <w:tcPr>
            <w:tcW w:w="900" w:type="dxa"/>
            <w:vAlign w:val="bottom"/>
            <w:vMerge w:val="restart"/>
          </w:tcPr>
          <w:p>
            <w:pPr>
              <w:jc w:val="right"/>
              <w:ind w:right="192"/>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12"/>
              <w:spacing w:after="0"/>
              <w:rPr>
                <w:sz w:val="20"/>
                <w:szCs w:val="20"/>
                <w:color w:val="auto"/>
              </w:rPr>
            </w:pPr>
            <w:r>
              <w:rPr>
                <w:rFonts w:ascii="Arial" w:cs="Arial" w:eastAsia="Arial" w:hAnsi="Arial"/>
                <w:sz w:val="13"/>
                <w:szCs w:val="13"/>
                <w:color w:val="auto"/>
              </w:rPr>
              <w:t>2,699,284</w:t>
            </w:r>
          </w:p>
        </w:tc>
        <w:tc>
          <w:tcPr>
            <w:tcW w:w="720" w:type="dxa"/>
            <w:vAlign w:val="bottom"/>
            <w:vMerge w:val="restart"/>
          </w:tcPr>
          <w:p>
            <w:pPr>
              <w:jc w:val="right"/>
              <w:ind w:right="12"/>
              <w:spacing w:after="0"/>
              <w:rPr>
                <w:sz w:val="20"/>
                <w:szCs w:val="20"/>
                <w:color w:val="auto"/>
              </w:rPr>
            </w:pPr>
            <w:r>
              <w:rPr>
                <w:rFonts w:ascii="Arial" w:cs="Arial" w:eastAsia="Arial" w:hAnsi="Arial"/>
                <w:sz w:val="13"/>
                <w:szCs w:val="13"/>
                <w:color w:val="auto"/>
              </w:rPr>
              <w:t>4,049,638</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877,939</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26,200</w:t>
            </w:r>
          </w:p>
        </w:tc>
        <w:tc>
          <w:tcPr>
            <w:tcW w:w="20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auto"/>
              </w:rPr>
              <w:t>8,429,311</w:t>
            </w:r>
          </w:p>
        </w:tc>
        <w:tc>
          <w:tcPr>
            <w:tcW w:w="0" w:type="dxa"/>
            <w:vAlign w:val="bottom"/>
          </w:tcPr>
          <w:p>
            <w:pPr>
              <w:spacing w:after="0"/>
              <w:rPr>
                <w:sz w:val="1"/>
                <w:szCs w:val="1"/>
                <w:color w:val="auto"/>
              </w:rPr>
            </w:pPr>
          </w:p>
        </w:tc>
      </w:tr>
      <w:tr>
        <w:trPr>
          <w:trHeight w:val="68"/>
        </w:trPr>
        <w:tc>
          <w:tcPr>
            <w:tcW w:w="22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shd w:val="clear" w:color="auto" w:fill="DAEBF8"/>
          </w:tcPr>
          <w:p>
            <w:pPr>
              <w:ind w:left="80"/>
              <w:spacing w:after="0"/>
              <w:rPr>
                <w:sz w:val="20"/>
                <w:szCs w:val="20"/>
                <w:color w:val="auto"/>
              </w:rPr>
            </w:pPr>
            <w:r>
              <w:rPr>
                <w:rFonts w:ascii="Arial" w:cs="Arial" w:eastAsia="Arial" w:hAnsi="Arial"/>
                <w:sz w:val="13"/>
                <w:szCs w:val="13"/>
                <w:b w:val="1"/>
                <w:bCs w:val="1"/>
                <w:color w:val="auto"/>
              </w:rPr>
              <w:t>Joseph J. LaRosa</w:t>
            </w:r>
          </w:p>
        </w:tc>
        <w:tc>
          <w:tcPr>
            <w:tcW w:w="420" w:type="dxa"/>
            <w:vAlign w:val="bottom"/>
            <w:shd w:val="clear" w:color="auto" w:fill="DAEBF8"/>
          </w:tcPr>
          <w:p>
            <w:pPr>
              <w:jc w:val="center"/>
              <w:spacing w:after="0"/>
              <w:rPr>
                <w:sz w:val="20"/>
                <w:szCs w:val="20"/>
                <w:color w:val="auto"/>
              </w:rPr>
            </w:pPr>
            <w:r>
              <w:rPr>
                <w:rFonts w:ascii="Arial" w:cs="Arial" w:eastAsia="Arial" w:hAnsi="Arial"/>
                <w:sz w:val="13"/>
                <w:szCs w:val="13"/>
                <w:color w:val="auto"/>
              </w:rPr>
              <w:t>2025</w:t>
            </w:r>
          </w:p>
        </w:tc>
        <w:tc>
          <w:tcPr>
            <w:tcW w:w="720" w:type="dxa"/>
            <w:vAlign w:val="bottom"/>
            <w:shd w:val="clear" w:color="auto" w:fill="DAEBF8"/>
          </w:tcPr>
          <w:p>
            <w:pPr>
              <w:jc w:val="right"/>
              <w:spacing w:after="0"/>
              <w:rPr>
                <w:sz w:val="20"/>
                <w:szCs w:val="20"/>
                <w:color w:val="auto"/>
              </w:rPr>
            </w:pPr>
            <w:r>
              <w:rPr>
                <w:rFonts w:ascii="Arial" w:cs="Arial" w:eastAsia="Arial" w:hAnsi="Arial"/>
                <w:sz w:val="13"/>
                <w:szCs w:val="13"/>
                <w:color w:val="auto"/>
              </w:rPr>
              <w:t>916,062</w:t>
            </w:r>
          </w:p>
        </w:tc>
        <w:tc>
          <w:tcPr>
            <w:tcW w:w="900" w:type="dxa"/>
            <w:vAlign w:val="bottom"/>
            <w:shd w:val="clear" w:color="auto" w:fill="DAEBF8"/>
          </w:tcPr>
          <w:p>
            <w:pPr>
              <w:jc w:val="right"/>
              <w:spacing w:after="0" w:line="203" w:lineRule="exact"/>
              <w:rPr>
                <w:sz w:val="20"/>
                <w:szCs w:val="20"/>
                <w:color w:val="auto"/>
              </w:rPr>
            </w:pPr>
            <w:r>
              <w:rPr>
                <w:rFonts w:ascii="Arial" w:cs="Arial" w:eastAsia="Arial" w:hAnsi="Arial"/>
                <w:sz w:val="13"/>
                <w:szCs w:val="13"/>
                <w:color w:val="auto"/>
              </w:rPr>
              <w:t xml:space="preserve">1,000,000 </w:t>
            </w:r>
            <w:r>
              <w:rPr>
                <w:rFonts w:ascii="Arial" w:cs="Arial" w:eastAsia="Arial" w:hAnsi="Arial"/>
                <w:sz w:val="18"/>
                <w:szCs w:val="18"/>
                <w:color w:val="auto"/>
                <w:vertAlign w:val="superscript"/>
              </w:rPr>
              <w:t>11</w:t>
            </w:r>
          </w:p>
        </w:tc>
        <w:tc>
          <w:tcPr>
            <w:tcW w:w="740" w:type="dxa"/>
            <w:vAlign w:val="bottom"/>
            <w:shd w:val="clear" w:color="auto" w:fill="DAEBF8"/>
          </w:tcPr>
          <w:p>
            <w:pPr>
              <w:jc w:val="right"/>
              <w:ind w:right="12"/>
              <w:spacing w:after="0"/>
              <w:rPr>
                <w:sz w:val="20"/>
                <w:szCs w:val="20"/>
                <w:color w:val="auto"/>
              </w:rPr>
            </w:pPr>
            <w:r>
              <w:rPr>
                <w:rFonts w:ascii="Arial" w:cs="Arial" w:eastAsia="Arial" w:hAnsi="Arial"/>
                <w:sz w:val="13"/>
                <w:szCs w:val="13"/>
                <w:color w:val="auto"/>
              </w:rPr>
              <w:t>1,799,334</w:t>
            </w:r>
          </w:p>
        </w:tc>
        <w:tc>
          <w:tcPr>
            <w:tcW w:w="720" w:type="dxa"/>
            <w:vAlign w:val="bottom"/>
            <w:shd w:val="clear" w:color="auto" w:fill="DAEBF8"/>
          </w:tcPr>
          <w:p>
            <w:pPr>
              <w:jc w:val="right"/>
              <w:ind w:right="12"/>
              <w:spacing w:after="0"/>
              <w:rPr>
                <w:sz w:val="20"/>
                <w:szCs w:val="20"/>
                <w:color w:val="auto"/>
              </w:rPr>
            </w:pPr>
            <w:r>
              <w:rPr>
                <w:rFonts w:ascii="Arial" w:cs="Arial" w:eastAsia="Arial" w:hAnsi="Arial"/>
                <w:sz w:val="13"/>
                <w:szCs w:val="13"/>
                <w:color w:val="auto"/>
              </w:rPr>
              <w:t>2,699,810</w:t>
            </w:r>
          </w:p>
        </w:tc>
        <w:tc>
          <w:tcPr>
            <w:tcW w:w="1020" w:type="dxa"/>
            <w:vAlign w:val="bottom"/>
            <w:shd w:val="clear" w:color="auto" w:fill="DAEBF8"/>
          </w:tcPr>
          <w:p>
            <w:pPr>
              <w:jc w:val="right"/>
              <w:spacing w:after="0"/>
              <w:rPr>
                <w:sz w:val="20"/>
                <w:szCs w:val="20"/>
                <w:color w:val="auto"/>
              </w:rPr>
            </w:pPr>
            <w:r>
              <w:rPr>
                <w:rFonts w:ascii="Arial" w:cs="Arial" w:eastAsia="Arial" w:hAnsi="Arial"/>
                <w:sz w:val="13"/>
                <w:szCs w:val="13"/>
                <w:color w:val="auto"/>
              </w:rPr>
              <w:t>911,024</w:t>
            </w:r>
          </w:p>
        </w:tc>
        <w:tc>
          <w:tcPr>
            <w:tcW w:w="1040" w:type="dxa"/>
            <w:vAlign w:val="bottom"/>
            <w:shd w:val="clear" w:color="auto" w:fill="DAEBF8"/>
          </w:tcPr>
          <w:p>
            <w:pPr>
              <w:jc w:val="right"/>
              <w:spacing w:after="0"/>
              <w:rPr>
                <w:sz w:val="20"/>
                <w:szCs w:val="20"/>
                <w:color w:val="auto"/>
              </w:rPr>
            </w:pPr>
            <w:r>
              <w:rPr>
                <w:rFonts w:ascii="Arial" w:cs="Arial" w:eastAsia="Arial" w:hAnsi="Arial"/>
                <w:sz w:val="13"/>
                <w:szCs w:val="13"/>
                <w:color w:val="auto"/>
              </w:rPr>
              <w:t>132,740</w:t>
            </w:r>
          </w:p>
        </w:tc>
        <w:tc>
          <w:tcPr>
            <w:tcW w:w="200" w:type="dxa"/>
            <w:vAlign w:val="bottom"/>
            <w:shd w:val="clear" w:color="auto" w:fill="DAEBF8"/>
          </w:tcPr>
          <w:p>
            <w:pPr>
              <w:ind w:left="40"/>
              <w:spacing w:after="0"/>
              <w:rPr>
                <w:sz w:val="20"/>
                <w:szCs w:val="20"/>
                <w:color w:val="auto"/>
              </w:rPr>
            </w:pPr>
            <w:r>
              <w:rPr>
                <w:rFonts w:ascii="Arial" w:cs="Arial" w:eastAsia="Arial" w:hAnsi="Arial"/>
                <w:sz w:val="9"/>
                <w:szCs w:val="9"/>
                <w:color w:val="auto"/>
              </w:rPr>
              <w:t>12</w:t>
            </w:r>
          </w:p>
        </w:tc>
        <w:tc>
          <w:tcPr>
            <w:tcW w:w="720" w:type="dxa"/>
            <w:vAlign w:val="bottom"/>
            <w:shd w:val="clear" w:color="auto" w:fill="DAEBF8"/>
          </w:tcPr>
          <w:p>
            <w:pPr>
              <w:ind w:left="60"/>
              <w:spacing w:after="0"/>
              <w:rPr>
                <w:sz w:val="20"/>
                <w:szCs w:val="20"/>
                <w:color w:val="auto"/>
              </w:rPr>
            </w:pPr>
            <w:r>
              <w:rPr>
                <w:rFonts w:ascii="Arial" w:cs="Arial" w:eastAsia="Arial" w:hAnsi="Arial"/>
                <w:sz w:val="13"/>
                <w:szCs w:val="13"/>
                <w:color w:val="auto"/>
              </w:rPr>
              <w:t>7,458,970</w:t>
            </w:r>
          </w:p>
        </w:tc>
        <w:tc>
          <w:tcPr>
            <w:tcW w:w="0" w:type="dxa"/>
            <w:vAlign w:val="bottom"/>
          </w:tcPr>
          <w:p>
            <w:pPr>
              <w:spacing w:after="0"/>
              <w:rPr>
                <w:sz w:val="1"/>
                <w:szCs w:val="1"/>
                <w:color w:val="auto"/>
              </w:rPr>
            </w:pPr>
          </w:p>
        </w:tc>
      </w:tr>
      <w:tr>
        <w:trPr>
          <w:trHeight w:val="168"/>
        </w:trPr>
        <w:tc>
          <w:tcPr>
            <w:tcW w:w="2280" w:type="dxa"/>
            <w:vAlign w:val="bottom"/>
            <w:shd w:val="clear" w:color="auto" w:fill="DAEBF8"/>
          </w:tcPr>
          <w:p>
            <w:pPr>
              <w:ind w:left="80"/>
              <w:spacing w:after="0"/>
              <w:rPr>
                <w:sz w:val="20"/>
                <w:szCs w:val="20"/>
                <w:color w:val="auto"/>
              </w:rPr>
            </w:pPr>
            <w:r>
              <w:rPr>
                <w:rFonts w:ascii="Arial" w:cs="Arial" w:eastAsia="Arial" w:hAnsi="Arial"/>
                <w:sz w:val="13"/>
                <w:szCs w:val="13"/>
                <w:color w:val="auto"/>
              </w:rPr>
              <w:t>Executive Vice President, General</w:t>
            </w:r>
          </w:p>
        </w:tc>
        <w:tc>
          <w:tcPr>
            <w:tcW w:w="420" w:type="dxa"/>
            <w:vAlign w:val="bottom"/>
            <w:shd w:val="clear" w:color="auto" w:fill="DAEBF8"/>
          </w:tcPr>
          <w:p>
            <w:pPr>
              <w:spacing w:after="0"/>
              <w:rPr>
                <w:sz w:val="14"/>
                <w:szCs w:val="14"/>
                <w:color w:val="auto"/>
              </w:rPr>
            </w:pPr>
          </w:p>
        </w:tc>
        <w:tc>
          <w:tcPr>
            <w:tcW w:w="720" w:type="dxa"/>
            <w:vAlign w:val="bottom"/>
            <w:shd w:val="clear" w:color="auto" w:fill="DAEBF8"/>
          </w:tcPr>
          <w:p>
            <w:pPr>
              <w:spacing w:after="0"/>
              <w:rPr>
                <w:sz w:val="14"/>
                <w:szCs w:val="14"/>
                <w:color w:val="auto"/>
              </w:rPr>
            </w:pPr>
          </w:p>
        </w:tc>
        <w:tc>
          <w:tcPr>
            <w:tcW w:w="900" w:type="dxa"/>
            <w:vAlign w:val="bottom"/>
            <w:shd w:val="clear" w:color="auto" w:fill="DAEBF8"/>
          </w:tcPr>
          <w:p>
            <w:pPr>
              <w:spacing w:after="0"/>
              <w:rPr>
                <w:sz w:val="14"/>
                <w:szCs w:val="14"/>
                <w:color w:val="auto"/>
              </w:rPr>
            </w:pPr>
          </w:p>
        </w:tc>
        <w:tc>
          <w:tcPr>
            <w:tcW w:w="740" w:type="dxa"/>
            <w:vAlign w:val="bottom"/>
            <w:shd w:val="clear" w:color="auto" w:fill="DAEBF8"/>
          </w:tcPr>
          <w:p>
            <w:pPr>
              <w:spacing w:after="0"/>
              <w:rPr>
                <w:sz w:val="14"/>
                <w:szCs w:val="14"/>
                <w:color w:val="auto"/>
              </w:rPr>
            </w:pPr>
          </w:p>
        </w:tc>
        <w:tc>
          <w:tcPr>
            <w:tcW w:w="720" w:type="dxa"/>
            <w:vAlign w:val="bottom"/>
            <w:shd w:val="clear" w:color="auto" w:fill="DAEBF8"/>
          </w:tcPr>
          <w:p>
            <w:pPr>
              <w:spacing w:after="0"/>
              <w:rPr>
                <w:sz w:val="14"/>
                <w:szCs w:val="14"/>
                <w:color w:val="auto"/>
              </w:rPr>
            </w:pPr>
          </w:p>
        </w:tc>
        <w:tc>
          <w:tcPr>
            <w:tcW w:w="1020" w:type="dxa"/>
            <w:vAlign w:val="bottom"/>
            <w:shd w:val="clear" w:color="auto" w:fill="DAEBF8"/>
          </w:tcPr>
          <w:p>
            <w:pPr>
              <w:spacing w:after="0"/>
              <w:rPr>
                <w:sz w:val="14"/>
                <w:szCs w:val="14"/>
                <w:color w:val="auto"/>
              </w:rPr>
            </w:pPr>
          </w:p>
        </w:tc>
        <w:tc>
          <w:tcPr>
            <w:tcW w:w="1040" w:type="dxa"/>
            <w:vAlign w:val="bottom"/>
            <w:shd w:val="clear" w:color="auto" w:fill="DAEBF8"/>
          </w:tcPr>
          <w:p>
            <w:pPr>
              <w:spacing w:after="0"/>
              <w:rPr>
                <w:sz w:val="14"/>
                <w:szCs w:val="14"/>
                <w:color w:val="auto"/>
              </w:rPr>
            </w:pPr>
          </w:p>
        </w:tc>
        <w:tc>
          <w:tcPr>
            <w:tcW w:w="200" w:type="dxa"/>
            <w:vAlign w:val="bottom"/>
            <w:shd w:val="clear" w:color="auto" w:fill="DAEBF8"/>
          </w:tcPr>
          <w:p>
            <w:pPr>
              <w:spacing w:after="0"/>
              <w:rPr>
                <w:sz w:val="14"/>
                <w:szCs w:val="14"/>
                <w:color w:val="auto"/>
              </w:rPr>
            </w:pPr>
          </w:p>
        </w:tc>
        <w:tc>
          <w:tcPr>
            <w:tcW w:w="720" w:type="dxa"/>
            <w:vAlign w:val="bottom"/>
            <w:shd w:val="clear" w:color="auto" w:fill="DAEBF8"/>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80" w:type="dxa"/>
            <w:vAlign w:val="bottom"/>
            <w:tcBorders>
              <w:bottom w:val="single" w:sz="8" w:color="065BAA"/>
            </w:tcBorders>
            <w:shd w:val="clear" w:color="auto" w:fill="DAEBF8"/>
          </w:tcPr>
          <w:p>
            <w:pPr>
              <w:ind w:left="80"/>
              <w:spacing w:after="0"/>
              <w:rPr>
                <w:sz w:val="20"/>
                <w:szCs w:val="20"/>
                <w:color w:val="auto"/>
              </w:rPr>
            </w:pPr>
            <w:r>
              <w:rPr>
                <w:rFonts w:ascii="Arial" w:cs="Arial" w:eastAsia="Arial" w:hAnsi="Arial"/>
                <w:sz w:val="13"/>
                <w:szCs w:val="13"/>
                <w:color w:val="auto"/>
              </w:rPr>
              <w:t>Counsel and Secretary</w:t>
            </w:r>
            <w:r>
              <w:rPr>
                <w:rFonts w:ascii="Arial" w:cs="Arial" w:eastAsia="Arial" w:hAnsi="Arial"/>
                <w:sz w:val="17"/>
                <w:szCs w:val="17"/>
                <w:color w:val="auto"/>
                <w:vertAlign w:val="superscript"/>
              </w:rPr>
              <w:t>10</w:t>
            </w:r>
          </w:p>
        </w:tc>
        <w:tc>
          <w:tcPr>
            <w:tcW w:w="420" w:type="dxa"/>
            <w:vAlign w:val="bottom"/>
            <w:tcBorders>
              <w:bottom w:val="single" w:sz="8" w:color="065BAA"/>
            </w:tcBorders>
            <w:shd w:val="clear" w:color="auto" w:fill="DAEBF8"/>
          </w:tcPr>
          <w:p>
            <w:pPr>
              <w:spacing w:after="0"/>
              <w:rPr>
                <w:sz w:val="18"/>
                <w:szCs w:val="18"/>
                <w:color w:val="auto"/>
              </w:rPr>
            </w:pPr>
          </w:p>
        </w:tc>
        <w:tc>
          <w:tcPr>
            <w:tcW w:w="720" w:type="dxa"/>
            <w:vAlign w:val="bottom"/>
            <w:tcBorders>
              <w:bottom w:val="single" w:sz="8" w:color="065BAA"/>
            </w:tcBorders>
            <w:shd w:val="clear" w:color="auto" w:fill="DAEBF8"/>
          </w:tcPr>
          <w:p>
            <w:pPr>
              <w:spacing w:after="0"/>
              <w:rPr>
                <w:sz w:val="18"/>
                <w:szCs w:val="18"/>
                <w:color w:val="auto"/>
              </w:rPr>
            </w:pPr>
          </w:p>
        </w:tc>
        <w:tc>
          <w:tcPr>
            <w:tcW w:w="900" w:type="dxa"/>
            <w:vAlign w:val="bottom"/>
            <w:tcBorders>
              <w:bottom w:val="single" w:sz="8" w:color="065BAA"/>
            </w:tcBorders>
            <w:shd w:val="clear" w:color="auto" w:fill="DAEBF8"/>
          </w:tcPr>
          <w:p>
            <w:pPr>
              <w:spacing w:after="0"/>
              <w:rPr>
                <w:sz w:val="18"/>
                <w:szCs w:val="18"/>
                <w:color w:val="auto"/>
              </w:rPr>
            </w:pPr>
          </w:p>
        </w:tc>
        <w:tc>
          <w:tcPr>
            <w:tcW w:w="740" w:type="dxa"/>
            <w:vAlign w:val="bottom"/>
            <w:tcBorders>
              <w:bottom w:val="single" w:sz="8" w:color="065BAA"/>
            </w:tcBorders>
            <w:shd w:val="clear" w:color="auto" w:fill="DAEBF8"/>
          </w:tcPr>
          <w:p>
            <w:pPr>
              <w:spacing w:after="0"/>
              <w:rPr>
                <w:sz w:val="18"/>
                <w:szCs w:val="18"/>
                <w:color w:val="auto"/>
              </w:rPr>
            </w:pPr>
          </w:p>
        </w:tc>
        <w:tc>
          <w:tcPr>
            <w:tcW w:w="720" w:type="dxa"/>
            <w:vAlign w:val="bottom"/>
            <w:tcBorders>
              <w:bottom w:val="single" w:sz="8" w:color="065BAA"/>
            </w:tcBorders>
            <w:shd w:val="clear" w:color="auto" w:fill="DAEBF8"/>
          </w:tcPr>
          <w:p>
            <w:pPr>
              <w:spacing w:after="0"/>
              <w:rPr>
                <w:sz w:val="18"/>
                <w:szCs w:val="18"/>
                <w:color w:val="auto"/>
              </w:rPr>
            </w:pPr>
          </w:p>
        </w:tc>
        <w:tc>
          <w:tcPr>
            <w:tcW w:w="1020" w:type="dxa"/>
            <w:vAlign w:val="bottom"/>
            <w:tcBorders>
              <w:bottom w:val="single" w:sz="8" w:color="065BAA"/>
            </w:tcBorders>
            <w:shd w:val="clear" w:color="auto" w:fill="DAEBF8"/>
          </w:tcPr>
          <w:p>
            <w:pPr>
              <w:spacing w:after="0"/>
              <w:rPr>
                <w:sz w:val="18"/>
                <w:szCs w:val="18"/>
                <w:color w:val="auto"/>
              </w:rPr>
            </w:pPr>
          </w:p>
        </w:tc>
        <w:tc>
          <w:tcPr>
            <w:tcW w:w="1040" w:type="dxa"/>
            <w:vAlign w:val="bottom"/>
            <w:tcBorders>
              <w:bottom w:val="single" w:sz="8" w:color="065BAA"/>
            </w:tcBorders>
            <w:shd w:val="clear" w:color="auto" w:fill="DAEBF8"/>
          </w:tcPr>
          <w:p>
            <w:pPr>
              <w:spacing w:after="0"/>
              <w:rPr>
                <w:sz w:val="18"/>
                <w:szCs w:val="18"/>
                <w:color w:val="auto"/>
              </w:rPr>
            </w:pPr>
          </w:p>
        </w:tc>
        <w:tc>
          <w:tcPr>
            <w:tcW w:w="200" w:type="dxa"/>
            <w:vAlign w:val="bottom"/>
            <w:tcBorders>
              <w:bottom w:val="single" w:sz="8" w:color="065BAA"/>
            </w:tcBorders>
            <w:shd w:val="clear" w:color="auto" w:fill="DAEBF8"/>
          </w:tcPr>
          <w:p>
            <w:pPr>
              <w:spacing w:after="0"/>
              <w:rPr>
                <w:sz w:val="18"/>
                <w:szCs w:val="18"/>
                <w:color w:val="auto"/>
              </w:rPr>
            </w:pPr>
          </w:p>
        </w:tc>
        <w:tc>
          <w:tcPr>
            <w:tcW w:w="720" w:type="dxa"/>
            <w:vAlign w:val="bottom"/>
            <w:tcBorders>
              <w:bottom w:val="single" w:sz="8" w:color="065BAA"/>
            </w:tcBorders>
            <w:shd w:val="clear" w:color="auto" w:fill="DAEBF8"/>
          </w:tcPr>
          <w:p>
            <w:pPr>
              <w:spacing w:after="0"/>
              <w:rPr>
                <w:sz w:val="18"/>
                <w:szCs w:val="18"/>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9019"/>
          </w:cols>
          <w:pgMar w:left="1440" w:top="657" w:right="1440" w:bottom="1440" w:gutter="0" w:footer="0" w:header="0"/>
        </w:sectPr>
      </w:pPr>
    </w:p>
    <w:p>
      <w:pPr>
        <w:ind w:left="320" w:right="20" w:hanging="190"/>
        <w:spacing w:after="0" w:line="235" w:lineRule="auto"/>
        <w:tabs>
          <w:tab w:leader="none" w:pos="320" w:val="left"/>
        </w:tabs>
        <w:numPr>
          <w:ilvl w:val="0"/>
          <w:numId w:val="146"/>
        </w:numPr>
        <w:rPr>
          <w:rFonts w:ascii="Arial" w:cs="Arial" w:eastAsia="Arial" w:hAnsi="Arial"/>
          <w:sz w:val="16"/>
          <w:szCs w:val="16"/>
          <w:color w:val="auto"/>
          <w:vertAlign w:val="superscript"/>
        </w:rPr>
      </w:pPr>
      <w:r>
        <w:rPr>
          <w:rFonts w:ascii="Arial" w:cs="Arial" w:eastAsia="Arial" w:hAnsi="Arial"/>
          <w:sz w:val="13"/>
          <w:szCs w:val="13"/>
          <w:color w:val="auto"/>
        </w:rPr>
        <w:t>The amounts in columns E and F reflect the respective aggregate grant date fair values (disregarding estimated forfeitures) of RSAs and stock option awards granted in 2025, 2024, and 2023, respectively, pursuant to the Second Amended and Restated Regeneron Pharmaceuticals, Inc. 2014 Long-Term Incentive Plan. Valuation assumptions and methodologies used in the calculation of these amounts for 2025 are included in Note 13 to the Company’s audited financial statements for the fiscal year ended December 31, 2025, included in the 2025 Annual Report.</w:t>
      </w:r>
    </w:p>
    <w:p>
      <w:pPr>
        <w:spacing w:after="0" w:line="26" w:lineRule="exact"/>
        <w:rPr>
          <w:sz w:val="20"/>
          <w:szCs w:val="20"/>
          <w:color w:val="auto"/>
        </w:rPr>
      </w:pPr>
    </w:p>
    <w:p>
      <w:pPr>
        <w:ind w:left="320" w:right="160" w:hanging="190"/>
        <w:spacing w:after="0" w:line="253" w:lineRule="auto"/>
        <w:tabs>
          <w:tab w:leader="none" w:pos="320" w:val="left"/>
        </w:tabs>
        <w:numPr>
          <w:ilvl w:val="0"/>
          <w:numId w:val="147"/>
        </w:numPr>
        <w:rPr>
          <w:rFonts w:ascii="Arial" w:cs="Arial" w:eastAsia="Arial" w:hAnsi="Arial"/>
          <w:sz w:val="15"/>
          <w:szCs w:val="15"/>
          <w:color w:val="auto"/>
          <w:vertAlign w:val="superscript"/>
        </w:rPr>
      </w:pPr>
      <w:r>
        <w:rPr>
          <w:rFonts w:ascii="Arial" w:cs="Arial" w:eastAsia="Arial" w:hAnsi="Arial"/>
          <w:sz w:val="12"/>
          <w:szCs w:val="12"/>
          <w:color w:val="auto"/>
        </w:rPr>
        <w:t>Non-equity incentive plan compensation amounts (consisting of cash incentives paid to the NEOs in respect of the relevant year under the Regeneron Pharmaceuticals, Inc. Cash Incentive Bonus Plan) are shown in the year in which they were accrued and earned.</w:t>
      </w:r>
    </w:p>
    <w:p>
      <w:pPr>
        <w:spacing w:after="0" w:line="3" w:lineRule="exact"/>
        <w:rPr>
          <w:sz w:val="20"/>
          <w:szCs w:val="20"/>
          <w:color w:val="auto"/>
        </w:rPr>
      </w:pPr>
    </w:p>
    <w:p>
      <w:pPr>
        <w:ind w:left="320" w:right="20" w:hanging="190"/>
        <w:spacing w:after="0" w:line="254" w:lineRule="auto"/>
        <w:tabs>
          <w:tab w:leader="none" w:pos="320" w:val="left"/>
        </w:tabs>
        <w:numPr>
          <w:ilvl w:val="0"/>
          <w:numId w:val="148"/>
        </w:numPr>
        <w:rPr>
          <w:rFonts w:ascii="Arial" w:cs="Arial" w:eastAsia="Arial" w:hAnsi="Arial"/>
          <w:sz w:val="15"/>
          <w:szCs w:val="15"/>
          <w:color w:val="auto"/>
          <w:vertAlign w:val="superscript"/>
        </w:rPr>
      </w:pPr>
      <w:r>
        <w:rPr>
          <w:rFonts w:ascii="Arial" w:cs="Arial" w:eastAsia="Arial" w:hAnsi="Arial"/>
          <w:sz w:val="12"/>
          <w:szCs w:val="12"/>
          <w:color w:val="auto"/>
        </w:rPr>
        <w:t>See the subsection “Additional Compensation Information—Perquisites and Personal Benefits” below for further information. Certain 2025 perquisites and other personal benefits are quantified for each of the NEOs in the footnotes to this table below based on the actual additional cost incurred by us in providing the perquisite or other personal benefit.</w:t>
      </w:r>
    </w:p>
    <w:p>
      <w:pPr>
        <w:spacing w:after="0" w:line="16" w:lineRule="exact"/>
        <w:rPr>
          <w:sz w:val="20"/>
          <w:szCs w:val="20"/>
          <w:color w:val="auto"/>
        </w:rPr>
      </w:pPr>
    </w:p>
    <w:p>
      <w:pPr>
        <w:ind w:left="320" w:hanging="190"/>
        <w:spacing w:after="0" w:line="256" w:lineRule="auto"/>
        <w:tabs>
          <w:tab w:leader="none" w:pos="320" w:val="left"/>
        </w:tabs>
        <w:numPr>
          <w:ilvl w:val="0"/>
          <w:numId w:val="149"/>
        </w:numPr>
        <w:rPr>
          <w:rFonts w:ascii="Arial" w:cs="Arial" w:eastAsia="Arial" w:hAnsi="Arial"/>
          <w:sz w:val="15"/>
          <w:szCs w:val="15"/>
          <w:color w:val="auto"/>
          <w:vertAlign w:val="superscript"/>
        </w:rPr>
      </w:pPr>
      <w:r>
        <w:rPr>
          <w:rFonts w:ascii="Arial" w:cs="Arial" w:eastAsia="Arial" w:hAnsi="Arial"/>
          <w:sz w:val="12"/>
          <w:szCs w:val="12"/>
          <w:color w:val="auto"/>
        </w:rPr>
        <w:t>Consists of (i) $20,724 for life insurance premiums, (ii) $9,366 for disability insurance premiums, (iii) $27,430 for medical malpractice insurance premiums, (iv) $15,500 for 401(k) Savings Plan matching contributions in respect of 2025, (v) $11,200 for tax and financial planning advisory services, (vi) $1,680 for residential internet subscription services, (vii) $253,237 for personal use of Company-provided aircraft, and (viii) $1,278,835 for security services (consisting of secure car transportation and personal and residential security services) (in the case of clauses (vii) and (viii), in accordance with our security policy and calculated as described in the subsection “Additional Compensation Information—Perquisites and Personal Benefits” below).</w:t>
      </w:r>
    </w:p>
    <w:p>
      <w:pPr>
        <w:spacing w:after="0" w:line="20" w:lineRule="exact"/>
        <w:rPr>
          <w:sz w:val="20"/>
          <w:szCs w:val="20"/>
          <w:color w:val="auto"/>
        </w:rPr>
      </w:pPr>
      <w:r>
        <w:rPr>
          <w:sz w:val="20"/>
          <w:szCs w:val="20"/>
          <w:color w:val="auto"/>
        </w:rPr>
        <w:br w:type="column"/>
      </w:r>
    </w:p>
    <w:p>
      <w:pPr>
        <w:ind w:left="194" w:right="199" w:hanging="194"/>
        <w:spacing w:after="0" w:line="256" w:lineRule="auto"/>
        <w:tabs>
          <w:tab w:leader="none" w:pos="194" w:val="left"/>
        </w:tabs>
        <w:numPr>
          <w:ilvl w:val="0"/>
          <w:numId w:val="150"/>
        </w:numPr>
        <w:rPr>
          <w:rFonts w:ascii="Arial" w:cs="Arial" w:eastAsia="Arial" w:hAnsi="Arial"/>
          <w:sz w:val="15"/>
          <w:szCs w:val="15"/>
          <w:color w:val="auto"/>
          <w:vertAlign w:val="superscript"/>
        </w:rPr>
      </w:pPr>
      <w:r>
        <w:rPr>
          <w:rFonts w:ascii="Arial" w:cs="Arial" w:eastAsia="Arial" w:hAnsi="Arial"/>
          <w:sz w:val="12"/>
          <w:szCs w:val="12"/>
          <w:color w:val="auto"/>
        </w:rPr>
        <w:t>Consists of (i) $15,500 for 401(k) Savings Plan matching contributions in respect of 2025, (ii) $11,200 for tax and financial planning advisory services, (iii) $23,130 for residential internet licensing and maintenance services, (iv) $274,129 for personal use of Company-provided aircraft, and (v) $962,933 for security services (consisting of secure car transportation and personal and residential security services) (in the case of clauses (iv) and (v), in accordance with our security policy and calculated as described in the subsection “Additional Compensation Information—Perquisites and Personal Benefits” below).</w:t>
      </w:r>
    </w:p>
    <w:p>
      <w:pPr>
        <w:spacing w:after="0" w:line="9" w:lineRule="exact"/>
        <w:rPr>
          <w:sz w:val="20"/>
          <w:szCs w:val="20"/>
          <w:color w:val="auto"/>
        </w:rPr>
      </w:pPr>
    </w:p>
    <w:p>
      <w:pPr>
        <w:ind w:left="194" w:hanging="194"/>
        <w:spacing w:after="0"/>
        <w:tabs>
          <w:tab w:leader="none" w:pos="194" w:val="left"/>
        </w:tabs>
        <w:numPr>
          <w:ilvl w:val="0"/>
          <w:numId w:val="151"/>
        </w:numPr>
        <w:rPr>
          <w:rFonts w:ascii="Arial" w:cs="Arial" w:eastAsia="Arial" w:hAnsi="Arial"/>
          <w:sz w:val="15"/>
          <w:szCs w:val="15"/>
          <w:color w:val="auto"/>
          <w:vertAlign w:val="superscript"/>
        </w:rPr>
      </w:pPr>
      <w:r>
        <w:rPr>
          <w:rFonts w:ascii="Arial" w:cs="Arial" w:eastAsia="Arial" w:hAnsi="Arial"/>
          <w:sz w:val="12"/>
          <w:szCs w:val="12"/>
          <w:color w:val="auto"/>
        </w:rPr>
        <w:t>Mr. Fenimore qualified as an NEO for 2025 and 2024 but not for 2023.</w:t>
      </w:r>
    </w:p>
    <w:p>
      <w:pPr>
        <w:spacing w:after="0" w:line="21" w:lineRule="exact"/>
        <w:rPr>
          <w:sz w:val="20"/>
          <w:szCs w:val="20"/>
          <w:color w:val="auto"/>
        </w:rPr>
      </w:pPr>
    </w:p>
    <w:p>
      <w:pPr>
        <w:jc w:val="both"/>
        <w:ind w:left="194" w:right="259" w:hanging="194"/>
        <w:spacing w:after="0" w:line="224" w:lineRule="auto"/>
        <w:tabs>
          <w:tab w:leader="none" w:pos="194" w:val="left"/>
        </w:tabs>
        <w:numPr>
          <w:ilvl w:val="0"/>
          <w:numId w:val="152"/>
        </w:numPr>
        <w:rPr>
          <w:rFonts w:ascii="Arial" w:cs="Arial" w:eastAsia="Arial" w:hAnsi="Arial"/>
          <w:sz w:val="16"/>
          <w:szCs w:val="16"/>
          <w:color w:val="auto"/>
          <w:vertAlign w:val="superscript"/>
        </w:rPr>
      </w:pPr>
      <w:r>
        <w:rPr>
          <w:rFonts w:ascii="Arial" w:cs="Arial" w:eastAsia="Arial" w:hAnsi="Arial"/>
          <w:sz w:val="13"/>
          <w:szCs w:val="13"/>
          <w:color w:val="auto"/>
        </w:rPr>
        <w:t>Consists of (i) $15,500 for 401(k) Savings Plan matching contributions in respect of 2025 and (ii) $24,123 of dividends accrued and/or paid in 2025 in respect of shares of restricted stock.</w:t>
      </w:r>
    </w:p>
    <w:p>
      <w:pPr>
        <w:spacing w:after="0" w:line="24" w:lineRule="exact"/>
        <w:rPr>
          <w:sz w:val="20"/>
          <w:szCs w:val="20"/>
          <w:color w:val="auto"/>
        </w:rPr>
      </w:pPr>
    </w:p>
    <w:p>
      <w:pPr>
        <w:ind w:left="194" w:right="259" w:hanging="194"/>
        <w:spacing w:after="0" w:line="232" w:lineRule="auto"/>
        <w:tabs>
          <w:tab w:leader="none" w:pos="194" w:val="left"/>
        </w:tabs>
        <w:numPr>
          <w:ilvl w:val="0"/>
          <w:numId w:val="153"/>
        </w:numPr>
        <w:rPr>
          <w:rFonts w:ascii="Arial" w:cs="Arial" w:eastAsia="Arial" w:hAnsi="Arial"/>
          <w:sz w:val="16"/>
          <w:szCs w:val="16"/>
          <w:color w:val="auto"/>
          <w:vertAlign w:val="superscript"/>
        </w:rPr>
      </w:pPr>
      <w:r>
        <w:rPr>
          <w:rFonts w:ascii="Arial" w:cs="Arial" w:eastAsia="Arial" w:hAnsi="Arial"/>
          <w:sz w:val="13"/>
          <w:szCs w:val="13"/>
          <w:color w:val="auto"/>
        </w:rPr>
        <w:t>Consists of (i) $15,500 for 401(k) Savings Plan matching contributions in respect of 2025, (ii) $11,200 for tax and financial planning advisory services, and (iii) $55,507 of dividends accrued and/or paid in 2025 in respect of shares of restricted stock.</w:t>
      </w:r>
    </w:p>
    <w:p>
      <w:pPr>
        <w:spacing w:after="0" w:line="23" w:lineRule="exact"/>
        <w:rPr>
          <w:sz w:val="20"/>
          <w:szCs w:val="20"/>
          <w:color w:val="auto"/>
        </w:rPr>
      </w:pPr>
    </w:p>
    <w:p>
      <w:pPr>
        <w:ind w:left="194" w:right="259" w:hanging="194"/>
        <w:spacing w:after="0" w:line="232" w:lineRule="auto"/>
        <w:tabs>
          <w:tab w:leader="none" w:pos="194" w:val="left"/>
        </w:tabs>
        <w:numPr>
          <w:ilvl w:val="0"/>
          <w:numId w:val="154"/>
        </w:numPr>
        <w:rPr>
          <w:rFonts w:ascii="Arial" w:cs="Arial" w:eastAsia="Arial" w:hAnsi="Arial"/>
          <w:sz w:val="16"/>
          <w:szCs w:val="16"/>
          <w:color w:val="auto"/>
          <w:vertAlign w:val="superscript"/>
        </w:rPr>
      </w:pPr>
      <w:r>
        <w:rPr>
          <w:rFonts w:ascii="Arial" w:cs="Arial" w:eastAsia="Arial" w:hAnsi="Arial"/>
          <w:sz w:val="13"/>
          <w:szCs w:val="13"/>
          <w:color w:val="auto"/>
        </w:rPr>
        <w:t>Consists of (i) $15,500 for 401(k) Savings Plan matching contributions in respect of 2025, (ii) $11,200 for tax and financial planning advisory services, and (iii) $66,098 of dividends accrued and/or paid in 2025 in respect of shares of restricted stock.</w:t>
      </w:r>
    </w:p>
    <w:p>
      <w:pPr>
        <w:spacing w:after="0" w:line="5" w:lineRule="exact"/>
        <w:rPr>
          <w:sz w:val="20"/>
          <w:szCs w:val="20"/>
          <w:color w:val="auto"/>
        </w:rPr>
      </w:pPr>
    </w:p>
    <w:p>
      <w:pPr>
        <w:ind w:left="194" w:hanging="194"/>
        <w:spacing w:after="0"/>
        <w:tabs>
          <w:tab w:leader="none" w:pos="194" w:val="left"/>
        </w:tabs>
        <w:numPr>
          <w:ilvl w:val="0"/>
          <w:numId w:val="155"/>
        </w:numPr>
        <w:rPr>
          <w:rFonts w:ascii="Arial" w:cs="Arial" w:eastAsia="Arial" w:hAnsi="Arial"/>
          <w:sz w:val="16"/>
          <w:szCs w:val="16"/>
          <w:color w:val="auto"/>
          <w:vertAlign w:val="superscript"/>
        </w:rPr>
      </w:pPr>
      <w:r>
        <w:rPr>
          <w:rFonts w:ascii="Arial" w:cs="Arial" w:eastAsia="Arial" w:hAnsi="Arial"/>
          <w:sz w:val="13"/>
          <w:szCs w:val="13"/>
          <w:color w:val="auto"/>
        </w:rPr>
        <w:t>Mr. LaRosa qualified as an NEO for 2025 but not for 2024 or 2023.</w:t>
      </w:r>
    </w:p>
    <w:p>
      <w:pPr>
        <w:spacing w:after="0" w:line="21" w:lineRule="exact"/>
        <w:rPr>
          <w:rFonts w:ascii="Arial" w:cs="Arial" w:eastAsia="Arial" w:hAnsi="Arial"/>
          <w:sz w:val="16"/>
          <w:szCs w:val="16"/>
          <w:color w:val="auto"/>
          <w:vertAlign w:val="superscript"/>
        </w:rPr>
      </w:pPr>
    </w:p>
    <w:p>
      <w:pPr>
        <w:ind w:left="194" w:right="499" w:hanging="194"/>
        <w:spacing w:after="0" w:line="217" w:lineRule="auto"/>
        <w:tabs>
          <w:tab w:leader="none" w:pos="194" w:val="left"/>
        </w:tabs>
        <w:numPr>
          <w:ilvl w:val="0"/>
          <w:numId w:val="155"/>
        </w:numPr>
        <w:rPr>
          <w:rFonts w:ascii="Arial" w:cs="Arial" w:eastAsia="Arial" w:hAnsi="Arial"/>
          <w:sz w:val="16"/>
          <w:szCs w:val="16"/>
          <w:color w:val="auto"/>
          <w:vertAlign w:val="superscript"/>
        </w:rPr>
      </w:pPr>
      <w:r>
        <w:rPr>
          <w:rFonts w:ascii="Arial" w:cs="Arial" w:eastAsia="Arial" w:hAnsi="Arial"/>
          <w:sz w:val="13"/>
          <w:szCs w:val="13"/>
          <w:color w:val="auto"/>
        </w:rPr>
        <w:t>Consists of a special, one-time cash incentive award accrued and earned in 2025.</w:t>
      </w:r>
    </w:p>
    <w:p>
      <w:pPr>
        <w:spacing w:after="0" w:line="23" w:lineRule="exact"/>
        <w:rPr>
          <w:rFonts w:ascii="Arial" w:cs="Arial" w:eastAsia="Arial" w:hAnsi="Arial"/>
          <w:sz w:val="16"/>
          <w:szCs w:val="16"/>
          <w:color w:val="auto"/>
          <w:vertAlign w:val="superscript"/>
        </w:rPr>
      </w:pPr>
    </w:p>
    <w:p>
      <w:pPr>
        <w:ind w:left="194" w:right="259" w:hanging="194"/>
        <w:spacing w:after="0" w:line="254" w:lineRule="auto"/>
        <w:tabs>
          <w:tab w:leader="none" w:pos="194" w:val="left"/>
        </w:tabs>
        <w:numPr>
          <w:ilvl w:val="0"/>
          <w:numId w:val="155"/>
        </w:numPr>
        <w:rPr>
          <w:rFonts w:ascii="Arial" w:cs="Arial" w:eastAsia="Arial" w:hAnsi="Arial"/>
          <w:sz w:val="15"/>
          <w:szCs w:val="15"/>
          <w:color w:val="auto"/>
          <w:vertAlign w:val="superscript"/>
        </w:rPr>
      </w:pPr>
      <w:r>
        <w:rPr>
          <w:rFonts w:ascii="Arial" w:cs="Arial" w:eastAsia="Arial" w:hAnsi="Arial"/>
          <w:sz w:val="12"/>
          <w:szCs w:val="12"/>
          <w:color w:val="auto"/>
        </w:rPr>
        <w:t>Consists of (i) $15,500 for 401(k) Savings Plan matching contributions in respect of 2025, (ii) $11,200 for tax and financial planning advisory services, (iii) $79,605 for rent payments and related expenses for a local residence, and (iv) $26,435 of dividends accrued and/or paid in 2025 in respect of shares of restricted stock.</w:t>
      </w:r>
    </w:p>
    <w:p>
      <w:pPr>
        <w:spacing w:after="0" w:line="102" w:lineRule="exact"/>
        <w:rPr>
          <w:sz w:val="20"/>
          <w:szCs w:val="20"/>
          <w:color w:val="auto"/>
        </w:rPr>
      </w:pPr>
    </w:p>
    <w:p>
      <w:pPr>
        <w:sectPr>
          <w:pgSz w:w="11900" w:h="16838" w:orient="portrait"/>
          <w:cols w:equalWidth="0" w:num="2">
            <w:col w:w="4320" w:space="346"/>
            <w:col w:w="4353"/>
          </w:cols>
          <w:pgMar w:left="1440" w:top="657" w:right="1440" w:bottom="1440" w:gutter="0" w:footer="0" w:header="0"/>
          <w:type w:val="continuous"/>
        </w:sect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80</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89" w:name="page90"/>
    <w:bookmarkEnd w:id="89"/>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2025 Grants of Plan-Based Awards</w:t>
      </w:r>
    </w:p>
    <w:p>
      <w:pPr>
        <w:spacing w:after="0" w:line="180" w:lineRule="exact"/>
        <w:rPr>
          <w:sz w:val="20"/>
          <w:szCs w:val="20"/>
          <w:color w:val="auto"/>
        </w:rPr>
      </w:pPr>
    </w:p>
    <w:p>
      <w:pPr>
        <w:ind w:left="140" w:right="239"/>
        <w:spacing w:after="0" w:line="321" w:lineRule="auto"/>
        <w:rPr>
          <w:sz w:val="20"/>
          <w:szCs w:val="20"/>
          <w:color w:val="auto"/>
        </w:rPr>
      </w:pPr>
      <w:r>
        <w:rPr>
          <w:rFonts w:ascii="Arial" w:cs="Arial" w:eastAsia="Arial" w:hAnsi="Arial"/>
          <w:sz w:val="16"/>
          <w:szCs w:val="16"/>
          <w:color w:val="auto"/>
        </w:rPr>
        <w:t>The following table and explanatory footnotes provide information regarding the annual cash incentive and equity awards granted to our NEOs during 2025.</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40" w:type="dxa"/>
            <w:vAlign w:val="bottom"/>
            <w:tcBorders>
              <w:bottom w:val="single" w:sz="8" w:color="065BAA"/>
            </w:tcBorders>
          </w:tcPr>
          <w:p>
            <w:pPr>
              <w:ind w:left="740"/>
              <w:spacing w:after="0"/>
              <w:rPr>
                <w:sz w:val="20"/>
                <w:szCs w:val="20"/>
                <w:color w:val="auto"/>
              </w:rPr>
            </w:pPr>
            <w:r>
              <w:rPr>
                <w:rFonts w:ascii="Arial" w:cs="Arial" w:eastAsia="Arial" w:hAnsi="Arial"/>
                <w:sz w:val="14"/>
                <w:szCs w:val="14"/>
                <w:b w:val="1"/>
                <w:bCs w:val="1"/>
                <w:color w:val="065BAA"/>
              </w:rPr>
              <w:t>A</w:t>
            </w:r>
          </w:p>
        </w:tc>
        <w:tc>
          <w:tcPr>
            <w:tcW w:w="840" w:type="dxa"/>
            <w:vAlign w:val="bottom"/>
            <w:tcBorders>
              <w:bottom w:val="single" w:sz="8" w:color="065BAA"/>
            </w:tcBorders>
          </w:tcPr>
          <w:p>
            <w:pPr>
              <w:jc w:val="right"/>
              <w:ind w:right="288"/>
              <w:spacing w:after="0"/>
              <w:rPr>
                <w:sz w:val="20"/>
                <w:szCs w:val="20"/>
                <w:color w:val="auto"/>
              </w:rPr>
            </w:pPr>
            <w:r>
              <w:rPr>
                <w:rFonts w:ascii="Arial" w:cs="Arial" w:eastAsia="Arial" w:hAnsi="Arial"/>
                <w:sz w:val="14"/>
                <w:szCs w:val="14"/>
                <w:b w:val="1"/>
                <w:bCs w:val="1"/>
                <w:color w:val="065BAA"/>
              </w:rPr>
              <w:t>B</w:t>
            </w:r>
          </w:p>
        </w:tc>
        <w:tc>
          <w:tcPr>
            <w:tcW w:w="140" w:type="dxa"/>
            <w:vAlign w:val="bottom"/>
            <w:tcBorders>
              <w:bottom w:val="single" w:sz="8" w:color="065BAA"/>
            </w:tcBorders>
          </w:tcPr>
          <w:p>
            <w:pPr>
              <w:spacing w:after="0"/>
              <w:rPr>
                <w:sz w:val="14"/>
                <w:szCs w:val="14"/>
                <w:color w:val="auto"/>
              </w:rPr>
            </w:pPr>
          </w:p>
        </w:tc>
        <w:tc>
          <w:tcPr>
            <w:tcW w:w="820" w:type="dxa"/>
            <w:vAlign w:val="bottom"/>
            <w:tcBorders>
              <w:bottom w:val="single" w:sz="8" w:color="065BAA"/>
            </w:tcBorders>
          </w:tcPr>
          <w:p>
            <w:pPr>
              <w:jc w:val="center"/>
              <w:spacing w:after="0"/>
              <w:rPr>
                <w:sz w:val="20"/>
                <w:szCs w:val="20"/>
                <w:color w:val="auto"/>
              </w:rPr>
            </w:pPr>
            <w:r>
              <w:rPr>
                <w:rFonts w:ascii="Arial" w:cs="Arial" w:eastAsia="Arial" w:hAnsi="Arial"/>
                <w:sz w:val="14"/>
                <w:szCs w:val="14"/>
                <w:b w:val="1"/>
                <w:bCs w:val="1"/>
                <w:color w:val="065BAA"/>
              </w:rPr>
              <w:t>C</w:t>
            </w:r>
          </w:p>
        </w:tc>
        <w:tc>
          <w:tcPr>
            <w:tcW w:w="840" w:type="dxa"/>
            <w:vAlign w:val="bottom"/>
            <w:tcBorders>
              <w:bottom w:val="single" w:sz="8" w:color="065BAA"/>
            </w:tcBorders>
          </w:tcPr>
          <w:p>
            <w:pPr>
              <w:jc w:val="center"/>
              <w:ind w:right="28"/>
              <w:spacing w:after="0"/>
              <w:rPr>
                <w:sz w:val="20"/>
                <w:szCs w:val="20"/>
                <w:color w:val="auto"/>
              </w:rPr>
            </w:pPr>
            <w:r>
              <w:rPr>
                <w:rFonts w:ascii="Arial" w:cs="Arial" w:eastAsia="Arial" w:hAnsi="Arial"/>
                <w:sz w:val="14"/>
                <w:szCs w:val="14"/>
                <w:b w:val="1"/>
                <w:bCs w:val="1"/>
                <w:color w:val="065BAA"/>
                <w:w w:val="98"/>
              </w:rPr>
              <w:t>D</w:t>
            </w:r>
          </w:p>
        </w:tc>
        <w:tc>
          <w:tcPr>
            <w:tcW w:w="740" w:type="dxa"/>
            <w:vAlign w:val="bottom"/>
            <w:tcBorders>
              <w:bottom w:val="single" w:sz="8" w:color="065BAA"/>
            </w:tcBorders>
          </w:tcPr>
          <w:p>
            <w:pPr>
              <w:jc w:val="right"/>
              <w:ind w:right="288"/>
              <w:spacing w:after="0"/>
              <w:rPr>
                <w:sz w:val="20"/>
                <w:szCs w:val="20"/>
                <w:color w:val="auto"/>
              </w:rPr>
            </w:pPr>
            <w:r>
              <w:rPr>
                <w:rFonts w:ascii="Arial" w:cs="Arial" w:eastAsia="Arial" w:hAnsi="Arial"/>
                <w:sz w:val="14"/>
                <w:szCs w:val="14"/>
                <w:b w:val="1"/>
                <w:bCs w:val="1"/>
                <w:color w:val="065BAA"/>
              </w:rPr>
              <w:t>E</w:t>
            </w:r>
          </w:p>
        </w:tc>
        <w:tc>
          <w:tcPr>
            <w:tcW w:w="780" w:type="dxa"/>
            <w:vAlign w:val="bottom"/>
            <w:tcBorders>
              <w:bottom w:val="single" w:sz="8" w:color="065BAA"/>
            </w:tcBorders>
          </w:tcPr>
          <w:p>
            <w:pPr>
              <w:jc w:val="right"/>
              <w:ind w:right="308"/>
              <w:spacing w:after="0"/>
              <w:rPr>
                <w:sz w:val="20"/>
                <w:szCs w:val="20"/>
                <w:color w:val="auto"/>
              </w:rPr>
            </w:pPr>
            <w:r>
              <w:rPr>
                <w:rFonts w:ascii="Arial" w:cs="Arial" w:eastAsia="Arial" w:hAnsi="Arial"/>
                <w:sz w:val="14"/>
                <w:szCs w:val="14"/>
                <w:b w:val="1"/>
                <w:bCs w:val="1"/>
                <w:color w:val="065BAA"/>
              </w:rPr>
              <w:t>I</w:t>
            </w:r>
          </w:p>
        </w:tc>
        <w:tc>
          <w:tcPr>
            <w:tcW w:w="860" w:type="dxa"/>
            <w:vAlign w:val="bottom"/>
            <w:tcBorders>
              <w:bottom w:val="single" w:sz="8" w:color="065BAA"/>
            </w:tcBorders>
          </w:tcPr>
          <w:p>
            <w:pPr>
              <w:jc w:val="right"/>
              <w:ind w:right="348"/>
              <w:spacing w:after="0"/>
              <w:rPr>
                <w:sz w:val="20"/>
                <w:szCs w:val="20"/>
                <w:color w:val="auto"/>
              </w:rPr>
            </w:pPr>
            <w:r>
              <w:rPr>
                <w:rFonts w:ascii="Arial" w:cs="Arial" w:eastAsia="Arial" w:hAnsi="Arial"/>
                <w:sz w:val="14"/>
                <w:szCs w:val="14"/>
                <w:b w:val="1"/>
                <w:bCs w:val="1"/>
                <w:color w:val="065BAA"/>
              </w:rPr>
              <w:t>J</w:t>
            </w:r>
          </w:p>
        </w:tc>
        <w:tc>
          <w:tcPr>
            <w:tcW w:w="660" w:type="dxa"/>
            <w:vAlign w:val="bottom"/>
            <w:tcBorders>
              <w:bottom w:val="single" w:sz="8" w:color="065BAA"/>
            </w:tcBorders>
          </w:tcPr>
          <w:p>
            <w:pPr>
              <w:jc w:val="right"/>
              <w:ind w:right="228"/>
              <w:spacing w:after="0"/>
              <w:rPr>
                <w:sz w:val="20"/>
                <w:szCs w:val="20"/>
                <w:color w:val="auto"/>
              </w:rPr>
            </w:pPr>
            <w:r>
              <w:rPr>
                <w:rFonts w:ascii="Arial" w:cs="Arial" w:eastAsia="Arial" w:hAnsi="Arial"/>
                <w:sz w:val="14"/>
                <w:szCs w:val="14"/>
                <w:b w:val="1"/>
                <w:bCs w:val="1"/>
                <w:color w:val="065BAA"/>
              </w:rPr>
              <w:t>K</w:t>
            </w:r>
          </w:p>
        </w:tc>
        <w:tc>
          <w:tcPr>
            <w:tcW w:w="800" w:type="dxa"/>
            <w:vAlign w:val="bottom"/>
            <w:tcBorders>
              <w:bottom w:val="single" w:sz="8" w:color="065BAA"/>
            </w:tcBorders>
          </w:tcPr>
          <w:p>
            <w:pPr>
              <w:spacing w:after="0"/>
              <w:rPr>
                <w:sz w:val="14"/>
                <w:szCs w:val="14"/>
                <w:color w:val="auto"/>
              </w:rPr>
            </w:pPr>
          </w:p>
        </w:tc>
        <w:tc>
          <w:tcPr>
            <w:tcW w:w="740" w:type="dxa"/>
            <w:vAlign w:val="bottom"/>
            <w:tcBorders>
              <w:bottom w:val="single" w:sz="8" w:color="065BAA"/>
            </w:tcBorders>
          </w:tcPr>
          <w:p>
            <w:pPr>
              <w:jc w:val="right"/>
              <w:ind w:right="248"/>
              <w:spacing w:after="0"/>
              <w:rPr>
                <w:sz w:val="20"/>
                <w:szCs w:val="20"/>
                <w:color w:val="auto"/>
              </w:rPr>
            </w:pPr>
            <w:r>
              <w:rPr>
                <w:rFonts w:ascii="Arial" w:cs="Arial" w:eastAsia="Arial" w:hAnsi="Arial"/>
                <w:sz w:val="14"/>
                <w:szCs w:val="14"/>
                <w:b w:val="1"/>
                <w:bCs w:val="1"/>
                <w:color w:val="065BAA"/>
              </w:rPr>
              <w:t>L</w:t>
            </w:r>
          </w:p>
        </w:tc>
        <w:tc>
          <w:tcPr>
            <w:tcW w:w="0" w:type="dxa"/>
            <w:vAlign w:val="bottom"/>
          </w:tcPr>
          <w:p>
            <w:pPr>
              <w:spacing w:after="0"/>
              <w:rPr>
                <w:sz w:val="1"/>
                <w:szCs w:val="1"/>
                <w:color w:val="auto"/>
              </w:rPr>
            </w:pPr>
          </w:p>
        </w:tc>
      </w:tr>
      <w:tr>
        <w:trPr>
          <w:trHeight w:val="200"/>
        </w:trPr>
        <w:tc>
          <w:tcPr>
            <w:tcW w:w="1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065BAA"/>
              </w:rPr>
              <w:t>All other</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065BAA"/>
              </w:rPr>
              <w:t>All other</w:t>
            </w: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065BAA"/>
              </w:rPr>
              <w:t>Grant</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065BAA"/>
              </w:rPr>
              <w:t>stock</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065BAA"/>
              </w:rPr>
              <w:t>option</w:t>
            </w:r>
          </w:p>
        </w:tc>
        <w:tc>
          <w:tcPr>
            <w:tcW w:w="6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065BAA"/>
              </w:rPr>
              <w:t>Closing</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065BAA"/>
              </w:rPr>
              <w:t>date fair</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65BAA"/>
              </w:rPr>
              <w:t>Estimated Possible Payouts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065BAA"/>
              </w:rPr>
              <w:t>awards:</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065BAA"/>
              </w:rPr>
              <w:t>awards: Exercise</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065BAA"/>
              </w:rPr>
              <w:t>price of</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065BAA"/>
              </w:rPr>
              <w:t>value of</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b w:val="1"/>
                <w:bCs w:val="1"/>
                <w:color w:val="065BAA"/>
              </w:rPr>
              <w:t>number</w:t>
            </w:r>
          </w:p>
        </w:tc>
        <w:tc>
          <w:tcPr>
            <w:tcW w:w="860" w:type="dxa"/>
            <w:vAlign w:val="bottom"/>
          </w:tcPr>
          <w:p>
            <w:pPr>
              <w:jc w:val="right"/>
              <w:ind w:right="8"/>
              <w:spacing w:after="0" w:line="145" w:lineRule="exact"/>
              <w:rPr>
                <w:sz w:val="20"/>
                <w:szCs w:val="20"/>
                <w:color w:val="auto"/>
              </w:rPr>
            </w:pPr>
            <w:r>
              <w:rPr>
                <w:rFonts w:ascii="Arial" w:cs="Arial" w:eastAsia="Arial" w:hAnsi="Arial"/>
                <w:sz w:val="14"/>
                <w:szCs w:val="14"/>
                <w:b w:val="1"/>
                <w:bCs w:val="1"/>
                <w:color w:val="065BAA"/>
              </w:rPr>
              <w:t>number of</w:t>
            </w:r>
          </w:p>
        </w:tc>
        <w:tc>
          <w:tcPr>
            <w:tcW w:w="660" w:type="dxa"/>
            <w:vAlign w:val="bottom"/>
          </w:tcPr>
          <w:p>
            <w:pPr>
              <w:jc w:val="right"/>
              <w:spacing w:after="0" w:line="145" w:lineRule="exact"/>
              <w:rPr>
                <w:sz w:val="20"/>
                <w:szCs w:val="20"/>
                <w:color w:val="auto"/>
              </w:rPr>
            </w:pPr>
            <w:r>
              <w:rPr>
                <w:rFonts w:ascii="Arial" w:cs="Arial" w:eastAsia="Arial" w:hAnsi="Arial"/>
                <w:sz w:val="14"/>
                <w:szCs w:val="14"/>
                <w:b w:val="1"/>
                <w:bCs w:val="1"/>
                <w:color w:val="065BAA"/>
              </w:rPr>
              <w:t>or base</w:t>
            </w:r>
          </w:p>
        </w:tc>
        <w:tc>
          <w:tcPr>
            <w:tcW w:w="800" w:type="dxa"/>
            <w:vAlign w:val="bottom"/>
          </w:tcPr>
          <w:p>
            <w:pPr>
              <w:jc w:val="right"/>
              <w:spacing w:after="0" w:line="145" w:lineRule="exact"/>
              <w:rPr>
                <w:sz w:val="20"/>
                <w:szCs w:val="20"/>
                <w:color w:val="auto"/>
              </w:rPr>
            </w:pPr>
            <w:r>
              <w:rPr>
                <w:rFonts w:ascii="Arial" w:cs="Arial" w:eastAsia="Arial" w:hAnsi="Arial"/>
                <w:sz w:val="14"/>
                <w:szCs w:val="14"/>
                <w:b w:val="1"/>
                <w:bCs w:val="1"/>
                <w:color w:val="065BAA"/>
              </w:rPr>
              <w:t>Company</w:t>
            </w:r>
          </w:p>
        </w:tc>
        <w:tc>
          <w:tcPr>
            <w:tcW w:w="740" w:type="dxa"/>
            <w:vAlign w:val="bottom"/>
          </w:tcPr>
          <w:p>
            <w:pPr>
              <w:jc w:val="right"/>
              <w:spacing w:after="0" w:line="145" w:lineRule="exact"/>
              <w:rPr>
                <w:sz w:val="20"/>
                <w:szCs w:val="20"/>
                <w:color w:val="auto"/>
              </w:rPr>
            </w:pPr>
            <w:r>
              <w:rPr>
                <w:rFonts w:ascii="Arial" w:cs="Arial" w:eastAsia="Arial" w:hAnsi="Arial"/>
                <w:sz w:val="14"/>
                <w:szCs w:val="14"/>
                <w:b w:val="1"/>
                <w:bCs w:val="1"/>
                <w:color w:val="065BAA"/>
              </w:rPr>
              <w:t>stock</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gridSpan w:val="3"/>
          </w:tcPr>
          <w:p>
            <w:pPr>
              <w:jc w:val="center"/>
              <w:spacing w:after="0"/>
              <w:rPr>
                <w:sz w:val="20"/>
                <w:szCs w:val="20"/>
                <w:color w:val="auto"/>
              </w:rPr>
            </w:pPr>
            <w:r>
              <w:rPr>
                <w:rFonts w:ascii="Arial" w:cs="Arial" w:eastAsia="Arial" w:hAnsi="Arial"/>
                <w:sz w:val="14"/>
                <w:szCs w:val="14"/>
                <w:b w:val="1"/>
                <w:bCs w:val="1"/>
                <w:color w:val="065BAA"/>
              </w:rPr>
              <w:t>Under Non-Equity Incentive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065BAA"/>
              </w:rPr>
              <w:t>of shares</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065BAA"/>
              </w:rPr>
              <w:t>securities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065BAA"/>
              </w:rPr>
              <w:t>price of</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065BAA"/>
              </w:rPr>
              <w:t>common</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065BAA"/>
              </w:rPr>
              <w:t>and</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Borders>
              <w:bottom w:val="single" w:sz="8" w:color="3B5AA4"/>
            </w:tcBorders>
            <w:gridSpan w:val="2"/>
          </w:tcPr>
          <w:p>
            <w:pPr>
              <w:jc w:val="center"/>
              <w:ind w:left="668"/>
              <w:spacing w:after="0" w:line="156" w:lineRule="exact"/>
              <w:rPr>
                <w:sz w:val="20"/>
                <w:szCs w:val="20"/>
                <w:color w:val="auto"/>
              </w:rPr>
            </w:pPr>
            <w:r>
              <w:rPr>
                <w:rFonts w:ascii="Arial" w:cs="Arial" w:eastAsia="Arial" w:hAnsi="Arial"/>
                <w:sz w:val="14"/>
                <w:szCs w:val="14"/>
                <w:b w:val="1"/>
                <w:bCs w:val="1"/>
                <w:color w:val="065BAA"/>
              </w:rPr>
              <w:t>Plan Awards</w:t>
            </w:r>
            <w:r>
              <w:rPr>
                <w:rFonts w:ascii="Arial" w:cs="Arial" w:eastAsia="Arial" w:hAnsi="Arial"/>
                <w:sz w:val="18"/>
                <w:szCs w:val="18"/>
                <w:b w:val="1"/>
                <w:bCs w:val="1"/>
                <w:color w:val="065BAA"/>
                <w:vertAlign w:val="superscript"/>
              </w:rPr>
              <w:t>1</w:t>
            </w:r>
          </w:p>
        </w:tc>
        <w:tc>
          <w:tcPr>
            <w:tcW w:w="740" w:type="dxa"/>
            <w:vAlign w:val="bottom"/>
            <w:tcBorders>
              <w:bottom w:val="single" w:sz="8" w:color="3B5AA4"/>
            </w:tcBorders>
          </w:tcPr>
          <w:p>
            <w:pPr>
              <w:spacing w:after="0"/>
              <w:rPr>
                <w:sz w:val="15"/>
                <w:szCs w:val="15"/>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065BAA"/>
              </w:rPr>
              <w:t>of stock</w:t>
            </w:r>
          </w:p>
        </w:tc>
        <w:tc>
          <w:tcPr>
            <w:tcW w:w="86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065BAA"/>
              </w:rPr>
              <w:t>underlying</w:t>
            </w: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065BAA"/>
              </w:rPr>
              <w:t>option</w:t>
            </w: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065BAA"/>
              </w:rPr>
              <w:t>stock on</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065BAA"/>
              </w:rPr>
              <w:t>option</w:t>
            </w: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065BAA"/>
              </w:rPr>
              <w:t>Threshold</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065BAA"/>
              </w:rPr>
              <w:t>Target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065BAA"/>
              </w:rPr>
              <w:t>Maximum</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065BAA"/>
              </w:rPr>
              <w:t>or units</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065BAA"/>
              </w:rPr>
              <w:t>options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065BAA"/>
              </w:rPr>
              <w:t>awards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065BAA"/>
              </w:rPr>
              <w:t>grant date</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065BAA"/>
              </w:rPr>
              <w:t>awards</w:t>
            </w:r>
          </w:p>
        </w:tc>
        <w:tc>
          <w:tcPr>
            <w:tcW w:w="0" w:type="dxa"/>
            <w:vAlign w:val="bottom"/>
          </w:tcPr>
          <w:p>
            <w:pPr>
              <w:spacing w:after="0"/>
              <w:rPr>
                <w:sz w:val="1"/>
                <w:szCs w:val="1"/>
                <w:color w:val="auto"/>
              </w:rPr>
            </w:pPr>
          </w:p>
        </w:tc>
      </w:tr>
      <w:tr>
        <w:trPr>
          <w:trHeight w:val="201"/>
        </w:trPr>
        <w:tc>
          <w:tcPr>
            <w:tcW w:w="1540" w:type="dxa"/>
            <w:vAlign w:val="bottom"/>
            <w:tcBorders>
              <w:bottom w:val="single" w:sz="8" w:color="3B5AA4"/>
            </w:tcBorders>
          </w:tcPr>
          <w:p>
            <w:pPr>
              <w:ind w:left="80"/>
              <w:spacing w:after="0"/>
              <w:rPr>
                <w:sz w:val="20"/>
                <w:szCs w:val="20"/>
                <w:color w:val="auto"/>
              </w:rPr>
            </w:pPr>
            <w:r>
              <w:rPr>
                <w:rFonts w:ascii="Arial" w:cs="Arial" w:eastAsia="Arial" w:hAnsi="Arial"/>
                <w:sz w:val="14"/>
                <w:szCs w:val="14"/>
                <w:b w:val="1"/>
                <w:bCs w:val="1"/>
                <w:color w:val="065BAA"/>
              </w:rPr>
              <w:t>Name</w:t>
            </w:r>
          </w:p>
        </w:tc>
        <w:tc>
          <w:tcPr>
            <w:tcW w:w="840" w:type="dxa"/>
            <w:vAlign w:val="bottom"/>
            <w:tcBorders>
              <w:bottom w:val="single" w:sz="8" w:color="3B5AA4"/>
            </w:tcBorders>
          </w:tcPr>
          <w:p>
            <w:pPr>
              <w:jc w:val="right"/>
              <w:spacing w:after="0"/>
              <w:rPr>
                <w:sz w:val="20"/>
                <w:szCs w:val="20"/>
                <w:color w:val="auto"/>
              </w:rPr>
            </w:pPr>
            <w:r>
              <w:rPr>
                <w:rFonts w:ascii="Arial" w:cs="Arial" w:eastAsia="Arial" w:hAnsi="Arial"/>
                <w:sz w:val="14"/>
                <w:szCs w:val="14"/>
                <w:b w:val="1"/>
                <w:bCs w:val="1"/>
                <w:color w:val="065BAA"/>
              </w:rPr>
              <w:t>Grant date</w:t>
            </w:r>
          </w:p>
        </w:tc>
        <w:tc>
          <w:tcPr>
            <w:tcW w:w="140" w:type="dxa"/>
            <w:vAlign w:val="bottom"/>
            <w:tcBorders>
              <w:bottom w:val="single" w:sz="8" w:color="3B5AA4"/>
            </w:tcBorders>
          </w:tcPr>
          <w:p>
            <w:pPr>
              <w:spacing w:after="0"/>
              <w:rPr>
                <w:sz w:val="17"/>
                <w:szCs w:val="17"/>
                <w:color w:val="auto"/>
              </w:rPr>
            </w:pPr>
          </w:p>
        </w:tc>
        <w:tc>
          <w:tcPr>
            <w:tcW w:w="820" w:type="dxa"/>
            <w:vAlign w:val="bottom"/>
            <w:tcBorders>
              <w:bottom w:val="single" w:sz="8" w:color="3B5AA4"/>
            </w:tcBorders>
          </w:tcPr>
          <w:p>
            <w:pPr>
              <w:jc w:val="center"/>
              <w:ind w:left="448"/>
              <w:spacing w:after="0"/>
              <w:rPr>
                <w:sz w:val="20"/>
                <w:szCs w:val="20"/>
                <w:color w:val="auto"/>
              </w:rPr>
            </w:pPr>
            <w:r>
              <w:rPr>
                <w:rFonts w:ascii="Arial" w:cs="Arial" w:eastAsia="Arial" w:hAnsi="Arial"/>
                <w:sz w:val="14"/>
                <w:szCs w:val="14"/>
                <w:b w:val="1"/>
                <w:bCs w:val="1"/>
                <w:color w:val="065BAA"/>
              </w:rPr>
              <w:t>($)</w:t>
            </w:r>
          </w:p>
        </w:tc>
        <w:tc>
          <w:tcPr>
            <w:tcW w:w="840" w:type="dxa"/>
            <w:vAlign w:val="bottom"/>
            <w:tcBorders>
              <w:bottom w:val="single" w:sz="8" w:color="3B5AA4"/>
            </w:tcBorders>
          </w:tcPr>
          <w:p>
            <w:pPr>
              <w:jc w:val="right"/>
              <w:ind w:right="48"/>
              <w:spacing w:after="0"/>
              <w:rPr>
                <w:sz w:val="20"/>
                <w:szCs w:val="20"/>
                <w:color w:val="auto"/>
              </w:rPr>
            </w:pPr>
            <w:r>
              <w:rPr>
                <w:rFonts w:ascii="Arial" w:cs="Arial" w:eastAsia="Arial" w:hAnsi="Arial"/>
                <w:sz w:val="14"/>
                <w:szCs w:val="14"/>
                <w:b w:val="1"/>
                <w:bCs w:val="1"/>
                <w:color w:val="065BAA"/>
              </w:rPr>
              <w:t>($)</w:t>
            </w:r>
          </w:p>
        </w:tc>
        <w:tc>
          <w:tcPr>
            <w:tcW w:w="740" w:type="dxa"/>
            <w:vAlign w:val="bottom"/>
            <w:tcBorders>
              <w:bottom w:val="single" w:sz="8" w:color="3B5AA4"/>
            </w:tcBorders>
          </w:tcPr>
          <w:p>
            <w:pPr>
              <w:jc w:val="right"/>
              <w:spacing w:after="0"/>
              <w:rPr>
                <w:sz w:val="20"/>
                <w:szCs w:val="20"/>
                <w:color w:val="auto"/>
              </w:rPr>
            </w:pPr>
            <w:r>
              <w:rPr>
                <w:rFonts w:ascii="Arial" w:cs="Arial" w:eastAsia="Arial" w:hAnsi="Arial"/>
                <w:sz w:val="14"/>
                <w:szCs w:val="14"/>
                <w:b w:val="1"/>
                <w:bCs w:val="1"/>
                <w:color w:val="065BAA"/>
              </w:rPr>
              <w:t>($)</w:t>
            </w:r>
          </w:p>
        </w:tc>
        <w:tc>
          <w:tcPr>
            <w:tcW w:w="780" w:type="dxa"/>
            <w:vAlign w:val="bottom"/>
            <w:tcBorders>
              <w:bottom w:val="single" w:sz="8" w:color="3B5AA4"/>
            </w:tcBorders>
          </w:tcPr>
          <w:p>
            <w:pPr>
              <w:jc w:val="right"/>
              <w:spacing w:after="0"/>
              <w:rPr>
                <w:sz w:val="20"/>
                <w:szCs w:val="20"/>
                <w:color w:val="auto"/>
              </w:rPr>
            </w:pPr>
            <w:r>
              <w:rPr>
                <w:rFonts w:ascii="Arial" w:cs="Arial" w:eastAsia="Arial" w:hAnsi="Arial"/>
                <w:sz w:val="14"/>
                <w:szCs w:val="14"/>
                <w:b w:val="1"/>
                <w:bCs w:val="1"/>
                <w:color w:val="065BAA"/>
              </w:rPr>
              <w:t>(#)</w:t>
            </w:r>
          </w:p>
        </w:tc>
        <w:tc>
          <w:tcPr>
            <w:tcW w:w="860" w:type="dxa"/>
            <w:vAlign w:val="bottom"/>
            <w:tcBorders>
              <w:bottom w:val="single" w:sz="8" w:color="3B5AA4"/>
            </w:tcBorders>
          </w:tcPr>
          <w:p>
            <w:pPr>
              <w:jc w:val="right"/>
              <w:ind w:right="8"/>
              <w:spacing w:after="0"/>
              <w:rPr>
                <w:sz w:val="20"/>
                <w:szCs w:val="20"/>
                <w:color w:val="auto"/>
              </w:rPr>
            </w:pPr>
            <w:r>
              <w:rPr>
                <w:rFonts w:ascii="Arial" w:cs="Arial" w:eastAsia="Arial" w:hAnsi="Arial"/>
                <w:sz w:val="14"/>
                <w:szCs w:val="14"/>
                <w:b w:val="1"/>
                <w:bCs w:val="1"/>
                <w:color w:val="065BAA"/>
              </w:rPr>
              <w:t>(#)</w:t>
            </w:r>
          </w:p>
        </w:tc>
        <w:tc>
          <w:tcPr>
            <w:tcW w:w="660" w:type="dxa"/>
            <w:vAlign w:val="bottom"/>
            <w:tcBorders>
              <w:bottom w:val="single" w:sz="8" w:color="3B5AA4"/>
            </w:tcBorders>
          </w:tcPr>
          <w:p>
            <w:pPr>
              <w:jc w:val="right"/>
              <w:spacing w:after="0" w:line="201" w:lineRule="exact"/>
              <w:rPr>
                <w:sz w:val="20"/>
                <w:szCs w:val="20"/>
                <w:color w:val="auto"/>
              </w:rPr>
            </w:pPr>
            <w:r>
              <w:rPr>
                <w:rFonts w:ascii="Arial" w:cs="Arial" w:eastAsia="Arial" w:hAnsi="Arial"/>
                <w:sz w:val="14"/>
                <w:szCs w:val="14"/>
                <w:b w:val="1"/>
                <w:bCs w:val="1"/>
                <w:color w:val="065BAA"/>
              </w:rPr>
              <w:t>($/Sh)</w:t>
            </w:r>
            <w:r>
              <w:rPr>
                <w:rFonts w:ascii="Arial" w:cs="Arial" w:eastAsia="Arial" w:hAnsi="Arial"/>
                <w:sz w:val="18"/>
                <w:szCs w:val="18"/>
                <w:b w:val="1"/>
                <w:bCs w:val="1"/>
                <w:color w:val="065BAA"/>
                <w:vertAlign w:val="superscript"/>
              </w:rPr>
              <w:t>2</w:t>
            </w:r>
          </w:p>
        </w:tc>
        <w:tc>
          <w:tcPr>
            <w:tcW w:w="800" w:type="dxa"/>
            <w:vAlign w:val="bottom"/>
            <w:tcBorders>
              <w:bottom w:val="single" w:sz="8" w:color="3B5AA4"/>
            </w:tcBorders>
          </w:tcPr>
          <w:p>
            <w:pPr>
              <w:jc w:val="right"/>
              <w:spacing w:after="0" w:line="201" w:lineRule="exact"/>
              <w:rPr>
                <w:sz w:val="20"/>
                <w:szCs w:val="20"/>
                <w:color w:val="auto"/>
              </w:rPr>
            </w:pPr>
            <w:r>
              <w:rPr>
                <w:rFonts w:ascii="Arial" w:cs="Arial" w:eastAsia="Arial" w:hAnsi="Arial"/>
                <w:sz w:val="14"/>
                <w:szCs w:val="14"/>
                <w:b w:val="1"/>
                <w:bCs w:val="1"/>
                <w:color w:val="065BAA"/>
              </w:rPr>
              <w:t>($/Sh)</w:t>
            </w:r>
            <w:r>
              <w:rPr>
                <w:rFonts w:ascii="Arial" w:cs="Arial" w:eastAsia="Arial" w:hAnsi="Arial"/>
                <w:sz w:val="18"/>
                <w:szCs w:val="18"/>
                <w:b w:val="1"/>
                <w:bCs w:val="1"/>
                <w:color w:val="065BAA"/>
                <w:vertAlign w:val="superscript"/>
              </w:rPr>
              <w:t>2</w:t>
            </w:r>
          </w:p>
        </w:tc>
        <w:tc>
          <w:tcPr>
            <w:tcW w:w="740" w:type="dxa"/>
            <w:vAlign w:val="bottom"/>
            <w:tcBorders>
              <w:bottom w:val="single" w:sz="8" w:color="3B5AA4"/>
            </w:tcBorders>
          </w:tcPr>
          <w:p>
            <w:pPr>
              <w:jc w:val="right"/>
              <w:spacing w:after="0" w:line="201" w:lineRule="exact"/>
              <w:rPr>
                <w:sz w:val="20"/>
                <w:szCs w:val="20"/>
                <w:color w:val="auto"/>
              </w:rPr>
            </w:pPr>
            <w:r>
              <w:rPr>
                <w:rFonts w:ascii="Arial" w:cs="Arial" w:eastAsia="Arial" w:hAnsi="Arial"/>
                <w:sz w:val="14"/>
                <w:szCs w:val="14"/>
                <w:b w:val="1"/>
                <w:bCs w:val="1"/>
                <w:color w:val="065BAA"/>
              </w:rPr>
              <w:t>($)</w:t>
            </w:r>
            <w:r>
              <w:rPr>
                <w:rFonts w:ascii="Arial" w:cs="Arial" w:eastAsia="Arial" w:hAnsi="Arial"/>
                <w:sz w:val="18"/>
                <w:szCs w:val="18"/>
                <w:b w:val="1"/>
                <w:bCs w:val="1"/>
                <w:color w:val="065BAA"/>
                <w:vertAlign w:val="superscript"/>
              </w:rPr>
              <w:t>3</w:t>
            </w:r>
          </w:p>
        </w:tc>
        <w:tc>
          <w:tcPr>
            <w:tcW w:w="0" w:type="dxa"/>
            <w:vAlign w:val="bottom"/>
          </w:tcPr>
          <w:p>
            <w:pPr>
              <w:spacing w:after="0"/>
              <w:rPr>
                <w:sz w:val="1"/>
                <w:szCs w:val="1"/>
                <w:color w:val="auto"/>
              </w:rPr>
            </w:pPr>
          </w:p>
        </w:tc>
      </w:tr>
      <w:tr>
        <w:trPr>
          <w:trHeight w:val="173"/>
        </w:trPr>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Leonard S. Schleifer,</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2,375,906</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4,830,512</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M.D., Ph.D.</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54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George D.</w:t>
            </w: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AEBF8"/>
          </w:tcPr>
          <w:p>
            <w:pPr>
              <w:spacing w:after="0"/>
              <w:rPr>
                <w:sz w:val="16"/>
                <w:szCs w:val="16"/>
                <w:color w:val="auto"/>
              </w:rPr>
            </w:pPr>
          </w:p>
        </w:tc>
        <w:tc>
          <w:tcPr>
            <w:tcW w:w="820" w:type="dxa"/>
            <w:vAlign w:val="bottom"/>
            <w:shd w:val="clear" w:color="auto" w:fill="DAEBF8"/>
          </w:tcPr>
          <w:p>
            <w:pPr>
              <w:jc w:val="center"/>
              <w:ind w:left="448"/>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DAEBF8"/>
          </w:tcPr>
          <w:p>
            <w:pPr>
              <w:jc w:val="right"/>
              <w:ind w:right="48"/>
              <w:spacing w:after="0"/>
              <w:rPr>
                <w:sz w:val="20"/>
                <w:szCs w:val="20"/>
                <w:color w:val="auto"/>
              </w:rPr>
            </w:pPr>
            <w:r>
              <w:rPr>
                <w:rFonts w:ascii="Arial" w:cs="Arial" w:eastAsia="Arial" w:hAnsi="Arial"/>
                <w:sz w:val="14"/>
                <w:szCs w:val="14"/>
                <w:color w:val="auto"/>
              </w:rPr>
              <w:t>2,375,906</w:t>
            </w:r>
          </w:p>
        </w:tc>
        <w:tc>
          <w:tcPr>
            <w:tcW w:w="74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4,830,512</w:t>
            </w:r>
          </w:p>
        </w:tc>
        <w:tc>
          <w:tcPr>
            <w:tcW w:w="78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DAEBF8"/>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54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Yancopoulos,</w:t>
            </w:r>
          </w:p>
        </w:tc>
        <w:tc>
          <w:tcPr>
            <w:tcW w:w="840" w:type="dxa"/>
            <w:vAlign w:val="bottom"/>
            <w:shd w:val="clear" w:color="auto" w:fill="DAEBF8"/>
          </w:tcPr>
          <w:p>
            <w:pPr>
              <w:spacing w:after="0"/>
              <w:rPr>
                <w:sz w:val="15"/>
                <w:szCs w:val="15"/>
                <w:color w:val="auto"/>
              </w:rPr>
            </w:pPr>
          </w:p>
        </w:tc>
        <w:tc>
          <w:tcPr>
            <w:tcW w:w="140" w:type="dxa"/>
            <w:vAlign w:val="bottom"/>
            <w:shd w:val="clear" w:color="auto" w:fill="DAEBF8"/>
          </w:tcPr>
          <w:p>
            <w:pPr>
              <w:spacing w:after="0"/>
              <w:rPr>
                <w:sz w:val="15"/>
                <w:szCs w:val="15"/>
                <w:color w:val="auto"/>
              </w:rPr>
            </w:pPr>
          </w:p>
        </w:tc>
        <w:tc>
          <w:tcPr>
            <w:tcW w:w="820" w:type="dxa"/>
            <w:vAlign w:val="bottom"/>
            <w:shd w:val="clear" w:color="auto" w:fill="DAEBF8"/>
          </w:tcPr>
          <w:p>
            <w:pPr>
              <w:spacing w:after="0"/>
              <w:rPr>
                <w:sz w:val="15"/>
                <w:szCs w:val="15"/>
                <w:color w:val="auto"/>
              </w:rPr>
            </w:pPr>
          </w:p>
        </w:tc>
        <w:tc>
          <w:tcPr>
            <w:tcW w:w="840" w:type="dxa"/>
            <w:vAlign w:val="bottom"/>
            <w:shd w:val="clear" w:color="auto" w:fill="DAEBF8"/>
          </w:tcPr>
          <w:p>
            <w:pPr>
              <w:spacing w:after="0"/>
              <w:rPr>
                <w:sz w:val="15"/>
                <w:szCs w:val="15"/>
                <w:color w:val="auto"/>
              </w:rPr>
            </w:pPr>
          </w:p>
        </w:tc>
        <w:tc>
          <w:tcPr>
            <w:tcW w:w="740" w:type="dxa"/>
            <w:vAlign w:val="bottom"/>
            <w:shd w:val="clear" w:color="auto" w:fill="DAEBF8"/>
          </w:tcPr>
          <w:p>
            <w:pPr>
              <w:spacing w:after="0"/>
              <w:rPr>
                <w:sz w:val="15"/>
                <w:szCs w:val="15"/>
                <w:color w:val="auto"/>
              </w:rPr>
            </w:pPr>
          </w:p>
        </w:tc>
        <w:tc>
          <w:tcPr>
            <w:tcW w:w="780" w:type="dxa"/>
            <w:vAlign w:val="bottom"/>
            <w:shd w:val="clear" w:color="auto" w:fill="DAEBF8"/>
          </w:tcPr>
          <w:p>
            <w:pPr>
              <w:spacing w:after="0"/>
              <w:rPr>
                <w:sz w:val="15"/>
                <w:szCs w:val="15"/>
                <w:color w:val="auto"/>
              </w:rPr>
            </w:pPr>
          </w:p>
        </w:tc>
        <w:tc>
          <w:tcPr>
            <w:tcW w:w="860" w:type="dxa"/>
            <w:vAlign w:val="bottom"/>
            <w:shd w:val="clear" w:color="auto" w:fill="DAEBF8"/>
          </w:tcPr>
          <w:p>
            <w:pPr>
              <w:spacing w:after="0"/>
              <w:rPr>
                <w:sz w:val="15"/>
                <w:szCs w:val="15"/>
                <w:color w:val="auto"/>
              </w:rPr>
            </w:pPr>
          </w:p>
        </w:tc>
        <w:tc>
          <w:tcPr>
            <w:tcW w:w="660" w:type="dxa"/>
            <w:vAlign w:val="bottom"/>
            <w:shd w:val="clear" w:color="auto" w:fill="DAEBF8"/>
          </w:tcPr>
          <w:p>
            <w:pPr>
              <w:spacing w:after="0"/>
              <w:rPr>
                <w:sz w:val="15"/>
                <w:szCs w:val="15"/>
                <w:color w:val="auto"/>
              </w:rPr>
            </w:pPr>
          </w:p>
        </w:tc>
        <w:tc>
          <w:tcPr>
            <w:tcW w:w="800" w:type="dxa"/>
            <w:vAlign w:val="bottom"/>
            <w:shd w:val="clear" w:color="auto" w:fill="DAEBF8"/>
          </w:tcPr>
          <w:p>
            <w:pPr>
              <w:spacing w:after="0"/>
              <w:rPr>
                <w:sz w:val="15"/>
                <w:szCs w:val="15"/>
                <w:color w:val="auto"/>
              </w:rPr>
            </w:pPr>
          </w:p>
        </w:tc>
        <w:tc>
          <w:tcPr>
            <w:tcW w:w="740" w:type="dxa"/>
            <w:vAlign w:val="bottom"/>
            <w:shd w:val="clear" w:color="auto" w:fill="DAEBF8"/>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54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M.D., Ph.D.</w:t>
            </w:r>
          </w:p>
        </w:tc>
        <w:tc>
          <w:tcPr>
            <w:tcW w:w="840" w:type="dxa"/>
            <w:vAlign w:val="bottom"/>
            <w:shd w:val="clear" w:color="auto" w:fill="DAEBF8"/>
          </w:tcPr>
          <w:p>
            <w:pPr>
              <w:spacing w:after="0"/>
              <w:rPr>
                <w:sz w:val="18"/>
                <w:szCs w:val="18"/>
                <w:color w:val="auto"/>
              </w:rPr>
            </w:pPr>
          </w:p>
        </w:tc>
        <w:tc>
          <w:tcPr>
            <w:tcW w:w="140" w:type="dxa"/>
            <w:vAlign w:val="bottom"/>
            <w:shd w:val="clear" w:color="auto" w:fill="DAEBF8"/>
          </w:tcPr>
          <w:p>
            <w:pPr>
              <w:spacing w:after="0"/>
              <w:rPr>
                <w:sz w:val="18"/>
                <w:szCs w:val="18"/>
                <w:color w:val="auto"/>
              </w:rPr>
            </w:pPr>
          </w:p>
        </w:tc>
        <w:tc>
          <w:tcPr>
            <w:tcW w:w="820" w:type="dxa"/>
            <w:vAlign w:val="bottom"/>
            <w:shd w:val="clear" w:color="auto" w:fill="DAEBF8"/>
          </w:tcPr>
          <w:p>
            <w:pPr>
              <w:spacing w:after="0"/>
              <w:rPr>
                <w:sz w:val="18"/>
                <w:szCs w:val="18"/>
                <w:color w:val="auto"/>
              </w:rPr>
            </w:pPr>
          </w:p>
        </w:tc>
        <w:tc>
          <w:tcPr>
            <w:tcW w:w="840" w:type="dxa"/>
            <w:vAlign w:val="bottom"/>
            <w:shd w:val="clear" w:color="auto" w:fill="DAEBF8"/>
          </w:tcPr>
          <w:p>
            <w:pPr>
              <w:spacing w:after="0"/>
              <w:rPr>
                <w:sz w:val="18"/>
                <w:szCs w:val="18"/>
                <w:color w:val="auto"/>
              </w:rPr>
            </w:pPr>
          </w:p>
        </w:tc>
        <w:tc>
          <w:tcPr>
            <w:tcW w:w="740" w:type="dxa"/>
            <w:vAlign w:val="bottom"/>
            <w:shd w:val="clear" w:color="auto" w:fill="DAEBF8"/>
          </w:tcPr>
          <w:p>
            <w:pPr>
              <w:spacing w:after="0"/>
              <w:rPr>
                <w:sz w:val="18"/>
                <w:szCs w:val="18"/>
                <w:color w:val="auto"/>
              </w:rPr>
            </w:pPr>
          </w:p>
        </w:tc>
        <w:tc>
          <w:tcPr>
            <w:tcW w:w="780" w:type="dxa"/>
            <w:vAlign w:val="bottom"/>
            <w:shd w:val="clear" w:color="auto" w:fill="DAEBF8"/>
          </w:tcPr>
          <w:p>
            <w:pPr>
              <w:spacing w:after="0"/>
              <w:rPr>
                <w:sz w:val="18"/>
                <w:szCs w:val="18"/>
                <w:color w:val="auto"/>
              </w:rPr>
            </w:pPr>
          </w:p>
        </w:tc>
        <w:tc>
          <w:tcPr>
            <w:tcW w:w="860" w:type="dxa"/>
            <w:vAlign w:val="bottom"/>
            <w:shd w:val="clear" w:color="auto" w:fill="DAEBF8"/>
          </w:tcPr>
          <w:p>
            <w:pPr>
              <w:spacing w:after="0"/>
              <w:rPr>
                <w:sz w:val="18"/>
                <w:szCs w:val="18"/>
                <w:color w:val="auto"/>
              </w:rPr>
            </w:pPr>
          </w:p>
        </w:tc>
        <w:tc>
          <w:tcPr>
            <w:tcW w:w="660" w:type="dxa"/>
            <w:vAlign w:val="bottom"/>
            <w:shd w:val="clear" w:color="auto" w:fill="DAEBF8"/>
          </w:tcPr>
          <w:p>
            <w:pPr>
              <w:spacing w:after="0"/>
              <w:rPr>
                <w:sz w:val="18"/>
                <w:szCs w:val="18"/>
                <w:color w:val="auto"/>
              </w:rPr>
            </w:pPr>
          </w:p>
        </w:tc>
        <w:tc>
          <w:tcPr>
            <w:tcW w:w="800" w:type="dxa"/>
            <w:vAlign w:val="bottom"/>
            <w:shd w:val="clear" w:color="auto" w:fill="DAEBF8"/>
          </w:tcPr>
          <w:p>
            <w:pPr>
              <w:spacing w:after="0"/>
              <w:rPr>
                <w:sz w:val="18"/>
                <w:szCs w:val="18"/>
                <w:color w:val="auto"/>
              </w:rPr>
            </w:pPr>
          </w:p>
        </w:tc>
        <w:tc>
          <w:tcPr>
            <w:tcW w:w="740" w:type="dxa"/>
            <w:vAlign w:val="bottom"/>
            <w:shd w:val="clear" w:color="auto" w:fill="DAEBF8"/>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Christopher</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471,250</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862,591</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Fenimore</w:t>
            </w:r>
          </w:p>
        </w:tc>
        <w:tc>
          <w:tcPr>
            <w:tcW w:w="840" w:type="dxa"/>
            <w:vAlign w:val="bottom"/>
          </w:tcPr>
          <w:p>
            <w:pPr>
              <w:jc w:val="right"/>
              <w:spacing w:after="0"/>
              <w:rPr>
                <w:sz w:val="20"/>
                <w:szCs w:val="20"/>
                <w:color w:val="auto"/>
              </w:rPr>
            </w:pPr>
            <w:r>
              <w:rPr>
                <w:rFonts w:ascii="Arial" w:cs="Arial" w:eastAsia="Arial" w:hAnsi="Arial"/>
                <w:sz w:val="14"/>
                <w:szCs w:val="14"/>
                <w:color w:val="auto"/>
              </w:rPr>
              <w:t>12/5/2025</w:t>
            </w:r>
          </w:p>
        </w:tc>
        <w:tc>
          <w:tcPr>
            <w:tcW w:w="140" w:type="dxa"/>
            <w:vAlign w:val="bottom"/>
          </w:tcPr>
          <w:p>
            <w:pPr>
              <w:jc w:val="right"/>
              <w:spacing w:after="0"/>
              <w:rPr>
                <w:sz w:val="20"/>
                <w:szCs w:val="20"/>
                <w:color w:val="auto"/>
              </w:rPr>
            </w:pPr>
            <w:r>
              <w:rPr>
                <w:rFonts w:ascii="Arial" w:cs="Arial" w:eastAsia="Arial" w:hAnsi="Arial"/>
                <w:sz w:val="9"/>
                <w:szCs w:val="9"/>
                <w:color w:val="auto"/>
              </w:rPr>
              <w:t>4</w:t>
            </w:r>
          </w:p>
        </w:tc>
        <w:tc>
          <w:tcPr>
            <w:tcW w:w="82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14,924</w:t>
            </w:r>
          </w:p>
        </w:tc>
        <w:tc>
          <w:tcPr>
            <w:tcW w:w="660" w:type="dxa"/>
            <w:vAlign w:val="bottom"/>
          </w:tcPr>
          <w:p>
            <w:pPr>
              <w:jc w:val="right"/>
              <w:spacing w:after="0"/>
              <w:rPr>
                <w:sz w:val="20"/>
                <w:szCs w:val="20"/>
                <w:color w:val="auto"/>
              </w:rPr>
            </w:pPr>
            <w:r>
              <w:rPr>
                <w:rFonts w:ascii="Arial" w:cs="Arial" w:eastAsia="Arial" w:hAnsi="Arial"/>
                <w:sz w:val="14"/>
                <w:szCs w:val="14"/>
                <w:color w:val="auto"/>
              </w:rPr>
              <w:t>726.71</w:t>
            </w:r>
          </w:p>
        </w:tc>
        <w:tc>
          <w:tcPr>
            <w:tcW w:w="800" w:type="dxa"/>
            <w:vAlign w:val="bottom"/>
          </w:tcPr>
          <w:p>
            <w:pPr>
              <w:jc w:val="right"/>
              <w:spacing w:after="0"/>
              <w:rPr>
                <w:sz w:val="20"/>
                <w:szCs w:val="20"/>
                <w:color w:val="auto"/>
              </w:rPr>
            </w:pPr>
            <w:r>
              <w:rPr>
                <w:rFonts w:ascii="Arial" w:cs="Arial" w:eastAsia="Arial" w:hAnsi="Arial"/>
                <w:sz w:val="14"/>
                <w:szCs w:val="14"/>
                <w:color w:val="auto"/>
              </w:rPr>
              <w:t>718.36</w:t>
            </w:r>
          </w:p>
        </w:tc>
        <w:tc>
          <w:tcPr>
            <w:tcW w:w="740" w:type="dxa"/>
            <w:vAlign w:val="bottom"/>
          </w:tcPr>
          <w:p>
            <w:pPr>
              <w:jc w:val="right"/>
              <w:spacing w:after="0"/>
              <w:rPr>
                <w:sz w:val="20"/>
                <w:szCs w:val="20"/>
                <w:color w:val="auto"/>
              </w:rPr>
            </w:pPr>
            <w:r>
              <w:rPr>
                <w:rFonts w:ascii="Arial" w:cs="Arial" w:eastAsia="Arial" w:hAnsi="Arial"/>
                <w:sz w:val="14"/>
                <w:szCs w:val="14"/>
                <w:color w:val="auto"/>
              </w:rPr>
              <w:t>3,299,977</w:t>
            </w: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xml:space="preserve">12/5/2025 </w:t>
            </w:r>
            <w:r>
              <w:rPr>
                <w:rFonts w:ascii="Arial" w:cs="Arial" w:eastAsia="Arial" w:hAnsi="Arial"/>
                <w:sz w:val="18"/>
                <w:szCs w:val="18"/>
                <w:color w:val="auto"/>
                <w:vertAlign w:val="superscript"/>
              </w:rPr>
              <w:t>5</w:t>
            </w:r>
          </w:p>
        </w:tc>
        <w:tc>
          <w:tcPr>
            <w:tcW w:w="82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3,027</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2,199,751</w:t>
            </w:r>
          </w:p>
        </w:tc>
        <w:tc>
          <w:tcPr>
            <w:tcW w:w="0" w:type="dxa"/>
            <w:vAlign w:val="bottom"/>
          </w:tcPr>
          <w:p>
            <w:pPr>
              <w:spacing w:after="0"/>
              <w:rPr>
                <w:sz w:val="1"/>
                <w:szCs w:val="1"/>
                <w:color w:val="auto"/>
              </w:rPr>
            </w:pPr>
          </w:p>
        </w:tc>
      </w:tr>
      <w:tr>
        <w:trPr>
          <w:trHeight w:val="214"/>
        </w:trPr>
        <w:tc>
          <w:tcPr>
            <w:tcW w:w="154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Daniel P. Van Plew</w:t>
            </w: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AEBF8"/>
          </w:tcPr>
          <w:p>
            <w:pPr>
              <w:spacing w:after="0"/>
              <w:rPr>
                <w:sz w:val="18"/>
                <w:szCs w:val="18"/>
                <w:color w:val="auto"/>
              </w:rPr>
            </w:pPr>
          </w:p>
        </w:tc>
        <w:tc>
          <w:tcPr>
            <w:tcW w:w="820" w:type="dxa"/>
            <w:vAlign w:val="bottom"/>
            <w:shd w:val="clear" w:color="auto" w:fill="DAEBF8"/>
          </w:tcPr>
          <w:p>
            <w:pPr>
              <w:jc w:val="center"/>
              <w:ind w:left="448"/>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DAEBF8"/>
          </w:tcPr>
          <w:p>
            <w:pPr>
              <w:jc w:val="right"/>
              <w:ind w:right="48"/>
              <w:spacing w:after="0"/>
              <w:rPr>
                <w:sz w:val="20"/>
                <w:szCs w:val="20"/>
                <w:color w:val="auto"/>
              </w:rPr>
            </w:pPr>
            <w:r>
              <w:rPr>
                <w:rFonts w:ascii="Arial" w:cs="Arial" w:eastAsia="Arial" w:hAnsi="Arial"/>
                <w:sz w:val="14"/>
                <w:szCs w:val="14"/>
                <w:color w:val="auto"/>
              </w:rPr>
              <w:t>639,198</w:t>
            </w:r>
          </w:p>
        </w:tc>
        <w:tc>
          <w:tcPr>
            <w:tcW w:w="74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1,207,628</w:t>
            </w:r>
          </w:p>
        </w:tc>
        <w:tc>
          <w:tcPr>
            <w:tcW w:w="78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DAEBF8"/>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540" w:type="dxa"/>
            <w:vAlign w:val="bottom"/>
            <w:shd w:val="clear" w:color="auto" w:fill="DAEBF8"/>
          </w:tcPr>
          <w:p>
            <w:pPr>
              <w:spacing w:after="0"/>
              <w:rPr>
                <w:sz w:val="18"/>
                <w:szCs w:val="18"/>
                <w:color w:val="auto"/>
              </w:rPr>
            </w:pP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12/5/2025</w:t>
            </w:r>
          </w:p>
        </w:tc>
        <w:tc>
          <w:tcPr>
            <w:tcW w:w="140" w:type="dxa"/>
            <w:vAlign w:val="bottom"/>
            <w:shd w:val="clear" w:color="auto" w:fill="DAEBF8"/>
          </w:tcPr>
          <w:p>
            <w:pPr>
              <w:jc w:val="right"/>
              <w:spacing w:after="0"/>
              <w:rPr>
                <w:sz w:val="20"/>
                <w:szCs w:val="20"/>
                <w:color w:val="auto"/>
              </w:rPr>
            </w:pPr>
            <w:r>
              <w:rPr>
                <w:rFonts w:ascii="Arial" w:cs="Arial" w:eastAsia="Arial" w:hAnsi="Arial"/>
                <w:sz w:val="9"/>
                <w:szCs w:val="9"/>
                <w:color w:val="auto"/>
              </w:rPr>
              <w:t>4</w:t>
            </w:r>
          </w:p>
        </w:tc>
        <w:tc>
          <w:tcPr>
            <w:tcW w:w="820" w:type="dxa"/>
            <w:vAlign w:val="bottom"/>
            <w:shd w:val="clear" w:color="auto" w:fill="DAEBF8"/>
          </w:tcPr>
          <w:p>
            <w:pPr>
              <w:jc w:val="center"/>
              <w:ind w:left="448"/>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DAEBF8"/>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DAEBF8"/>
          </w:tcPr>
          <w:p>
            <w:pPr>
              <w:jc w:val="right"/>
              <w:ind w:right="28"/>
              <w:spacing w:after="0"/>
              <w:rPr>
                <w:sz w:val="20"/>
                <w:szCs w:val="20"/>
                <w:color w:val="auto"/>
              </w:rPr>
            </w:pPr>
            <w:r>
              <w:rPr>
                <w:rFonts w:ascii="Arial" w:cs="Arial" w:eastAsia="Arial" w:hAnsi="Arial"/>
                <w:sz w:val="14"/>
                <w:szCs w:val="14"/>
                <w:color w:val="auto"/>
              </w:rPr>
              <w:t>18,315</w:t>
            </w:r>
          </w:p>
        </w:tc>
        <w:tc>
          <w:tcPr>
            <w:tcW w:w="6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726.71</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718.36</w:t>
            </w:r>
          </w:p>
        </w:tc>
        <w:tc>
          <w:tcPr>
            <w:tcW w:w="7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4,049,757</w:t>
            </w:r>
          </w:p>
        </w:tc>
        <w:tc>
          <w:tcPr>
            <w:tcW w:w="0" w:type="dxa"/>
            <w:vAlign w:val="bottom"/>
          </w:tcPr>
          <w:p>
            <w:pPr>
              <w:spacing w:after="0"/>
              <w:rPr>
                <w:sz w:val="1"/>
                <w:szCs w:val="1"/>
                <w:color w:val="auto"/>
              </w:rPr>
            </w:pPr>
          </w:p>
        </w:tc>
      </w:tr>
      <w:tr>
        <w:trPr>
          <w:trHeight w:val="224"/>
        </w:trPr>
        <w:tc>
          <w:tcPr>
            <w:tcW w:w="1540" w:type="dxa"/>
            <w:vAlign w:val="bottom"/>
            <w:shd w:val="clear" w:color="auto" w:fill="DAEBF8"/>
          </w:tcPr>
          <w:p>
            <w:pPr>
              <w:spacing w:after="0"/>
              <w:rPr>
                <w:sz w:val="19"/>
                <w:szCs w:val="19"/>
                <w:color w:val="auto"/>
              </w:rPr>
            </w:pP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12/5/2025</w:t>
            </w:r>
          </w:p>
        </w:tc>
        <w:tc>
          <w:tcPr>
            <w:tcW w:w="140" w:type="dxa"/>
            <w:vAlign w:val="bottom"/>
            <w:shd w:val="clear" w:color="auto" w:fill="DAEBF8"/>
          </w:tcPr>
          <w:p>
            <w:pPr>
              <w:jc w:val="right"/>
              <w:spacing w:after="0"/>
              <w:rPr>
                <w:sz w:val="20"/>
                <w:szCs w:val="20"/>
                <w:color w:val="auto"/>
              </w:rPr>
            </w:pPr>
            <w:r>
              <w:rPr>
                <w:rFonts w:ascii="Arial" w:cs="Arial" w:eastAsia="Arial" w:hAnsi="Arial"/>
                <w:sz w:val="9"/>
                <w:szCs w:val="9"/>
                <w:color w:val="auto"/>
              </w:rPr>
              <w:t>5</w:t>
            </w:r>
          </w:p>
        </w:tc>
        <w:tc>
          <w:tcPr>
            <w:tcW w:w="820" w:type="dxa"/>
            <w:vAlign w:val="bottom"/>
            <w:shd w:val="clear" w:color="auto" w:fill="DAEBF8"/>
          </w:tcPr>
          <w:p>
            <w:pPr>
              <w:jc w:val="center"/>
              <w:ind w:left="448"/>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DAEBF8"/>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3,715</w:t>
            </w:r>
          </w:p>
        </w:tc>
        <w:tc>
          <w:tcPr>
            <w:tcW w:w="860" w:type="dxa"/>
            <w:vAlign w:val="bottom"/>
            <w:shd w:val="clear" w:color="auto" w:fill="DAEBF8"/>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2,699,728</w:t>
            </w:r>
          </w:p>
        </w:tc>
        <w:tc>
          <w:tcPr>
            <w:tcW w:w="0" w:type="dxa"/>
            <w:vAlign w:val="bottom"/>
          </w:tcPr>
          <w:p>
            <w:pPr>
              <w:spacing w:after="0"/>
              <w:rPr>
                <w:sz w:val="1"/>
                <w:szCs w:val="1"/>
                <w:color w:val="auto"/>
              </w:rPr>
            </w:pPr>
          </w:p>
        </w:tc>
      </w:tr>
      <w:tr>
        <w:trPr>
          <w:trHeight w:val="193"/>
        </w:trPr>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Andrew J. Murphy,</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532,787</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1,035,110</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1"/>
        </w:trPr>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Ph.D.</w:t>
            </w:r>
          </w:p>
        </w:tc>
        <w:tc>
          <w:tcPr>
            <w:tcW w:w="840" w:type="dxa"/>
            <w:vAlign w:val="bottom"/>
          </w:tcPr>
          <w:p>
            <w:pPr>
              <w:jc w:val="right"/>
              <w:spacing w:after="0"/>
              <w:rPr>
                <w:sz w:val="20"/>
                <w:szCs w:val="20"/>
                <w:color w:val="auto"/>
              </w:rPr>
            </w:pPr>
            <w:r>
              <w:rPr>
                <w:rFonts w:ascii="Arial" w:cs="Arial" w:eastAsia="Arial" w:hAnsi="Arial"/>
                <w:sz w:val="14"/>
                <w:szCs w:val="14"/>
                <w:color w:val="auto"/>
              </w:rPr>
              <w:t>12/5/2025</w:t>
            </w:r>
          </w:p>
        </w:tc>
        <w:tc>
          <w:tcPr>
            <w:tcW w:w="140" w:type="dxa"/>
            <w:vAlign w:val="bottom"/>
          </w:tcPr>
          <w:p>
            <w:pPr>
              <w:jc w:val="right"/>
              <w:spacing w:after="0"/>
              <w:rPr>
                <w:sz w:val="20"/>
                <w:szCs w:val="20"/>
                <w:color w:val="auto"/>
              </w:rPr>
            </w:pPr>
            <w:r>
              <w:rPr>
                <w:rFonts w:ascii="Arial" w:cs="Arial" w:eastAsia="Arial" w:hAnsi="Arial"/>
                <w:sz w:val="9"/>
                <w:szCs w:val="9"/>
                <w:color w:val="auto"/>
              </w:rPr>
              <w:t>4</w:t>
            </w:r>
          </w:p>
        </w:tc>
        <w:tc>
          <w:tcPr>
            <w:tcW w:w="82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18,315</w:t>
            </w:r>
          </w:p>
        </w:tc>
        <w:tc>
          <w:tcPr>
            <w:tcW w:w="660" w:type="dxa"/>
            <w:vAlign w:val="bottom"/>
          </w:tcPr>
          <w:p>
            <w:pPr>
              <w:jc w:val="right"/>
              <w:spacing w:after="0"/>
              <w:rPr>
                <w:sz w:val="20"/>
                <w:szCs w:val="20"/>
                <w:color w:val="auto"/>
              </w:rPr>
            </w:pPr>
            <w:r>
              <w:rPr>
                <w:rFonts w:ascii="Arial" w:cs="Arial" w:eastAsia="Arial" w:hAnsi="Arial"/>
                <w:sz w:val="14"/>
                <w:szCs w:val="14"/>
                <w:color w:val="auto"/>
              </w:rPr>
              <w:t>726.71</w:t>
            </w:r>
          </w:p>
        </w:tc>
        <w:tc>
          <w:tcPr>
            <w:tcW w:w="800" w:type="dxa"/>
            <w:vAlign w:val="bottom"/>
          </w:tcPr>
          <w:p>
            <w:pPr>
              <w:jc w:val="right"/>
              <w:spacing w:after="0"/>
              <w:rPr>
                <w:sz w:val="20"/>
                <w:szCs w:val="20"/>
                <w:color w:val="auto"/>
              </w:rPr>
            </w:pPr>
            <w:r>
              <w:rPr>
                <w:rFonts w:ascii="Arial" w:cs="Arial" w:eastAsia="Arial" w:hAnsi="Arial"/>
                <w:sz w:val="14"/>
                <w:szCs w:val="14"/>
                <w:color w:val="auto"/>
              </w:rPr>
              <w:t>718.36</w:t>
            </w:r>
          </w:p>
        </w:tc>
        <w:tc>
          <w:tcPr>
            <w:tcW w:w="740" w:type="dxa"/>
            <w:vAlign w:val="bottom"/>
          </w:tcPr>
          <w:p>
            <w:pPr>
              <w:jc w:val="right"/>
              <w:spacing w:after="0"/>
              <w:rPr>
                <w:sz w:val="20"/>
                <w:szCs w:val="20"/>
                <w:color w:val="auto"/>
              </w:rPr>
            </w:pPr>
            <w:r>
              <w:rPr>
                <w:rFonts w:ascii="Arial" w:cs="Arial" w:eastAsia="Arial" w:hAnsi="Arial"/>
                <w:sz w:val="14"/>
                <w:szCs w:val="14"/>
                <w:color w:val="auto"/>
              </w:rPr>
              <w:t>4,049,757</w:t>
            </w: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xml:space="preserve">12/5/2025 </w:t>
            </w:r>
            <w:r>
              <w:rPr>
                <w:rFonts w:ascii="Arial" w:cs="Arial" w:eastAsia="Arial" w:hAnsi="Arial"/>
                <w:sz w:val="18"/>
                <w:szCs w:val="18"/>
                <w:color w:val="auto"/>
                <w:vertAlign w:val="superscript"/>
              </w:rPr>
              <w:t>5</w:t>
            </w:r>
          </w:p>
        </w:tc>
        <w:tc>
          <w:tcPr>
            <w:tcW w:w="82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3,715</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2,699,728</w:t>
            </w:r>
          </w:p>
        </w:tc>
        <w:tc>
          <w:tcPr>
            <w:tcW w:w="0" w:type="dxa"/>
            <w:vAlign w:val="bottom"/>
          </w:tcPr>
          <w:p>
            <w:pPr>
              <w:spacing w:after="0"/>
              <w:rPr>
                <w:sz w:val="1"/>
                <w:szCs w:val="1"/>
                <w:color w:val="auto"/>
              </w:rPr>
            </w:pPr>
          </w:p>
        </w:tc>
      </w:tr>
      <w:tr>
        <w:trPr>
          <w:trHeight w:val="214"/>
        </w:trPr>
        <w:tc>
          <w:tcPr>
            <w:tcW w:w="154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Joseph J. LaRosa</w:t>
            </w: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AEBF8"/>
          </w:tcPr>
          <w:p>
            <w:pPr>
              <w:spacing w:after="0"/>
              <w:rPr>
                <w:sz w:val="18"/>
                <w:szCs w:val="18"/>
                <w:color w:val="auto"/>
              </w:rPr>
            </w:pPr>
          </w:p>
        </w:tc>
        <w:tc>
          <w:tcPr>
            <w:tcW w:w="820" w:type="dxa"/>
            <w:vAlign w:val="bottom"/>
            <w:shd w:val="clear" w:color="auto" w:fill="DAEBF8"/>
          </w:tcPr>
          <w:p>
            <w:pPr>
              <w:jc w:val="center"/>
              <w:ind w:left="448"/>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DAEBF8"/>
          </w:tcPr>
          <w:p>
            <w:pPr>
              <w:jc w:val="right"/>
              <w:ind w:right="48"/>
              <w:spacing w:after="0"/>
              <w:rPr>
                <w:sz w:val="20"/>
                <w:szCs w:val="20"/>
                <w:color w:val="auto"/>
              </w:rPr>
            </w:pPr>
            <w:r>
              <w:rPr>
                <w:rFonts w:ascii="Arial" w:cs="Arial" w:eastAsia="Arial" w:hAnsi="Arial"/>
                <w:sz w:val="14"/>
                <w:szCs w:val="14"/>
                <w:color w:val="auto"/>
              </w:rPr>
              <w:t>595,440</w:t>
            </w:r>
          </w:p>
        </w:tc>
        <w:tc>
          <w:tcPr>
            <w:tcW w:w="74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1,207,628</w:t>
            </w:r>
          </w:p>
        </w:tc>
        <w:tc>
          <w:tcPr>
            <w:tcW w:w="78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DAEBF8"/>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540" w:type="dxa"/>
            <w:vAlign w:val="bottom"/>
            <w:shd w:val="clear" w:color="auto" w:fill="DAEBF8"/>
          </w:tcPr>
          <w:p>
            <w:pPr>
              <w:spacing w:after="0"/>
              <w:rPr>
                <w:sz w:val="18"/>
                <w:szCs w:val="18"/>
                <w:color w:val="auto"/>
              </w:rPr>
            </w:pP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12/5/2025</w:t>
            </w:r>
          </w:p>
        </w:tc>
        <w:tc>
          <w:tcPr>
            <w:tcW w:w="140" w:type="dxa"/>
            <w:vAlign w:val="bottom"/>
            <w:shd w:val="clear" w:color="auto" w:fill="DAEBF8"/>
          </w:tcPr>
          <w:p>
            <w:pPr>
              <w:jc w:val="right"/>
              <w:spacing w:after="0"/>
              <w:rPr>
                <w:sz w:val="20"/>
                <w:szCs w:val="20"/>
                <w:color w:val="auto"/>
              </w:rPr>
            </w:pPr>
            <w:r>
              <w:rPr>
                <w:rFonts w:ascii="Arial" w:cs="Arial" w:eastAsia="Arial" w:hAnsi="Arial"/>
                <w:sz w:val="9"/>
                <w:szCs w:val="9"/>
                <w:color w:val="auto"/>
              </w:rPr>
              <w:t>4</w:t>
            </w:r>
          </w:p>
        </w:tc>
        <w:tc>
          <w:tcPr>
            <w:tcW w:w="820" w:type="dxa"/>
            <w:vAlign w:val="bottom"/>
            <w:shd w:val="clear" w:color="auto" w:fill="DAEBF8"/>
          </w:tcPr>
          <w:p>
            <w:pPr>
              <w:jc w:val="center"/>
              <w:ind w:left="448"/>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DAEBF8"/>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DAEBF8"/>
          </w:tcPr>
          <w:p>
            <w:pPr>
              <w:jc w:val="right"/>
              <w:ind w:right="28"/>
              <w:spacing w:after="0"/>
              <w:rPr>
                <w:sz w:val="20"/>
                <w:szCs w:val="20"/>
                <w:color w:val="auto"/>
              </w:rPr>
            </w:pPr>
            <w:r>
              <w:rPr>
                <w:rFonts w:ascii="Arial" w:cs="Arial" w:eastAsia="Arial" w:hAnsi="Arial"/>
                <w:sz w:val="14"/>
                <w:szCs w:val="14"/>
                <w:color w:val="auto"/>
              </w:rPr>
              <w:t>12,210</w:t>
            </w:r>
          </w:p>
        </w:tc>
        <w:tc>
          <w:tcPr>
            <w:tcW w:w="6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726.71</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718.36</w:t>
            </w:r>
          </w:p>
        </w:tc>
        <w:tc>
          <w:tcPr>
            <w:tcW w:w="7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2,699,810</w:t>
            </w:r>
          </w:p>
        </w:tc>
        <w:tc>
          <w:tcPr>
            <w:tcW w:w="0" w:type="dxa"/>
            <w:vAlign w:val="bottom"/>
          </w:tcPr>
          <w:p>
            <w:pPr>
              <w:spacing w:after="0"/>
              <w:rPr>
                <w:sz w:val="1"/>
                <w:szCs w:val="1"/>
                <w:color w:val="auto"/>
              </w:rPr>
            </w:pPr>
          </w:p>
        </w:tc>
      </w:tr>
      <w:tr>
        <w:trPr>
          <w:trHeight w:val="220"/>
        </w:trPr>
        <w:tc>
          <w:tcPr>
            <w:tcW w:w="1540" w:type="dxa"/>
            <w:vAlign w:val="bottom"/>
            <w:tcBorders>
              <w:bottom w:val="single" w:sz="8" w:color="3B5AA4"/>
            </w:tcBorders>
            <w:shd w:val="clear" w:color="auto" w:fill="DAEBF8"/>
          </w:tcPr>
          <w:p>
            <w:pPr>
              <w:spacing w:after="0"/>
              <w:rPr>
                <w:sz w:val="19"/>
                <w:szCs w:val="19"/>
                <w:color w:val="auto"/>
              </w:rPr>
            </w:pPr>
          </w:p>
        </w:tc>
        <w:tc>
          <w:tcPr>
            <w:tcW w:w="840" w:type="dxa"/>
            <w:vAlign w:val="bottom"/>
            <w:tcBorders>
              <w:bottom w:val="single" w:sz="8" w:color="3B5AA4"/>
            </w:tcBorders>
            <w:shd w:val="clear" w:color="auto" w:fill="DAEBF8"/>
          </w:tcPr>
          <w:p>
            <w:pPr>
              <w:jc w:val="right"/>
              <w:spacing w:after="0"/>
              <w:rPr>
                <w:sz w:val="20"/>
                <w:szCs w:val="20"/>
                <w:color w:val="auto"/>
              </w:rPr>
            </w:pPr>
            <w:r>
              <w:rPr>
                <w:rFonts w:ascii="Arial" w:cs="Arial" w:eastAsia="Arial" w:hAnsi="Arial"/>
                <w:sz w:val="14"/>
                <w:szCs w:val="14"/>
                <w:color w:val="auto"/>
              </w:rPr>
              <w:t>12/5/2025</w:t>
            </w:r>
          </w:p>
        </w:tc>
        <w:tc>
          <w:tcPr>
            <w:tcW w:w="140" w:type="dxa"/>
            <w:vAlign w:val="bottom"/>
            <w:tcBorders>
              <w:bottom w:val="single" w:sz="8" w:color="3B5AA4"/>
            </w:tcBorders>
            <w:shd w:val="clear" w:color="auto" w:fill="DAEBF8"/>
          </w:tcPr>
          <w:p>
            <w:pPr>
              <w:jc w:val="right"/>
              <w:spacing w:after="0"/>
              <w:rPr>
                <w:sz w:val="20"/>
                <w:szCs w:val="20"/>
                <w:color w:val="auto"/>
              </w:rPr>
            </w:pPr>
            <w:r>
              <w:rPr>
                <w:rFonts w:ascii="Arial" w:cs="Arial" w:eastAsia="Arial" w:hAnsi="Arial"/>
                <w:sz w:val="9"/>
                <w:szCs w:val="9"/>
                <w:color w:val="auto"/>
              </w:rPr>
              <w:t>5</w:t>
            </w:r>
          </w:p>
        </w:tc>
        <w:tc>
          <w:tcPr>
            <w:tcW w:w="820" w:type="dxa"/>
            <w:vAlign w:val="bottom"/>
            <w:tcBorders>
              <w:bottom w:val="single" w:sz="8" w:color="3B5AA4"/>
            </w:tcBorders>
            <w:shd w:val="clear" w:color="auto" w:fill="DAEBF8"/>
          </w:tcPr>
          <w:p>
            <w:pPr>
              <w:jc w:val="center"/>
              <w:ind w:left="448"/>
              <w:spacing w:after="0"/>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3B5AA4"/>
            </w:tcBorders>
            <w:shd w:val="clear" w:color="auto" w:fill="DAEBF8"/>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3B5AA4"/>
            </w:tcBorders>
            <w:shd w:val="clear" w:color="auto" w:fill="DAEBF8"/>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3B5AA4"/>
            </w:tcBorders>
            <w:shd w:val="clear" w:color="auto" w:fill="DAEBF8"/>
          </w:tcPr>
          <w:p>
            <w:pPr>
              <w:jc w:val="right"/>
              <w:ind w:right="8"/>
              <w:spacing w:after="0"/>
              <w:rPr>
                <w:sz w:val="20"/>
                <w:szCs w:val="20"/>
                <w:color w:val="auto"/>
              </w:rPr>
            </w:pPr>
            <w:r>
              <w:rPr>
                <w:rFonts w:ascii="Arial" w:cs="Arial" w:eastAsia="Arial" w:hAnsi="Arial"/>
                <w:sz w:val="14"/>
                <w:szCs w:val="14"/>
                <w:color w:val="auto"/>
              </w:rPr>
              <w:t>2,476</w:t>
            </w:r>
          </w:p>
        </w:tc>
        <w:tc>
          <w:tcPr>
            <w:tcW w:w="860" w:type="dxa"/>
            <w:vAlign w:val="bottom"/>
            <w:tcBorders>
              <w:bottom w:val="single" w:sz="8" w:color="3B5AA4"/>
            </w:tcBorders>
            <w:shd w:val="clear" w:color="auto" w:fill="DAEBF8"/>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3B5AA4"/>
            </w:tcBorders>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3B5AA4"/>
            </w:tcBorders>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3B5AA4"/>
            </w:tcBorders>
            <w:shd w:val="clear" w:color="auto" w:fill="DAEBF8"/>
          </w:tcPr>
          <w:p>
            <w:pPr>
              <w:jc w:val="right"/>
              <w:spacing w:after="0"/>
              <w:rPr>
                <w:sz w:val="20"/>
                <w:szCs w:val="20"/>
                <w:color w:val="auto"/>
              </w:rPr>
            </w:pPr>
            <w:r>
              <w:rPr>
                <w:rFonts w:ascii="Arial" w:cs="Arial" w:eastAsia="Arial" w:hAnsi="Arial"/>
                <w:sz w:val="14"/>
                <w:szCs w:val="14"/>
                <w:color w:val="auto"/>
              </w:rPr>
              <w:t>1,799,334</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right="339" w:hanging="190"/>
        <w:spacing w:after="0" w:line="249" w:lineRule="auto"/>
        <w:tabs>
          <w:tab w:leader="none" w:pos="320" w:val="left"/>
        </w:tabs>
        <w:numPr>
          <w:ilvl w:val="0"/>
          <w:numId w:val="156"/>
        </w:numPr>
        <w:rPr>
          <w:rFonts w:ascii="Arial" w:cs="Arial" w:eastAsia="Arial" w:hAnsi="Arial"/>
          <w:sz w:val="16"/>
          <w:szCs w:val="16"/>
          <w:color w:val="auto"/>
          <w:vertAlign w:val="superscript"/>
        </w:rPr>
      </w:pPr>
      <w:r>
        <w:rPr>
          <w:rFonts w:ascii="Arial" w:cs="Arial" w:eastAsia="Arial" w:hAnsi="Arial"/>
          <w:sz w:val="13"/>
          <w:szCs w:val="13"/>
          <w:color w:val="auto"/>
        </w:rPr>
        <w:t>Cash incentive awards under the Regeneron Pharmaceuticals, Inc. Cash Incentive Bonus Plan. The actual cash incentive awards earned in respect of 2025 and paid out in January 2026 are reported as “Non-Equity Incentive Plan Compensation” in the Summary Compensation Table above. The maximum amount in this column represents the maximum cash incentive allocated to each executive by the Compensation Committee in March 2025 under the Cash Incentive Bonus Plan.</w:t>
      </w:r>
    </w:p>
    <w:p>
      <w:pPr>
        <w:spacing w:after="0" w:line="19" w:lineRule="exact"/>
        <w:rPr>
          <w:sz w:val="20"/>
          <w:szCs w:val="20"/>
          <w:color w:val="auto"/>
        </w:rPr>
      </w:pPr>
    </w:p>
    <w:p>
      <w:pPr>
        <w:ind w:left="320" w:right="459" w:hanging="190"/>
        <w:spacing w:after="0" w:line="281" w:lineRule="auto"/>
        <w:tabs>
          <w:tab w:leader="none" w:pos="320" w:val="left"/>
        </w:tabs>
        <w:numPr>
          <w:ilvl w:val="0"/>
          <w:numId w:val="157"/>
        </w:numPr>
        <w:rPr>
          <w:rFonts w:ascii="Arial" w:cs="Arial" w:eastAsia="Arial" w:hAnsi="Arial"/>
          <w:sz w:val="15"/>
          <w:szCs w:val="15"/>
          <w:color w:val="auto"/>
          <w:vertAlign w:val="superscript"/>
        </w:rPr>
      </w:pPr>
      <w:r>
        <w:rPr>
          <w:rFonts w:ascii="Arial" w:cs="Arial" w:eastAsia="Arial" w:hAnsi="Arial"/>
          <w:sz w:val="12"/>
          <w:szCs w:val="12"/>
          <w:color w:val="auto"/>
        </w:rPr>
        <w:t>These options have an exercise price equal to the average of the high and low sales price per share of the Company’s common stock on the date of grant. Therefore, the closing price of our common stock on the grant date may be higher or lower than the exercise price of these options.</w:t>
      </w:r>
    </w:p>
    <w:p>
      <w:pPr>
        <w:spacing w:after="0" w:line="1" w:lineRule="exact"/>
        <w:rPr>
          <w:sz w:val="20"/>
          <w:szCs w:val="20"/>
          <w:color w:val="auto"/>
        </w:rPr>
      </w:pPr>
    </w:p>
    <w:p>
      <w:pPr>
        <w:ind w:left="320" w:right="199" w:hanging="190"/>
        <w:spacing w:after="0" w:line="249" w:lineRule="auto"/>
        <w:tabs>
          <w:tab w:leader="none" w:pos="320" w:val="left"/>
        </w:tabs>
        <w:numPr>
          <w:ilvl w:val="0"/>
          <w:numId w:val="158"/>
        </w:numPr>
        <w:rPr>
          <w:rFonts w:ascii="Arial" w:cs="Arial" w:eastAsia="Arial" w:hAnsi="Arial"/>
          <w:sz w:val="16"/>
          <w:szCs w:val="16"/>
          <w:color w:val="auto"/>
          <w:vertAlign w:val="superscript"/>
        </w:rPr>
      </w:pPr>
      <w:r>
        <w:rPr>
          <w:rFonts w:ascii="Arial" w:cs="Arial" w:eastAsia="Arial" w:hAnsi="Arial"/>
          <w:sz w:val="13"/>
          <w:szCs w:val="13"/>
          <w:color w:val="auto"/>
        </w:rPr>
        <w:t>The amounts in this column represent the grant date fair value (disregarding estimated forfeitures) of the awards made pursuant to the Second Amended and Restated Regeneron Pharmaceuticals, Inc. 2014 Long-Term Incentive Plan. The valuation assumptions and methodologies used in the calculation of these amounts are included in Note 13 to the Company’s audited financial statements for the fiscal year ended December 31, 2025, included in the 2025 Annual Report.</w:t>
      </w:r>
    </w:p>
    <w:p>
      <w:pPr>
        <w:spacing w:after="0" w:line="32" w:lineRule="exact"/>
        <w:rPr>
          <w:sz w:val="20"/>
          <w:szCs w:val="20"/>
          <w:color w:val="auto"/>
        </w:rPr>
      </w:pPr>
    </w:p>
    <w:p>
      <w:pPr>
        <w:ind w:left="320" w:right="159" w:hanging="190"/>
        <w:spacing w:after="0" w:line="236" w:lineRule="auto"/>
        <w:tabs>
          <w:tab w:leader="none" w:pos="320" w:val="left"/>
        </w:tabs>
        <w:numPr>
          <w:ilvl w:val="0"/>
          <w:numId w:val="159"/>
        </w:numPr>
        <w:rPr>
          <w:rFonts w:ascii="Arial" w:cs="Arial" w:eastAsia="Arial" w:hAnsi="Arial"/>
          <w:sz w:val="16"/>
          <w:szCs w:val="16"/>
          <w:color w:val="auto"/>
          <w:vertAlign w:val="superscript"/>
        </w:rPr>
      </w:pPr>
      <w:r>
        <w:rPr>
          <w:rFonts w:ascii="Arial" w:cs="Arial" w:eastAsia="Arial" w:hAnsi="Arial"/>
          <w:sz w:val="13"/>
          <w:szCs w:val="13"/>
          <w:color w:val="auto"/>
        </w:rPr>
        <w:t>The NEO received a non-qualified stock option award that vests subject to continued employment at a rate of 25% per year over the first four years of the maximum ten-year option term.</w:t>
      </w:r>
    </w:p>
    <w:p>
      <w:pPr>
        <w:spacing w:after="0" w:line="37" w:lineRule="exact"/>
        <w:rPr>
          <w:sz w:val="20"/>
          <w:szCs w:val="20"/>
          <w:color w:val="auto"/>
        </w:rPr>
      </w:pPr>
    </w:p>
    <w:p>
      <w:pPr>
        <w:ind w:left="320" w:right="219" w:hanging="190"/>
        <w:spacing w:after="0" w:line="236" w:lineRule="auto"/>
        <w:tabs>
          <w:tab w:leader="none" w:pos="320" w:val="left"/>
        </w:tabs>
        <w:numPr>
          <w:ilvl w:val="0"/>
          <w:numId w:val="160"/>
        </w:numPr>
        <w:rPr>
          <w:rFonts w:ascii="Arial" w:cs="Arial" w:eastAsia="Arial" w:hAnsi="Arial"/>
          <w:sz w:val="16"/>
          <w:szCs w:val="16"/>
          <w:color w:val="auto"/>
          <w:vertAlign w:val="superscript"/>
        </w:rPr>
      </w:pPr>
      <w:r>
        <w:rPr>
          <w:rFonts w:ascii="Arial" w:cs="Arial" w:eastAsia="Arial" w:hAnsi="Arial"/>
          <w:sz w:val="13"/>
          <w:szCs w:val="13"/>
          <w:color w:val="auto"/>
        </w:rPr>
        <w:t>The NEO received an annual RSA that vests 50% on the second anniversary of the date of grant and 50% on the fourth anniversary of the date of grant, subject to the NEO’s continued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81</w:t>
            </w:r>
          </w:p>
        </w:tc>
      </w:tr>
    </w:tbl>
    <w:p>
      <w:pPr>
        <w:sectPr>
          <w:pgSz w:w="11900" w:h="16838" w:orient="portrait"/>
          <w:cols w:equalWidth="0" w:num="1">
            <w:col w:w="9019"/>
          </w:cols>
          <w:pgMar w:left="1440" w:top="657" w:right="1440" w:bottom="1440" w:gutter="0" w:footer="0" w:header="0"/>
        </w:sectPr>
      </w:pPr>
    </w:p>
    <w:bookmarkStart w:id="90" w:name="page91"/>
    <w:bookmarkEnd w:id="90"/>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Outstanding Equity Awards at 2025 Fiscal Year-End</w:t>
      </w:r>
    </w:p>
    <w:p>
      <w:pPr>
        <w:spacing w:after="0" w:line="180" w:lineRule="exact"/>
        <w:rPr>
          <w:sz w:val="20"/>
          <w:szCs w:val="20"/>
          <w:color w:val="auto"/>
        </w:rPr>
      </w:pPr>
    </w:p>
    <w:p>
      <w:pPr>
        <w:ind w:left="140" w:right="519"/>
        <w:spacing w:after="0" w:line="321" w:lineRule="auto"/>
        <w:rPr>
          <w:sz w:val="20"/>
          <w:szCs w:val="20"/>
          <w:color w:val="auto"/>
        </w:rPr>
      </w:pPr>
      <w:r>
        <w:rPr>
          <w:rFonts w:ascii="Arial" w:cs="Arial" w:eastAsia="Arial" w:hAnsi="Arial"/>
          <w:sz w:val="16"/>
          <w:szCs w:val="16"/>
          <w:color w:val="auto"/>
        </w:rPr>
        <w:t>The following table and explanatory footnotes provide information regarding unexercised stock options and RSAs (as applicable) held by our NEOs as of December 31, 2025.</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00" w:type="dxa"/>
            <w:vAlign w:val="bottom"/>
            <w:tcBorders>
              <w:bottom w:val="single" w:sz="8" w:color="065BAA"/>
            </w:tcBorders>
          </w:tcPr>
          <w:p>
            <w:pPr>
              <w:ind w:left="480"/>
              <w:spacing w:after="0"/>
              <w:rPr>
                <w:sz w:val="20"/>
                <w:szCs w:val="20"/>
                <w:color w:val="auto"/>
              </w:rPr>
            </w:pPr>
            <w:r>
              <w:rPr>
                <w:rFonts w:ascii="Arial" w:cs="Arial" w:eastAsia="Arial" w:hAnsi="Arial"/>
                <w:sz w:val="14"/>
                <w:szCs w:val="14"/>
                <w:b w:val="1"/>
                <w:bCs w:val="1"/>
                <w:color w:val="065BAA"/>
              </w:rPr>
              <w:t>A</w:t>
            </w:r>
          </w:p>
        </w:tc>
        <w:tc>
          <w:tcPr>
            <w:tcW w:w="840" w:type="dxa"/>
            <w:vAlign w:val="bottom"/>
            <w:tcBorders>
              <w:bottom w:val="single" w:sz="8" w:color="065BAA"/>
            </w:tcBorders>
          </w:tcPr>
          <w:p>
            <w:pPr>
              <w:jc w:val="right"/>
              <w:ind w:right="291"/>
              <w:spacing w:after="0"/>
              <w:rPr>
                <w:sz w:val="20"/>
                <w:szCs w:val="20"/>
                <w:color w:val="auto"/>
              </w:rPr>
            </w:pPr>
            <w:r>
              <w:rPr>
                <w:rFonts w:ascii="Arial" w:cs="Arial" w:eastAsia="Arial" w:hAnsi="Arial"/>
                <w:sz w:val="14"/>
                <w:szCs w:val="14"/>
                <w:b w:val="1"/>
                <w:bCs w:val="1"/>
                <w:color w:val="065BAA"/>
              </w:rPr>
              <w:t>B</w:t>
            </w:r>
          </w:p>
        </w:tc>
        <w:tc>
          <w:tcPr>
            <w:tcW w:w="740" w:type="dxa"/>
            <w:vAlign w:val="bottom"/>
            <w:tcBorders>
              <w:bottom w:val="single" w:sz="8" w:color="065BAA"/>
            </w:tcBorders>
          </w:tcPr>
          <w:p>
            <w:pPr>
              <w:jc w:val="right"/>
              <w:ind w:right="211"/>
              <w:spacing w:after="0"/>
              <w:rPr>
                <w:sz w:val="20"/>
                <w:szCs w:val="20"/>
                <w:color w:val="auto"/>
              </w:rPr>
            </w:pPr>
            <w:r>
              <w:rPr>
                <w:rFonts w:ascii="Arial" w:cs="Arial" w:eastAsia="Arial" w:hAnsi="Arial"/>
                <w:sz w:val="14"/>
                <w:szCs w:val="14"/>
                <w:b w:val="1"/>
                <w:bCs w:val="1"/>
                <w:color w:val="065BAA"/>
              </w:rPr>
              <w:t>C</w:t>
            </w:r>
          </w:p>
        </w:tc>
        <w:tc>
          <w:tcPr>
            <w:tcW w:w="220" w:type="dxa"/>
            <w:vAlign w:val="bottom"/>
            <w:tcBorders>
              <w:bottom w:val="single" w:sz="8" w:color="065BAA"/>
            </w:tcBorders>
          </w:tcPr>
          <w:p>
            <w:pPr>
              <w:spacing w:after="0"/>
              <w:rPr>
                <w:sz w:val="14"/>
                <w:szCs w:val="14"/>
                <w:color w:val="auto"/>
              </w:rPr>
            </w:pPr>
          </w:p>
        </w:tc>
        <w:tc>
          <w:tcPr>
            <w:tcW w:w="800" w:type="dxa"/>
            <w:vAlign w:val="bottom"/>
            <w:tcBorders>
              <w:bottom w:val="single" w:sz="8" w:color="065BAA"/>
            </w:tcBorders>
          </w:tcPr>
          <w:p>
            <w:pPr>
              <w:jc w:val="right"/>
              <w:ind w:right="292"/>
              <w:spacing w:after="0"/>
              <w:rPr>
                <w:sz w:val="20"/>
                <w:szCs w:val="20"/>
                <w:color w:val="auto"/>
              </w:rPr>
            </w:pPr>
            <w:r>
              <w:rPr>
                <w:rFonts w:ascii="Arial" w:cs="Arial" w:eastAsia="Arial" w:hAnsi="Arial"/>
                <w:sz w:val="14"/>
                <w:szCs w:val="14"/>
                <w:b w:val="1"/>
                <w:bCs w:val="1"/>
                <w:color w:val="065BAA"/>
              </w:rPr>
              <w:t>D</w:t>
            </w:r>
          </w:p>
        </w:tc>
        <w:tc>
          <w:tcPr>
            <w:tcW w:w="580" w:type="dxa"/>
            <w:vAlign w:val="bottom"/>
            <w:tcBorders>
              <w:bottom w:val="single" w:sz="8" w:color="065BAA"/>
            </w:tcBorders>
          </w:tcPr>
          <w:p>
            <w:pPr>
              <w:jc w:val="right"/>
              <w:ind w:right="170"/>
              <w:spacing w:after="0"/>
              <w:rPr>
                <w:sz w:val="20"/>
                <w:szCs w:val="20"/>
                <w:color w:val="auto"/>
              </w:rPr>
            </w:pPr>
            <w:r>
              <w:rPr>
                <w:rFonts w:ascii="Arial" w:cs="Arial" w:eastAsia="Arial" w:hAnsi="Arial"/>
                <w:sz w:val="14"/>
                <w:szCs w:val="14"/>
                <w:b w:val="1"/>
                <w:bCs w:val="1"/>
                <w:color w:val="065BAA"/>
              </w:rPr>
              <w:t>E</w:t>
            </w:r>
          </w:p>
        </w:tc>
        <w:tc>
          <w:tcPr>
            <w:tcW w:w="880" w:type="dxa"/>
            <w:vAlign w:val="bottom"/>
            <w:tcBorders>
              <w:bottom w:val="single" w:sz="8" w:color="065BAA"/>
            </w:tcBorders>
            <w:gridSpan w:val="2"/>
          </w:tcPr>
          <w:p>
            <w:pPr>
              <w:ind w:left="360"/>
              <w:spacing w:after="0"/>
              <w:rPr>
                <w:sz w:val="20"/>
                <w:szCs w:val="20"/>
                <w:color w:val="auto"/>
              </w:rPr>
            </w:pPr>
            <w:r>
              <w:rPr>
                <w:rFonts w:ascii="Arial" w:cs="Arial" w:eastAsia="Arial" w:hAnsi="Arial"/>
                <w:sz w:val="14"/>
                <w:szCs w:val="14"/>
                <w:b w:val="1"/>
                <w:bCs w:val="1"/>
                <w:color w:val="065BAA"/>
              </w:rPr>
              <w:t>F</w:t>
            </w:r>
          </w:p>
        </w:tc>
        <w:tc>
          <w:tcPr>
            <w:tcW w:w="600" w:type="dxa"/>
            <w:vAlign w:val="bottom"/>
            <w:tcBorders>
              <w:bottom w:val="single" w:sz="8" w:color="065BAA"/>
            </w:tcBorders>
          </w:tcPr>
          <w:p>
            <w:pPr>
              <w:jc w:val="right"/>
              <w:ind w:right="151"/>
              <w:spacing w:after="0"/>
              <w:rPr>
                <w:sz w:val="20"/>
                <w:szCs w:val="20"/>
                <w:color w:val="auto"/>
              </w:rPr>
            </w:pPr>
            <w:r>
              <w:rPr>
                <w:rFonts w:ascii="Arial" w:cs="Arial" w:eastAsia="Arial" w:hAnsi="Arial"/>
                <w:sz w:val="14"/>
                <w:szCs w:val="14"/>
                <w:b w:val="1"/>
                <w:bCs w:val="1"/>
                <w:color w:val="065BAA"/>
              </w:rPr>
              <w:t>G</w:t>
            </w:r>
          </w:p>
        </w:tc>
        <w:tc>
          <w:tcPr>
            <w:tcW w:w="340" w:type="dxa"/>
            <w:vAlign w:val="bottom"/>
            <w:tcBorders>
              <w:bottom w:val="single" w:sz="8" w:color="065BAA"/>
            </w:tcBorders>
          </w:tcPr>
          <w:p>
            <w:pPr>
              <w:spacing w:after="0"/>
              <w:rPr>
                <w:sz w:val="14"/>
                <w:szCs w:val="14"/>
                <w:color w:val="auto"/>
              </w:rPr>
            </w:pPr>
          </w:p>
        </w:tc>
        <w:tc>
          <w:tcPr>
            <w:tcW w:w="780" w:type="dxa"/>
            <w:vAlign w:val="bottom"/>
            <w:tcBorders>
              <w:bottom w:val="single" w:sz="8" w:color="065BAA"/>
            </w:tcBorders>
          </w:tcPr>
          <w:p>
            <w:pPr>
              <w:jc w:val="right"/>
              <w:ind w:right="291"/>
              <w:spacing w:after="0"/>
              <w:rPr>
                <w:sz w:val="20"/>
                <w:szCs w:val="20"/>
                <w:color w:val="auto"/>
              </w:rPr>
            </w:pPr>
            <w:r>
              <w:rPr>
                <w:rFonts w:ascii="Arial" w:cs="Arial" w:eastAsia="Arial" w:hAnsi="Arial"/>
                <w:sz w:val="14"/>
                <w:szCs w:val="14"/>
                <w:b w:val="1"/>
                <w:bCs w:val="1"/>
                <w:color w:val="065BAA"/>
              </w:rPr>
              <w:t>H</w:t>
            </w:r>
          </w:p>
        </w:tc>
        <w:tc>
          <w:tcPr>
            <w:tcW w:w="220" w:type="dxa"/>
            <w:vAlign w:val="bottom"/>
            <w:tcBorders>
              <w:bottom w:val="single" w:sz="8" w:color="065BAA"/>
            </w:tcBorders>
          </w:tcPr>
          <w:p>
            <w:pPr>
              <w:spacing w:after="0"/>
              <w:rPr>
                <w:sz w:val="14"/>
                <w:szCs w:val="14"/>
                <w:color w:val="auto"/>
              </w:rPr>
            </w:pPr>
          </w:p>
        </w:tc>
        <w:tc>
          <w:tcPr>
            <w:tcW w:w="880" w:type="dxa"/>
            <w:vAlign w:val="bottom"/>
            <w:tcBorders>
              <w:bottom w:val="single" w:sz="8" w:color="065BAA"/>
            </w:tcBorders>
          </w:tcPr>
          <w:p>
            <w:pPr>
              <w:jc w:val="right"/>
              <w:ind w:right="393"/>
              <w:spacing w:after="0"/>
              <w:rPr>
                <w:sz w:val="20"/>
                <w:szCs w:val="20"/>
                <w:color w:val="auto"/>
              </w:rPr>
            </w:pPr>
            <w:r>
              <w:rPr>
                <w:rFonts w:ascii="Arial" w:cs="Arial" w:eastAsia="Arial" w:hAnsi="Arial"/>
                <w:sz w:val="14"/>
                <w:szCs w:val="14"/>
                <w:b w:val="1"/>
                <w:bCs w:val="1"/>
                <w:color w:val="065BAA"/>
              </w:rPr>
              <w:t>I</w:t>
            </w:r>
          </w:p>
        </w:tc>
        <w:tc>
          <w:tcPr>
            <w:tcW w:w="880" w:type="dxa"/>
            <w:vAlign w:val="bottom"/>
            <w:tcBorders>
              <w:bottom w:val="single" w:sz="8" w:color="065BAA"/>
            </w:tcBorders>
          </w:tcPr>
          <w:p>
            <w:pPr>
              <w:jc w:val="right"/>
              <w:ind w:right="353"/>
              <w:spacing w:after="0"/>
              <w:rPr>
                <w:sz w:val="20"/>
                <w:szCs w:val="20"/>
                <w:color w:val="auto"/>
              </w:rPr>
            </w:pPr>
            <w:r>
              <w:rPr>
                <w:rFonts w:ascii="Arial" w:cs="Arial" w:eastAsia="Arial" w:hAnsi="Arial"/>
                <w:sz w:val="14"/>
                <w:szCs w:val="14"/>
                <w:b w:val="1"/>
                <w:bCs w:val="1"/>
                <w:color w:val="065BAA"/>
              </w:rPr>
              <w:t>J</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840" w:type="dxa"/>
            <w:vAlign w:val="bottom"/>
            <w:tcBorders>
              <w:bottom w:val="single" w:sz="8" w:color="3B5AA4"/>
            </w:tcBorders>
          </w:tcPr>
          <w:p>
            <w:pPr>
              <w:spacing w:after="0"/>
              <w:rPr>
                <w:sz w:val="15"/>
                <w:szCs w:val="15"/>
                <w:color w:val="auto"/>
              </w:rPr>
            </w:pPr>
          </w:p>
        </w:tc>
        <w:tc>
          <w:tcPr>
            <w:tcW w:w="740" w:type="dxa"/>
            <w:vAlign w:val="bottom"/>
            <w:tcBorders>
              <w:bottom w:val="single" w:sz="8" w:color="3B5AA4"/>
            </w:tcBorders>
          </w:tcPr>
          <w:p>
            <w:pPr>
              <w:spacing w:after="0"/>
              <w:rPr>
                <w:sz w:val="15"/>
                <w:szCs w:val="15"/>
                <w:color w:val="auto"/>
              </w:rPr>
            </w:pPr>
          </w:p>
        </w:tc>
        <w:tc>
          <w:tcPr>
            <w:tcW w:w="1020" w:type="dxa"/>
            <w:vAlign w:val="bottom"/>
            <w:tcBorders>
              <w:bottom w:val="single" w:sz="8" w:color="3B5AA4"/>
            </w:tcBorders>
            <w:gridSpan w:val="2"/>
          </w:tcPr>
          <w:p>
            <w:pPr>
              <w:jc w:val="right"/>
              <w:ind w:right="112"/>
              <w:spacing w:after="0"/>
              <w:rPr>
                <w:sz w:val="20"/>
                <w:szCs w:val="20"/>
                <w:color w:val="auto"/>
              </w:rPr>
            </w:pPr>
            <w:r>
              <w:rPr>
                <w:rFonts w:ascii="Arial" w:cs="Arial" w:eastAsia="Arial" w:hAnsi="Arial"/>
                <w:sz w:val="12"/>
                <w:szCs w:val="12"/>
                <w:b w:val="1"/>
                <w:bCs w:val="1"/>
                <w:color w:val="065BAA"/>
                <w:w w:val="96"/>
              </w:rPr>
              <w:t>Option Awards</w:t>
            </w:r>
          </w:p>
        </w:tc>
        <w:tc>
          <w:tcPr>
            <w:tcW w:w="580" w:type="dxa"/>
            <w:vAlign w:val="bottom"/>
            <w:tcBorders>
              <w:bottom w:val="single" w:sz="8" w:color="3B5AA4"/>
            </w:tcBorders>
          </w:tcPr>
          <w:p>
            <w:pPr>
              <w:spacing w:after="0"/>
              <w:rPr>
                <w:sz w:val="15"/>
                <w:szCs w:val="15"/>
                <w:color w:val="auto"/>
              </w:rPr>
            </w:pPr>
          </w:p>
        </w:tc>
        <w:tc>
          <w:tcPr>
            <w:tcW w:w="820" w:type="dxa"/>
            <w:vAlign w:val="bottom"/>
            <w:tcBorders>
              <w:bottom w:val="single" w:sz="8" w:color="3B5AA4"/>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bottom w:val="single" w:sz="8" w:color="3B5AA4"/>
            </w:tcBorders>
          </w:tcPr>
          <w:p>
            <w:pPr>
              <w:spacing w:after="0"/>
              <w:rPr>
                <w:sz w:val="15"/>
                <w:szCs w:val="15"/>
                <w:color w:val="auto"/>
              </w:rPr>
            </w:pPr>
          </w:p>
        </w:tc>
        <w:tc>
          <w:tcPr>
            <w:tcW w:w="340" w:type="dxa"/>
            <w:vAlign w:val="bottom"/>
            <w:tcBorders>
              <w:bottom w:val="single" w:sz="8" w:color="3B5AA4"/>
            </w:tcBorders>
          </w:tcPr>
          <w:p>
            <w:pPr>
              <w:spacing w:after="0"/>
              <w:rPr>
                <w:sz w:val="15"/>
                <w:szCs w:val="15"/>
                <w:color w:val="auto"/>
              </w:rPr>
            </w:pPr>
          </w:p>
        </w:tc>
        <w:tc>
          <w:tcPr>
            <w:tcW w:w="1880" w:type="dxa"/>
            <w:vAlign w:val="bottom"/>
            <w:tcBorders>
              <w:bottom w:val="single" w:sz="8" w:color="3B5AA4"/>
            </w:tcBorders>
            <w:gridSpan w:val="3"/>
          </w:tcPr>
          <w:p>
            <w:pPr>
              <w:jc w:val="right"/>
              <w:ind w:right="513"/>
              <w:spacing w:after="0"/>
              <w:rPr>
                <w:sz w:val="20"/>
                <w:szCs w:val="20"/>
                <w:color w:val="auto"/>
              </w:rPr>
            </w:pPr>
            <w:r>
              <w:rPr>
                <w:rFonts w:ascii="Arial" w:cs="Arial" w:eastAsia="Arial" w:hAnsi="Arial"/>
                <w:sz w:val="12"/>
                <w:szCs w:val="12"/>
                <w:b w:val="1"/>
                <w:bCs w:val="1"/>
                <w:color w:val="065BAA"/>
              </w:rPr>
              <w:t>Stock Awards</w:t>
            </w:r>
          </w:p>
        </w:tc>
        <w:tc>
          <w:tcPr>
            <w:tcW w:w="880" w:type="dxa"/>
            <w:vAlign w:val="bottom"/>
            <w:tcBorders>
              <w:bottom w:val="single" w:sz="8" w:color="3B5AA4"/>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2"/>
                <w:szCs w:val="12"/>
                <w:b w:val="1"/>
                <w:bCs w:val="1"/>
                <w:color w:val="065BAA"/>
              </w:rPr>
              <w:t>Equity</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065BAA"/>
              </w:rPr>
              <w:t>Equity</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33"/>
              <w:spacing w:after="0" w:line="135" w:lineRule="exact"/>
              <w:rPr>
                <w:sz w:val="20"/>
                <w:szCs w:val="20"/>
                <w:color w:val="auto"/>
              </w:rPr>
            </w:pPr>
            <w:r>
              <w:rPr>
                <w:rFonts w:ascii="Arial" w:cs="Arial" w:eastAsia="Arial" w:hAnsi="Arial"/>
                <w:sz w:val="12"/>
                <w:szCs w:val="12"/>
                <w:b w:val="1"/>
                <w:bCs w:val="1"/>
                <w:color w:val="065BAA"/>
              </w:rPr>
              <w:t>incentive</w:t>
            </w: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incentive</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Equity</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33"/>
              <w:spacing w:after="0" w:line="135" w:lineRule="exact"/>
              <w:rPr>
                <w:sz w:val="20"/>
                <w:szCs w:val="20"/>
                <w:color w:val="auto"/>
              </w:rPr>
            </w:pPr>
            <w:r>
              <w:rPr>
                <w:rFonts w:ascii="Arial" w:cs="Arial" w:eastAsia="Arial" w:hAnsi="Arial"/>
                <w:sz w:val="12"/>
                <w:szCs w:val="12"/>
                <w:b w:val="1"/>
                <w:bCs w:val="1"/>
                <w:color w:val="065BAA"/>
              </w:rPr>
              <w:t>plan awards:</w:t>
            </w: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plan awards:</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065BAA"/>
              </w:rPr>
              <w:t>incentive</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33"/>
              <w:spacing w:after="0"/>
              <w:rPr>
                <w:sz w:val="20"/>
                <w:szCs w:val="20"/>
                <w:color w:val="auto"/>
              </w:rPr>
            </w:pPr>
            <w:r>
              <w:rPr>
                <w:rFonts w:ascii="Arial" w:cs="Arial" w:eastAsia="Arial" w:hAnsi="Arial"/>
                <w:sz w:val="12"/>
                <w:szCs w:val="12"/>
                <w:b w:val="1"/>
                <w:bCs w:val="1"/>
                <w:color w:val="065BAA"/>
              </w:rPr>
              <w:t>number of</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065BAA"/>
              </w:rPr>
              <w:t>market or</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plan awards: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89"/>
              <w:spacing w:after="0" w:line="135" w:lineRule="exact"/>
              <w:rPr>
                <w:sz w:val="20"/>
                <w:szCs w:val="20"/>
                <w:color w:val="auto"/>
              </w:rPr>
            </w:pPr>
            <w:r>
              <w:rPr>
                <w:rFonts w:ascii="Arial" w:cs="Arial" w:eastAsia="Arial" w:hAnsi="Arial"/>
                <w:sz w:val="12"/>
                <w:szCs w:val="12"/>
                <w:b w:val="1"/>
                <w:bCs w:val="1"/>
                <w:color w:val="065BAA"/>
              </w:rPr>
              <w:t>Number</w:t>
            </w:r>
          </w:p>
        </w:tc>
        <w:tc>
          <w:tcPr>
            <w:tcW w:w="1000" w:type="dxa"/>
            <w:vAlign w:val="bottom"/>
            <w:gridSpan w:val="2"/>
          </w:tcPr>
          <w:p>
            <w:pPr>
              <w:jc w:val="right"/>
              <w:ind w:right="31"/>
              <w:spacing w:after="0" w:line="135" w:lineRule="exact"/>
              <w:rPr>
                <w:sz w:val="20"/>
                <w:szCs w:val="20"/>
                <w:color w:val="auto"/>
              </w:rPr>
            </w:pPr>
            <w:r>
              <w:rPr>
                <w:rFonts w:ascii="Arial" w:cs="Arial" w:eastAsia="Arial" w:hAnsi="Arial"/>
                <w:sz w:val="12"/>
                <w:szCs w:val="12"/>
                <w:b w:val="1"/>
                <w:bCs w:val="1"/>
                <w:color w:val="065BAA"/>
              </w:rPr>
              <w:t>Market</w:t>
            </w:r>
          </w:p>
        </w:tc>
        <w:tc>
          <w:tcPr>
            <w:tcW w:w="880" w:type="dxa"/>
            <w:vAlign w:val="bottom"/>
          </w:tcPr>
          <w:p>
            <w:pPr>
              <w:jc w:val="right"/>
              <w:ind w:right="33"/>
              <w:spacing w:after="0" w:line="135" w:lineRule="exact"/>
              <w:rPr>
                <w:sz w:val="20"/>
                <w:szCs w:val="20"/>
                <w:color w:val="auto"/>
              </w:rPr>
            </w:pPr>
            <w:r>
              <w:rPr>
                <w:rFonts w:ascii="Arial" w:cs="Arial" w:eastAsia="Arial" w:hAnsi="Arial"/>
                <w:sz w:val="12"/>
                <w:szCs w:val="12"/>
                <w:b w:val="1"/>
                <w:bCs w:val="1"/>
                <w:color w:val="065BAA"/>
              </w:rPr>
              <w:t>unearned</w:t>
            </w: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payout value</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065BAA"/>
              </w:rPr>
              <w:t>Number of</w:t>
            </w:r>
          </w:p>
        </w:tc>
        <w:tc>
          <w:tcPr>
            <w:tcW w:w="960" w:type="dxa"/>
            <w:vAlign w:val="bottom"/>
            <w:gridSpan w:val="2"/>
          </w:tcPr>
          <w:p>
            <w:pPr>
              <w:jc w:val="right"/>
              <w:ind w:right="9"/>
              <w:spacing w:after="0"/>
              <w:rPr>
                <w:sz w:val="20"/>
                <w:szCs w:val="20"/>
                <w:color w:val="auto"/>
              </w:rPr>
            </w:pPr>
            <w:r>
              <w:rPr>
                <w:rFonts w:ascii="Arial" w:cs="Arial" w:eastAsia="Arial" w:hAnsi="Arial"/>
                <w:sz w:val="12"/>
                <w:szCs w:val="12"/>
                <w:b w:val="1"/>
                <w:bCs w:val="1"/>
                <w:color w:val="065BAA"/>
              </w:rPr>
              <w:t>Number of</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065BAA"/>
              </w:rPr>
              <w:t>number of</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89"/>
              <w:spacing w:after="0"/>
              <w:rPr>
                <w:sz w:val="20"/>
                <w:szCs w:val="20"/>
                <w:color w:val="auto"/>
              </w:rPr>
            </w:pPr>
            <w:r>
              <w:rPr>
                <w:rFonts w:ascii="Arial" w:cs="Arial" w:eastAsia="Arial" w:hAnsi="Arial"/>
                <w:sz w:val="12"/>
                <w:szCs w:val="12"/>
                <w:b w:val="1"/>
                <w:bCs w:val="1"/>
                <w:color w:val="065BAA"/>
              </w:rPr>
              <w:t>of shares</w:t>
            </w:r>
          </w:p>
        </w:tc>
        <w:tc>
          <w:tcPr>
            <w:tcW w:w="1000" w:type="dxa"/>
            <w:vAlign w:val="bottom"/>
            <w:gridSpan w:val="2"/>
          </w:tcPr>
          <w:p>
            <w:pPr>
              <w:jc w:val="right"/>
              <w:ind w:right="31"/>
              <w:spacing w:after="0"/>
              <w:rPr>
                <w:sz w:val="20"/>
                <w:szCs w:val="20"/>
                <w:color w:val="auto"/>
              </w:rPr>
            </w:pPr>
            <w:r>
              <w:rPr>
                <w:rFonts w:ascii="Arial" w:cs="Arial" w:eastAsia="Arial" w:hAnsi="Arial"/>
                <w:sz w:val="12"/>
                <w:szCs w:val="12"/>
                <w:b w:val="1"/>
                <w:bCs w:val="1"/>
                <w:color w:val="065BAA"/>
              </w:rPr>
              <w:t>value</w:t>
            </w:r>
          </w:p>
        </w:tc>
        <w:tc>
          <w:tcPr>
            <w:tcW w:w="880" w:type="dxa"/>
            <w:vAlign w:val="bottom"/>
          </w:tcPr>
          <w:p>
            <w:pPr>
              <w:jc w:val="right"/>
              <w:ind w:right="33"/>
              <w:spacing w:after="0"/>
              <w:rPr>
                <w:sz w:val="20"/>
                <w:szCs w:val="20"/>
                <w:color w:val="auto"/>
              </w:rPr>
            </w:pPr>
            <w:r>
              <w:rPr>
                <w:rFonts w:ascii="Arial" w:cs="Arial" w:eastAsia="Arial" w:hAnsi="Arial"/>
                <w:sz w:val="12"/>
                <w:szCs w:val="12"/>
                <w:b w:val="1"/>
                <w:bCs w:val="1"/>
                <w:color w:val="065BAA"/>
              </w:rPr>
              <w:t>shares,</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065BAA"/>
              </w:rPr>
              <w:t>of unearned</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securities</w:t>
            </w:r>
          </w:p>
        </w:tc>
        <w:tc>
          <w:tcPr>
            <w:tcW w:w="960" w:type="dxa"/>
            <w:vAlign w:val="bottom"/>
            <w:gridSpan w:val="2"/>
          </w:tcPr>
          <w:p>
            <w:pPr>
              <w:jc w:val="right"/>
              <w:ind w:right="9"/>
              <w:spacing w:after="0" w:line="135" w:lineRule="exact"/>
              <w:rPr>
                <w:sz w:val="20"/>
                <w:szCs w:val="20"/>
                <w:color w:val="auto"/>
              </w:rPr>
            </w:pPr>
            <w:r>
              <w:rPr>
                <w:rFonts w:ascii="Arial" w:cs="Arial" w:eastAsia="Arial" w:hAnsi="Arial"/>
                <w:sz w:val="12"/>
                <w:szCs w:val="12"/>
                <w:b w:val="1"/>
                <w:bCs w:val="1"/>
                <w:color w:val="065BAA"/>
              </w:rPr>
              <w:t>securities</w:t>
            </w:r>
          </w:p>
        </w:tc>
        <w:tc>
          <w:tcPr>
            <w:tcW w:w="80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89"/>
              <w:spacing w:after="0" w:line="135" w:lineRule="exact"/>
              <w:rPr>
                <w:sz w:val="20"/>
                <w:szCs w:val="20"/>
                <w:color w:val="auto"/>
              </w:rPr>
            </w:pPr>
            <w:r>
              <w:rPr>
                <w:rFonts w:ascii="Arial" w:cs="Arial" w:eastAsia="Arial" w:hAnsi="Arial"/>
                <w:sz w:val="12"/>
                <w:szCs w:val="12"/>
                <w:b w:val="1"/>
                <w:bCs w:val="1"/>
                <w:color w:val="065BAA"/>
              </w:rPr>
              <w:t>or units</w:t>
            </w:r>
          </w:p>
        </w:tc>
        <w:tc>
          <w:tcPr>
            <w:tcW w:w="1000" w:type="dxa"/>
            <w:vAlign w:val="bottom"/>
            <w:gridSpan w:val="2"/>
          </w:tcPr>
          <w:p>
            <w:pPr>
              <w:jc w:val="right"/>
              <w:ind w:right="31"/>
              <w:spacing w:after="0" w:line="135" w:lineRule="exact"/>
              <w:rPr>
                <w:sz w:val="20"/>
                <w:szCs w:val="20"/>
                <w:color w:val="auto"/>
              </w:rPr>
            </w:pPr>
            <w:r>
              <w:rPr>
                <w:rFonts w:ascii="Arial" w:cs="Arial" w:eastAsia="Arial" w:hAnsi="Arial"/>
                <w:sz w:val="12"/>
                <w:szCs w:val="12"/>
                <w:b w:val="1"/>
                <w:bCs w:val="1"/>
                <w:color w:val="065BAA"/>
              </w:rPr>
              <w:t>of shares</w:t>
            </w:r>
          </w:p>
        </w:tc>
        <w:tc>
          <w:tcPr>
            <w:tcW w:w="880" w:type="dxa"/>
            <w:vAlign w:val="bottom"/>
          </w:tcPr>
          <w:p>
            <w:pPr>
              <w:jc w:val="right"/>
              <w:ind w:right="33"/>
              <w:spacing w:after="0" w:line="135" w:lineRule="exact"/>
              <w:rPr>
                <w:sz w:val="20"/>
                <w:szCs w:val="20"/>
                <w:color w:val="auto"/>
              </w:rPr>
            </w:pPr>
            <w:r>
              <w:rPr>
                <w:rFonts w:ascii="Arial" w:cs="Arial" w:eastAsia="Arial" w:hAnsi="Arial"/>
                <w:sz w:val="12"/>
                <w:szCs w:val="12"/>
                <w:b w:val="1"/>
                <w:bCs w:val="1"/>
                <w:color w:val="065BAA"/>
              </w:rPr>
              <w:t>units or</w:t>
            </w: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shares,</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underlying</w:t>
            </w:r>
          </w:p>
        </w:tc>
        <w:tc>
          <w:tcPr>
            <w:tcW w:w="960" w:type="dxa"/>
            <w:vAlign w:val="bottom"/>
            <w:gridSpan w:val="2"/>
          </w:tcPr>
          <w:p>
            <w:pPr>
              <w:jc w:val="right"/>
              <w:ind w:right="9"/>
              <w:spacing w:after="0" w:line="135" w:lineRule="exact"/>
              <w:rPr>
                <w:sz w:val="20"/>
                <w:szCs w:val="20"/>
                <w:color w:val="auto"/>
              </w:rPr>
            </w:pPr>
            <w:r>
              <w:rPr>
                <w:rFonts w:ascii="Arial" w:cs="Arial" w:eastAsia="Arial" w:hAnsi="Arial"/>
                <w:sz w:val="12"/>
                <w:szCs w:val="12"/>
                <w:b w:val="1"/>
                <w:bCs w:val="1"/>
                <w:color w:val="065BAA"/>
              </w:rPr>
              <w:t>underlying</w:t>
            </w:r>
          </w:p>
        </w:tc>
        <w:tc>
          <w:tcPr>
            <w:tcW w:w="80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underlying</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89"/>
              <w:spacing w:after="0" w:line="135" w:lineRule="exact"/>
              <w:rPr>
                <w:sz w:val="20"/>
                <w:szCs w:val="20"/>
                <w:color w:val="auto"/>
              </w:rPr>
            </w:pPr>
            <w:r>
              <w:rPr>
                <w:rFonts w:ascii="Arial" w:cs="Arial" w:eastAsia="Arial" w:hAnsi="Arial"/>
                <w:sz w:val="12"/>
                <w:szCs w:val="12"/>
                <w:b w:val="1"/>
                <w:bCs w:val="1"/>
                <w:color w:val="065BAA"/>
              </w:rPr>
              <w:t>of stock</w:t>
            </w:r>
          </w:p>
        </w:tc>
        <w:tc>
          <w:tcPr>
            <w:tcW w:w="1000" w:type="dxa"/>
            <w:vAlign w:val="bottom"/>
            <w:gridSpan w:val="2"/>
          </w:tcPr>
          <w:p>
            <w:pPr>
              <w:jc w:val="right"/>
              <w:ind w:right="31"/>
              <w:spacing w:after="0" w:line="135" w:lineRule="exact"/>
              <w:rPr>
                <w:sz w:val="20"/>
                <w:szCs w:val="20"/>
                <w:color w:val="auto"/>
              </w:rPr>
            </w:pPr>
            <w:r>
              <w:rPr>
                <w:rFonts w:ascii="Arial" w:cs="Arial" w:eastAsia="Arial" w:hAnsi="Arial"/>
                <w:sz w:val="12"/>
                <w:szCs w:val="12"/>
                <w:b w:val="1"/>
                <w:bCs w:val="1"/>
                <w:color w:val="065BAA"/>
              </w:rPr>
              <w:t>or units</w:t>
            </w:r>
          </w:p>
        </w:tc>
        <w:tc>
          <w:tcPr>
            <w:tcW w:w="880" w:type="dxa"/>
            <w:vAlign w:val="bottom"/>
          </w:tcPr>
          <w:p>
            <w:pPr>
              <w:jc w:val="right"/>
              <w:ind w:right="33"/>
              <w:spacing w:after="0" w:line="135" w:lineRule="exact"/>
              <w:rPr>
                <w:sz w:val="20"/>
                <w:szCs w:val="20"/>
                <w:color w:val="auto"/>
              </w:rPr>
            </w:pPr>
            <w:r>
              <w:rPr>
                <w:rFonts w:ascii="Arial" w:cs="Arial" w:eastAsia="Arial" w:hAnsi="Arial"/>
                <w:sz w:val="12"/>
                <w:szCs w:val="12"/>
                <w:b w:val="1"/>
                <w:bCs w:val="1"/>
                <w:color w:val="065BAA"/>
              </w:rPr>
              <w:t>other</w:t>
            </w: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units or</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065BAA"/>
              </w:rPr>
              <w:t>unexercised</w:t>
            </w:r>
          </w:p>
        </w:tc>
        <w:tc>
          <w:tcPr>
            <w:tcW w:w="960" w:type="dxa"/>
            <w:vAlign w:val="bottom"/>
            <w:gridSpan w:val="2"/>
          </w:tcPr>
          <w:p>
            <w:pPr>
              <w:jc w:val="right"/>
              <w:ind w:right="9"/>
              <w:spacing w:after="0"/>
              <w:rPr>
                <w:sz w:val="20"/>
                <w:szCs w:val="20"/>
                <w:color w:val="auto"/>
              </w:rPr>
            </w:pPr>
            <w:r>
              <w:rPr>
                <w:rFonts w:ascii="Arial" w:cs="Arial" w:eastAsia="Arial" w:hAnsi="Arial"/>
                <w:sz w:val="12"/>
                <w:szCs w:val="12"/>
                <w:b w:val="1"/>
                <w:bCs w:val="1"/>
                <w:color w:val="065BAA"/>
              </w:rPr>
              <w:t>unexercised</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065BAA"/>
              </w:rPr>
              <w:t>unexercised</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065BAA"/>
              </w:rPr>
              <w:t>Option</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89"/>
              <w:spacing w:after="0"/>
              <w:rPr>
                <w:sz w:val="20"/>
                <w:szCs w:val="20"/>
                <w:color w:val="auto"/>
              </w:rPr>
            </w:pPr>
            <w:r>
              <w:rPr>
                <w:rFonts w:ascii="Arial" w:cs="Arial" w:eastAsia="Arial" w:hAnsi="Arial"/>
                <w:sz w:val="12"/>
                <w:szCs w:val="12"/>
                <w:b w:val="1"/>
                <w:bCs w:val="1"/>
                <w:color w:val="065BAA"/>
              </w:rPr>
              <w:t>that have</w:t>
            </w:r>
          </w:p>
        </w:tc>
        <w:tc>
          <w:tcPr>
            <w:tcW w:w="1000" w:type="dxa"/>
            <w:vAlign w:val="bottom"/>
            <w:gridSpan w:val="2"/>
          </w:tcPr>
          <w:p>
            <w:pPr>
              <w:jc w:val="right"/>
              <w:ind w:right="31"/>
              <w:spacing w:after="0"/>
              <w:rPr>
                <w:sz w:val="20"/>
                <w:szCs w:val="20"/>
                <w:color w:val="auto"/>
              </w:rPr>
            </w:pPr>
            <w:r>
              <w:rPr>
                <w:rFonts w:ascii="Arial" w:cs="Arial" w:eastAsia="Arial" w:hAnsi="Arial"/>
                <w:sz w:val="12"/>
                <w:szCs w:val="12"/>
                <w:b w:val="1"/>
                <w:bCs w:val="1"/>
                <w:color w:val="065BAA"/>
              </w:rPr>
              <w:t>of stock</w:t>
            </w:r>
          </w:p>
        </w:tc>
        <w:tc>
          <w:tcPr>
            <w:tcW w:w="880" w:type="dxa"/>
            <w:vAlign w:val="bottom"/>
          </w:tcPr>
          <w:p>
            <w:pPr>
              <w:jc w:val="right"/>
              <w:ind w:right="33"/>
              <w:spacing w:after="0"/>
              <w:rPr>
                <w:sz w:val="20"/>
                <w:szCs w:val="20"/>
                <w:color w:val="auto"/>
              </w:rPr>
            </w:pPr>
            <w:r>
              <w:rPr>
                <w:rFonts w:ascii="Arial" w:cs="Arial" w:eastAsia="Arial" w:hAnsi="Arial"/>
                <w:sz w:val="12"/>
                <w:szCs w:val="12"/>
                <w:b w:val="1"/>
                <w:bCs w:val="1"/>
                <w:color w:val="065BAA"/>
              </w:rPr>
              <w:t>rights that</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065BAA"/>
              </w:rPr>
              <w:t>other rights</w:t>
            </w: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options</w:t>
            </w:r>
          </w:p>
        </w:tc>
        <w:tc>
          <w:tcPr>
            <w:tcW w:w="960" w:type="dxa"/>
            <w:vAlign w:val="bottom"/>
            <w:gridSpan w:val="2"/>
          </w:tcPr>
          <w:p>
            <w:pPr>
              <w:jc w:val="right"/>
              <w:ind w:right="9"/>
              <w:spacing w:after="0" w:line="135" w:lineRule="exact"/>
              <w:rPr>
                <w:sz w:val="20"/>
                <w:szCs w:val="20"/>
                <w:color w:val="auto"/>
              </w:rPr>
            </w:pPr>
            <w:r>
              <w:rPr>
                <w:rFonts w:ascii="Arial" w:cs="Arial" w:eastAsia="Arial" w:hAnsi="Arial"/>
                <w:sz w:val="12"/>
                <w:szCs w:val="12"/>
                <w:b w:val="1"/>
                <w:bCs w:val="1"/>
                <w:color w:val="065BAA"/>
              </w:rPr>
              <w:t>options</w:t>
            </w:r>
          </w:p>
        </w:tc>
        <w:tc>
          <w:tcPr>
            <w:tcW w:w="80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unearned</w:t>
            </w:r>
          </w:p>
        </w:tc>
        <w:tc>
          <w:tcPr>
            <w:tcW w:w="5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exercise</w:t>
            </w: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2"/>
                <w:szCs w:val="12"/>
                <w:b w:val="1"/>
                <w:bCs w:val="1"/>
                <w:color w:val="065BAA"/>
              </w:rPr>
              <w:t>Option</w:t>
            </w:r>
          </w:p>
        </w:tc>
        <w:tc>
          <w:tcPr>
            <w:tcW w:w="600" w:type="dxa"/>
            <w:vAlign w:val="bottom"/>
          </w:tcPr>
          <w:p>
            <w:pPr>
              <w:spacing w:after="0"/>
              <w:rPr>
                <w:sz w:val="11"/>
                <w:szCs w:val="11"/>
                <w:color w:val="auto"/>
              </w:rPr>
            </w:pPr>
          </w:p>
        </w:tc>
        <w:tc>
          <w:tcPr>
            <w:tcW w:w="340" w:type="dxa"/>
            <w:vAlign w:val="bottom"/>
          </w:tcPr>
          <w:p>
            <w:pPr>
              <w:jc w:val="right"/>
              <w:ind w:right="89"/>
              <w:spacing w:after="0" w:line="135" w:lineRule="exact"/>
              <w:rPr>
                <w:sz w:val="20"/>
                <w:szCs w:val="20"/>
                <w:color w:val="auto"/>
              </w:rPr>
            </w:pPr>
            <w:r>
              <w:rPr>
                <w:rFonts w:ascii="Arial" w:cs="Arial" w:eastAsia="Arial" w:hAnsi="Arial"/>
                <w:sz w:val="12"/>
                <w:szCs w:val="12"/>
                <w:b w:val="1"/>
                <w:bCs w:val="1"/>
                <w:color w:val="065BAA"/>
                <w:w w:val="96"/>
              </w:rPr>
              <w:t>not</w:t>
            </w:r>
          </w:p>
        </w:tc>
        <w:tc>
          <w:tcPr>
            <w:tcW w:w="1000" w:type="dxa"/>
            <w:vAlign w:val="bottom"/>
            <w:gridSpan w:val="2"/>
          </w:tcPr>
          <w:p>
            <w:pPr>
              <w:jc w:val="right"/>
              <w:ind w:right="31"/>
              <w:spacing w:after="0" w:line="135" w:lineRule="exact"/>
              <w:rPr>
                <w:sz w:val="20"/>
                <w:szCs w:val="20"/>
                <w:color w:val="auto"/>
              </w:rPr>
            </w:pPr>
            <w:r>
              <w:rPr>
                <w:rFonts w:ascii="Arial" w:cs="Arial" w:eastAsia="Arial" w:hAnsi="Arial"/>
                <w:sz w:val="12"/>
                <w:szCs w:val="12"/>
                <w:b w:val="1"/>
                <w:bCs w:val="1"/>
                <w:color w:val="065BAA"/>
              </w:rPr>
              <w:t>that have</w:t>
            </w:r>
          </w:p>
        </w:tc>
        <w:tc>
          <w:tcPr>
            <w:tcW w:w="880" w:type="dxa"/>
            <w:vAlign w:val="bottom"/>
          </w:tcPr>
          <w:p>
            <w:pPr>
              <w:jc w:val="right"/>
              <w:ind w:right="33"/>
              <w:spacing w:after="0" w:line="135" w:lineRule="exact"/>
              <w:rPr>
                <w:sz w:val="20"/>
                <w:szCs w:val="20"/>
                <w:color w:val="auto"/>
              </w:rPr>
            </w:pPr>
            <w:r>
              <w:rPr>
                <w:rFonts w:ascii="Arial" w:cs="Arial" w:eastAsia="Arial" w:hAnsi="Arial"/>
                <w:sz w:val="12"/>
                <w:szCs w:val="12"/>
                <w:b w:val="1"/>
                <w:bCs w:val="1"/>
                <w:color w:val="065BAA"/>
              </w:rPr>
              <w:t>have not</w:t>
            </w: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that have</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065BAA"/>
              </w:rPr>
              <w:t>exercisable</w:t>
            </w:r>
          </w:p>
        </w:tc>
        <w:tc>
          <w:tcPr>
            <w:tcW w:w="960" w:type="dxa"/>
            <w:vAlign w:val="bottom"/>
            <w:gridSpan w:val="2"/>
          </w:tcPr>
          <w:p>
            <w:pPr>
              <w:jc w:val="right"/>
              <w:ind w:right="9"/>
              <w:spacing w:after="0"/>
              <w:rPr>
                <w:sz w:val="20"/>
                <w:szCs w:val="20"/>
                <w:color w:val="auto"/>
              </w:rPr>
            </w:pPr>
            <w:r>
              <w:rPr>
                <w:rFonts w:ascii="Arial" w:cs="Arial" w:eastAsia="Arial" w:hAnsi="Arial"/>
                <w:sz w:val="12"/>
                <w:szCs w:val="12"/>
                <w:b w:val="1"/>
                <w:bCs w:val="1"/>
                <w:color w:val="065BAA"/>
              </w:rPr>
              <w:t>unexercisable</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065BAA"/>
              </w:rPr>
              <w:t>options</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065BAA"/>
              </w:rPr>
              <w:t>price</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065BAA"/>
              </w:rPr>
              <w:t>expiration</w:t>
            </w:r>
          </w:p>
        </w:tc>
        <w:tc>
          <w:tcPr>
            <w:tcW w:w="940" w:type="dxa"/>
            <w:vAlign w:val="bottom"/>
            <w:gridSpan w:val="2"/>
          </w:tcPr>
          <w:p>
            <w:pPr>
              <w:jc w:val="right"/>
              <w:ind w:right="89"/>
              <w:spacing w:after="0"/>
              <w:rPr>
                <w:sz w:val="20"/>
                <w:szCs w:val="20"/>
                <w:color w:val="auto"/>
              </w:rPr>
            </w:pPr>
            <w:r>
              <w:rPr>
                <w:rFonts w:ascii="Arial" w:cs="Arial" w:eastAsia="Arial" w:hAnsi="Arial"/>
                <w:sz w:val="12"/>
                <w:szCs w:val="12"/>
                <w:b w:val="1"/>
                <w:bCs w:val="1"/>
                <w:color w:val="065BAA"/>
              </w:rPr>
              <w:t>vested</w:t>
            </w:r>
          </w:p>
        </w:tc>
        <w:tc>
          <w:tcPr>
            <w:tcW w:w="1000" w:type="dxa"/>
            <w:vAlign w:val="bottom"/>
            <w:gridSpan w:val="2"/>
          </w:tcPr>
          <w:p>
            <w:pPr>
              <w:jc w:val="right"/>
              <w:ind w:right="31"/>
              <w:spacing w:after="0"/>
              <w:rPr>
                <w:sz w:val="20"/>
                <w:szCs w:val="20"/>
                <w:color w:val="auto"/>
              </w:rPr>
            </w:pPr>
            <w:r>
              <w:rPr>
                <w:rFonts w:ascii="Arial" w:cs="Arial" w:eastAsia="Arial" w:hAnsi="Arial"/>
                <w:sz w:val="12"/>
                <w:szCs w:val="12"/>
                <w:b w:val="1"/>
                <w:bCs w:val="1"/>
                <w:color w:val="065BAA"/>
              </w:rPr>
              <w:t>not vested</w:t>
            </w:r>
          </w:p>
        </w:tc>
        <w:tc>
          <w:tcPr>
            <w:tcW w:w="880" w:type="dxa"/>
            <w:vAlign w:val="bottom"/>
          </w:tcPr>
          <w:p>
            <w:pPr>
              <w:jc w:val="right"/>
              <w:ind w:right="33"/>
              <w:spacing w:after="0"/>
              <w:rPr>
                <w:sz w:val="20"/>
                <w:szCs w:val="20"/>
                <w:color w:val="auto"/>
              </w:rPr>
            </w:pPr>
            <w:r>
              <w:rPr>
                <w:rFonts w:ascii="Arial" w:cs="Arial" w:eastAsia="Arial" w:hAnsi="Arial"/>
                <w:sz w:val="12"/>
                <w:szCs w:val="12"/>
                <w:b w:val="1"/>
                <w:bCs w:val="1"/>
                <w:color w:val="065BAA"/>
              </w:rPr>
              <w:t>vested</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065BAA"/>
              </w:rPr>
              <w:t>not vested</w:t>
            </w:r>
          </w:p>
        </w:tc>
        <w:tc>
          <w:tcPr>
            <w:tcW w:w="0" w:type="dxa"/>
            <w:vAlign w:val="bottom"/>
          </w:tcPr>
          <w:p>
            <w:pPr>
              <w:spacing w:after="0"/>
              <w:rPr>
                <w:sz w:val="1"/>
                <w:szCs w:val="1"/>
                <w:color w:val="auto"/>
              </w:rPr>
            </w:pPr>
          </w:p>
        </w:tc>
      </w:tr>
      <w:tr>
        <w:trPr>
          <w:trHeight w:val="158"/>
        </w:trPr>
        <w:tc>
          <w:tcPr>
            <w:tcW w:w="1000" w:type="dxa"/>
            <w:vAlign w:val="bottom"/>
            <w:tcBorders>
              <w:bottom w:val="single" w:sz="8" w:color="3B5AA4"/>
            </w:tcBorders>
          </w:tcPr>
          <w:p>
            <w:pPr>
              <w:ind w:left="80"/>
              <w:spacing w:after="0"/>
              <w:rPr>
                <w:sz w:val="20"/>
                <w:szCs w:val="20"/>
                <w:color w:val="auto"/>
              </w:rPr>
            </w:pPr>
            <w:r>
              <w:rPr>
                <w:rFonts w:ascii="Arial" w:cs="Arial" w:eastAsia="Arial" w:hAnsi="Arial"/>
                <w:sz w:val="12"/>
                <w:szCs w:val="12"/>
                <w:b w:val="1"/>
                <w:bCs w:val="1"/>
                <w:color w:val="065BAA"/>
              </w:rPr>
              <w:t>Name</w:t>
            </w:r>
          </w:p>
        </w:tc>
        <w:tc>
          <w:tcPr>
            <w:tcW w:w="840" w:type="dxa"/>
            <w:vAlign w:val="bottom"/>
            <w:tcBorders>
              <w:bottom w:val="single" w:sz="8" w:color="3B5AA4"/>
            </w:tcBorders>
          </w:tcPr>
          <w:p>
            <w:pPr>
              <w:jc w:val="right"/>
              <w:spacing w:after="0"/>
              <w:rPr>
                <w:sz w:val="20"/>
                <w:szCs w:val="20"/>
                <w:color w:val="auto"/>
              </w:rPr>
            </w:pPr>
            <w:r>
              <w:rPr>
                <w:rFonts w:ascii="Arial" w:cs="Arial" w:eastAsia="Arial" w:hAnsi="Arial"/>
                <w:sz w:val="12"/>
                <w:szCs w:val="12"/>
                <w:b w:val="1"/>
                <w:bCs w:val="1"/>
                <w:color w:val="065BAA"/>
              </w:rPr>
              <w:t>(#)</w:t>
            </w:r>
          </w:p>
        </w:tc>
        <w:tc>
          <w:tcPr>
            <w:tcW w:w="740" w:type="dxa"/>
            <w:vAlign w:val="bottom"/>
            <w:tcBorders>
              <w:bottom w:val="single" w:sz="8" w:color="3B5AA4"/>
            </w:tcBorders>
          </w:tcPr>
          <w:p>
            <w:pPr>
              <w:spacing w:after="0"/>
              <w:rPr>
                <w:sz w:val="13"/>
                <w:szCs w:val="13"/>
                <w:color w:val="auto"/>
              </w:rPr>
            </w:pPr>
          </w:p>
        </w:tc>
        <w:tc>
          <w:tcPr>
            <w:tcW w:w="220" w:type="dxa"/>
            <w:vAlign w:val="bottom"/>
            <w:tcBorders>
              <w:bottom w:val="single" w:sz="8" w:color="3B5AA4"/>
            </w:tcBorders>
          </w:tcPr>
          <w:p>
            <w:pPr>
              <w:jc w:val="right"/>
              <w:ind w:right="9"/>
              <w:spacing w:after="0"/>
              <w:rPr>
                <w:sz w:val="20"/>
                <w:szCs w:val="20"/>
                <w:color w:val="auto"/>
              </w:rPr>
            </w:pPr>
            <w:r>
              <w:rPr>
                <w:rFonts w:ascii="Arial" w:cs="Arial" w:eastAsia="Arial" w:hAnsi="Arial"/>
                <w:sz w:val="12"/>
                <w:szCs w:val="12"/>
                <w:b w:val="1"/>
                <w:bCs w:val="1"/>
                <w:color w:val="065BAA"/>
                <w:w w:val="95"/>
              </w:rPr>
              <w:t>(#)</w:t>
            </w:r>
          </w:p>
        </w:tc>
        <w:tc>
          <w:tcPr>
            <w:tcW w:w="800" w:type="dxa"/>
            <w:vAlign w:val="bottom"/>
            <w:tcBorders>
              <w:bottom w:val="single" w:sz="8" w:color="3B5AA4"/>
            </w:tcBorders>
          </w:tcPr>
          <w:p>
            <w:pPr>
              <w:jc w:val="right"/>
              <w:spacing w:after="0"/>
              <w:rPr>
                <w:sz w:val="20"/>
                <w:szCs w:val="20"/>
                <w:color w:val="auto"/>
              </w:rPr>
            </w:pPr>
            <w:r>
              <w:rPr>
                <w:rFonts w:ascii="Arial" w:cs="Arial" w:eastAsia="Arial" w:hAnsi="Arial"/>
                <w:sz w:val="12"/>
                <w:szCs w:val="12"/>
                <w:b w:val="1"/>
                <w:bCs w:val="1"/>
                <w:color w:val="065BAA"/>
              </w:rPr>
              <w:t>(#)</w:t>
            </w:r>
          </w:p>
        </w:tc>
        <w:tc>
          <w:tcPr>
            <w:tcW w:w="580" w:type="dxa"/>
            <w:vAlign w:val="bottom"/>
            <w:tcBorders>
              <w:bottom w:val="single" w:sz="8" w:color="3B5AA4"/>
            </w:tcBorders>
          </w:tcPr>
          <w:p>
            <w:pPr>
              <w:jc w:val="right"/>
              <w:spacing w:after="0"/>
              <w:rPr>
                <w:sz w:val="20"/>
                <w:szCs w:val="20"/>
                <w:color w:val="auto"/>
              </w:rPr>
            </w:pPr>
            <w:r>
              <w:rPr>
                <w:rFonts w:ascii="Arial" w:cs="Arial" w:eastAsia="Arial" w:hAnsi="Arial"/>
                <w:sz w:val="12"/>
                <w:szCs w:val="12"/>
                <w:b w:val="1"/>
                <w:bCs w:val="1"/>
                <w:color w:val="065BAA"/>
              </w:rPr>
              <w:t>($)</w:t>
            </w:r>
          </w:p>
        </w:tc>
        <w:tc>
          <w:tcPr>
            <w:tcW w:w="880" w:type="dxa"/>
            <w:vAlign w:val="bottom"/>
            <w:tcBorders>
              <w:bottom w:val="single" w:sz="8" w:color="3B5AA4"/>
            </w:tcBorders>
            <w:gridSpan w:val="2"/>
          </w:tcPr>
          <w:p>
            <w:pPr>
              <w:jc w:val="center"/>
              <w:ind w:left="370"/>
              <w:spacing w:after="0"/>
              <w:rPr>
                <w:sz w:val="20"/>
                <w:szCs w:val="20"/>
                <w:color w:val="auto"/>
              </w:rPr>
            </w:pPr>
            <w:r>
              <w:rPr>
                <w:rFonts w:ascii="Arial" w:cs="Arial" w:eastAsia="Arial" w:hAnsi="Arial"/>
                <w:sz w:val="12"/>
                <w:szCs w:val="12"/>
                <w:b w:val="1"/>
                <w:bCs w:val="1"/>
                <w:color w:val="065BAA"/>
                <w:w w:val="97"/>
              </w:rPr>
              <w:t>date</w:t>
            </w:r>
          </w:p>
        </w:tc>
        <w:tc>
          <w:tcPr>
            <w:tcW w:w="600" w:type="dxa"/>
            <w:vAlign w:val="bottom"/>
            <w:tcBorders>
              <w:bottom w:val="single" w:sz="8" w:color="3B5AA4"/>
            </w:tcBorders>
          </w:tcPr>
          <w:p>
            <w:pPr>
              <w:spacing w:after="0"/>
              <w:rPr>
                <w:sz w:val="13"/>
                <w:szCs w:val="13"/>
                <w:color w:val="auto"/>
              </w:rPr>
            </w:pPr>
          </w:p>
        </w:tc>
        <w:tc>
          <w:tcPr>
            <w:tcW w:w="340" w:type="dxa"/>
            <w:vAlign w:val="bottom"/>
            <w:tcBorders>
              <w:bottom w:val="single" w:sz="8" w:color="3B5AA4"/>
            </w:tcBorders>
          </w:tcPr>
          <w:p>
            <w:pPr>
              <w:jc w:val="right"/>
              <w:ind w:right="89"/>
              <w:spacing w:after="0"/>
              <w:rPr>
                <w:sz w:val="20"/>
                <w:szCs w:val="20"/>
                <w:color w:val="auto"/>
              </w:rPr>
            </w:pPr>
            <w:r>
              <w:rPr>
                <w:rFonts w:ascii="Arial" w:cs="Arial" w:eastAsia="Arial" w:hAnsi="Arial"/>
                <w:sz w:val="12"/>
                <w:szCs w:val="12"/>
                <w:b w:val="1"/>
                <w:bCs w:val="1"/>
                <w:color w:val="065BAA"/>
              </w:rPr>
              <w:t>(#)</w:t>
            </w:r>
          </w:p>
        </w:tc>
        <w:tc>
          <w:tcPr>
            <w:tcW w:w="780" w:type="dxa"/>
            <w:vAlign w:val="bottom"/>
            <w:tcBorders>
              <w:bottom w:val="single" w:sz="8" w:color="3B5AA4"/>
            </w:tcBorders>
          </w:tcPr>
          <w:p>
            <w:pPr>
              <w:spacing w:after="0"/>
              <w:rPr>
                <w:sz w:val="13"/>
                <w:szCs w:val="13"/>
                <w:color w:val="auto"/>
              </w:rPr>
            </w:pPr>
          </w:p>
        </w:tc>
        <w:tc>
          <w:tcPr>
            <w:tcW w:w="220" w:type="dxa"/>
            <w:vAlign w:val="bottom"/>
            <w:tcBorders>
              <w:bottom w:val="single" w:sz="8" w:color="3B5AA4"/>
            </w:tcBorders>
          </w:tcPr>
          <w:p>
            <w:pPr>
              <w:jc w:val="right"/>
              <w:ind w:right="31"/>
              <w:spacing w:after="0"/>
              <w:rPr>
                <w:sz w:val="20"/>
                <w:szCs w:val="20"/>
                <w:color w:val="auto"/>
              </w:rPr>
            </w:pPr>
            <w:r>
              <w:rPr>
                <w:rFonts w:ascii="Arial" w:cs="Arial" w:eastAsia="Arial" w:hAnsi="Arial"/>
                <w:sz w:val="12"/>
                <w:szCs w:val="12"/>
                <w:b w:val="1"/>
                <w:bCs w:val="1"/>
                <w:color w:val="065BAA"/>
                <w:w w:val="81"/>
              </w:rPr>
              <w:t>($)</w:t>
            </w:r>
          </w:p>
        </w:tc>
        <w:tc>
          <w:tcPr>
            <w:tcW w:w="880" w:type="dxa"/>
            <w:vAlign w:val="bottom"/>
            <w:tcBorders>
              <w:bottom w:val="single" w:sz="8" w:color="3B5AA4"/>
            </w:tcBorders>
          </w:tcPr>
          <w:p>
            <w:pPr>
              <w:jc w:val="right"/>
              <w:ind w:right="33"/>
              <w:spacing w:after="0"/>
              <w:rPr>
                <w:sz w:val="20"/>
                <w:szCs w:val="20"/>
                <w:color w:val="auto"/>
              </w:rPr>
            </w:pPr>
            <w:r>
              <w:rPr>
                <w:rFonts w:ascii="Arial" w:cs="Arial" w:eastAsia="Arial" w:hAnsi="Arial"/>
                <w:sz w:val="12"/>
                <w:szCs w:val="12"/>
                <w:b w:val="1"/>
                <w:bCs w:val="1"/>
                <w:color w:val="065BAA"/>
              </w:rPr>
              <w:t>(#)</w:t>
            </w:r>
          </w:p>
        </w:tc>
        <w:tc>
          <w:tcPr>
            <w:tcW w:w="880" w:type="dxa"/>
            <w:vAlign w:val="bottom"/>
            <w:tcBorders>
              <w:bottom w:val="single" w:sz="8" w:color="3B5AA4"/>
            </w:tcBorders>
          </w:tcPr>
          <w:p>
            <w:pPr>
              <w:jc w:val="right"/>
              <w:spacing w:after="0"/>
              <w:rPr>
                <w:sz w:val="20"/>
                <w:szCs w:val="20"/>
                <w:color w:val="auto"/>
              </w:rPr>
            </w:pPr>
            <w:r>
              <w:rPr>
                <w:rFonts w:ascii="Arial" w:cs="Arial" w:eastAsia="Arial" w:hAnsi="Arial"/>
                <w:sz w:val="12"/>
                <w:szCs w:val="12"/>
                <w:b w:val="1"/>
                <w:bCs w:val="1"/>
                <w:color w:val="065BAA"/>
              </w:rPr>
              <w:t>($)</w:t>
            </w:r>
          </w:p>
        </w:tc>
        <w:tc>
          <w:tcPr>
            <w:tcW w:w="0" w:type="dxa"/>
            <w:vAlign w:val="bottom"/>
          </w:tcPr>
          <w:p>
            <w:pPr>
              <w:spacing w:after="0"/>
              <w:rPr>
                <w:sz w:val="1"/>
                <w:szCs w:val="1"/>
                <w:color w:val="auto"/>
              </w:rPr>
            </w:pPr>
          </w:p>
        </w:tc>
      </w:tr>
      <w:tr>
        <w:trPr>
          <w:trHeight w:val="142"/>
        </w:trPr>
        <w:tc>
          <w:tcPr>
            <w:tcW w:w="1000" w:type="dxa"/>
            <w:vAlign w:val="bottom"/>
          </w:tcPr>
          <w:p>
            <w:pPr>
              <w:ind w:left="80"/>
              <w:spacing w:after="0" w:line="142" w:lineRule="exact"/>
              <w:rPr>
                <w:sz w:val="20"/>
                <w:szCs w:val="20"/>
                <w:color w:val="auto"/>
              </w:rPr>
            </w:pPr>
            <w:r>
              <w:rPr>
                <w:rFonts w:ascii="Arial" w:cs="Arial" w:eastAsia="Arial" w:hAnsi="Arial"/>
                <w:sz w:val="13"/>
                <w:szCs w:val="13"/>
                <w:b w:val="1"/>
                <w:bCs w:val="1"/>
                <w:color w:val="auto"/>
              </w:rPr>
              <w:t>Leonard S.</w:t>
            </w: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81,278</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372.46</w:t>
            </w: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12/11/2029</w:t>
            </w:r>
          </w:p>
        </w:tc>
        <w:tc>
          <w:tcPr>
            <w:tcW w:w="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ind w:right="53"/>
              <w:spacing w:after="0" w:line="142"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1000" w:type="dxa"/>
            <w:vAlign w:val="bottom"/>
          </w:tcPr>
          <w:p>
            <w:pPr>
              <w:ind w:left="80"/>
              <w:spacing w:after="0"/>
              <w:rPr>
                <w:sz w:val="20"/>
                <w:szCs w:val="20"/>
                <w:color w:val="auto"/>
              </w:rPr>
            </w:pPr>
            <w:r>
              <w:rPr>
                <w:rFonts w:ascii="Arial" w:cs="Arial" w:eastAsia="Arial" w:hAnsi="Arial"/>
                <w:sz w:val="13"/>
                <w:szCs w:val="13"/>
                <w:b w:val="1"/>
                <w:bCs w:val="1"/>
                <w:color w:val="auto"/>
                <w:w w:val="96"/>
              </w:rPr>
              <w:t>Schleifer, M.D.,</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129,013</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381.40</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12/12/2028</w:t>
            </w:r>
          </w:p>
        </w:tc>
        <w:tc>
          <w:tcPr>
            <w:tcW w:w="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4"/>
        </w:trPr>
        <w:tc>
          <w:tcPr>
            <w:tcW w:w="10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Ph.D.</w:t>
            </w:r>
          </w:p>
        </w:tc>
        <w:tc>
          <w:tcPr>
            <w:tcW w:w="8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000" w:type="dxa"/>
            <w:vAlign w:val="bottom"/>
            <w:vMerge w:val="continue"/>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139,474</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5"/>
                <w:szCs w:val="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378.98</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12/12/2027</w:t>
            </w:r>
          </w:p>
        </w:tc>
        <w:tc>
          <w:tcPr>
            <w:tcW w:w="60" w:type="dxa"/>
            <w:vAlign w:val="bottom"/>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5"/>
                <w:szCs w:val="5"/>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146,815</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381.92</w:t>
            </w:r>
          </w:p>
        </w:tc>
        <w:tc>
          <w:tcPr>
            <w:tcW w:w="820" w:type="dxa"/>
            <w:vAlign w:val="bottom"/>
          </w:tcPr>
          <w:p>
            <w:pPr>
              <w:jc w:val="right"/>
              <w:spacing w:after="0"/>
              <w:rPr>
                <w:sz w:val="20"/>
                <w:szCs w:val="20"/>
                <w:color w:val="auto"/>
              </w:rPr>
            </w:pPr>
            <w:r>
              <w:rPr>
                <w:rFonts w:ascii="Arial" w:cs="Arial" w:eastAsia="Arial" w:hAnsi="Arial"/>
                <w:sz w:val="14"/>
                <w:szCs w:val="14"/>
                <w:color w:val="auto"/>
              </w:rPr>
              <w:t>12/16/2026</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00" w:type="dxa"/>
            <w:vAlign w:val="bottom"/>
          </w:tcPr>
          <w:p>
            <w:pPr>
              <w:ind w:left="560"/>
              <w:spacing w:after="0"/>
              <w:rPr>
                <w:sz w:val="20"/>
                <w:szCs w:val="20"/>
                <w:color w:val="auto"/>
              </w:rPr>
            </w:pPr>
            <w:r>
              <w:rPr>
                <w:rFonts w:ascii="Arial" w:cs="Arial" w:eastAsia="Arial" w:hAnsi="Arial"/>
                <w:sz w:val="13"/>
                <w:szCs w:val="13"/>
                <w:b w:val="1"/>
                <w:bCs w:val="1"/>
                <w:color w:val="auto"/>
                <w:w w:val="96"/>
              </w:rPr>
              <w:t>TOTAL</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496,580</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1000" w:type="dxa"/>
            <w:vAlign w:val="bottom"/>
            <w:shd w:val="clear" w:color="auto" w:fill="DAEBF8"/>
          </w:tcPr>
          <w:p>
            <w:pPr>
              <w:ind w:left="80"/>
              <w:spacing w:after="0"/>
              <w:rPr>
                <w:sz w:val="20"/>
                <w:szCs w:val="20"/>
                <w:color w:val="auto"/>
              </w:rPr>
            </w:pPr>
            <w:r>
              <w:rPr>
                <w:rFonts w:ascii="Arial" w:cs="Arial" w:eastAsia="Arial" w:hAnsi="Arial"/>
                <w:sz w:val="13"/>
                <w:szCs w:val="13"/>
                <w:b w:val="1"/>
                <w:bCs w:val="1"/>
                <w:color w:val="auto"/>
              </w:rPr>
              <w:t>George D.</w:t>
            </w: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81,278</w:t>
            </w:r>
          </w:p>
        </w:tc>
        <w:tc>
          <w:tcPr>
            <w:tcW w:w="7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AEBF8"/>
          </w:tcPr>
          <w:p>
            <w:pPr>
              <w:spacing w:after="0"/>
              <w:rPr>
                <w:sz w:val="14"/>
                <w:szCs w:val="14"/>
                <w:color w:val="auto"/>
              </w:rPr>
            </w:pP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372.46</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12/11/2029</w:t>
            </w:r>
          </w:p>
        </w:tc>
        <w:tc>
          <w:tcPr>
            <w:tcW w:w="60" w:type="dxa"/>
            <w:vAlign w:val="bottom"/>
            <w:shd w:val="clear" w:color="auto" w:fill="DAEBF8"/>
          </w:tcPr>
          <w:p>
            <w:pPr>
              <w:spacing w:after="0"/>
              <w:rPr>
                <w:sz w:val="14"/>
                <w:szCs w:val="14"/>
                <w:color w:val="auto"/>
              </w:rPr>
            </w:pPr>
          </w:p>
        </w:tc>
        <w:tc>
          <w:tcPr>
            <w:tcW w:w="6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AEBF8"/>
          </w:tcPr>
          <w:p>
            <w:pPr>
              <w:spacing w:after="0"/>
              <w:rPr>
                <w:sz w:val="14"/>
                <w:szCs w:val="14"/>
                <w:color w:val="auto"/>
              </w:rPr>
            </w:pPr>
          </w:p>
        </w:tc>
        <w:tc>
          <w:tcPr>
            <w:tcW w:w="7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AEBF8"/>
          </w:tcPr>
          <w:p>
            <w:pPr>
              <w:spacing w:after="0"/>
              <w:rPr>
                <w:sz w:val="14"/>
                <w:szCs w:val="14"/>
                <w:color w:val="auto"/>
              </w:rPr>
            </w:pPr>
          </w:p>
        </w:tc>
        <w:tc>
          <w:tcPr>
            <w:tcW w:w="880" w:type="dxa"/>
            <w:vAlign w:val="bottom"/>
            <w:shd w:val="clear" w:color="auto" w:fill="DAEBF8"/>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1000" w:type="dxa"/>
            <w:vAlign w:val="bottom"/>
            <w:shd w:val="clear" w:color="auto" w:fill="DAEBF8"/>
          </w:tcPr>
          <w:p>
            <w:pPr>
              <w:ind w:left="80"/>
              <w:spacing w:after="0"/>
              <w:rPr>
                <w:sz w:val="20"/>
                <w:szCs w:val="20"/>
                <w:color w:val="auto"/>
              </w:rPr>
            </w:pPr>
            <w:r>
              <w:rPr>
                <w:rFonts w:ascii="Arial" w:cs="Arial" w:eastAsia="Arial" w:hAnsi="Arial"/>
                <w:sz w:val="13"/>
                <w:szCs w:val="13"/>
                <w:b w:val="1"/>
                <w:bCs w:val="1"/>
                <w:color w:val="auto"/>
              </w:rPr>
              <w:t>Yancopoulos,</w:t>
            </w:r>
          </w:p>
        </w:tc>
        <w:tc>
          <w:tcPr>
            <w:tcW w:w="840" w:type="dxa"/>
            <w:vAlign w:val="bottom"/>
            <w:vMerge w:val="restart"/>
            <w:shd w:val="clear" w:color="auto" w:fill="DAEBF8"/>
          </w:tcPr>
          <w:p>
            <w:pPr>
              <w:jc w:val="right"/>
              <w:spacing w:after="0"/>
              <w:rPr>
                <w:sz w:val="20"/>
                <w:szCs w:val="20"/>
                <w:color w:val="auto"/>
              </w:rPr>
            </w:pPr>
            <w:r>
              <w:rPr>
                <w:rFonts w:ascii="Arial" w:cs="Arial" w:eastAsia="Arial" w:hAnsi="Arial"/>
                <w:sz w:val="14"/>
                <w:szCs w:val="14"/>
                <w:color w:val="auto"/>
              </w:rPr>
              <w:t>129,013</w:t>
            </w:r>
          </w:p>
        </w:tc>
        <w:tc>
          <w:tcPr>
            <w:tcW w:w="740" w:type="dxa"/>
            <w:vAlign w:val="bottom"/>
            <w:vMerge w:val="restart"/>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AEBF8"/>
          </w:tcPr>
          <w:p>
            <w:pPr>
              <w:spacing w:after="0"/>
              <w:rPr>
                <w:sz w:val="13"/>
                <w:szCs w:val="13"/>
                <w:color w:val="auto"/>
              </w:rPr>
            </w:pPr>
          </w:p>
        </w:tc>
        <w:tc>
          <w:tcPr>
            <w:tcW w:w="800" w:type="dxa"/>
            <w:vAlign w:val="bottom"/>
            <w:vMerge w:val="restart"/>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DAEBF8"/>
          </w:tcPr>
          <w:p>
            <w:pPr>
              <w:jc w:val="right"/>
              <w:spacing w:after="0"/>
              <w:rPr>
                <w:sz w:val="20"/>
                <w:szCs w:val="20"/>
                <w:color w:val="auto"/>
              </w:rPr>
            </w:pPr>
            <w:r>
              <w:rPr>
                <w:rFonts w:ascii="Arial" w:cs="Arial" w:eastAsia="Arial" w:hAnsi="Arial"/>
                <w:sz w:val="14"/>
                <w:szCs w:val="14"/>
                <w:color w:val="auto"/>
              </w:rPr>
              <w:t>381.40</w:t>
            </w:r>
          </w:p>
        </w:tc>
        <w:tc>
          <w:tcPr>
            <w:tcW w:w="820" w:type="dxa"/>
            <w:vAlign w:val="bottom"/>
            <w:vMerge w:val="restart"/>
            <w:shd w:val="clear" w:color="auto" w:fill="DAEBF8"/>
          </w:tcPr>
          <w:p>
            <w:pPr>
              <w:jc w:val="right"/>
              <w:spacing w:after="0"/>
              <w:rPr>
                <w:sz w:val="20"/>
                <w:szCs w:val="20"/>
                <w:color w:val="auto"/>
              </w:rPr>
            </w:pPr>
            <w:r>
              <w:rPr>
                <w:rFonts w:ascii="Arial" w:cs="Arial" w:eastAsia="Arial" w:hAnsi="Arial"/>
                <w:sz w:val="14"/>
                <w:szCs w:val="14"/>
                <w:color w:val="auto"/>
              </w:rPr>
              <w:t>12/12/2028</w:t>
            </w:r>
          </w:p>
        </w:tc>
        <w:tc>
          <w:tcPr>
            <w:tcW w:w="60" w:type="dxa"/>
            <w:vAlign w:val="bottom"/>
            <w:shd w:val="clear" w:color="auto" w:fill="DAEBF8"/>
          </w:tcPr>
          <w:p>
            <w:pPr>
              <w:spacing w:after="0"/>
              <w:rPr>
                <w:sz w:val="13"/>
                <w:szCs w:val="13"/>
                <w:color w:val="auto"/>
              </w:rPr>
            </w:pPr>
          </w:p>
        </w:tc>
        <w:tc>
          <w:tcPr>
            <w:tcW w:w="600" w:type="dxa"/>
            <w:vAlign w:val="bottom"/>
            <w:vMerge w:val="restart"/>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AEBF8"/>
          </w:tcPr>
          <w:p>
            <w:pPr>
              <w:spacing w:after="0"/>
              <w:rPr>
                <w:sz w:val="13"/>
                <w:szCs w:val="13"/>
                <w:color w:val="auto"/>
              </w:rPr>
            </w:pPr>
          </w:p>
        </w:tc>
        <w:tc>
          <w:tcPr>
            <w:tcW w:w="780" w:type="dxa"/>
            <w:vAlign w:val="bottom"/>
            <w:vMerge w:val="restart"/>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AEBF8"/>
          </w:tcPr>
          <w:p>
            <w:pPr>
              <w:spacing w:after="0"/>
              <w:rPr>
                <w:sz w:val="13"/>
                <w:szCs w:val="13"/>
                <w:color w:val="auto"/>
              </w:rPr>
            </w:pPr>
          </w:p>
        </w:tc>
        <w:tc>
          <w:tcPr>
            <w:tcW w:w="880" w:type="dxa"/>
            <w:vAlign w:val="bottom"/>
            <w:vMerge w:val="restart"/>
            <w:shd w:val="clear" w:color="auto" w:fill="DAEBF8"/>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4"/>
        </w:trPr>
        <w:tc>
          <w:tcPr>
            <w:tcW w:w="1000" w:type="dxa"/>
            <w:vAlign w:val="bottom"/>
            <w:vMerge w:val="restart"/>
            <w:shd w:val="clear" w:color="auto" w:fill="DAEBF8"/>
          </w:tcPr>
          <w:p>
            <w:pPr>
              <w:ind w:left="80"/>
              <w:spacing w:after="0"/>
              <w:rPr>
                <w:sz w:val="20"/>
                <w:szCs w:val="20"/>
                <w:color w:val="auto"/>
              </w:rPr>
            </w:pPr>
            <w:r>
              <w:rPr>
                <w:rFonts w:ascii="Arial" w:cs="Arial" w:eastAsia="Arial" w:hAnsi="Arial"/>
                <w:sz w:val="13"/>
                <w:szCs w:val="13"/>
                <w:b w:val="1"/>
                <w:bCs w:val="1"/>
                <w:color w:val="auto"/>
              </w:rPr>
              <w:t>M.D., Ph.D.</w:t>
            </w:r>
          </w:p>
        </w:tc>
        <w:tc>
          <w:tcPr>
            <w:tcW w:w="840" w:type="dxa"/>
            <w:vAlign w:val="bottom"/>
            <w:vMerge w:val="continue"/>
            <w:shd w:val="clear" w:color="auto" w:fill="DAEBF8"/>
          </w:tcPr>
          <w:p>
            <w:pPr>
              <w:spacing w:after="0"/>
              <w:rPr>
                <w:sz w:val="9"/>
                <w:szCs w:val="9"/>
                <w:color w:val="auto"/>
              </w:rPr>
            </w:pPr>
          </w:p>
        </w:tc>
        <w:tc>
          <w:tcPr>
            <w:tcW w:w="740" w:type="dxa"/>
            <w:vAlign w:val="bottom"/>
            <w:vMerge w:val="continue"/>
            <w:shd w:val="clear" w:color="auto" w:fill="DAEBF8"/>
          </w:tcPr>
          <w:p>
            <w:pPr>
              <w:spacing w:after="0"/>
              <w:rPr>
                <w:sz w:val="9"/>
                <w:szCs w:val="9"/>
                <w:color w:val="auto"/>
              </w:rPr>
            </w:pPr>
          </w:p>
        </w:tc>
        <w:tc>
          <w:tcPr>
            <w:tcW w:w="220" w:type="dxa"/>
            <w:vAlign w:val="bottom"/>
            <w:shd w:val="clear" w:color="auto" w:fill="DAEBF8"/>
          </w:tcPr>
          <w:p>
            <w:pPr>
              <w:spacing w:after="0"/>
              <w:rPr>
                <w:sz w:val="9"/>
                <w:szCs w:val="9"/>
                <w:color w:val="auto"/>
              </w:rPr>
            </w:pPr>
          </w:p>
        </w:tc>
        <w:tc>
          <w:tcPr>
            <w:tcW w:w="800" w:type="dxa"/>
            <w:vAlign w:val="bottom"/>
            <w:vMerge w:val="continue"/>
            <w:shd w:val="clear" w:color="auto" w:fill="DAEBF8"/>
          </w:tcPr>
          <w:p>
            <w:pPr>
              <w:spacing w:after="0"/>
              <w:rPr>
                <w:sz w:val="9"/>
                <w:szCs w:val="9"/>
                <w:color w:val="auto"/>
              </w:rPr>
            </w:pPr>
          </w:p>
        </w:tc>
        <w:tc>
          <w:tcPr>
            <w:tcW w:w="580" w:type="dxa"/>
            <w:vAlign w:val="bottom"/>
            <w:vMerge w:val="continue"/>
            <w:shd w:val="clear" w:color="auto" w:fill="DAEBF8"/>
          </w:tcPr>
          <w:p>
            <w:pPr>
              <w:spacing w:after="0"/>
              <w:rPr>
                <w:sz w:val="9"/>
                <w:szCs w:val="9"/>
                <w:color w:val="auto"/>
              </w:rPr>
            </w:pPr>
          </w:p>
        </w:tc>
        <w:tc>
          <w:tcPr>
            <w:tcW w:w="820" w:type="dxa"/>
            <w:vAlign w:val="bottom"/>
            <w:vMerge w:val="continue"/>
            <w:shd w:val="clear" w:color="auto" w:fill="DAEBF8"/>
          </w:tcPr>
          <w:p>
            <w:pPr>
              <w:spacing w:after="0"/>
              <w:rPr>
                <w:sz w:val="9"/>
                <w:szCs w:val="9"/>
                <w:color w:val="auto"/>
              </w:rPr>
            </w:pPr>
          </w:p>
        </w:tc>
        <w:tc>
          <w:tcPr>
            <w:tcW w:w="60" w:type="dxa"/>
            <w:vAlign w:val="bottom"/>
            <w:shd w:val="clear" w:color="auto" w:fill="DAEBF8"/>
          </w:tcPr>
          <w:p>
            <w:pPr>
              <w:spacing w:after="0"/>
              <w:rPr>
                <w:sz w:val="9"/>
                <w:szCs w:val="9"/>
                <w:color w:val="auto"/>
              </w:rPr>
            </w:pPr>
          </w:p>
        </w:tc>
        <w:tc>
          <w:tcPr>
            <w:tcW w:w="600" w:type="dxa"/>
            <w:vAlign w:val="bottom"/>
            <w:vMerge w:val="continue"/>
            <w:shd w:val="clear" w:color="auto" w:fill="DAEBF8"/>
          </w:tcPr>
          <w:p>
            <w:pPr>
              <w:spacing w:after="0"/>
              <w:rPr>
                <w:sz w:val="9"/>
                <w:szCs w:val="9"/>
                <w:color w:val="auto"/>
              </w:rPr>
            </w:pPr>
          </w:p>
        </w:tc>
        <w:tc>
          <w:tcPr>
            <w:tcW w:w="340" w:type="dxa"/>
            <w:vAlign w:val="bottom"/>
            <w:shd w:val="clear" w:color="auto" w:fill="DAEBF8"/>
          </w:tcPr>
          <w:p>
            <w:pPr>
              <w:spacing w:after="0"/>
              <w:rPr>
                <w:sz w:val="9"/>
                <w:szCs w:val="9"/>
                <w:color w:val="auto"/>
              </w:rPr>
            </w:pPr>
          </w:p>
        </w:tc>
        <w:tc>
          <w:tcPr>
            <w:tcW w:w="780" w:type="dxa"/>
            <w:vAlign w:val="bottom"/>
            <w:vMerge w:val="continue"/>
            <w:shd w:val="clear" w:color="auto" w:fill="DAEBF8"/>
          </w:tcPr>
          <w:p>
            <w:pPr>
              <w:spacing w:after="0"/>
              <w:rPr>
                <w:sz w:val="9"/>
                <w:szCs w:val="9"/>
                <w:color w:val="auto"/>
              </w:rPr>
            </w:pPr>
          </w:p>
        </w:tc>
        <w:tc>
          <w:tcPr>
            <w:tcW w:w="220" w:type="dxa"/>
            <w:vAlign w:val="bottom"/>
            <w:shd w:val="clear" w:color="auto" w:fill="DAEBF8"/>
          </w:tcPr>
          <w:p>
            <w:pPr>
              <w:spacing w:after="0"/>
              <w:rPr>
                <w:sz w:val="9"/>
                <w:szCs w:val="9"/>
                <w:color w:val="auto"/>
              </w:rPr>
            </w:pPr>
          </w:p>
        </w:tc>
        <w:tc>
          <w:tcPr>
            <w:tcW w:w="880" w:type="dxa"/>
            <w:vAlign w:val="bottom"/>
            <w:vMerge w:val="continue"/>
            <w:shd w:val="clear" w:color="auto" w:fill="DAEBF8"/>
          </w:tcPr>
          <w:p>
            <w:pPr>
              <w:spacing w:after="0"/>
              <w:rPr>
                <w:sz w:val="9"/>
                <w:szCs w:val="9"/>
                <w:color w:val="auto"/>
              </w:rPr>
            </w:pPr>
          </w:p>
        </w:tc>
        <w:tc>
          <w:tcPr>
            <w:tcW w:w="880" w:type="dxa"/>
            <w:vAlign w:val="bottom"/>
            <w:vMerge w:val="continue"/>
            <w:shd w:val="clear" w:color="auto" w:fill="DAEBF8"/>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000" w:type="dxa"/>
            <w:vAlign w:val="bottom"/>
            <w:vMerge w:val="continue"/>
            <w:shd w:val="clear" w:color="auto" w:fill="DAEBF8"/>
          </w:tcPr>
          <w:p>
            <w:pPr>
              <w:spacing w:after="0"/>
              <w:rPr>
                <w:sz w:val="5"/>
                <w:szCs w:val="5"/>
                <w:color w:val="auto"/>
              </w:rPr>
            </w:pPr>
          </w:p>
        </w:tc>
        <w:tc>
          <w:tcPr>
            <w:tcW w:w="840" w:type="dxa"/>
            <w:vAlign w:val="bottom"/>
            <w:vMerge w:val="restart"/>
            <w:shd w:val="clear" w:color="auto" w:fill="DAEBF8"/>
          </w:tcPr>
          <w:p>
            <w:pPr>
              <w:jc w:val="right"/>
              <w:spacing w:after="0"/>
              <w:rPr>
                <w:sz w:val="20"/>
                <w:szCs w:val="20"/>
                <w:color w:val="auto"/>
              </w:rPr>
            </w:pPr>
            <w:r>
              <w:rPr>
                <w:rFonts w:ascii="Arial" w:cs="Arial" w:eastAsia="Arial" w:hAnsi="Arial"/>
                <w:sz w:val="14"/>
                <w:szCs w:val="14"/>
                <w:color w:val="auto"/>
              </w:rPr>
              <w:t>139,474</w:t>
            </w:r>
          </w:p>
        </w:tc>
        <w:tc>
          <w:tcPr>
            <w:tcW w:w="740" w:type="dxa"/>
            <w:vAlign w:val="bottom"/>
            <w:vMerge w:val="restart"/>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AEBF8"/>
          </w:tcPr>
          <w:p>
            <w:pPr>
              <w:spacing w:after="0"/>
              <w:rPr>
                <w:sz w:val="5"/>
                <w:szCs w:val="5"/>
                <w:color w:val="auto"/>
              </w:rPr>
            </w:pPr>
          </w:p>
        </w:tc>
        <w:tc>
          <w:tcPr>
            <w:tcW w:w="800" w:type="dxa"/>
            <w:vAlign w:val="bottom"/>
            <w:vMerge w:val="restart"/>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DAEBF8"/>
          </w:tcPr>
          <w:p>
            <w:pPr>
              <w:jc w:val="right"/>
              <w:spacing w:after="0"/>
              <w:rPr>
                <w:sz w:val="20"/>
                <w:szCs w:val="20"/>
                <w:color w:val="auto"/>
              </w:rPr>
            </w:pPr>
            <w:r>
              <w:rPr>
                <w:rFonts w:ascii="Arial" w:cs="Arial" w:eastAsia="Arial" w:hAnsi="Arial"/>
                <w:sz w:val="14"/>
                <w:szCs w:val="14"/>
                <w:color w:val="auto"/>
              </w:rPr>
              <w:t>378.98</w:t>
            </w:r>
          </w:p>
        </w:tc>
        <w:tc>
          <w:tcPr>
            <w:tcW w:w="820" w:type="dxa"/>
            <w:vAlign w:val="bottom"/>
            <w:vMerge w:val="restart"/>
            <w:shd w:val="clear" w:color="auto" w:fill="DAEBF8"/>
          </w:tcPr>
          <w:p>
            <w:pPr>
              <w:jc w:val="right"/>
              <w:spacing w:after="0"/>
              <w:rPr>
                <w:sz w:val="20"/>
                <w:szCs w:val="20"/>
                <w:color w:val="auto"/>
              </w:rPr>
            </w:pPr>
            <w:r>
              <w:rPr>
                <w:rFonts w:ascii="Arial" w:cs="Arial" w:eastAsia="Arial" w:hAnsi="Arial"/>
                <w:sz w:val="14"/>
                <w:szCs w:val="14"/>
                <w:color w:val="auto"/>
              </w:rPr>
              <w:t>12/12/2027</w:t>
            </w:r>
          </w:p>
        </w:tc>
        <w:tc>
          <w:tcPr>
            <w:tcW w:w="60" w:type="dxa"/>
            <w:vAlign w:val="bottom"/>
            <w:shd w:val="clear" w:color="auto" w:fill="DAEBF8"/>
          </w:tcPr>
          <w:p>
            <w:pPr>
              <w:spacing w:after="0"/>
              <w:rPr>
                <w:sz w:val="5"/>
                <w:szCs w:val="5"/>
                <w:color w:val="auto"/>
              </w:rPr>
            </w:pPr>
          </w:p>
        </w:tc>
        <w:tc>
          <w:tcPr>
            <w:tcW w:w="600" w:type="dxa"/>
            <w:vAlign w:val="bottom"/>
            <w:vMerge w:val="restart"/>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AEBF8"/>
          </w:tcPr>
          <w:p>
            <w:pPr>
              <w:spacing w:after="0"/>
              <w:rPr>
                <w:sz w:val="5"/>
                <w:szCs w:val="5"/>
                <w:color w:val="auto"/>
              </w:rPr>
            </w:pPr>
          </w:p>
        </w:tc>
        <w:tc>
          <w:tcPr>
            <w:tcW w:w="780" w:type="dxa"/>
            <w:vAlign w:val="bottom"/>
            <w:vMerge w:val="restart"/>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AEBF8"/>
          </w:tcPr>
          <w:p>
            <w:pPr>
              <w:spacing w:after="0"/>
              <w:rPr>
                <w:sz w:val="5"/>
                <w:szCs w:val="5"/>
                <w:color w:val="auto"/>
              </w:rPr>
            </w:pPr>
          </w:p>
        </w:tc>
        <w:tc>
          <w:tcPr>
            <w:tcW w:w="880" w:type="dxa"/>
            <w:vAlign w:val="bottom"/>
            <w:vMerge w:val="restart"/>
            <w:shd w:val="clear" w:color="auto" w:fill="DAEBF8"/>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000" w:type="dxa"/>
            <w:vAlign w:val="bottom"/>
            <w:shd w:val="clear" w:color="auto" w:fill="DAEBF8"/>
          </w:tcPr>
          <w:p>
            <w:pPr>
              <w:spacing w:after="0"/>
              <w:rPr>
                <w:sz w:val="12"/>
                <w:szCs w:val="12"/>
                <w:color w:val="auto"/>
              </w:rPr>
            </w:pPr>
          </w:p>
        </w:tc>
        <w:tc>
          <w:tcPr>
            <w:tcW w:w="840" w:type="dxa"/>
            <w:vAlign w:val="bottom"/>
            <w:vMerge w:val="continue"/>
            <w:shd w:val="clear" w:color="auto" w:fill="DAEBF8"/>
          </w:tcPr>
          <w:p>
            <w:pPr>
              <w:spacing w:after="0"/>
              <w:rPr>
                <w:sz w:val="12"/>
                <w:szCs w:val="12"/>
                <w:color w:val="auto"/>
              </w:rPr>
            </w:pPr>
          </w:p>
        </w:tc>
        <w:tc>
          <w:tcPr>
            <w:tcW w:w="740" w:type="dxa"/>
            <w:vAlign w:val="bottom"/>
            <w:vMerge w:val="continue"/>
            <w:shd w:val="clear" w:color="auto" w:fill="DAEBF8"/>
          </w:tcPr>
          <w:p>
            <w:pPr>
              <w:spacing w:after="0"/>
              <w:rPr>
                <w:sz w:val="12"/>
                <w:szCs w:val="12"/>
                <w:color w:val="auto"/>
              </w:rPr>
            </w:pPr>
          </w:p>
        </w:tc>
        <w:tc>
          <w:tcPr>
            <w:tcW w:w="220" w:type="dxa"/>
            <w:vAlign w:val="bottom"/>
            <w:shd w:val="clear" w:color="auto" w:fill="DAEBF8"/>
          </w:tcPr>
          <w:p>
            <w:pPr>
              <w:spacing w:after="0"/>
              <w:rPr>
                <w:sz w:val="12"/>
                <w:szCs w:val="12"/>
                <w:color w:val="auto"/>
              </w:rPr>
            </w:pPr>
          </w:p>
        </w:tc>
        <w:tc>
          <w:tcPr>
            <w:tcW w:w="800" w:type="dxa"/>
            <w:vAlign w:val="bottom"/>
            <w:vMerge w:val="continue"/>
            <w:shd w:val="clear" w:color="auto" w:fill="DAEBF8"/>
          </w:tcPr>
          <w:p>
            <w:pPr>
              <w:spacing w:after="0"/>
              <w:rPr>
                <w:sz w:val="12"/>
                <w:szCs w:val="12"/>
                <w:color w:val="auto"/>
              </w:rPr>
            </w:pPr>
          </w:p>
        </w:tc>
        <w:tc>
          <w:tcPr>
            <w:tcW w:w="580" w:type="dxa"/>
            <w:vAlign w:val="bottom"/>
            <w:vMerge w:val="continue"/>
            <w:shd w:val="clear" w:color="auto" w:fill="DAEBF8"/>
          </w:tcPr>
          <w:p>
            <w:pPr>
              <w:spacing w:after="0"/>
              <w:rPr>
                <w:sz w:val="12"/>
                <w:szCs w:val="12"/>
                <w:color w:val="auto"/>
              </w:rPr>
            </w:pPr>
          </w:p>
        </w:tc>
        <w:tc>
          <w:tcPr>
            <w:tcW w:w="820" w:type="dxa"/>
            <w:vAlign w:val="bottom"/>
            <w:vMerge w:val="continue"/>
            <w:shd w:val="clear" w:color="auto" w:fill="DAEBF8"/>
          </w:tcPr>
          <w:p>
            <w:pPr>
              <w:spacing w:after="0"/>
              <w:rPr>
                <w:sz w:val="12"/>
                <w:szCs w:val="12"/>
                <w:color w:val="auto"/>
              </w:rPr>
            </w:pPr>
          </w:p>
        </w:tc>
        <w:tc>
          <w:tcPr>
            <w:tcW w:w="60" w:type="dxa"/>
            <w:vAlign w:val="bottom"/>
            <w:shd w:val="clear" w:color="auto" w:fill="DAEBF8"/>
          </w:tcPr>
          <w:p>
            <w:pPr>
              <w:spacing w:after="0"/>
              <w:rPr>
                <w:sz w:val="12"/>
                <w:szCs w:val="12"/>
                <w:color w:val="auto"/>
              </w:rPr>
            </w:pPr>
          </w:p>
        </w:tc>
        <w:tc>
          <w:tcPr>
            <w:tcW w:w="600" w:type="dxa"/>
            <w:vAlign w:val="bottom"/>
            <w:vMerge w:val="continue"/>
            <w:shd w:val="clear" w:color="auto" w:fill="DAEBF8"/>
          </w:tcPr>
          <w:p>
            <w:pPr>
              <w:spacing w:after="0"/>
              <w:rPr>
                <w:sz w:val="12"/>
                <w:szCs w:val="12"/>
                <w:color w:val="auto"/>
              </w:rPr>
            </w:pPr>
          </w:p>
        </w:tc>
        <w:tc>
          <w:tcPr>
            <w:tcW w:w="340" w:type="dxa"/>
            <w:vAlign w:val="bottom"/>
            <w:shd w:val="clear" w:color="auto" w:fill="DAEBF8"/>
          </w:tcPr>
          <w:p>
            <w:pPr>
              <w:spacing w:after="0"/>
              <w:rPr>
                <w:sz w:val="12"/>
                <w:szCs w:val="12"/>
                <w:color w:val="auto"/>
              </w:rPr>
            </w:pPr>
          </w:p>
        </w:tc>
        <w:tc>
          <w:tcPr>
            <w:tcW w:w="780" w:type="dxa"/>
            <w:vAlign w:val="bottom"/>
            <w:vMerge w:val="continue"/>
            <w:shd w:val="clear" w:color="auto" w:fill="DAEBF8"/>
          </w:tcPr>
          <w:p>
            <w:pPr>
              <w:spacing w:after="0"/>
              <w:rPr>
                <w:sz w:val="12"/>
                <w:szCs w:val="12"/>
                <w:color w:val="auto"/>
              </w:rPr>
            </w:pPr>
          </w:p>
        </w:tc>
        <w:tc>
          <w:tcPr>
            <w:tcW w:w="220" w:type="dxa"/>
            <w:vAlign w:val="bottom"/>
            <w:shd w:val="clear" w:color="auto" w:fill="DAEBF8"/>
          </w:tcPr>
          <w:p>
            <w:pPr>
              <w:spacing w:after="0"/>
              <w:rPr>
                <w:sz w:val="12"/>
                <w:szCs w:val="12"/>
                <w:color w:val="auto"/>
              </w:rPr>
            </w:pPr>
          </w:p>
        </w:tc>
        <w:tc>
          <w:tcPr>
            <w:tcW w:w="880" w:type="dxa"/>
            <w:vAlign w:val="bottom"/>
            <w:vMerge w:val="continue"/>
            <w:shd w:val="clear" w:color="auto" w:fill="DAEBF8"/>
          </w:tcPr>
          <w:p>
            <w:pPr>
              <w:spacing w:after="0"/>
              <w:rPr>
                <w:sz w:val="12"/>
                <w:szCs w:val="12"/>
                <w:color w:val="auto"/>
              </w:rPr>
            </w:pPr>
          </w:p>
        </w:tc>
        <w:tc>
          <w:tcPr>
            <w:tcW w:w="880" w:type="dxa"/>
            <w:vAlign w:val="bottom"/>
            <w:vMerge w:val="continue"/>
            <w:shd w:val="clear" w:color="auto" w:fill="DAEBF8"/>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DAEBF8"/>
          </w:tcPr>
          <w:p>
            <w:pPr>
              <w:spacing w:after="0"/>
              <w:rPr>
                <w:sz w:val="18"/>
                <w:szCs w:val="18"/>
                <w:color w:val="auto"/>
              </w:rPr>
            </w:pP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146,815</w:t>
            </w:r>
          </w:p>
        </w:tc>
        <w:tc>
          <w:tcPr>
            <w:tcW w:w="7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AEBF8"/>
          </w:tcPr>
          <w:p>
            <w:pPr>
              <w:spacing w:after="0"/>
              <w:rPr>
                <w:sz w:val="18"/>
                <w:szCs w:val="18"/>
                <w:color w:val="auto"/>
              </w:rPr>
            </w:pP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381.92</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12/16/2026</w:t>
            </w:r>
          </w:p>
        </w:tc>
        <w:tc>
          <w:tcPr>
            <w:tcW w:w="60" w:type="dxa"/>
            <w:vAlign w:val="bottom"/>
            <w:shd w:val="clear" w:color="auto" w:fill="DAEBF8"/>
          </w:tcPr>
          <w:p>
            <w:pPr>
              <w:spacing w:after="0"/>
              <w:rPr>
                <w:sz w:val="18"/>
                <w:szCs w:val="18"/>
                <w:color w:val="auto"/>
              </w:rPr>
            </w:pPr>
          </w:p>
        </w:tc>
        <w:tc>
          <w:tcPr>
            <w:tcW w:w="6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AEBF8"/>
          </w:tcPr>
          <w:p>
            <w:pPr>
              <w:spacing w:after="0"/>
              <w:rPr>
                <w:sz w:val="18"/>
                <w:szCs w:val="18"/>
                <w:color w:val="auto"/>
              </w:rPr>
            </w:pPr>
          </w:p>
        </w:tc>
        <w:tc>
          <w:tcPr>
            <w:tcW w:w="7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AEBF8"/>
          </w:tcPr>
          <w:p>
            <w:pPr>
              <w:spacing w:after="0"/>
              <w:rPr>
                <w:sz w:val="18"/>
                <w:szCs w:val="18"/>
                <w:color w:val="auto"/>
              </w:rPr>
            </w:pPr>
          </w:p>
        </w:tc>
        <w:tc>
          <w:tcPr>
            <w:tcW w:w="880" w:type="dxa"/>
            <w:vAlign w:val="bottom"/>
            <w:shd w:val="clear" w:color="auto" w:fill="DAEBF8"/>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1000" w:type="dxa"/>
            <w:vAlign w:val="bottom"/>
            <w:shd w:val="clear" w:color="auto" w:fill="DAEBF8"/>
          </w:tcPr>
          <w:p>
            <w:pPr>
              <w:ind w:left="560"/>
              <w:spacing w:after="0"/>
              <w:rPr>
                <w:sz w:val="20"/>
                <w:szCs w:val="20"/>
                <w:color w:val="auto"/>
              </w:rPr>
            </w:pPr>
            <w:r>
              <w:rPr>
                <w:rFonts w:ascii="Arial" w:cs="Arial" w:eastAsia="Arial" w:hAnsi="Arial"/>
                <w:sz w:val="13"/>
                <w:szCs w:val="13"/>
                <w:b w:val="1"/>
                <w:bCs w:val="1"/>
                <w:color w:val="auto"/>
                <w:w w:val="96"/>
              </w:rPr>
              <w:t>TOTAL</w:t>
            </w: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b w:val="1"/>
                <w:bCs w:val="1"/>
                <w:color w:val="auto"/>
              </w:rPr>
              <w:t>496,580</w:t>
            </w:r>
          </w:p>
        </w:tc>
        <w:tc>
          <w:tcPr>
            <w:tcW w:w="740" w:type="dxa"/>
            <w:vAlign w:val="bottom"/>
            <w:shd w:val="clear" w:color="auto" w:fill="DAEBF8"/>
          </w:tcPr>
          <w:p>
            <w:pPr>
              <w:spacing w:after="0"/>
              <w:rPr>
                <w:sz w:val="19"/>
                <w:szCs w:val="19"/>
                <w:color w:val="auto"/>
              </w:rPr>
            </w:pPr>
          </w:p>
        </w:tc>
        <w:tc>
          <w:tcPr>
            <w:tcW w:w="220" w:type="dxa"/>
            <w:vAlign w:val="bottom"/>
            <w:shd w:val="clear" w:color="auto" w:fill="DAEBF8"/>
          </w:tcPr>
          <w:p>
            <w:pPr>
              <w:spacing w:after="0"/>
              <w:rPr>
                <w:sz w:val="19"/>
                <w:szCs w:val="19"/>
                <w:color w:val="auto"/>
              </w:rPr>
            </w:pPr>
          </w:p>
        </w:tc>
        <w:tc>
          <w:tcPr>
            <w:tcW w:w="800" w:type="dxa"/>
            <w:vAlign w:val="bottom"/>
            <w:shd w:val="clear" w:color="auto" w:fill="DAEBF8"/>
          </w:tcPr>
          <w:p>
            <w:pPr>
              <w:spacing w:after="0"/>
              <w:rPr>
                <w:sz w:val="19"/>
                <w:szCs w:val="19"/>
                <w:color w:val="auto"/>
              </w:rPr>
            </w:pPr>
          </w:p>
        </w:tc>
        <w:tc>
          <w:tcPr>
            <w:tcW w:w="580" w:type="dxa"/>
            <w:vAlign w:val="bottom"/>
            <w:shd w:val="clear" w:color="auto" w:fill="DAEBF8"/>
          </w:tcPr>
          <w:p>
            <w:pPr>
              <w:spacing w:after="0"/>
              <w:rPr>
                <w:sz w:val="19"/>
                <w:szCs w:val="19"/>
                <w:color w:val="auto"/>
              </w:rPr>
            </w:pPr>
          </w:p>
        </w:tc>
        <w:tc>
          <w:tcPr>
            <w:tcW w:w="820" w:type="dxa"/>
            <w:vAlign w:val="bottom"/>
            <w:shd w:val="clear" w:color="auto" w:fill="DAEBF8"/>
          </w:tcPr>
          <w:p>
            <w:pPr>
              <w:spacing w:after="0"/>
              <w:rPr>
                <w:sz w:val="19"/>
                <w:szCs w:val="19"/>
                <w:color w:val="auto"/>
              </w:rPr>
            </w:pPr>
          </w:p>
        </w:tc>
        <w:tc>
          <w:tcPr>
            <w:tcW w:w="60" w:type="dxa"/>
            <w:vAlign w:val="bottom"/>
            <w:shd w:val="clear" w:color="auto" w:fill="DAEBF8"/>
          </w:tcPr>
          <w:p>
            <w:pPr>
              <w:spacing w:after="0"/>
              <w:rPr>
                <w:sz w:val="19"/>
                <w:szCs w:val="19"/>
                <w:color w:val="auto"/>
              </w:rPr>
            </w:pPr>
          </w:p>
        </w:tc>
        <w:tc>
          <w:tcPr>
            <w:tcW w:w="600" w:type="dxa"/>
            <w:vAlign w:val="bottom"/>
            <w:shd w:val="clear" w:color="auto" w:fill="DAEBF8"/>
          </w:tcPr>
          <w:p>
            <w:pPr>
              <w:spacing w:after="0"/>
              <w:rPr>
                <w:sz w:val="19"/>
                <w:szCs w:val="19"/>
                <w:color w:val="auto"/>
              </w:rPr>
            </w:pPr>
          </w:p>
        </w:tc>
        <w:tc>
          <w:tcPr>
            <w:tcW w:w="340" w:type="dxa"/>
            <w:vAlign w:val="bottom"/>
            <w:shd w:val="clear" w:color="auto" w:fill="DAEBF8"/>
          </w:tcPr>
          <w:p>
            <w:pPr>
              <w:spacing w:after="0"/>
              <w:rPr>
                <w:sz w:val="19"/>
                <w:szCs w:val="19"/>
                <w:color w:val="auto"/>
              </w:rPr>
            </w:pPr>
          </w:p>
        </w:tc>
        <w:tc>
          <w:tcPr>
            <w:tcW w:w="780" w:type="dxa"/>
            <w:vAlign w:val="bottom"/>
            <w:shd w:val="clear" w:color="auto" w:fill="DAEBF8"/>
          </w:tcPr>
          <w:p>
            <w:pPr>
              <w:spacing w:after="0"/>
              <w:rPr>
                <w:sz w:val="19"/>
                <w:szCs w:val="19"/>
                <w:color w:val="auto"/>
              </w:rPr>
            </w:pPr>
          </w:p>
        </w:tc>
        <w:tc>
          <w:tcPr>
            <w:tcW w:w="220" w:type="dxa"/>
            <w:vAlign w:val="bottom"/>
            <w:shd w:val="clear" w:color="auto" w:fill="DAEBF8"/>
          </w:tcPr>
          <w:p>
            <w:pPr>
              <w:spacing w:after="0"/>
              <w:rPr>
                <w:sz w:val="19"/>
                <w:szCs w:val="19"/>
                <w:color w:val="auto"/>
              </w:rPr>
            </w:pPr>
          </w:p>
        </w:tc>
        <w:tc>
          <w:tcPr>
            <w:tcW w:w="880" w:type="dxa"/>
            <w:vAlign w:val="bottom"/>
            <w:shd w:val="clear" w:color="auto" w:fill="DAEBF8"/>
          </w:tcPr>
          <w:p>
            <w:pPr>
              <w:spacing w:after="0"/>
              <w:rPr>
                <w:sz w:val="19"/>
                <w:szCs w:val="19"/>
                <w:color w:val="auto"/>
              </w:rPr>
            </w:pPr>
          </w:p>
        </w:tc>
        <w:tc>
          <w:tcPr>
            <w:tcW w:w="880" w:type="dxa"/>
            <w:vAlign w:val="bottom"/>
            <w:shd w:val="clear" w:color="auto" w:fill="DAEBF8"/>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80"/>
              <w:spacing w:after="0"/>
              <w:rPr>
                <w:sz w:val="20"/>
                <w:szCs w:val="20"/>
                <w:color w:val="auto"/>
              </w:rPr>
            </w:pPr>
            <w:r>
              <w:rPr>
                <w:rFonts w:ascii="Arial" w:cs="Arial" w:eastAsia="Arial" w:hAnsi="Arial"/>
                <w:sz w:val="13"/>
                <w:szCs w:val="13"/>
                <w:b w:val="1"/>
                <w:bCs w:val="1"/>
                <w:color w:val="auto"/>
              </w:rPr>
              <w:t>Christopher</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14,924</w:t>
            </w:r>
          </w:p>
        </w:tc>
        <w:tc>
          <w:tcPr>
            <w:tcW w:w="220" w:type="dxa"/>
            <w:vAlign w:val="bottom"/>
          </w:tcPr>
          <w:p>
            <w:pPr>
              <w:jc w:val="right"/>
              <w:ind w:right="9"/>
              <w:spacing w:after="0"/>
              <w:rPr>
                <w:sz w:val="20"/>
                <w:szCs w:val="20"/>
                <w:color w:val="auto"/>
              </w:rPr>
            </w:pPr>
            <w:r>
              <w:rPr>
                <w:rFonts w:ascii="Arial" w:cs="Arial" w:eastAsia="Arial" w:hAnsi="Arial"/>
                <w:sz w:val="9"/>
                <w:szCs w:val="9"/>
                <w:color w:val="auto"/>
              </w:rPr>
              <w:t>1</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726.71</w:t>
            </w:r>
          </w:p>
        </w:tc>
        <w:tc>
          <w:tcPr>
            <w:tcW w:w="820" w:type="dxa"/>
            <w:vAlign w:val="bottom"/>
          </w:tcPr>
          <w:p>
            <w:pPr>
              <w:jc w:val="right"/>
              <w:spacing w:after="0"/>
              <w:rPr>
                <w:sz w:val="20"/>
                <w:szCs w:val="20"/>
                <w:color w:val="auto"/>
              </w:rPr>
            </w:pPr>
            <w:r>
              <w:rPr>
                <w:rFonts w:ascii="Arial" w:cs="Arial" w:eastAsia="Arial" w:hAnsi="Arial"/>
                <w:sz w:val="14"/>
                <w:szCs w:val="14"/>
                <w:color w:val="auto"/>
              </w:rPr>
              <w:t>12/05/2035</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000" w:type="dxa"/>
            <w:vAlign w:val="bottom"/>
          </w:tcPr>
          <w:p>
            <w:pPr>
              <w:ind w:left="80"/>
              <w:spacing w:after="0"/>
              <w:rPr>
                <w:sz w:val="20"/>
                <w:szCs w:val="20"/>
                <w:color w:val="auto"/>
              </w:rPr>
            </w:pPr>
            <w:r>
              <w:rPr>
                <w:rFonts w:ascii="Arial" w:cs="Arial" w:eastAsia="Arial" w:hAnsi="Arial"/>
                <w:sz w:val="13"/>
                <w:szCs w:val="13"/>
                <w:b w:val="1"/>
                <w:bCs w:val="1"/>
                <w:color w:val="auto"/>
              </w:rPr>
              <w:t>Fenimore</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2,495</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7,484</w:t>
            </w:r>
          </w:p>
        </w:tc>
        <w:tc>
          <w:tcPr>
            <w:tcW w:w="220" w:type="dxa"/>
            <w:vAlign w:val="bottom"/>
            <w:vMerge w:val="restart"/>
          </w:tcPr>
          <w:p>
            <w:pPr>
              <w:jc w:val="right"/>
              <w:ind w:right="9"/>
              <w:spacing w:after="0"/>
              <w:rPr>
                <w:sz w:val="20"/>
                <w:szCs w:val="20"/>
                <w:color w:val="auto"/>
              </w:rPr>
            </w:pPr>
            <w:r>
              <w:rPr>
                <w:rFonts w:ascii="Arial" w:cs="Arial" w:eastAsia="Arial" w:hAnsi="Arial"/>
                <w:sz w:val="9"/>
                <w:szCs w:val="9"/>
                <w:color w:val="auto"/>
              </w:rPr>
              <w:t>2</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771.64</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12/06/2034</w:t>
            </w:r>
          </w:p>
        </w:tc>
        <w:tc>
          <w:tcPr>
            <w:tcW w:w="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4,250</w:t>
            </w:r>
          </w:p>
        </w:tc>
        <w:tc>
          <w:tcPr>
            <w:tcW w:w="740" w:type="dxa"/>
            <w:vAlign w:val="bottom"/>
          </w:tcPr>
          <w:p>
            <w:pPr>
              <w:jc w:val="right"/>
              <w:spacing w:after="0"/>
              <w:rPr>
                <w:sz w:val="20"/>
                <w:szCs w:val="20"/>
                <w:color w:val="auto"/>
              </w:rPr>
            </w:pPr>
            <w:r>
              <w:rPr>
                <w:rFonts w:ascii="Arial" w:cs="Arial" w:eastAsia="Arial" w:hAnsi="Arial"/>
                <w:sz w:val="14"/>
                <w:szCs w:val="14"/>
                <w:color w:val="auto"/>
              </w:rPr>
              <w:t>4,249</w:t>
            </w:r>
          </w:p>
        </w:tc>
        <w:tc>
          <w:tcPr>
            <w:tcW w:w="220" w:type="dxa"/>
            <w:vAlign w:val="bottom"/>
          </w:tcPr>
          <w:p>
            <w:pPr>
              <w:jc w:val="right"/>
              <w:ind w:right="9"/>
              <w:spacing w:after="0"/>
              <w:rPr>
                <w:sz w:val="20"/>
                <w:szCs w:val="20"/>
                <w:color w:val="auto"/>
              </w:rPr>
            </w:pPr>
            <w:r>
              <w:rPr>
                <w:rFonts w:ascii="Arial" w:cs="Arial" w:eastAsia="Arial" w:hAnsi="Arial"/>
                <w:sz w:val="9"/>
                <w:szCs w:val="9"/>
                <w:color w:val="auto"/>
              </w:rPr>
              <w:t>3</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843.79</w:t>
            </w:r>
          </w:p>
        </w:tc>
        <w:tc>
          <w:tcPr>
            <w:tcW w:w="820" w:type="dxa"/>
            <w:vAlign w:val="bottom"/>
          </w:tcPr>
          <w:p>
            <w:pPr>
              <w:jc w:val="right"/>
              <w:spacing w:after="0"/>
              <w:rPr>
                <w:sz w:val="20"/>
                <w:szCs w:val="20"/>
                <w:color w:val="auto"/>
              </w:rPr>
            </w:pPr>
            <w:r>
              <w:rPr>
                <w:rFonts w:ascii="Arial" w:cs="Arial" w:eastAsia="Arial" w:hAnsi="Arial"/>
                <w:sz w:val="14"/>
                <w:szCs w:val="14"/>
                <w:color w:val="auto"/>
              </w:rPr>
              <w:t>12/08/2033</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5,334</w:t>
            </w:r>
          </w:p>
        </w:tc>
        <w:tc>
          <w:tcPr>
            <w:tcW w:w="740" w:type="dxa"/>
            <w:vAlign w:val="bottom"/>
          </w:tcPr>
          <w:p>
            <w:pPr>
              <w:jc w:val="right"/>
              <w:spacing w:after="0"/>
              <w:rPr>
                <w:sz w:val="20"/>
                <w:szCs w:val="20"/>
                <w:color w:val="auto"/>
              </w:rPr>
            </w:pPr>
            <w:r>
              <w:rPr>
                <w:rFonts w:ascii="Arial" w:cs="Arial" w:eastAsia="Arial" w:hAnsi="Arial"/>
                <w:sz w:val="14"/>
                <w:szCs w:val="14"/>
                <w:color w:val="auto"/>
              </w:rPr>
              <w:t>1,777</w:t>
            </w:r>
          </w:p>
        </w:tc>
        <w:tc>
          <w:tcPr>
            <w:tcW w:w="220" w:type="dxa"/>
            <w:vAlign w:val="bottom"/>
          </w:tcPr>
          <w:p>
            <w:pPr>
              <w:jc w:val="right"/>
              <w:ind w:right="9"/>
              <w:spacing w:after="0"/>
              <w:rPr>
                <w:sz w:val="20"/>
                <w:szCs w:val="20"/>
                <w:color w:val="auto"/>
              </w:rPr>
            </w:pPr>
            <w:r>
              <w:rPr>
                <w:rFonts w:ascii="Arial" w:cs="Arial" w:eastAsia="Arial" w:hAnsi="Arial"/>
                <w:sz w:val="9"/>
                <w:szCs w:val="9"/>
                <w:color w:val="auto"/>
              </w:rPr>
              <w:t>4</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726.53</w:t>
            </w:r>
          </w:p>
        </w:tc>
        <w:tc>
          <w:tcPr>
            <w:tcW w:w="820" w:type="dxa"/>
            <w:vAlign w:val="bottom"/>
          </w:tcPr>
          <w:p>
            <w:pPr>
              <w:jc w:val="right"/>
              <w:spacing w:after="0"/>
              <w:rPr>
                <w:sz w:val="20"/>
                <w:szCs w:val="20"/>
                <w:color w:val="auto"/>
              </w:rPr>
            </w:pPr>
            <w:r>
              <w:rPr>
                <w:rFonts w:ascii="Arial" w:cs="Arial" w:eastAsia="Arial" w:hAnsi="Arial"/>
                <w:sz w:val="14"/>
                <w:szCs w:val="14"/>
                <w:color w:val="auto"/>
              </w:rPr>
              <w:t>12/16/2032</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7,941</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644.54</w:t>
            </w:r>
          </w:p>
        </w:tc>
        <w:tc>
          <w:tcPr>
            <w:tcW w:w="820" w:type="dxa"/>
            <w:vAlign w:val="bottom"/>
          </w:tcPr>
          <w:p>
            <w:pPr>
              <w:jc w:val="right"/>
              <w:spacing w:after="0"/>
              <w:rPr>
                <w:sz w:val="20"/>
                <w:szCs w:val="20"/>
                <w:color w:val="auto"/>
              </w:rPr>
            </w:pPr>
            <w:r>
              <w:rPr>
                <w:rFonts w:ascii="Arial" w:cs="Arial" w:eastAsia="Arial" w:hAnsi="Arial"/>
                <w:sz w:val="14"/>
                <w:szCs w:val="14"/>
                <w:color w:val="auto"/>
              </w:rPr>
              <w:t>12/08/2031</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10,000</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492.00</w:t>
            </w:r>
          </w:p>
        </w:tc>
        <w:tc>
          <w:tcPr>
            <w:tcW w:w="820" w:type="dxa"/>
            <w:vAlign w:val="bottom"/>
          </w:tcPr>
          <w:p>
            <w:pPr>
              <w:jc w:val="right"/>
              <w:spacing w:after="0"/>
              <w:rPr>
                <w:sz w:val="20"/>
                <w:szCs w:val="20"/>
                <w:color w:val="auto"/>
              </w:rPr>
            </w:pPr>
            <w:r>
              <w:rPr>
                <w:rFonts w:ascii="Arial" w:cs="Arial" w:eastAsia="Arial" w:hAnsi="Arial"/>
                <w:sz w:val="14"/>
                <w:szCs w:val="14"/>
                <w:color w:val="auto"/>
              </w:rPr>
              <w:t>12/09/2030</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6,120</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372.46</w:t>
            </w:r>
          </w:p>
        </w:tc>
        <w:tc>
          <w:tcPr>
            <w:tcW w:w="820" w:type="dxa"/>
            <w:vAlign w:val="bottom"/>
          </w:tcPr>
          <w:p>
            <w:pPr>
              <w:jc w:val="right"/>
              <w:spacing w:after="0"/>
              <w:rPr>
                <w:sz w:val="20"/>
                <w:szCs w:val="20"/>
                <w:color w:val="auto"/>
              </w:rPr>
            </w:pPr>
            <w:r>
              <w:rPr>
                <w:rFonts w:ascii="Arial" w:cs="Arial" w:eastAsia="Arial" w:hAnsi="Arial"/>
                <w:sz w:val="14"/>
                <w:szCs w:val="14"/>
                <w:color w:val="auto"/>
              </w:rPr>
              <w:t>12/11/2029</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11,400</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381.40</w:t>
            </w:r>
          </w:p>
        </w:tc>
        <w:tc>
          <w:tcPr>
            <w:tcW w:w="820" w:type="dxa"/>
            <w:vAlign w:val="bottom"/>
          </w:tcPr>
          <w:p>
            <w:pPr>
              <w:jc w:val="right"/>
              <w:spacing w:after="0"/>
              <w:rPr>
                <w:sz w:val="20"/>
                <w:szCs w:val="20"/>
                <w:color w:val="auto"/>
              </w:rPr>
            </w:pPr>
            <w:r>
              <w:rPr>
                <w:rFonts w:ascii="Arial" w:cs="Arial" w:eastAsia="Arial" w:hAnsi="Arial"/>
                <w:sz w:val="14"/>
                <w:szCs w:val="14"/>
                <w:color w:val="auto"/>
              </w:rPr>
              <w:t>12/12/2028</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12,300</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378.98</w:t>
            </w:r>
          </w:p>
        </w:tc>
        <w:tc>
          <w:tcPr>
            <w:tcW w:w="820" w:type="dxa"/>
            <w:vAlign w:val="bottom"/>
          </w:tcPr>
          <w:p>
            <w:pPr>
              <w:jc w:val="right"/>
              <w:spacing w:after="0"/>
              <w:rPr>
                <w:sz w:val="20"/>
                <w:szCs w:val="20"/>
                <w:color w:val="auto"/>
              </w:rPr>
            </w:pPr>
            <w:r>
              <w:rPr>
                <w:rFonts w:ascii="Arial" w:cs="Arial" w:eastAsia="Arial" w:hAnsi="Arial"/>
                <w:sz w:val="14"/>
                <w:szCs w:val="14"/>
                <w:color w:val="auto"/>
              </w:rPr>
              <w:t>12/12/2027</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12,283</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381.92</w:t>
            </w:r>
          </w:p>
        </w:tc>
        <w:tc>
          <w:tcPr>
            <w:tcW w:w="820" w:type="dxa"/>
            <w:vAlign w:val="bottom"/>
          </w:tcPr>
          <w:p>
            <w:pPr>
              <w:jc w:val="right"/>
              <w:spacing w:after="0"/>
              <w:rPr>
                <w:sz w:val="20"/>
                <w:szCs w:val="20"/>
                <w:color w:val="auto"/>
              </w:rPr>
            </w:pPr>
            <w:r>
              <w:rPr>
                <w:rFonts w:ascii="Arial" w:cs="Arial" w:eastAsia="Arial" w:hAnsi="Arial"/>
                <w:sz w:val="14"/>
                <w:szCs w:val="14"/>
                <w:color w:val="auto"/>
              </w:rPr>
              <w:t>12/16/2026</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left="430"/>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3,027</w:t>
            </w:r>
          </w:p>
        </w:tc>
        <w:tc>
          <w:tcPr>
            <w:tcW w:w="340" w:type="dxa"/>
            <w:vAlign w:val="bottom"/>
          </w:tcPr>
          <w:p>
            <w:pPr>
              <w:jc w:val="right"/>
              <w:ind w:right="149"/>
              <w:spacing w:after="0"/>
              <w:rPr>
                <w:sz w:val="20"/>
                <w:szCs w:val="20"/>
                <w:color w:val="auto"/>
              </w:rPr>
            </w:pPr>
            <w:r>
              <w:rPr>
                <w:rFonts w:ascii="Arial" w:cs="Arial" w:eastAsia="Arial" w:hAnsi="Arial"/>
                <w:sz w:val="9"/>
                <w:szCs w:val="9"/>
                <w:color w:val="auto"/>
              </w:rPr>
              <w:t>5</w:t>
            </w:r>
          </w:p>
        </w:tc>
        <w:tc>
          <w:tcPr>
            <w:tcW w:w="780" w:type="dxa"/>
            <w:vAlign w:val="bottom"/>
          </w:tcPr>
          <w:p>
            <w:pPr>
              <w:jc w:val="right"/>
              <w:spacing w:after="0"/>
              <w:rPr>
                <w:sz w:val="20"/>
                <w:szCs w:val="20"/>
                <w:color w:val="auto"/>
              </w:rPr>
            </w:pPr>
            <w:r>
              <w:rPr>
                <w:rFonts w:ascii="Arial" w:cs="Arial" w:eastAsia="Arial" w:hAnsi="Arial"/>
                <w:sz w:val="14"/>
                <w:szCs w:val="14"/>
                <w:color w:val="auto"/>
              </w:rPr>
              <w:t>2,336,450</w:t>
            </w:r>
          </w:p>
        </w:tc>
        <w:tc>
          <w:tcPr>
            <w:tcW w:w="220" w:type="dxa"/>
            <w:vAlign w:val="bottom"/>
          </w:tcPr>
          <w:p>
            <w:pPr>
              <w:jc w:val="right"/>
              <w:ind w:right="31"/>
              <w:spacing w:after="0"/>
              <w:rPr>
                <w:sz w:val="20"/>
                <w:szCs w:val="20"/>
                <w:color w:val="auto"/>
              </w:rPr>
            </w:pPr>
            <w:r>
              <w:rPr>
                <w:rFonts w:ascii="Arial" w:cs="Arial" w:eastAsia="Arial" w:hAnsi="Arial"/>
                <w:sz w:val="9"/>
                <w:szCs w:val="9"/>
                <w:color w:val="auto"/>
              </w:rPr>
              <w:t>9</w:t>
            </w: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left="430"/>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2,591</w:t>
            </w:r>
          </w:p>
        </w:tc>
        <w:tc>
          <w:tcPr>
            <w:tcW w:w="340" w:type="dxa"/>
            <w:vAlign w:val="bottom"/>
          </w:tcPr>
          <w:p>
            <w:pPr>
              <w:jc w:val="right"/>
              <w:ind w:right="149"/>
              <w:spacing w:after="0"/>
              <w:rPr>
                <w:sz w:val="20"/>
                <w:szCs w:val="20"/>
                <w:color w:val="auto"/>
              </w:rPr>
            </w:pPr>
            <w:r>
              <w:rPr>
                <w:rFonts w:ascii="Arial" w:cs="Arial" w:eastAsia="Arial" w:hAnsi="Arial"/>
                <w:sz w:val="9"/>
                <w:szCs w:val="9"/>
                <w:color w:val="auto"/>
              </w:rPr>
              <w:t>6</w:t>
            </w:r>
          </w:p>
        </w:tc>
        <w:tc>
          <w:tcPr>
            <w:tcW w:w="780" w:type="dxa"/>
            <w:vAlign w:val="bottom"/>
          </w:tcPr>
          <w:p>
            <w:pPr>
              <w:jc w:val="right"/>
              <w:spacing w:after="0"/>
              <w:rPr>
                <w:sz w:val="20"/>
                <w:szCs w:val="20"/>
                <w:color w:val="auto"/>
              </w:rPr>
            </w:pPr>
            <w:r>
              <w:rPr>
                <w:rFonts w:ascii="Arial" w:cs="Arial" w:eastAsia="Arial" w:hAnsi="Arial"/>
                <w:sz w:val="14"/>
                <w:szCs w:val="14"/>
                <w:color w:val="auto"/>
              </w:rPr>
              <w:t>1,999,915</w:t>
            </w:r>
          </w:p>
        </w:tc>
        <w:tc>
          <w:tcPr>
            <w:tcW w:w="220" w:type="dxa"/>
            <w:vAlign w:val="bottom"/>
          </w:tcPr>
          <w:p>
            <w:pPr>
              <w:jc w:val="right"/>
              <w:ind w:right="31"/>
              <w:spacing w:after="0"/>
              <w:rPr>
                <w:sz w:val="20"/>
                <w:szCs w:val="20"/>
                <w:color w:val="auto"/>
              </w:rPr>
            </w:pPr>
            <w:r>
              <w:rPr>
                <w:rFonts w:ascii="Arial" w:cs="Arial" w:eastAsia="Arial" w:hAnsi="Arial"/>
                <w:sz w:val="9"/>
                <w:szCs w:val="9"/>
                <w:color w:val="auto"/>
              </w:rPr>
              <w:t>9</w:t>
            </w: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left="430"/>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1,185</w:t>
            </w:r>
          </w:p>
        </w:tc>
        <w:tc>
          <w:tcPr>
            <w:tcW w:w="340" w:type="dxa"/>
            <w:vAlign w:val="bottom"/>
          </w:tcPr>
          <w:p>
            <w:pPr>
              <w:jc w:val="right"/>
              <w:ind w:right="149"/>
              <w:spacing w:after="0"/>
              <w:rPr>
                <w:sz w:val="20"/>
                <w:szCs w:val="20"/>
                <w:color w:val="auto"/>
              </w:rPr>
            </w:pPr>
            <w:r>
              <w:rPr>
                <w:rFonts w:ascii="Arial" w:cs="Arial" w:eastAsia="Arial" w:hAnsi="Arial"/>
                <w:sz w:val="9"/>
                <w:szCs w:val="9"/>
                <w:color w:val="auto"/>
              </w:rPr>
              <w:t>7</w:t>
            </w:r>
          </w:p>
        </w:tc>
        <w:tc>
          <w:tcPr>
            <w:tcW w:w="780" w:type="dxa"/>
            <w:vAlign w:val="bottom"/>
          </w:tcPr>
          <w:p>
            <w:pPr>
              <w:jc w:val="right"/>
              <w:spacing w:after="0"/>
              <w:rPr>
                <w:sz w:val="20"/>
                <w:szCs w:val="20"/>
                <w:color w:val="auto"/>
              </w:rPr>
            </w:pPr>
            <w:r>
              <w:rPr>
                <w:rFonts w:ascii="Arial" w:cs="Arial" w:eastAsia="Arial" w:hAnsi="Arial"/>
                <w:sz w:val="14"/>
                <w:szCs w:val="14"/>
                <w:color w:val="auto"/>
              </w:rPr>
              <w:t>914,666</w:t>
            </w:r>
          </w:p>
        </w:tc>
        <w:tc>
          <w:tcPr>
            <w:tcW w:w="220" w:type="dxa"/>
            <w:vAlign w:val="bottom"/>
          </w:tcPr>
          <w:p>
            <w:pPr>
              <w:jc w:val="right"/>
              <w:ind w:right="31"/>
              <w:spacing w:after="0"/>
              <w:rPr>
                <w:sz w:val="20"/>
                <w:szCs w:val="20"/>
                <w:color w:val="auto"/>
              </w:rPr>
            </w:pPr>
            <w:r>
              <w:rPr>
                <w:rFonts w:ascii="Arial" w:cs="Arial" w:eastAsia="Arial" w:hAnsi="Arial"/>
                <w:sz w:val="9"/>
                <w:szCs w:val="9"/>
                <w:color w:val="auto"/>
              </w:rPr>
              <w:t>9</w:t>
            </w: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left="430"/>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963</w:t>
            </w:r>
          </w:p>
        </w:tc>
        <w:tc>
          <w:tcPr>
            <w:tcW w:w="340" w:type="dxa"/>
            <w:vAlign w:val="bottom"/>
          </w:tcPr>
          <w:p>
            <w:pPr>
              <w:jc w:val="right"/>
              <w:ind w:right="149"/>
              <w:spacing w:after="0"/>
              <w:rPr>
                <w:sz w:val="20"/>
                <w:szCs w:val="20"/>
                <w:color w:val="auto"/>
              </w:rPr>
            </w:pPr>
            <w:r>
              <w:rPr>
                <w:rFonts w:ascii="Arial" w:cs="Arial" w:eastAsia="Arial" w:hAnsi="Arial"/>
                <w:sz w:val="9"/>
                <w:szCs w:val="9"/>
                <w:color w:val="auto"/>
              </w:rPr>
              <w:t>8</w:t>
            </w:r>
          </w:p>
        </w:tc>
        <w:tc>
          <w:tcPr>
            <w:tcW w:w="780" w:type="dxa"/>
            <w:vAlign w:val="bottom"/>
          </w:tcPr>
          <w:p>
            <w:pPr>
              <w:jc w:val="right"/>
              <w:spacing w:after="0"/>
              <w:rPr>
                <w:sz w:val="20"/>
                <w:szCs w:val="20"/>
                <w:color w:val="auto"/>
              </w:rPr>
            </w:pPr>
            <w:r>
              <w:rPr>
                <w:rFonts w:ascii="Arial" w:cs="Arial" w:eastAsia="Arial" w:hAnsi="Arial"/>
                <w:sz w:val="14"/>
                <w:szCs w:val="14"/>
                <w:color w:val="auto"/>
              </w:rPr>
              <w:t>743,311</w:t>
            </w:r>
          </w:p>
        </w:tc>
        <w:tc>
          <w:tcPr>
            <w:tcW w:w="220" w:type="dxa"/>
            <w:vAlign w:val="bottom"/>
          </w:tcPr>
          <w:p>
            <w:pPr>
              <w:jc w:val="right"/>
              <w:ind w:right="31"/>
              <w:spacing w:after="0"/>
              <w:rPr>
                <w:sz w:val="20"/>
                <w:szCs w:val="20"/>
                <w:color w:val="auto"/>
              </w:rPr>
            </w:pPr>
            <w:r>
              <w:rPr>
                <w:rFonts w:ascii="Arial" w:cs="Arial" w:eastAsia="Arial" w:hAnsi="Arial"/>
                <w:sz w:val="9"/>
                <w:szCs w:val="9"/>
                <w:color w:val="auto"/>
              </w:rPr>
              <w:t>9</w:t>
            </w: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000" w:type="dxa"/>
            <w:vAlign w:val="bottom"/>
            <w:tcBorders>
              <w:bottom w:val="single" w:sz="8" w:color="3B5AA4"/>
            </w:tcBorders>
          </w:tcPr>
          <w:p>
            <w:pPr>
              <w:ind w:left="560"/>
              <w:spacing w:after="0"/>
              <w:rPr>
                <w:sz w:val="20"/>
                <w:szCs w:val="20"/>
                <w:color w:val="auto"/>
              </w:rPr>
            </w:pPr>
            <w:r>
              <w:rPr>
                <w:rFonts w:ascii="Arial" w:cs="Arial" w:eastAsia="Arial" w:hAnsi="Arial"/>
                <w:sz w:val="13"/>
                <w:szCs w:val="13"/>
                <w:b w:val="1"/>
                <w:bCs w:val="1"/>
                <w:color w:val="auto"/>
                <w:w w:val="96"/>
              </w:rPr>
              <w:t>TOTAL</w:t>
            </w:r>
          </w:p>
        </w:tc>
        <w:tc>
          <w:tcPr>
            <w:tcW w:w="840" w:type="dxa"/>
            <w:vAlign w:val="bottom"/>
            <w:tcBorders>
              <w:bottom w:val="single" w:sz="8" w:color="3B5AA4"/>
            </w:tcBorders>
          </w:tcPr>
          <w:p>
            <w:pPr>
              <w:jc w:val="right"/>
              <w:spacing w:after="0"/>
              <w:rPr>
                <w:sz w:val="20"/>
                <w:szCs w:val="20"/>
                <w:color w:val="auto"/>
              </w:rPr>
            </w:pPr>
            <w:r>
              <w:rPr>
                <w:rFonts w:ascii="Arial" w:cs="Arial" w:eastAsia="Arial" w:hAnsi="Arial"/>
                <w:sz w:val="14"/>
                <w:szCs w:val="14"/>
                <w:b w:val="1"/>
                <w:bCs w:val="1"/>
                <w:color w:val="auto"/>
              </w:rPr>
              <w:t>72,123</w:t>
            </w:r>
          </w:p>
        </w:tc>
        <w:tc>
          <w:tcPr>
            <w:tcW w:w="740" w:type="dxa"/>
            <w:vAlign w:val="bottom"/>
            <w:tcBorders>
              <w:bottom w:val="single" w:sz="8" w:color="3B5AA4"/>
            </w:tcBorders>
          </w:tcPr>
          <w:p>
            <w:pPr>
              <w:jc w:val="right"/>
              <w:spacing w:after="0"/>
              <w:rPr>
                <w:sz w:val="20"/>
                <w:szCs w:val="20"/>
                <w:color w:val="auto"/>
              </w:rPr>
            </w:pPr>
            <w:r>
              <w:rPr>
                <w:rFonts w:ascii="Arial" w:cs="Arial" w:eastAsia="Arial" w:hAnsi="Arial"/>
                <w:sz w:val="14"/>
                <w:szCs w:val="14"/>
                <w:b w:val="1"/>
                <w:bCs w:val="1"/>
                <w:color w:val="auto"/>
              </w:rPr>
              <w:t>28,434</w:t>
            </w:r>
          </w:p>
        </w:tc>
        <w:tc>
          <w:tcPr>
            <w:tcW w:w="220" w:type="dxa"/>
            <w:vAlign w:val="bottom"/>
            <w:tcBorders>
              <w:bottom w:val="single" w:sz="8" w:color="3B5AA4"/>
            </w:tcBorders>
          </w:tcPr>
          <w:p>
            <w:pPr>
              <w:spacing w:after="0"/>
              <w:rPr>
                <w:sz w:val="19"/>
                <w:szCs w:val="19"/>
                <w:color w:val="auto"/>
              </w:rPr>
            </w:pPr>
          </w:p>
        </w:tc>
        <w:tc>
          <w:tcPr>
            <w:tcW w:w="800" w:type="dxa"/>
            <w:vAlign w:val="bottom"/>
            <w:tcBorders>
              <w:bottom w:val="single" w:sz="8" w:color="3B5AA4"/>
            </w:tcBorders>
          </w:tcPr>
          <w:p>
            <w:pPr>
              <w:spacing w:after="0"/>
              <w:rPr>
                <w:sz w:val="19"/>
                <w:szCs w:val="19"/>
                <w:color w:val="auto"/>
              </w:rPr>
            </w:pPr>
          </w:p>
        </w:tc>
        <w:tc>
          <w:tcPr>
            <w:tcW w:w="580" w:type="dxa"/>
            <w:vAlign w:val="bottom"/>
            <w:tcBorders>
              <w:bottom w:val="single" w:sz="8" w:color="3B5AA4"/>
            </w:tcBorders>
          </w:tcPr>
          <w:p>
            <w:pPr>
              <w:spacing w:after="0"/>
              <w:rPr>
                <w:sz w:val="19"/>
                <w:szCs w:val="19"/>
                <w:color w:val="auto"/>
              </w:rPr>
            </w:pPr>
          </w:p>
        </w:tc>
        <w:tc>
          <w:tcPr>
            <w:tcW w:w="820" w:type="dxa"/>
            <w:vAlign w:val="bottom"/>
            <w:tcBorders>
              <w:bottom w:val="single" w:sz="8" w:color="3B5AA4"/>
            </w:tcBorders>
          </w:tcPr>
          <w:p>
            <w:pPr>
              <w:spacing w:after="0"/>
              <w:rPr>
                <w:sz w:val="19"/>
                <w:szCs w:val="19"/>
                <w:color w:val="auto"/>
              </w:rPr>
            </w:pPr>
          </w:p>
        </w:tc>
        <w:tc>
          <w:tcPr>
            <w:tcW w:w="60" w:type="dxa"/>
            <w:vAlign w:val="bottom"/>
            <w:tcBorders>
              <w:bottom w:val="single" w:sz="8" w:color="3B5AA4"/>
            </w:tcBorders>
          </w:tcPr>
          <w:p>
            <w:pPr>
              <w:spacing w:after="0"/>
              <w:rPr>
                <w:sz w:val="19"/>
                <w:szCs w:val="19"/>
                <w:color w:val="auto"/>
              </w:rPr>
            </w:pPr>
          </w:p>
        </w:tc>
        <w:tc>
          <w:tcPr>
            <w:tcW w:w="600" w:type="dxa"/>
            <w:vAlign w:val="bottom"/>
            <w:tcBorders>
              <w:bottom w:val="single" w:sz="8" w:color="3B5AA4"/>
            </w:tcBorders>
          </w:tcPr>
          <w:p>
            <w:pPr>
              <w:jc w:val="right"/>
              <w:spacing w:after="0"/>
              <w:rPr>
                <w:sz w:val="20"/>
                <w:szCs w:val="20"/>
                <w:color w:val="auto"/>
              </w:rPr>
            </w:pPr>
            <w:r>
              <w:rPr>
                <w:rFonts w:ascii="Arial" w:cs="Arial" w:eastAsia="Arial" w:hAnsi="Arial"/>
                <w:sz w:val="14"/>
                <w:szCs w:val="14"/>
                <w:b w:val="1"/>
                <w:bCs w:val="1"/>
                <w:color w:val="auto"/>
              </w:rPr>
              <w:t>7,766</w:t>
            </w:r>
          </w:p>
        </w:tc>
        <w:tc>
          <w:tcPr>
            <w:tcW w:w="340" w:type="dxa"/>
            <w:vAlign w:val="bottom"/>
            <w:tcBorders>
              <w:bottom w:val="single" w:sz="8" w:color="3B5AA4"/>
            </w:tcBorders>
          </w:tcPr>
          <w:p>
            <w:pPr>
              <w:spacing w:after="0"/>
              <w:rPr>
                <w:sz w:val="19"/>
                <w:szCs w:val="19"/>
                <w:color w:val="auto"/>
              </w:rPr>
            </w:pPr>
          </w:p>
        </w:tc>
        <w:tc>
          <w:tcPr>
            <w:tcW w:w="780" w:type="dxa"/>
            <w:vAlign w:val="bottom"/>
            <w:tcBorders>
              <w:bottom w:val="single" w:sz="8" w:color="3B5AA4"/>
            </w:tcBorders>
          </w:tcPr>
          <w:p>
            <w:pPr>
              <w:jc w:val="right"/>
              <w:spacing w:after="0"/>
              <w:rPr>
                <w:sz w:val="20"/>
                <w:szCs w:val="20"/>
                <w:color w:val="auto"/>
              </w:rPr>
            </w:pPr>
            <w:r>
              <w:rPr>
                <w:rFonts w:ascii="Arial" w:cs="Arial" w:eastAsia="Arial" w:hAnsi="Arial"/>
                <w:sz w:val="14"/>
                <w:szCs w:val="14"/>
                <w:b w:val="1"/>
                <w:bCs w:val="1"/>
                <w:color w:val="auto"/>
              </w:rPr>
              <w:t>5,994,342</w:t>
            </w:r>
          </w:p>
        </w:tc>
        <w:tc>
          <w:tcPr>
            <w:tcW w:w="220" w:type="dxa"/>
            <w:vAlign w:val="bottom"/>
            <w:tcBorders>
              <w:bottom w:val="single" w:sz="8" w:color="3B5AA4"/>
            </w:tcBorders>
          </w:tcPr>
          <w:p>
            <w:pPr>
              <w:spacing w:after="0"/>
              <w:rPr>
                <w:sz w:val="19"/>
                <w:szCs w:val="19"/>
                <w:color w:val="auto"/>
              </w:rPr>
            </w:pPr>
          </w:p>
        </w:tc>
        <w:tc>
          <w:tcPr>
            <w:tcW w:w="880" w:type="dxa"/>
            <w:vAlign w:val="bottom"/>
            <w:tcBorders>
              <w:bottom w:val="single" w:sz="8" w:color="3B5AA4"/>
            </w:tcBorders>
          </w:tcPr>
          <w:p>
            <w:pPr>
              <w:spacing w:after="0"/>
              <w:rPr>
                <w:sz w:val="19"/>
                <w:szCs w:val="19"/>
                <w:color w:val="auto"/>
              </w:rPr>
            </w:pPr>
          </w:p>
        </w:tc>
        <w:tc>
          <w:tcPr>
            <w:tcW w:w="880" w:type="dxa"/>
            <w:vAlign w:val="bottom"/>
            <w:tcBorders>
              <w:bottom w:val="single" w:sz="8" w:color="3B5AA4"/>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82</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91" w:name="page92"/>
    <w:bookmarkEnd w:id="91"/>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0"/>
        <w:spacing w:after="0"/>
        <w:tabs>
          <w:tab w:leader="none" w:pos="1500" w:val="left"/>
          <w:tab w:leader="none" w:pos="2360" w:val="left"/>
          <w:tab w:leader="none" w:pos="3380" w:val="left"/>
          <w:tab w:leader="none" w:pos="4120" w:val="left"/>
          <w:tab w:leader="none" w:pos="4840" w:val="left"/>
          <w:tab w:leader="none" w:pos="5580" w:val="left"/>
          <w:tab w:leader="none" w:pos="6520" w:val="left"/>
          <w:tab w:leader="none" w:pos="7540" w:val="left"/>
          <w:tab w:leader="none" w:pos="8380" w:val="left"/>
        </w:tabs>
        <w:rPr>
          <w:sz w:val="20"/>
          <w:szCs w:val="20"/>
          <w:color w:val="auto"/>
        </w:rPr>
      </w:pPr>
      <w:r>
        <w:rPr>
          <w:rFonts w:ascii="Arial" w:cs="Arial" w:eastAsia="Arial" w:hAnsi="Arial"/>
          <w:sz w:val="14"/>
          <w:szCs w:val="14"/>
          <w:b w:val="1"/>
          <w:bCs w:val="1"/>
          <w:color w:val="065BAA"/>
        </w:rPr>
        <w:t>A</w:t>
      </w:r>
      <w:r>
        <w:rPr>
          <w:sz w:val="20"/>
          <w:szCs w:val="20"/>
          <w:color w:val="auto"/>
        </w:rPr>
        <w:tab/>
      </w:r>
      <w:r>
        <w:rPr>
          <w:rFonts w:ascii="Arial" w:cs="Arial" w:eastAsia="Arial" w:hAnsi="Arial"/>
          <w:sz w:val="14"/>
          <w:szCs w:val="14"/>
          <w:b w:val="1"/>
          <w:bCs w:val="1"/>
          <w:color w:val="065BAA"/>
        </w:rPr>
        <w:t>B</w:t>
      </w:r>
      <w:r>
        <w:rPr>
          <w:sz w:val="20"/>
          <w:szCs w:val="20"/>
          <w:color w:val="auto"/>
        </w:rPr>
        <w:tab/>
      </w:r>
      <w:r>
        <w:rPr>
          <w:rFonts w:ascii="Arial" w:cs="Arial" w:eastAsia="Arial" w:hAnsi="Arial"/>
          <w:sz w:val="14"/>
          <w:szCs w:val="14"/>
          <w:b w:val="1"/>
          <w:bCs w:val="1"/>
          <w:color w:val="065BAA"/>
        </w:rPr>
        <w:t>C</w:t>
      </w:r>
      <w:r>
        <w:rPr>
          <w:sz w:val="20"/>
          <w:szCs w:val="20"/>
          <w:color w:val="auto"/>
        </w:rPr>
        <w:tab/>
      </w:r>
      <w:r>
        <w:rPr>
          <w:rFonts w:ascii="Arial" w:cs="Arial" w:eastAsia="Arial" w:hAnsi="Arial"/>
          <w:sz w:val="14"/>
          <w:szCs w:val="14"/>
          <w:b w:val="1"/>
          <w:bCs w:val="1"/>
          <w:color w:val="065BAA"/>
        </w:rPr>
        <w:t>D</w:t>
      </w:r>
      <w:r>
        <w:rPr>
          <w:sz w:val="20"/>
          <w:szCs w:val="20"/>
          <w:color w:val="auto"/>
        </w:rPr>
        <w:tab/>
      </w:r>
      <w:r>
        <w:rPr>
          <w:rFonts w:ascii="Arial" w:cs="Arial" w:eastAsia="Arial" w:hAnsi="Arial"/>
          <w:sz w:val="14"/>
          <w:szCs w:val="14"/>
          <w:b w:val="1"/>
          <w:bCs w:val="1"/>
          <w:color w:val="065BAA"/>
        </w:rPr>
        <w:t>E</w:t>
      </w:r>
      <w:r>
        <w:rPr>
          <w:sz w:val="20"/>
          <w:szCs w:val="20"/>
          <w:color w:val="auto"/>
        </w:rPr>
        <w:tab/>
      </w:r>
      <w:r>
        <w:rPr>
          <w:rFonts w:ascii="Arial" w:cs="Arial" w:eastAsia="Arial" w:hAnsi="Arial"/>
          <w:sz w:val="14"/>
          <w:szCs w:val="14"/>
          <w:b w:val="1"/>
          <w:bCs w:val="1"/>
          <w:color w:val="065BAA"/>
        </w:rPr>
        <w:t>F</w:t>
      </w:r>
      <w:r>
        <w:rPr>
          <w:sz w:val="20"/>
          <w:szCs w:val="20"/>
          <w:color w:val="auto"/>
        </w:rPr>
        <w:tab/>
      </w:r>
      <w:r>
        <w:rPr>
          <w:rFonts w:ascii="Arial" w:cs="Arial" w:eastAsia="Arial" w:hAnsi="Arial"/>
          <w:sz w:val="14"/>
          <w:szCs w:val="14"/>
          <w:b w:val="1"/>
          <w:bCs w:val="1"/>
          <w:color w:val="065BAA"/>
        </w:rPr>
        <w:t>G</w:t>
      </w:r>
      <w:r>
        <w:rPr>
          <w:sz w:val="20"/>
          <w:szCs w:val="20"/>
          <w:color w:val="auto"/>
        </w:rPr>
        <w:tab/>
      </w:r>
      <w:r>
        <w:rPr>
          <w:rFonts w:ascii="Arial" w:cs="Arial" w:eastAsia="Arial" w:hAnsi="Arial"/>
          <w:sz w:val="14"/>
          <w:szCs w:val="14"/>
          <w:b w:val="1"/>
          <w:bCs w:val="1"/>
          <w:color w:val="065BAA"/>
        </w:rPr>
        <w:t>H</w:t>
      </w:r>
      <w:r>
        <w:rPr>
          <w:sz w:val="20"/>
          <w:szCs w:val="20"/>
          <w:color w:val="auto"/>
        </w:rPr>
        <w:tab/>
      </w:r>
      <w:r>
        <w:rPr>
          <w:rFonts w:ascii="Arial" w:cs="Arial" w:eastAsia="Arial" w:hAnsi="Arial"/>
          <w:sz w:val="14"/>
          <w:szCs w:val="14"/>
          <w:b w:val="1"/>
          <w:bCs w:val="1"/>
          <w:color w:val="065BAA"/>
        </w:rPr>
        <w:t>I</w:t>
      </w:r>
      <w:r>
        <w:rPr>
          <w:sz w:val="20"/>
          <w:szCs w:val="20"/>
          <w:color w:val="auto"/>
        </w:rPr>
        <w:tab/>
      </w:r>
      <w:r>
        <w:rPr>
          <w:rFonts w:ascii="Arial" w:cs="Arial" w:eastAsia="Arial" w:hAnsi="Arial"/>
          <w:sz w:val="14"/>
          <w:szCs w:val="14"/>
          <w:b w:val="1"/>
          <w:bCs w:val="1"/>
          <w:color w:val="065BAA"/>
        </w:rPr>
        <w:t>J</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065BAA"/>
        </w:rPr>
        <w:t>Name</w:t>
      </w:r>
    </w:p>
    <w:p>
      <w:pPr>
        <w:spacing w:after="0" w:line="43" w:lineRule="exact"/>
        <w:rPr>
          <w:sz w:val="20"/>
          <w:szCs w:val="20"/>
          <w:color w:val="auto"/>
        </w:rPr>
      </w:pPr>
    </w:p>
    <w:p>
      <w:pPr>
        <w:ind w:left="200" w:right="140"/>
        <w:spacing w:after="0" w:line="274" w:lineRule="auto"/>
        <w:rPr>
          <w:sz w:val="20"/>
          <w:szCs w:val="20"/>
          <w:color w:val="auto"/>
        </w:rPr>
      </w:pPr>
      <w:r>
        <w:rPr>
          <w:rFonts w:ascii="Arial" w:cs="Arial" w:eastAsia="Arial" w:hAnsi="Arial"/>
          <w:sz w:val="13"/>
          <w:szCs w:val="13"/>
          <w:b w:val="1"/>
          <w:bCs w:val="1"/>
          <w:color w:val="auto"/>
        </w:rPr>
        <w:t>Daniel P. Van Plew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TOTAL</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Andrew J.</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Murphy,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840" w:type="dxa"/>
            <w:vAlign w:val="bottom"/>
            <w:tcBorders>
              <w:bottom w:val="single" w:sz="8" w:color="3B5AA4"/>
            </w:tcBorders>
          </w:tcPr>
          <w:p>
            <w:pPr>
              <w:spacing w:after="0"/>
              <w:rPr>
                <w:sz w:val="13"/>
                <w:szCs w:val="13"/>
                <w:color w:val="auto"/>
              </w:rPr>
            </w:pPr>
          </w:p>
        </w:tc>
        <w:tc>
          <w:tcPr>
            <w:tcW w:w="800" w:type="dxa"/>
            <w:vAlign w:val="bottom"/>
            <w:tcBorders>
              <w:bottom w:val="single" w:sz="8" w:color="3B5AA4"/>
            </w:tcBorders>
          </w:tcPr>
          <w:p>
            <w:pPr>
              <w:spacing w:after="0"/>
              <w:rPr>
                <w:sz w:val="13"/>
                <w:szCs w:val="13"/>
                <w:color w:val="auto"/>
              </w:rPr>
            </w:pPr>
          </w:p>
        </w:tc>
        <w:tc>
          <w:tcPr>
            <w:tcW w:w="1080" w:type="dxa"/>
            <w:vAlign w:val="bottom"/>
            <w:tcBorders>
              <w:bottom w:val="single" w:sz="8" w:color="3B5AA4"/>
            </w:tcBorders>
            <w:gridSpan w:val="2"/>
          </w:tcPr>
          <w:p>
            <w:pPr>
              <w:jc w:val="right"/>
              <w:ind w:right="172"/>
              <w:spacing w:after="0"/>
              <w:rPr>
                <w:sz w:val="20"/>
                <w:szCs w:val="20"/>
                <w:color w:val="auto"/>
              </w:rPr>
            </w:pPr>
            <w:r>
              <w:rPr>
                <w:rFonts w:ascii="Arial" w:cs="Arial" w:eastAsia="Arial" w:hAnsi="Arial"/>
                <w:sz w:val="12"/>
                <w:szCs w:val="12"/>
                <w:b w:val="1"/>
                <w:bCs w:val="1"/>
                <w:color w:val="065BAA"/>
                <w:w w:val="96"/>
              </w:rPr>
              <w:t>Option Awards</w:t>
            </w:r>
          </w:p>
        </w:tc>
        <w:tc>
          <w:tcPr>
            <w:tcW w:w="620" w:type="dxa"/>
            <w:vAlign w:val="bottom"/>
            <w:tcBorders>
              <w:bottom w:val="single" w:sz="8" w:color="3B5AA4"/>
            </w:tcBorders>
          </w:tcPr>
          <w:p>
            <w:pPr>
              <w:spacing w:after="0"/>
              <w:rPr>
                <w:sz w:val="13"/>
                <w:szCs w:val="13"/>
                <w:color w:val="auto"/>
              </w:rPr>
            </w:pPr>
          </w:p>
        </w:tc>
        <w:tc>
          <w:tcPr>
            <w:tcW w:w="820" w:type="dxa"/>
            <w:vAlign w:val="bottom"/>
            <w:tcBorders>
              <w:bottom w:val="single" w:sz="8" w:color="3B5AA4"/>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bottom w:val="single" w:sz="8" w:color="3B5AA4"/>
            </w:tcBorders>
          </w:tcPr>
          <w:p>
            <w:pPr>
              <w:spacing w:after="0"/>
              <w:rPr>
                <w:sz w:val="13"/>
                <w:szCs w:val="13"/>
                <w:color w:val="auto"/>
              </w:rPr>
            </w:pPr>
          </w:p>
        </w:tc>
        <w:tc>
          <w:tcPr>
            <w:tcW w:w="240" w:type="dxa"/>
            <w:vAlign w:val="bottom"/>
            <w:tcBorders>
              <w:bottom w:val="single" w:sz="8" w:color="3B5AA4"/>
            </w:tcBorders>
          </w:tcPr>
          <w:p>
            <w:pPr>
              <w:spacing w:after="0"/>
              <w:rPr>
                <w:sz w:val="13"/>
                <w:szCs w:val="13"/>
                <w:color w:val="auto"/>
              </w:rPr>
            </w:pPr>
          </w:p>
        </w:tc>
        <w:tc>
          <w:tcPr>
            <w:tcW w:w="1880" w:type="dxa"/>
            <w:vAlign w:val="bottom"/>
            <w:tcBorders>
              <w:bottom w:val="single" w:sz="8" w:color="3B5AA4"/>
            </w:tcBorders>
            <w:gridSpan w:val="3"/>
          </w:tcPr>
          <w:p>
            <w:pPr>
              <w:jc w:val="right"/>
              <w:ind w:right="472"/>
              <w:spacing w:after="0"/>
              <w:rPr>
                <w:sz w:val="20"/>
                <w:szCs w:val="20"/>
                <w:color w:val="auto"/>
              </w:rPr>
            </w:pPr>
            <w:r>
              <w:rPr>
                <w:rFonts w:ascii="Arial" w:cs="Arial" w:eastAsia="Arial" w:hAnsi="Arial"/>
                <w:sz w:val="12"/>
                <w:szCs w:val="12"/>
                <w:b w:val="1"/>
                <w:bCs w:val="1"/>
                <w:color w:val="065BAA"/>
              </w:rPr>
              <w:t>Stock Awards</w:t>
            </w:r>
          </w:p>
        </w:tc>
        <w:tc>
          <w:tcPr>
            <w:tcW w:w="840" w:type="dxa"/>
            <w:vAlign w:val="bottom"/>
            <w:tcBorders>
              <w:bottom w:val="single" w:sz="8" w:color="3B5AA4"/>
            </w:tcBorders>
          </w:tcPr>
          <w:p>
            <w:pPr>
              <w:spacing w:after="0"/>
              <w:rPr>
                <w:sz w:val="13"/>
                <w:szCs w:val="13"/>
                <w:color w:val="auto"/>
              </w:rPr>
            </w:pPr>
          </w:p>
        </w:tc>
      </w:tr>
      <w:tr>
        <w:trPr>
          <w:trHeight w:val="159"/>
        </w:trPr>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12"/>
              <w:spacing w:after="0"/>
              <w:rPr>
                <w:sz w:val="20"/>
                <w:szCs w:val="20"/>
                <w:color w:val="auto"/>
              </w:rPr>
            </w:pPr>
            <w:r>
              <w:rPr>
                <w:rFonts w:ascii="Arial" w:cs="Arial" w:eastAsia="Arial" w:hAnsi="Arial"/>
                <w:sz w:val="12"/>
                <w:szCs w:val="12"/>
                <w:b w:val="1"/>
                <w:bCs w:val="1"/>
                <w:color w:val="065BAA"/>
              </w:rPr>
              <w:t>Equity</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065BAA"/>
              </w:rPr>
              <w:t>Equity</w:t>
            </w:r>
          </w:p>
        </w:tc>
      </w:tr>
      <w:tr>
        <w:trPr>
          <w:trHeight w:val="135"/>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12"/>
              <w:spacing w:after="0" w:line="135" w:lineRule="exact"/>
              <w:rPr>
                <w:sz w:val="20"/>
                <w:szCs w:val="20"/>
                <w:color w:val="auto"/>
              </w:rPr>
            </w:pPr>
            <w:r>
              <w:rPr>
                <w:rFonts w:ascii="Arial" w:cs="Arial" w:eastAsia="Arial" w:hAnsi="Arial"/>
                <w:sz w:val="12"/>
                <w:szCs w:val="12"/>
                <w:b w:val="1"/>
                <w:bCs w:val="1"/>
                <w:color w:val="065BAA"/>
              </w:rPr>
              <w:t>incentive</w:t>
            </w:r>
          </w:p>
        </w:tc>
        <w:tc>
          <w:tcPr>
            <w:tcW w:w="84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incentive</w:t>
            </w:r>
          </w:p>
        </w:tc>
      </w:tr>
      <w:tr>
        <w:trPr>
          <w:trHeight w:val="148"/>
        </w:trPr>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065BAA"/>
              </w:rPr>
              <w:t>Equity</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12"/>
              <w:spacing w:after="0"/>
              <w:rPr>
                <w:sz w:val="20"/>
                <w:szCs w:val="20"/>
                <w:color w:val="auto"/>
              </w:rPr>
            </w:pPr>
            <w:r>
              <w:rPr>
                <w:rFonts w:ascii="Arial" w:cs="Arial" w:eastAsia="Arial" w:hAnsi="Arial"/>
                <w:sz w:val="12"/>
                <w:szCs w:val="12"/>
                <w:b w:val="1"/>
                <w:bCs w:val="1"/>
                <w:color w:val="065BAA"/>
              </w:rPr>
              <w:t>plan awards:</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065BAA"/>
              </w:rPr>
              <w:t>plan awards:</w:t>
            </w:r>
          </w:p>
        </w:tc>
      </w:tr>
      <w:tr>
        <w:trPr>
          <w:trHeight w:val="135"/>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incentive</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12"/>
              <w:spacing w:after="0" w:line="135" w:lineRule="exact"/>
              <w:rPr>
                <w:sz w:val="20"/>
                <w:szCs w:val="20"/>
                <w:color w:val="auto"/>
              </w:rPr>
            </w:pPr>
            <w:r>
              <w:rPr>
                <w:rFonts w:ascii="Arial" w:cs="Arial" w:eastAsia="Arial" w:hAnsi="Arial"/>
                <w:sz w:val="12"/>
                <w:szCs w:val="12"/>
                <w:b w:val="1"/>
                <w:bCs w:val="1"/>
                <w:color w:val="065BAA"/>
              </w:rPr>
              <w:t>number of</w:t>
            </w:r>
          </w:p>
        </w:tc>
        <w:tc>
          <w:tcPr>
            <w:tcW w:w="84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market or</w:t>
            </w:r>
          </w:p>
        </w:tc>
      </w:tr>
      <w:tr>
        <w:trPr>
          <w:trHeight w:val="135"/>
        </w:trPr>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plan awards:</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Number</w:t>
            </w:r>
          </w:p>
        </w:tc>
        <w:tc>
          <w:tcPr>
            <w:tcW w:w="98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Market</w:t>
            </w:r>
          </w:p>
        </w:tc>
        <w:tc>
          <w:tcPr>
            <w:tcW w:w="900" w:type="dxa"/>
            <w:vAlign w:val="bottom"/>
          </w:tcPr>
          <w:p>
            <w:pPr>
              <w:jc w:val="right"/>
              <w:ind w:right="12"/>
              <w:spacing w:after="0" w:line="135" w:lineRule="exact"/>
              <w:rPr>
                <w:sz w:val="20"/>
                <w:szCs w:val="20"/>
                <w:color w:val="auto"/>
              </w:rPr>
            </w:pPr>
            <w:r>
              <w:rPr>
                <w:rFonts w:ascii="Arial" w:cs="Arial" w:eastAsia="Arial" w:hAnsi="Arial"/>
                <w:sz w:val="12"/>
                <w:szCs w:val="12"/>
                <w:b w:val="1"/>
                <w:bCs w:val="1"/>
                <w:color w:val="065BAA"/>
              </w:rPr>
              <w:t>unearned</w:t>
            </w:r>
          </w:p>
        </w:tc>
        <w:tc>
          <w:tcPr>
            <w:tcW w:w="84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payout value</w:t>
            </w:r>
          </w:p>
        </w:tc>
      </w:tr>
      <w:tr>
        <w:trPr>
          <w:trHeight w:val="148"/>
        </w:trPr>
        <w:tc>
          <w:tcPr>
            <w:tcW w:w="840" w:type="dxa"/>
            <w:vAlign w:val="bottom"/>
          </w:tcPr>
          <w:p>
            <w:pPr>
              <w:jc w:val="right"/>
              <w:spacing w:after="0"/>
              <w:rPr>
                <w:sz w:val="20"/>
                <w:szCs w:val="20"/>
                <w:color w:val="auto"/>
              </w:rPr>
            </w:pPr>
            <w:r>
              <w:rPr>
                <w:rFonts w:ascii="Arial" w:cs="Arial" w:eastAsia="Arial" w:hAnsi="Arial"/>
                <w:sz w:val="12"/>
                <w:szCs w:val="12"/>
                <w:b w:val="1"/>
                <w:bCs w:val="1"/>
                <w:color w:val="065BAA"/>
              </w:rPr>
              <w:t>Number of</w:t>
            </w:r>
          </w:p>
        </w:tc>
        <w:tc>
          <w:tcPr>
            <w:tcW w:w="1000" w:type="dxa"/>
            <w:vAlign w:val="bottom"/>
            <w:gridSpan w:val="2"/>
          </w:tcPr>
          <w:p>
            <w:pPr>
              <w:jc w:val="right"/>
              <w:spacing w:after="0"/>
              <w:rPr>
                <w:sz w:val="20"/>
                <w:szCs w:val="20"/>
                <w:color w:val="auto"/>
              </w:rPr>
            </w:pPr>
            <w:r>
              <w:rPr>
                <w:rFonts w:ascii="Arial" w:cs="Arial" w:eastAsia="Arial" w:hAnsi="Arial"/>
                <w:sz w:val="12"/>
                <w:szCs w:val="12"/>
                <w:b w:val="1"/>
                <w:bCs w:val="1"/>
                <w:color w:val="065BAA"/>
              </w:rPr>
              <w:t>Number of</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065BAA"/>
              </w:rPr>
              <w:t>number of</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b w:val="1"/>
                <w:bCs w:val="1"/>
                <w:color w:val="065BAA"/>
              </w:rPr>
              <w:t>of shares</w:t>
            </w:r>
          </w:p>
        </w:tc>
        <w:tc>
          <w:tcPr>
            <w:tcW w:w="980" w:type="dxa"/>
            <w:vAlign w:val="bottom"/>
            <w:gridSpan w:val="2"/>
          </w:tcPr>
          <w:p>
            <w:pPr>
              <w:jc w:val="right"/>
              <w:spacing w:after="0"/>
              <w:rPr>
                <w:sz w:val="20"/>
                <w:szCs w:val="20"/>
                <w:color w:val="auto"/>
              </w:rPr>
            </w:pPr>
            <w:r>
              <w:rPr>
                <w:rFonts w:ascii="Arial" w:cs="Arial" w:eastAsia="Arial" w:hAnsi="Arial"/>
                <w:sz w:val="12"/>
                <w:szCs w:val="12"/>
                <w:b w:val="1"/>
                <w:bCs w:val="1"/>
                <w:color w:val="065BAA"/>
              </w:rPr>
              <w:t>value</w:t>
            </w:r>
          </w:p>
        </w:tc>
        <w:tc>
          <w:tcPr>
            <w:tcW w:w="900" w:type="dxa"/>
            <w:vAlign w:val="bottom"/>
          </w:tcPr>
          <w:p>
            <w:pPr>
              <w:jc w:val="right"/>
              <w:ind w:right="12"/>
              <w:spacing w:after="0"/>
              <w:rPr>
                <w:sz w:val="20"/>
                <w:szCs w:val="20"/>
                <w:color w:val="auto"/>
              </w:rPr>
            </w:pPr>
            <w:r>
              <w:rPr>
                <w:rFonts w:ascii="Arial" w:cs="Arial" w:eastAsia="Arial" w:hAnsi="Arial"/>
                <w:sz w:val="12"/>
                <w:szCs w:val="12"/>
                <w:b w:val="1"/>
                <w:bCs w:val="1"/>
                <w:color w:val="065BAA"/>
              </w:rPr>
              <w:t>shares,</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065BAA"/>
              </w:rPr>
              <w:t>of unearned</w:t>
            </w:r>
          </w:p>
        </w:tc>
      </w:tr>
      <w:tr>
        <w:trPr>
          <w:trHeight w:val="135"/>
        </w:trPr>
        <w:tc>
          <w:tcPr>
            <w:tcW w:w="84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securities</w:t>
            </w:r>
          </w:p>
        </w:tc>
        <w:tc>
          <w:tcPr>
            <w:tcW w:w="10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securities</w:t>
            </w: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securities</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or units</w:t>
            </w:r>
          </w:p>
        </w:tc>
        <w:tc>
          <w:tcPr>
            <w:tcW w:w="98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of shares</w:t>
            </w:r>
          </w:p>
        </w:tc>
        <w:tc>
          <w:tcPr>
            <w:tcW w:w="900" w:type="dxa"/>
            <w:vAlign w:val="bottom"/>
          </w:tcPr>
          <w:p>
            <w:pPr>
              <w:jc w:val="right"/>
              <w:ind w:right="12"/>
              <w:spacing w:after="0" w:line="135" w:lineRule="exact"/>
              <w:rPr>
                <w:sz w:val="20"/>
                <w:szCs w:val="20"/>
                <w:color w:val="auto"/>
              </w:rPr>
            </w:pPr>
            <w:r>
              <w:rPr>
                <w:rFonts w:ascii="Arial" w:cs="Arial" w:eastAsia="Arial" w:hAnsi="Arial"/>
                <w:sz w:val="12"/>
                <w:szCs w:val="12"/>
                <w:b w:val="1"/>
                <w:bCs w:val="1"/>
                <w:color w:val="065BAA"/>
              </w:rPr>
              <w:t>units</w:t>
            </w:r>
          </w:p>
        </w:tc>
        <w:tc>
          <w:tcPr>
            <w:tcW w:w="84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shares,</w:t>
            </w:r>
          </w:p>
        </w:tc>
      </w:tr>
      <w:tr>
        <w:trPr>
          <w:trHeight w:val="148"/>
        </w:trPr>
        <w:tc>
          <w:tcPr>
            <w:tcW w:w="840" w:type="dxa"/>
            <w:vAlign w:val="bottom"/>
          </w:tcPr>
          <w:p>
            <w:pPr>
              <w:jc w:val="right"/>
              <w:spacing w:after="0"/>
              <w:rPr>
                <w:sz w:val="20"/>
                <w:szCs w:val="20"/>
                <w:color w:val="auto"/>
              </w:rPr>
            </w:pPr>
            <w:r>
              <w:rPr>
                <w:rFonts w:ascii="Arial" w:cs="Arial" w:eastAsia="Arial" w:hAnsi="Arial"/>
                <w:sz w:val="12"/>
                <w:szCs w:val="12"/>
                <w:b w:val="1"/>
                <w:bCs w:val="1"/>
                <w:color w:val="065BAA"/>
              </w:rPr>
              <w:t>underlying</w:t>
            </w:r>
          </w:p>
        </w:tc>
        <w:tc>
          <w:tcPr>
            <w:tcW w:w="1000" w:type="dxa"/>
            <w:vAlign w:val="bottom"/>
            <w:gridSpan w:val="2"/>
          </w:tcPr>
          <w:p>
            <w:pPr>
              <w:jc w:val="right"/>
              <w:spacing w:after="0"/>
              <w:rPr>
                <w:sz w:val="20"/>
                <w:szCs w:val="20"/>
                <w:color w:val="auto"/>
              </w:rPr>
            </w:pPr>
            <w:r>
              <w:rPr>
                <w:rFonts w:ascii="Arial" w:cs="Arial" w:eastAsia="Arial" w:hAnsi="Arial"/>
                <w:sz w:val="12"/>
                <w:szCs w:val="12"/>
                <w:b w:val="1"/>
                <w:bCs w:val="1"/>
                <w:color w:val="065BAA"/>
              </w:rPr>
              <w:t>underlying</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065BAA"/>
              </w:rPr>
              <w:t>underlying</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b w:val="1"/>
                <w:bCs w:val="1"/>
                <w:color w:val="065BAA"/>
              </w:rPr>
              <w:t>of stock</w:t>
            </w:r>
          </w:p>
        </w:tc>
        <w:tc>
          <w:tcPr>
            <w:tcW w:w="980" w:type="dxa"/>
            <w:vAlign w:val="bottom"/>
            <w:gridSpan w:val="2"/>
          </w:tcPr>
          <w:p>
            <w:pPr>
              <w:jc w:val="right"/>
              <w:spacing w:after="0"/>
              <w:rPr>
                <w:sz w:val="20"/>
                <w:szCs w:val="20"/>
                <w:color w:val="auto"/>
              </w:rPr>
            </w:pPr>
            <w:r>
              <w:rPr>
                <w:rFonts w:ascii="Arial" w:cs="Arial" w:eastAsia="Arial" w:hAnsi="Arial"/>
                <w:sz w:val="12"/>
                <w:szCs w:val="12"/>
                <w:b w:val="1"/>
                <w:bCs w:val="1"/>
                <w:color w:val="065BAA"/>
              </w:rPr>
              <w:t>or units</w:t>
            </w:r>
          </w:p>
        </w:tc>
        <w:tc>
          <w:tcPr>
            <w:tcW w:w="900" w:type="dxa"/>
            <w:vAlign w:val="bottom"/>
          </w:tcPr>
          <w:p>
            <w:pPr>
              <w:jc w:val="right"/>
              <w:ind w:right="12"/>
              <w:spacing w:after="0"/>
              <w:rPr>
                <w:sz w:val="20"/>
                <w:szCs w:val="20"/>
                <w:color w:val="auto"/>
              </w:rPr>
            </w:pPr>
            <w:r>
              <w:rPr>
                <w:rFonts w:ascii="Arial" w:cs="Arial" w:eastAsia="Arial" w:hAnsi="Arial"/>
                <w:sz w:val="12"/>
                <w:szCs w:val="12"/>
                <w:b w:val="1"/>
                <w:bCs w:val="1"/>
                <w:color w:val="065BAA"/>
              </w:rPr>
              <w:t>or other</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065BAA"/>
              </w:rPr>
              <w:t>units or</w:t>
            </w:r>
          </w:p>
        </w:tc>
      </w:tr>
      <w:tr>
        <w:trPr>
          <w:trHeight w:val="135"/>
        </w:trPr>
        <w:tc>
          <w:tcPr>
            <w:tcW w:w="84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unexercised</w:t>
            </w:r>
          </w:p>
        </w:tc>
        <w:tc>
          <w:tcPr>
            <w:tcW w:w="10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unexercised</w:t>
            </w: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unexercised</w:t>
            </w:r>
          </w:p>
        </w:tc>
        <w:tc>
          <w:tcPr>
            <w:tcW w:w="62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Option</w:t>
            </w: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that have</w:t>
            </w:r>
          </w:p>
        </w:tc>
        <w:tc>
          <w:tcPr>
            <w:tcW w:w="98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of stock</w:t>
            </w:r>
          </w:p>
        </w:tc>
        <w:tc>
          <w:tcPr>
            <w:tcW w:w="900" w:type="dxa"/>
            <w:vAlign w:val="bottom"/>
          </w:tcPr>
          <w:p>
            <w:pPr>
              <w:jc w:val="right"/>
              <w:ind w:right="12"/>
              <w:spacing w:after="0" w:line="135" w:lineRule="exact"/>
              <w:rPr>
                <w:sz w:val="20"/>
                <w:szCs w:val="20"/>
                <w:color w:val="auto"/>
              </w:rPr>
            </w:pPr>
            <w:r>
              <w:rPr>
                <w:rFonts w:ascii="Arial" w:cs="Arial" w:eastAsia="Arial" w:hAnsi="Arial"/>
                <w:sz w:val="12"/>
                <w:szCs w:val="12"/>
                <w:b w:val="1"/>
                <w:bCs w:val="1"/>
                <w:color w:val="065BAA"/>
              </w:rPr>
              <w:t>rights that</w:t>
            </w:r>
          </w:p>
        </w:tc>
        <w:tc>
          <w:tcPr>
            <w:tcW w:w="84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other rights</w:t>
            </w:r>
          </w:p>
        </w:tc>
      </w:tr>
      <w:tr>
        <w:trPr>
          <w:trHeight w:val="135"/>
        </w:trPr>
        <w:tc>
          <w:tcPr>
            <w:tcW w:w="84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options</w:t>
            </w:r>
          </w:p>
        </w:tc>
        <w:tc>
          <w:tcPr>
            <w:tcW w:w="10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options</w:t>
            </w: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unearned</w:t>
            </w:r>
          </w:p>
        </w:tc>
        <w:tc>
          <w:tcPr>
            <w:tcW w:w="62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exercise</w:t>
            </w:r>
          </w:p>
        </w:tc>
        <w:tc>
          <w:tcPr>
            <w:tcW w:w="82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Option</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jc w:val="center"/>
              <w:spacing w:after="0" w:line="135" w:lineRule="exact"/>
              <w:rPr>
                <w:sz w:val="20"/>
                <w:szCs w:val="20"/>
                <w:color w:val="auto"/>
              </w:rPr>
            </w:pPr>
            <w:r>
              <w:rPr>
                <w:rFonts w:ascii="Arial" w:cs="Arial" w:eastAsia="Arial" w:hAnsi="Arial"/>
                <w:sz w:val="12"/>
                <w:szCs w:val="12"/>
                <w:b w:val="1"/>
                <w:bCs w:val="1"/>
                <w:color w:val="065BAA"/>
                <w:w w:val="96"/>
              </w:rPr>
              <w:t>not</w:t>
            </w:r>
          </w:p>
        </w:tc>
        <w:tc>
          <w:tcPr>
            <w:tcW w:w="98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that have</w:t>
            </w:r>
          </w:p>
        </w:tc>
        <w:tc>
          <w:tcPr>
            <w:tcW w:w="900" w:type="dxa"/>
            <w:vAlign w:val="bottom"/>
          </w:tcPr>
          <w:p>
            <w:pPr>
              <w:jc w:val="right"/>
              <w:ind w:right="12"/>
              <w:spacing w:after="0" w:line="135" w:lineRule="exact"/>
              <w:rPr>
                <w:sz w:val="20"/>
                <w:szCs w:val="20"/>
                <w:color w:val="auto"/>
              </w:rPr>
            </w:pPr>
            <w:r>
              <w:rPr>
                <w:rFonts w:ascii="Arial" w:cs="Arial" w:eastAsia="Arial" w:hAnsi="Arial"/>
                <w:sz w:val="12"/>
                <w:szCs w:val="12"/>
                <w:b w:val="1"/>
                <w:bCs w:val="1"/>
                <w:color w:val="065BAA"/>
              </w:rPr>
              <w:t>have not</w:t>
            </w:r>
          </w:p>
        </w:tc>
        <w:tc>
          <w:tcPr>
            <w:tcW w:w="84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that have</w:t>
            </w:r>
          </w:p>
        </w:tc>
      </w:tr>
      <w:tr>
        <w:trPr>
          <w:trHeight w:val="149"/>
        </w:trPr>
        <w:tc>
          <w:tcPr>
            <w:tcW w:w="840" w:type="dxa"/>
            <w:vAlign w:val="bottom"/>
          </w:tcPr>
          <w:p>
            <w:pPr>
              <w:jc w:val="right"/>
              <w:spacing w:after="0"/>
              <w:rPr>
                <w:sz w:val="20"/>
                <w:szCs w:val="20"/>
                <w:color w:val="auto"/>
              </w:rPr>
            </w:pPr>
            <w:r>
              <w:rPr>
                <w:rFonts w:ascii="Arial" w:cs="Arial" w:eastAsia="Arial" w:hAnsi="Arial"/>
                <w:sz w:val="12"/>
                <w:szCs w:val="12"/>
                <w:b w:val="1"/>
                <w:bCs w:val="1"/>
                <w:color w:val="065BAA"/>
              </w:rPr>
              <w:t>exercisable</w:t>
            </w:r>
          </w:p>
        </w:tc>
        <w:tc>
          <w:tcPr>
            <w:tcW w:w="1000" w:type="dxa"/>
            <w:vAlign w:val="bottom"/>
            <w:gridSpan w:val="2"/>
          </w:tcPr>
          <w:p>
            <w:pPr>
              <w:jc w:val="right"/>
              <w:spacing w:after="0"/>
              <w:rPr>
                <w:sz w:val="20"/>
                <w:szCs w:val="20"/>
                <w:color w:val="auto"/>
              </w:rPr>
            </w:pPr>
            <w:r>
              <w:rPr>
                <w:rFonts w:ascii="Arial" w:cs="Arial" w:eastAsia="Arial" w:hAnsi="Arial"/>
                <w:sz w:val="12"/>
                <w:szCs w:val="12"/>
                <w:b w:val="1"/>
                <w:bCs w:val="1"/>
                <w:color w:val="065BAA"/>
              </w:rPr>
              <w:t>unexercisable</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065BAA"/>
              </w:rPr>
              <w:t>options</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065BAA"/>
              </w:rPr>
              <w:t>price</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065BAA"/>
              </w:rPr>
              <w:t>expiration</w:t>
            </w:r>
          </w:p>
        </w:tc>
        <w:tc>
          <w:tcPr>
            <w:tcW w:w="4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b w:val="1"/>
                <w:bCs w:val="1"/>
                <w:color w:val="065BAA"/>
              </w:rPr>
              <w:t>vested</w:t>
            </w:r>
          </w:p>
        </w:tc>
        <w:tc>
          <w:tcPr>
            <w:tcW w:w="980" w:type="dxa"/>
            <w:vAlign w:val="bottom"/>
            <w:gridSpan w:val="2"/>
          </w:tcPr>
          <w:p>
            <w:pPr>
              <w:jc w:val="right"/>
              <w:spacing w:after="0"/>
              <w:rPr>
                <w:sz w:val="20"/>
                <w:szCs w:val="20"/>
                <w:color w:val="auto"/>
              </w:rPr>
            </w:pPr>
            <w:r>
              <w:rPr>
                <w:rFonts w:ascii="Arial" w:cs="Arial" w:eastAsia="Arial" w:hAnsi="Arial"/>
                <w:sz w:val="12"/>
                <w:szCs w:val="12"/>
                <w:b w:val="1"/>
                <w:bCs w:val="1"/>
                <w:color w:val="065BAA"/>
              </w:rPr>
              <w:t>not vested</w:t>
            </w:r>
          </w:p>
        </w:tc>
        <w:tc>
          <w:tcPr>
            <w:tcW w:w="900" w:type="dxa"/>
            <w:vAlign w:val="bottom"/>
          </w:tcPr>
          <w:p>
            <w:pPr>
              <w:jc w:val="right"/>
              <w:ind w:right="12"/>
              <w:spacing w:after="0"/>
              <w:rPr>
                <w:sz w:val="20"/>
                <w:szCs w:val="20"/>
                <w:color w:val="auto"/>
              </w:rPr>
            </w:pPr>
            <w:r>
              <w:rPr>
                <w:rFonts w:ascii="Arial" w:cs="Arial" w:eastAsia="Arial" w:hAnsi="Arial"/>
                <w:sz w:val="12"/>
                <w:szCs w:val="12"/>
                <w:b w:val="1"/>
                <w:bCs w:val="1"/>
                <w:color w:val="065BAA"/>
              </w:rPr>
              <w:t>vested</w:t>
            </w:r>
          </w:p>
        </w:tc>
        <w:tc>
          <w:tcPr>
            <w:tcW w:w="840" w:type="dxa"/>
            <w:vAlign w:val="bottom"/>
          </w:tcPr>
          <w:p>
            <w:pPr>
              <w:jc w:val="right"/>
              <w:spacing w:after="0"/>
              <w:rPr>
                <w:sz w:val="20"/>
                <w:szCs w:val="20"/>
                <w:color w:val="auto"/>
              </w:rPr>
            </w:pPr>
            <w:r>
              <w:rPr>
                <w:rFonts w:ascii="Arial" w:cs="Arial" w:eastAsia="Arial" w:hAnsi="Arial"/>
                <w:sz w:val="12"/>
                <w:szCs w:val="12"/>
                <w:b w:val="1"/>
                <w:bCs w:val="1"/>
                <w:color w:val="065BAA"/>
              </w:rPr>
              <w:t>not vested</w:t>
            </w:r>
          </w:p>
        </w:tc>
      </w:tr>
      <w:tr>
        <w:trPr>
          <w:trHeight w:val="158"/>
        </w:trPr>
        <w:tc>
          <w:tcPr>
            <w:tcW w:w="840" w:type="dxa"/>
            <w:vAlign w:val="bottom"/>
            <w:tcBorders>
              <w:bottom w:val="single" w:sz="8" w:color="065BAA"/>
            </w:tcBorders>
          </w:tcPr>
          <w:p>
            <w:pPr>
              <w:jc w:val="right"/>
              <w:spacing w:after="0"/>
              <w:rPr>
                <w:sz w:val="20"/>
                <w:szCs w:val="20"/>
                <w:color w:val="auto"/>
              </w:rPr>
            </w:pPr>
            <w:r>
              <w:rPr>
                <w:rFonts w:ascii="Arial" w:cs="Arial" w:eastAsia="Arial" w:hAnsi="Arial"/>
                <w:sz w:val="12"/>
                <w:szCs w:val="12"/>
                <w:b w:val="1"/>
                <w:bCs w:val="1"/>
                <w:color w:val="065BAA"/>
              </w:rPr>
              <w:t>(#)</w:t>
            </w:r>
          </w:p>
        </w:tc>
        <w:tc>
          <w:tcPr>
            <w:tcW w:w="800" w:type="dxa"/>
            <w:vAlign w:val="bottom"/>
            <w:tcBorders>
              <w:bottom w:val="single" w:sz="8" w:color="065BAA"/>
            </w:tcBorders>
          </w:tcPr>
          <w:p>
            <w:pPr>
              <w:spacing w:after="0"/>
              <w:rPr>
                <w:sz w:val="13"/>
                <w:szCs w:val="13"/>
                <w:color w:val="auto"/>
              </w:rPr>
            </w:pPr>
          </w:p>
        </w:tc>
        <w:tc>
          <w:tcPr>
            <w:tcW w:w="200" w:type="dxa"/>
            <w:vAlign w:val="bottom"/>
            <w:tcBorders>
              <w:bottom w:val="single" w:sz="8" w:color="065BAA"/>
            </w:tcBorders>
          </w:tcPr>
          <w:p>
            <w:pPr>
              <w:jc w:val="right"/>
              <w:spacing w:after="0"/>
              <w:rPr>
                <w:sz w:val="20"/>
                <w:szCs w:val="20"/>
                <w:color w:val="auto"/>
              </w:rPr>
            </w:pPr>
            <w:r>
              <w:rPr>
                <w:rFonts w:ascii="Arial" w:cs="Arial" w:eastAsia="Arial" w:hAnsi="Arial"/>
                <w:sz w:val="12"/>
                <w:szCs w:val="12"/>
                <w:b w:val="1"/>
                <w:bCs w:val="1"/>
                <w:color w:val="065BAA"/>
                <w:w w:val="95"/>
              </w:rPr>
              <w:t>(#)</w:t>
            </w:r>
          </w:p>
        </w:tc>
        <w:tc>
          <w:tcPr>
            <w:tcW w:w="880" w:type="dxa"/>
            <w:vAlign w:val="bottom"/>
            <w:tcBorders>
              <w:bottom w:val="single" w:sz="8" w:color="065BAA"/>
            </w:tcBorders>
          </w:tcPr>
          <w:p>
            <w:pPr>
              <w:jc w:val="right"/>
              <w:spacing w:after="0"/>
              <w:rPr>
                <w:sz w:val="20"/>
                <w:szCs w:val="20"/>
                <w:color w:val="auto"/>
              </w:rPr>
            </w:pPr>
            <w:r>
              <w:rPr>
                <w:rFonts w:ascii="Arial" w:cs="Arial" w:eastAsia="Arial" w:hAnsi="Arial"/>
                <w:sz w:val="12"/>
                <w:szCs w:val="12"/>
                <w:b w:val="1"/>
                <w:bCs w:val="1"/>
                <w:color w:val="065BAA"/>
              </w:rPr>
              <w:t>(#)</w:t>
            </w:r>
          </w:p>
        </w:tc>
        <w:tc>
          <w:tcPr>
            <w:tcW w:w="620" w:type="dxa"/>
            <w:vAlign w:val="bottom"/>
            <w:tcBorders>
              <w:bottom w:val="single" w:sz="8" w:color="3B5AA4"/>
            </w:tcBorders>
          </w:tcPr>
          <w:p>
            <w:pPr>
              <w:jc w:val="right"/>
              <w:spacing w:after="0"/>
              <w:rPr>
                <w:sz w:val="20"/>
                <w:szCs w:val="20"/>
                <w:color w:val="auto"/>
              </w:rPr>
            </w:pPr>
            <w:r>
              <w:rPr>
                <w:rFonts w:ascii="Arial" w:cs="Arial" w:eastAsia="Arial" w:hAnsi="Arial"/>
                <w:sz w:val="12"/>
                <w:szCs w:val="12"/>
                <w:b w:val="1"/>
                <w:bCs w:val="1"/>
                <w:color w:val="065BAA"/>
              </w:rPr>
              <w:t>($)</w:t>
            </w:r>
          </w:p>
        </w:tc>
        <w:tc>
          <w:tcPr>
            <w:tcW w:w="820" w:type="dxa"/>
            <w:vAlign w:val="bottom"/>
            <w:tcBorders>
              <w:bottom w:val="single" w:sz="8" w:color="065BAA"/>
            </w:tcBorders>
          </w:tcPr>
          <w:p>
            <w:pPr>
              <w:jc w:val="right"/>
              <w:spacing w:after="0"/>
              <w:rPr>
                <w:sz w:val="20"/>
                <w:szCs w:val="20"/>
                <w:color w:val="auto"/>
              </w:rPr>
            </w:pPr>
            <w:r>
              <w:rPr>
                <w:rFonts w:ascii="Arial" w:cs="Arial" w:eastAsia="Arial" w:hAnsi="Arial"/>
                <w:sz w:val="12"/>
                <w:szCs w:val="12"/>
                <w:b w:val="1"/>
                <w:bCs w:val="1"/>
                <w:color w:val="065BAA"/>
              </w:rPr>
              <w:t>date</w:t>
            </w:r>
          </w:p>
        </w:tc>
        <w:tc>
          <w:tcPr>
            <w:tcW w:w="40" w:type="dxa"/>
            <w:vAlign w:val="bottom"/>
            <w:tcBorders>
              <w:bottom w:val="single" w:sz="8" w:color="065BAA"/>
            </w:tcBorders>
          </w:tcPr>
          <w:p>
            <w:pPr>
              <w:spacing w:after="0"/>
              <w:rPr>
                <w:sz w:val="13"/>
                <w:szCs w:val="13"/>
                <w:color w:val="auto"/>
              </w:rPr>
            </w:pPr>
          </w:p>
        </w:tc>
        <w:tc>
          <w:tcPr>
            <w:tcW w:w="560" w:type="dxa"/>
            <w:vAlign w:val="bottom"/>
            <w:tcBorders>
              <w:bottom w:val="single" w:sz="8" w:color="065BAA"/>
            </w:tcBorders>
          </w:tcPr>
          <w:p>
            <w:pPr>
              <w:spacing w:after="0"/>
              <w:rPr>
                <w:sz w:val="13"/>
                <w:szCs w:val="13"/>
                <w:color w:val="auto"/>
              </w:rPr>
            </w:pPr>
          </w:p>
        </w:tc>
        <w:tc>
          <w:tcPr>
            <w:tcW w:w="240" w:type="dxa"/>
            <w:vAlign w:val="bottom"/>
            <w:tcBorders>
              <w:bottom w:val="single" w:sz="8" w:color="065BAA"/>
            </w:tcBorders>
          </w:tcPr>
          <w:p>
            <w:pPr>
              <w:jc w:val="center"/>
              <w:spacing w:after="0"/>
              <w:rPr>
                <w:sz w:val="20"/>
                <w:szCs w:val="20"/>
                <w:color w:val="auto"/>
              </w:rPr>
            </w:pPr>
            <w:r>
              <w:rPr>
                <w:rFonts w:ascii="Arial" w:cs="Arial" w:eastAsia="Arial" w:hAnsi="Arial"/>
                <w:sz w:val="12"/>
                <w:szCs w:val="12"/>
                <w:b w:val="1"/>
                <w:bCs w:val="1"/>
                <w:color w:val="065BAA"/>
                <w:w w:val="95"/>
              </w:rPr>
              <w:t>(#)</w:t>
            </w:r>
          </w:p>
        </w:tc>
        <w:tc>
          <w:tcPr>
            <w:tcW w:w="800" w:type="dxa"/>
            <w:vAlign w:val="bottom"/>
            <w:tcBorders>
              <w:bottom w:val="single" w:sz="8" w:color="065BAA"/>
            </w:tcBorders>
          </w:tcPr>
          <w:p>
            <w:pPr>
              <w:spacing w:after="0"/>
              <w:rPr>
                <w:sz w:val="13"/>
                <w:szCs w:val="13"/>
                <w:color w:val="auto"/>
              </w:rPr>
            </w:pPr>
          </w:p>
        </w:tc>
        <w:tc>
          <w:tcPr>
            <w:tcW w:w="180" w:type="dxa"/>
            <w:vAlign w:val="bottom"/>
            <w:tcBorders>
              <w:bottom w:val="single" w:sz="8" w:color="065BAA"/>
            </w:tcBorders>
          </w:tcPr>
          <w:p>
            <w:pPr>
              <w:jc w:val="right"/>
              <w:spacing w:after="0"/>
              <w:rPr>
                <w:sz w:val="20"/>
                <w:szCs w:val="20"/>
                <w:color w:val="auto"/>
              </w:rPr>
            </w:pPr>
            <w:r>
              <w:rPr>
                <w:rFonts w:ascii="Arial" w:cs="Arial" w:eastAsia="Arial" w:hAnsi="Arial"/>
                <w:sz w:val="12"/>
                <w:szCs w:val="12"/>
                <w:b w:val="1"/>
                <w:bCs w:val="1"/>
                <w:color w:val="065BAA"/>
                <w:w w:val="81"/>
              </w:rPr>
              <w:t>($)</w:t>
            </w:r>
          </w:p>
        </w:tc>
        <w:tc>
          <w:tcPr>
            <w:tcW w:w="900" w:type="dxa"/>
            <w:vAlign w:val="bottom"/>
            <w:tcBorders>
              <w:bottom w:val="single" w:sz="8" w:color="065BAA"/>
            </w:tcBorders>
          </w:tcPr>
          <w:p>
            <w:pPr>
              <w:jc w:val="right"/>
              <w:ind w:right="12"/>
              <w:spacing w:after="0"/>
              <w:rPr>
                <w:sz w:val="20"/>
                <w:szCs w:val="20"/>
                <w:color w:val="auto"/>
              </w:rPr>
            </w:pPr>
            <w:r>
              <w:rPr>
                <w:rFonts w:ascii="Arial" w:cs="Arial" w:eastAsia="Arial" w:hAnsi="Arial"/>
                <w:sz w:val="12"/>
                <w:szCs w:val="12"/>
                <w:b w:val="1"/>
                <w:bCs w:val="1"/>
                <w:color w:val="065BAA"/>
              </w:rPr>
              <w:t>(#)</w:t>
            </w:r>
          </w:p>
        </w:tc>
        <w:tc>
          <w:tcPr>
            <w:tcW w:w="840" w:type="dxa"/>
            <w:vAlign w:val="bottom"/>
            <w:tcBorders>
              <w:bottom w:val="single" w:sz="8" w:color="065BAA"/>
            </w:tcBorders>
          </w:tcPr>
          <w:p>
            <w:pPr>
              <w:jc w:val="right"/>
              <w:spacing w:after="0"/>
              <w:rPr>
                <w:sz w:val="20"/>
                <w:szCs w:val="20"/>
                <w:color w:val="auto"/>
              </w:rPr>
            </w:pPr>
            <w:r>
              <w:rPr>
                <w:rFonts w:ascii="Arial" w:cs="Arial" w:eastAsia="Arial" w:hAnsi="Arial"/>
                <w:sz w:val="12"/>
                <w:szCs w:val="12"/>
                <w:b w:val="1"/>
                <w:bCs w:val="1"/>
                <w:color w:val="065BAA"/>
              </w:rPr>
              <w:t>($)</w:t>
            </w:r>
          </w:p>
        </w:tc>
      </w:tr>
      <w:tr>
        <w:trPr>
          <w:trHeight w:val="196"/>
        </w:trPr>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18,315</w:t>
            </w:r>
          </w:p>
        </w:tc>
        <w:tc>
          <w:tcPr>
            <w:tcW w:w="200" w:type="dxa"/>
            <w:vAlign w:val="bottom"/>
            <w:shd w:val="clear" w:color="auto" w:fill="DAEBF8"/>
          </w:tcPr>
          <w:p>
            <w:pPr>
              <w:jc w:val="right"/>
              <w:spacing w:after="0"/>
              <w:rPr>
                <w:sz w:val="20"/>
                <w:szCs w:val="20"/>
                <w:color w:val="auto"/>
              </w:rPr>
            </w:pPr>
            <w:r>
              <w:rPr>
                <w:rFonts w:ascii="Arial" w:cs="Arial" w:eastAsia="Arial" w:hAnsi="Arial"/>
                <w:sz w:val="9"/>
                <w:szCs w:val="9"/>
                <w:color w:val="auto"/>
              </w:rPr>
              <w:t>1</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0"/>
              <w:spacing w:after="0"/>
              <w:rPr>
                <w:sz w:val="20"/>
                <w:szCs w:val="20"/>
                <w:color w:val="auto"/>
              </w:rPr>
            </w:pPr>
            <w:r>
              <w:rPr>
                <w:rFonts w:ascii="Arial" w:cs="Arial" w:eastAsia="Arial" w:hAnsi="Arial"/>
                <w:sz w:val="14"/>
                <w:szCs w:val="14"/>
                <w:color w:val="auto"/>
              </w:rPr>
              <w:t>726.71</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12/05/2035</w:t>
            </w:r>
          </w:p>
        </w:tc>
        <w:tc>
          <w:tcPr>
            <w:tcW w:w="40" w:type="dxa"/>
            <w:vAlign w:val="bottom"/>
            <w:shd w:val="clear" w:color="auto" w:fill="DAEBF8"/>
          </w:tcPr>
          <w:p>
            <w:pPr>
              <w:spacing w:after="0"/>
              <w:rPr>
                <w:sz w:val="17"/>
                <w:szCs w:val="17"/>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AEBF8"/>
          </w:tcPr>
          <w:p>
            <w:pPr>
              <w:spacing w:after="0"/>
              <w:rPr>
                <w:sz w:val="17"/>
                <w:szCs w:val="17"/>
                <w:color w:val="auto"/>
              </w:rPr>
            </w:pP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AEBF8"/>
          </w:tcPr>
          <w:p>
            <w:pPr>
              <w:spacing w:after="0"/>
              <w:rPr>
                <w:sz w:val="17"/>
                <w:szCs w:val="17"/>
                <w:color w:val="auto"/>
              </w:rPr>
            </w:pPr>
          </w:p>
        </w:tc>
        <w:tc>
          <w:tcPr>
            <w:tcW w:w="900" w:type="dxa"/>
            <w:vAlign w:val="bottom"/>
            <w:shd w:val="clear" w:color="auto" w:fill="DAEBF8"/>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3,368</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10,104</w:t>
            </w:r>
          </w:p>
        </w:tc>
        <w:tc>
          <w:tcPr>
            <w:tcW w:w="200" w:type="dxa"/>
            <w:vAlign w:val="bottom"/>
            <w:shd w:val="clear" w:color="auto" w:fill="DAEBF8"/>
          </w:tcPr>
          <w:p>
            <w:pPr>
              <w:jc w:val="right"/>
              <w:spacing w:after="0"/>
              <w:rPr>
                <w:sz w:val="20"/>
                <w:szCs w:val="20"/>
                <w:color w:val="auto"/>
              </w:rPr>
            </w:pPr>
            <w:r>
              <w:rPr>
                <w:rFonts w:ascii="Arial" w:cs="Arial" w:eastAsia="Arial" w:hAnsi="Arial"/>
                <w:sz w:val="9"/>
                <w:szCs w:val="9"/>
                <w:color w:val="auto"/>
              </w:rPr>
              <w:t>2</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0"/>
              <w:spacing w:after="0"/>
              <w:rPr>
                <w:sz w:val="20"/>
                <w:szCs w:val="20"/>
                <w:color w:val="auto"/>
              </w:rPr>
            </w:pPr>
            <w:r>
              <w:rPr>
                <w:rFonts w:ascii="Arial" w:cs="Arial" w:eastAsia="Arial" w:hAnsi="Arial"/>
                <w:sz w:val="14"/>
                <w:szCs w:val="14"/>
                <w:color w:val="auto"/>
              </w:rPr>
              <w:t>771.64</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12/06/2034</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AEBF8"/>
          </w:tcPr>
          <w:p>
            <w:pPr>
              <w:spacing w:after="0"/>
              <w:rPr>
                <w:sz w:val="18"/>
                <w:szCs w:val="18"/>
                <w:color w:val="auto"/>
              </w:rPr>
            </w:pP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AEBF8"/>
          </w:tcPr>
          <w:p>
            <w:pPr>
              <w:spacing w:after="0"/>
              <w:rPr>
                <w:sz w:val="18"/>
                <w:szCs w:val="18"/>
                <w:color w:val="auto"/>
              </w:rPr>
            </w:pPr>
          </w:p>
        </w:tc>
        <w:tc>
          <w:tcPr>
            <w:tcW w:w="900" w:type="dxa"/>
            <w:vAlign w:val="bottom"/>
            <w:shd w:val="clear" w:color="auto" w:fill="DAEBF8"/>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5,737</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5,736</w:t>
            </w:r>
          </w:p>
        </w:tc>
        <w:tc>
          <w:tcPr>
            <w:tcW w:w="200" w:type="dxa"/>
            <w:vAlign w:val="bottom"/>
            <w:shd w:val="clear" w:color="auto" w:fill="DAEBF8"/>
          </w:tcPr>
          <w:p>
            <w:pPr>
              <w:jc w:val="right"/>
              <w:spacing w:after="0"/>
              <w:rPr>
                <w:sz w:val="20"/>
                <w:szCs w:val="20"/>
                <w:color w:val="auto"/>
              </w:rPr>
            </w:pPr>
            <w:r>
              <w:rPr>
                <w:rFonts w:ascii="Arial" w:cs="Arial" w:eastAsia="Arial" w:hAnsi="Arial"/>
                <w:sz w:val="9"/>
                <w:szCs w:val="9"/>
                <w:color w:val="auto"/>
              </w:rPr>
              <w:t>3</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0"/>
              <w:spacing w:after="0"/>
              <w:rPr>
                <w:sz w:val="20"/>
                <w:szCs w:val="20"/>
                <w:color w:val="auto"/>
              </w:rPr>
            </w:pPr>
            <w:r>
              <w:rPr>
                <w:rFonts w:ascii="Arial" w:cs="Arial" w:eastAsia="Arial" w:hAnsi="Arial"/>
                <w:sz w:val="14"/>
                <w:szCs w:val="14"/>
                <w:color w:val="auto"/>
              </w:rPr>
              <w:t>843.79</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12/08/2033</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AEBF8"/>
          </w:tcPr>
          <w:p>
            <w:pPr>
              <w:spacing w:after="0"/>
              <w:rPr>
                <w:sz w:val="18"/>
                <w:szCs w:val="18"/>
                <w:color w:val="auto"/>
              </w:rPr>
            </w:pP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AEBF8"/>
          </w:tcPr>
          <w:p>
            <w:pPr>
              <w:spacing w:after="0"/>
              <w:rPr>
                <w:sz w:val="18"/>
                <w:szCs w:val="18"/>
                <w:color w:val="auto"/>
              </w:rPr>
            </w:pPr>
          </w:p>
        </w:tc>
        <w:tc>
          <w:tcPr>
            <w:tcW w:w="900" w:type="dxa"/>
            <w:vAlign w:val="bottom"/>
            <w:shd w:val="clear" w:color="auto" w:fill="DAEBF8"/>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10,515</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3,504</w:t>
            </w:r>
          </w:p>
        </w:tc>
        <w:tc>
          <w:tcPr>
            <w:tcW w:w="200" w:type="dxa"/>
            <w:vAlign w:val="bottom"/>
            <w:shd w:val="clear" w:color="auto" w:fill="DAEBF8"/>
          </w:tcPr>
          <w:p>
            <w:pPr>
              <w:jc w:val="right"/>
              <w:spacing w:after="0"/>
              <w:rPr>
                <w:sz w:val="20"/>
                <w:szCs w:val="20"/>
                <w:color w:val="auto"/>
              </w:rPr>
            </w:pPr>
            <w:r>
              <w:rPr>
                <w:rFonts w:ascii="Arial" w:cs="Arial" w:eastAsia="Arial" w:hAnsi="Arial"/>
                <w:sz w:val="9"/>
                <w:szCs w:val="9"/>
                <w:color w:val="auto"/>
              </w:rPr>
              <w:t>4</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0"/>
              <w:spacing w:after="0"/>
              <w:rPr>
                <w:sz w:val="20"/>
                <w:szCs w:val="20"/>
                <w:color w:val="auto"/>
              </w:rPr>
            </w:pPr>
            <w:r>
              <w:rPr>
                <w:rFonts w:ascii="Arial" w:cs="Arial" w:eastAsia="Arial" w:hAnsi="Arial"/>
                <w:sz w:val="14"/>
                <w:szCs w:val="14"/>
                <w:color w:val="auto"/>
              </w:rPr>
              <w:t>726.53</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12/16/2032</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AEBF8"/>
          </w:tcPr>
          <w:p>
            <w:pPr>
              <w:spacing w:after="0"/>
              <w:rPr>
                <w:sz w:val="18"/>
                <w:szCs w:val="18"/>
                <w:color w:val="auto"/>
              </w:rPr>
            </w:pP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AEBF8"/>
          </w:tcPr>
          <w:p>
            <w:pPr>
              <w:spacing w:after="0"/>
              <w:rPr>
                <w:sz w:val="18"/>
                <w:szCs w:val="18"/>
                <w:color w:val="auto"/>
              </w:rPr>
            </w:pPr>
          </w:p>
        </w:tc>
        <w:tc>
          <w:tcPr>
            <w:tcW w:w="900" w:type="dxa"/>
            <w:vAlign w:val="bottom"/>
            <w:shd w:val="clear" w:color="auto" w:fill="DAEBF8"/>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18,548</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AEBF8"/>
          </w:tcPr>
          <w:p>
            <w:pPr>
              <w:spacing w:after="0"/>
              <w:rPr>
                <w:sz w:val="18"/>
                <w:szCs w:val="18"/>
                <w:color w:val="auto"/>
              </w:rPr>
            </w:pP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0"/>
              <w:spacing w:after="0"/>
              <w:rPr>
                <w:sz w:val="20"/>
                <w:szCs w:val="20"/>
                <w:color w:val="auto"/>
              </w:rPr>
            </w:pPr>
            <w:r>
              <w:rPr>
                <w:rFonts w:ascii="Arial" w:cs="Arial" w:eastAsia="Arial" w:hAnsi="Arial"/>
                <w:sz w:val="14"/>
                <w:szCs w:val="14"/>
                <w:color w:val="auto"/>
              </w:rPr>
              <w:t>644.54</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12/08/2031</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AEBF8"/>
          </w:tcPr>
          <w:p>
            <w:pPr>
              <w:spacing w:after="0"/>
              <w:rPr>
                <w:sz w:val="18"/>
                <w:szCs w:val="18"/>
                <w:color w:val="auto"/>
              </w:rPr>
            </w:pP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AEBF8"/>
          </w:tcPr>
          <w:p>
            <w:pPr>
              <w:spacing w:after="0"/>
              <w:rPr>
                <w:sz w:val="18"/>
                <w:szCs w:val="18"/>
                <w:color w:val="auto"/>
              </w:rPr>
            </w:pPr>
          </w:p>
        </w:tc>
        <w:tc>
          <w:tcPr>
            <w:tcW w:w="900" w:type="dxa"/>
            <w:vAlign w:val="bottom"/>
            <w:shd w:val="clear" w:color="auto" w:fill="DAEBF8"/>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19,950</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AEBF8"/>
          </w:tcPr>
          <w:p>
            <w:pPr>
              <w:spacing w:after="0"/>
              <w:rPr>
                <w:sz w:val="18"/>
                <w:szCs w:val="18"/>
                <w:color w:val="auto"/>
              </w:rPr>
            </w:pP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0"/>
              <w:spacing w:after="0"/>
              <w:rPr>
                <w:sz w:val="20"/>
                <w:szCs w:val="20"/>
                <w:color w:val="auto"/>
              </w:rPr>
            </w:pPr>
            <w:r>
              <w:rPr>
                <w:rFonts w:ascii="Arial" w:cs="Arial" w:eastAsia="Arial" w:hAnsi="Arial"/>
                <w:sz w:val="14"/>
                <w:szCs w:val="14"/>
                <w:color w:val="auto"/>
              </w:rPr>
              <w:t>492.00</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12/09/2030</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AEBF8"/>
          </w:tcPr>
          <w:p>
            <w:pPr>
              <w:spacing w:after="0"/>
              <w:rPr>
                <w:sz w:val="18"/>
                <w:szCs w:val="18"/>
                <w:color w:val="auto"/>
              </w:rPr>
            </w:pP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AEBF8"/>
          </w:tcPr>
          <w:p>
            <w:pPr>
              <w:spacing w:after="0"/>
              <w:rPr>
                <w:sz w:val="18"/>
                <w:szCs w:val="18"/>
                <w:color w:val="auto"/>
              </w:rPr>
            </w:pPr>
          </w:p>
        </w:tc>
        <w:tc>
          <w:tcPr>
            <w:tcW w:w="900" w:type="dxa"/>
            <w:vAlign w:val="bottom"/>
            <w:shd w:val="clear" w:color="auto" w:fill="DAEBF8"/>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12,250</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AEBF8"/>
          </w:tcPr>
          <w:p>
            <w:pPr>
              <w:spacing w:after="0"/>
              <w:rPr>
                <w:sz w:val="18"/>
                <w:szCs w:val="18"/>
                <w:color w:val="auto"/>
              </w:rPr>
            </w:pP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0"/>
              <w:spacing w:after="0"/>
              <w:rPr>
                <w:sz w:val="20"/>
                <w:szCs w:val="20"/>
                <w:color w:val="auto"/>
              </w:rPr>
            </w:pPr>
            <w:r>
              <w:rPr>
                <w:rFonts w:ascii="Arial" w:cs="Arial" w:eastAsia="Arial" w:hAnsi="Arial"/>
                <w:sz w:val="14"/>
                <w:szCs w:val="14"/>
                <w:color w:val="auto"/>
              </w:rPr>
              <w:t>372.46</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12/11/2029</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AEBF8"/>
          </w:tcPr>
          <w:p>
            <w:pPr>
              <w:spacing w:after="0"/>
              <w:rPr>
                <w:sz w:val="18"/>
                <w:szCs w:val="18"/>
                <w:color w:val="auto"/>
              </w:rPr>
            </w:pP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AEBF8"/>
          </w:tcPr>
          <w:p>
            <w:pPr>
              <w:spacing w:after="0"/>
              <w:rPr>
                <w:sz w:val="18"/>
                <w:szCs w:val="18"/>
                <w:color w:val="auto"/>
              </w:rPr>
            </w:pPr>
          </w:p>
        </w:tc>
        <w:tc>
          <w:tcPr>
            <w:tcW w:w="900" w:type="dxa"/>
            <w:vAlign w:val="bottom"/>
            <w:shd w:val="clear" w:color="auto" w:fill="DAEBF8"/>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AEBF8"/>
          </w:tcPr>
          <w:p>
            <w:pPr>
              <w:spacing w:after="0"/>
              <w:rPr>
                <w:sz w:val="18"/>
                <w:szCs w:val="18"/>
                <w:color w:val="auto"/>
              </w:rPr>
            </w:pP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3,715</w:t>
            </w:r>
          </w:p>
        </w:tc>
        <w:tc>
          <w:tcPr>
            <w:tcW w:w="240" w:type="dxa"/>
            <w:vAlign w:val="bottom"/>
            <w:shd w:val="clear" w:color="auto" w:fill="DAEBF8"/>
          </w:tcPr>
          <w:p>
            <w:pPr>
              <w:jc w:val="center"/>
              <w:spacing w:after="0"/>
              <w:rPr>
                <w:sz w:val="20"/>
                <w:szCs w:val="20"/>
                <w:color w:val="auto"/>
              </w:rPr>
            </w:pPr>
            <w:r>
              <w:rPr>
                <w:rFonts w:ascii="Arial" w:cs="Arial" w:eastAsia="Arial" w:hAnsi="Arial"/>
                <w:sz w:val="9"/>
                <w:szCs w:val="9"/>
                <w:color w:val="auto"/>
              </w:rPr>
              <w:t>5</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2,867,497</w:t>
            </w:r>
          </w:p>
        </w:tc>
        <w:tc>
          <w:tcPr>
            <w:tcW w:w="180" w:type="dxa"/>
            <w:vAlign w:val="bottom"/>
            <w:shd w:val="clear" w:color="auto" w:fill="DAEBF8"/>
          </w:tcPr>
          <w:p>
            <w:pPr>
              <w:jc w:val="right"/>
              <w:spacing w:after="0"/>
              <w:rPr>
                <w:sz w:val="20"/>
                <w:szCs w:val="20"/>
                <w:color w:val="auto"/>
              </w:rPr>
            </w:pPr>
            <w:r>
              <w:rPr>
                <w:rFonts w:ascii="Arial" w:cs="Arial" w:eastAsia="Arial" w:hAnsi="Arial"/>
                <w:sz w:val="9"/>
                <w:szCs w:val="9"/>
                <w:color w:val="auto"/>
              </w:rPr>
              <w:t>9</w:t>
            </w:r>
          </w:p>
        </w:tc>
        <w:tc>
          <w:tcPr>
            <w:tcW w:w="900" w:type="dxa"/>
            <w:vAlign w:val="bottom"/>
            <w:shd w:val="clear" w:color="auto" w:fill="DAEBF8"/>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AEBF8"/>
          </w:tcPr>
          <w:p>
            <w:pPr>
              <w:spacing w:after="0"/>
              <w:rPr>
                <w:sz w:val="18"/>
                <w:szCs w:val="18"/>
                <w:color w:val="auto"/>
              </w:rPr>
            </w:pP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3,499</w:t>
            </w:r>
          </w:p>
        </w:tc>
        <w:tc>
          <w:tcPr>
            <w:tcW w:w="240" w:type="dxa"/>
            <w:vAlign w:val="bottom"/>
            <w:shd w:val="clear" w:color="auto" w:fill="DAEBF8"/>
          </w:tcPr>
          <w:p>
            <w:pPr>
              <w:jc w:val="center"/>
              <w:spacing w:after="0"/>
              <w:rPr>
                <w:sz w:val="20"/>
                <w:szCs w:val="20"/>
                <w:color w:val="auto"/>
              </w:rPr>
            </w:pPr>
            <w:r>
              <w:rPr>
                <w:rFonts w:ascii="Arial" w:cs="Arial" w:eastAsia="Arial" w:hAnsi="Arial"/>
                <w:sz w:val="9"/>
                <w:szCs w:val="9"/>
                <w:color w:val="auto"/>
              </w:rPr>
              <w:t>6</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2,700,773</w:t>
            </w:r>
          </w:p>
        </w:tc>
        <w:tc>
          <w:tcPr>
            <w:tcW w:w="180" w:type="dxa"/>
            <w:vAlign w:val="bottom"/>
            <w:shd w:val="clear" w:color="auto" w:fill="DAEBF8"/>
          </w:tcPr>
          <w:p>
            <w:pPr>
              <w:jc w:val="right"/>
              <w:spacing w:after="0"/>
              <w:rPr>
                <w:sz w:val="20"/>
                <w:szCs w:val="20"/>
                <w:color w:val="auto"/>
              </w:rPr>
            </w:pPr>
            <w:r>
              <w:rPr>
                <w:rFonts w:ascii="Arial" w:cs="Arial" w:eastAsia="Arial" w:hAnsi="Arial"/>
                <w:sz w:val="9"/>
                <w:szCs w:val="9"/>
                <w:color w:val="auto"/>
              </w:rPr>
              <w:t>9</w:t>
            </w:r>
          </w:p>
        </w:tc>
        <w:tc>
          <w:tcPr>
            <w:tcW w:w="900" w:type="dxa"/>
            <w:vAlign w:val="bottom"/>
            <w:shd w:val="clear" w:color="auto" w:fill="DAEBF8"/>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AEBF8"/>
          </w:tcPr>
          <w:p>
            <w:pPr>
              <w:spacing w:after="0"/>
              <w:rPr>
                <w:sz w:val="18"/>
                <w:szCs w:val="18"/>
                <w:color w:val="auto"/>
              </w:rPr>
            </w:pP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1,599</w:t>
            </w:r>
          </w:p>
        </w:tc>
        <w:tc>
          <w:tcPr>
            <w:tcW w:w="240" w:type="dxa"/>
            <w:vAlign w:val="bottom"/>
            <w:shd w:val="clear" w:color="auto" w:fill="DAEBF8"/>
          </w:tcPr>
          <w:p>
            <w:pPr>
              <w:jc w:val="center"/>
              <w:spacing w:after="0"/>
              <w:rPr>
                <w:sz w:val="20"/>
                <w:szCs w:val="20"/>
                <w:color w:val="auto"/>
              </w:rPr>
            </w:pPr>
            <w:r>
              <w:rPr>
                <w:rFonts w:ascii="Arial" w:cs="Arial" w:eastAsia="Arial" w:hAnsi="Arial"/>
                <w:sz w:val="9"/>
                <w:szCs w:val="9"/>
                <w:color w:val="auto"/>
              </w:rPr>
              <w:t>7</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1,234,220</w:t>
            </w:r>
          </w:p>
        </w:tc>
        <w:tc>
          <w:tcPr>
            <w:tcW w:w="180" w:type="dxa"/>
            <w:vAlign w:val="bottom"/>
            <w:shd w:val="clear" w:color="auto" w:fill="DAEBF8"/>
          </w:tcPr>
          <w:p>
            <w:pPr>
              <w:jc w:val="right"/>
              <w:spacing w:after="0"/>
              <w:rPr>
                <w:sz w:val="20"/>
                <w:szCs w:val="20"/>
                <w:color w:val="auto"/>
              </w:rPr>
            </w:pPr>
            <w:r>
              <w:rPr>
                <w:rFonts w:ascii="Arial" w:cs="Arial" w:eastAsia="Arial" w:hAnsi="Arial"/>
                <w:sz w:val="9"/>
                <w:szCs w:val="9"/>
                <w:color w:val="auto"/>
              </w:rPr>
              <w:t>9</w:t>
            </w:r>
          </w:p>
        </w:tc>
        <w:tc>
          <w:tcPr>
            <w:tcW w:w="900" w:type="dxa"/>
            <w:vAlign w:val="bottom"/>
            <w:shd w:val="clear" w:color="auto" w:fill="DAEBF8"/>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AEBF8"/>
          </w:tcPr>
          <w:p>
            <w:pPr>
              <w:spacing w:after="0"/>
              <w:rPr>
                <w:sz w:val="18"/>
                <w:szCs w:val="18"/>
                <w:color w:val="auto"/>
              </w:rPr>
            </w:pP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1,899</w:t>
            </w:r>
          </w:p>
        </w:tc>
        <w:tc>
          <w:tcPr>
            <w:tcW w:w="240" w:type="dxa"/>
            <w:vAlign w:val="bottom"/>
            <w:shd w:val="clear" w:color="auto" w:fill="DAEBF8"/>
          </w:tcPr>
          <w:p>
            <w:pPr>
              <w:jc w:val="center"/>
              <w:spacing w:after="0"/>
              <w:rPr>
                <w:sz w:val="20"/>
                <w:szCs w:val="20"/>
                <w:color w:val="auto"/>
              </w:rPr>
            </w:pPr>
            <w:r>
              <w:rPr>
                <w:rFonts w:ascii="Arial" w:cs="Arial" w:eastAsia="Arial" w:hAnsi="Arial"/>
                <w:sz w:val="9"/>
                <w:szCs w:val="9"/>
                <w:color w:val="auto"/>
              </w:rPr>
              <w:t>8</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1,465,781</w:t>
            </w:r>
          </w:p>
        </w:tc>
        <w:tc>
          <w:tcPr>
            <w:tcW w:w="180" w:type="dxa"/>
            <w:vAlign w:val="bottom"/>
            <w:shd w:val="clear" w:color="auto" w:fill="DAEBF8"/>
          </w:tcPr>
          <w:p>
            <w:pPr>
              <w:jc w:val="right"/>
              <w:spacing w:after="0"/>
              <w:rPr>
                <w:sz w:val="20"/>
                <w:szCs w:val="20"/>
                <w:color w:val="auto"/>
              </w:rPr>
            </w:pPr>
            <w:r>
              <w:rPr>
                <w:rFonts w:ascii="Arial" w:cs="Arial" w:eastAsia="Arial" w:hAnsi="Arial"/>
                <w:sz w:val="9"/>
                <w:szCs w:val="9"/>
                <w:color w:val="auto"/>
              </w:rPr>
              <w:t>9</w:t>
            </w:r>
          </w:p>
        </w:tc>
        <w:tc>
          <w:tcPr>
            <w:tcW w:w="900" w:type="dxa"/>
            <w:vAlign w:val="bottom"/>
            <w:shd w:val="clear" w:color="auto" w:fill="DAEBF8"/>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70,368</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b w:val="1"/>
                <w:bCs w:val="1"/>
                <w:color w:val="auto"/>
              </w:rPr>
              <w:t>37,659</w:t>
            </w:r>
          </w:p>
        </w:tc>
        <w:tc>
          <w:tcPr>
            <w:tcW w:w="200" w:type="dxa"/>
            <w:vAlign w:val="bottom"/>
            <w:shd w:val="clear" w:color="auto" w:fill="DAEBF8"/>
          </w:tcPr>
          <w:p>
            <w:pPr>
              <w:spacing w:after="0"/>
              <w:rPr>
                <w:sz w:val="18"/>
                <w:szCs w:val="18"/>
                <w:color w:val="auto"/>
              </w:rPr>
            </w:pPr>
          </w:p>
        </w:tc>
        <w:tc>
          <w:tcPr>
            <w:tcW w:w="880" w:type="dxa"/>
            <w:vAlign w:val="bottom"/>
            <w:shd w:val="clear" w:color="auto" w:fill="DAEBF8"/>
          </w:tcPr>
          <w:p>
            <w:pPr>
              <w:spacing w:after="0"/>
              <w:rPr>
                <w:sz w:val="18"/>
                <w:szCs w:val="18"/>
                <w:color w:val="auto"/>
              </w:rPr>
            </w:pPr>
          </w:p>
        </w:tc>
        <w:tc>
          <w:tcPr>
            <w:tcW w:w="620" w:type="dxa"/>
            <w:vAlign w:val="bottom"/>
            <w:shd w:val="clear" w:color="auto" w:fill="DAEBF8"/>
          </w:tcPr>
          <w:p>
            <w:pPr>
              <w:spacing w:after="0"/>
              <w:rPr>
                <w:sz w:val="18"/>
                <w:szCs w:val="18"/>
                <w:color w:val="auto"/>
              </w:rPr>
            </w:pPr>
          </w:p>
        </w:tc>
        <w:tc>
          <w:tcPr>
            <w:tcW w:w="820" w:type="dxa"/>
            <w:vAlign w:val="bottom"/>
            <w:shd w:val="clear" w:color="auto" w:fill="DAEBF8"/>
          </w:tcPr>
          <w:p>
            <w:pPr>
              <w:spacing w:after="0"/>
              <w:rPr>
                <w:sz w:val="18"/>
                <w:szCs w:val="18"/>
                <w:color w:val="auto"/>
              </w:rPr>
            </w:pP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b w:val="1"/>
                <w:bCs w:val="1"/>
                <w:color w:val="auto"/>
              </w:rPr>
              <w:t>10,712</w:t>
            </w:r>
          </w:p>
        </w:tc>
        <w:tc>
          <w:tcPr>
            <w:tcW w:w="240" w:type="dxa"/>
            <w:vAlign w:val="bottom"/>
            <w:shd w:val="clear" w:color="auto" w:fill="DAEBF8"/>
          </w:tcPr>
          <w:p>
            <w:pPr>
              <w:spacing w:after="0"/>
              <w:rPr>
                <w:sz w:val="18"/>
                <w:szCs w:val="18"/>
                <w:color w:val="auto"/>
              </w:rPr>
            </w:pP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b w:val="1"/>
                <w:bCs w:val="1"/>
                <w:color w:val="auto"/>
              </w:rPr>
              <w:t>8,268,271</w:t>
            </w:r>
          </w:p>
        </w:tc>
        <w:tc>
          <w:tcPr>
            <w:tcW w:w="180" w:type="dxa"/>
            <w:vAlign w:val="bottom"/>
            <w:shd w:val="clear" w:color="auto" w:fill="DAEBF8"/>
          </w:tcPr>
          <w:p>
            <w:pPr>
              <w:spacing w:after="0"/>
              <w:rPr>
                <w:sz w:val="18"/>
                <w:szCs w:val="18"/>
                <w:color w:val="auto"/>
              </w:rPr>
            </w:pPr>
          </w:p>
        </w:tc>
        <w:tc>
          <w:tcPr>
            <w:tcW w:w="900" w:type="dxa"/>
            <w:vAlign w:val="bottom"/>
            <w:shd w:val="clear" w:color="auto" w:fill="DAEBF8"/>
          </w:tcPr>
          <w:p>
            <w:pPr>
              <w:spacing w:after="0"/>
              <w:rPr>
                <w:sz w:val="18"/>
                <w:szCs w:val="18"/>
                <w:color w:val="auto"/>
              </w:rPr>
            </w:pPr>
          </w:p>
        </w:tc>
        <w:tc>
          <w:tcPr>
            <w:tcW w:w="840" w:type="dxa"/>
            <w:vAlign w:val="bottom"/>
            <w:shd w:val="clear" w:color="auto" w:fill="DAEBF8"/>
          </w:tcPr>
          <w:p>
            <w:pPr>
              <w:spacing w:after="0"/>
              <w:rPr>
                <w:sz w:val="18"/>
                <w:szCs w:val="18"/>
                <w:color w:val="auto"/>
              </w:rPr>
            </w:pPr>
          </w:p>
        </w:tc>
      </w:tr>
      <w:tr>
        <w:trPr>
          <w:trHeight w:val="221"/>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18,315</w:t>
            </w:r>
          </w:p>
        </w:tc>
        <w:tc>
          <w:tcPr>
            <w:tcW w:w="200" w:type="dxa"/>
            <w:vAlign w:val="bottom"/>
          </w:tcPr>
          <w:p>
            <w:pPr>
              <w:jc w:val="right"/>
              <w:spacing w:after="0"/>
              <w:rPr>
                <w:sz w:val="20"/>
                <w:szCs w:val="20"/>
                <w:color w:val="auto"/>
              </w:rPr>
            </w:pPr>
            <w:r>
              <w:rPr>
                <w:rFonts w:ascii="Arial" w:cs="Arial" w:eastAsia="Arial" w:hAnsi="Arial"/>
                <w:sz w:val="9"/>
                <w:szCs w:val="9"/>
                <w:color w:val="auto"/>
              </w:rPr>
              <w:t>1</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726.71</w:t>
            </w:r>
          </w:p>
        </w:tc>
        <w:tc>
          <w:tcPr>
            <w:tcW w:w="820" w:type="dxa"/>
            <w:vAlign w:val="bottom"/>
          </w:tcPr>
          <w:p>
            <w:pPr>
              <w:jc w:val="right"/>
              <w:spacing w:after="0"/>
              <w:rPr>
                <w:sz w:val="20"/>
                <w:szCs w:val="20"/>
                <w:color w:val="auto"/>
              </w:rPr>
            </w:pPr>
            <w:r>
              <w:rPr>
                <w:rFonts w:ascii="Arial" w:cs="Arial" w:eastAsia="Arial" w:hAnsi="Arial"/>
                <w:sz w:val="14"/>
                <w:szCs w:val="14"/>
                <w:color w:val="auto"/>
              </w:rPr>
              <w:t>12/05/2035</w:t>
            </w:r>
          </w:p>
        </w:tc>
        <w:tc>
          <w:tcPr>
            <w:tcW w:w="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3,368</w:t>
            </w:r>
          </w:p>
        </w:tc>
        <w:tc>
          <w:tcPr>
            <w:tcW w:w="800" w:type="dxa"/>
            <w:vAlign w:val="bottom"/>
          </w:tcPr>
          <w:p>
            <w:pPr>
              <w:jc w:val="right"/>
              <w:spacing w:after="0"/>
              <w:rPr>
                <w:sz w:val="20"/>
                <w:szCs w:val="20"/>
                <w:color w:val="auto"/>
              </w:rPr>
            </w:pPr>
            <w:r>
              <w:rPr>
                <w:rFonts w:ascii="Arial" w:cs="Arial" w:eastAsia="Arial" w:hAnsi="Arial"/>
                <w:sz w:val="14"/>
                <w:szCs w:val="14"/>
                <w:color w:val="auto"/>
              </w:rPr>
              <w:t>10,104</w:t>
            </w:r>
          </w:p>
        </w:tc>
        <w:tc>
          <w:tcPr>
            <w:tcW w:w="200" w:type="dxa"/>
            <w:vAlign w:val="bottom"/>
          </w:tcPr>
          <w:p>
            <w:pPr>
              <w:jc w:val="right"/>
              <w:spacing w:after="0"/>
              <w:rPr>
                <w:sz w:val="20"/>
                <w:szCs w:val="20"/>
                <w:color w:val="auto"/>
              </w:rPr>
            </w:pPr>
            <w:r>
              <w:rPr>
                <w:rFonts w:ascii="Arial" w:cs="Arial" w:eastAsia="Arial" w:hAnsi="Arial"/>
                <w:sz w:val="9"/>
                <w:szCs w:val="9"/>
                <w:color w:val="auto"/>
              </w:rPr>
              <w:t>2</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771.64</w:t>
            </w:r>
          </w:p>
        </w:tc>
        <w:tc>
          <w:tcPr>
            <w:tcW w:w="820" w:type="dxa"/>
            <w:vAlign w:val="bottom"/>
          </w:tcPr>
          <w:p>
            <w:pPr>
              <w:jc w:val="right"/>
              <w:spacing w:after="0"/>
              <w:rPr>
                <w:sz w:val="20"/>
                <w:szCs w:val="20"/>
                <w:color w:val="auto"/>
              </w:rPr>
            </w:pPr>
            <w:r>
              <w:rPr>
                <w:rFonts w:ascii="Arial" w:cs="Arial" w:eastAsia="Arial" w:hAnsi="Arial"/>
                <w:sz w:val="14"/>
                <w:szCs w:val="14"/>
                <w:color w:val="auto"/>
              </w:rPr>
              <w:t>12/06/2034</w:t>
            </w: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5,737</w:t>
            </w:r>
          </w:p>
        </w:tc>
        <w:tc>
          <w:tcPr>
            <w:tcW w:w="800" w:type="dxa"/>
            <w:vAlign w:val="bottom"/>
          </w:tcPr>
          <w:p>
            <w:pPr>
              <w:jc w:val="right"/>
              <w:spacing w:after="0"/>
              <w:rPr>
                <w:sz w:val="20"/>
                <w:szCs w:val="20"/>
                <w:color w:val="auto"/>
              </w:rPr>
            </w:pPr>
            <w:r>
              <w:rPr>
                <w:rFonts w:ascii="Arial" w:cs="Arial" w:eastAsia="Arial" w:hAnsi="Arial"/>
                <w:sz w:val="14"/>
                <w:szCs w:val="14"/>
                <w:color w:val="auto"/>
              </w:rPr>
              <w:t>5,736</w:t>
            </w:r>
          </w:p>
        </w:tc>
        <w:tc>
          <w:tcPr>
            <w:tcW w:w="200" w:type="dxa"/>
            <w:vAlign w:val="bottom"/>
          </w:tcPr>
          <w:p>
            <w:pPr>
              <w:jc w:val="right"/>
              <w:spacing w:after="0"/>
              <w:rPr>
                <w:sz w:val="20"/>
                <w:szCs w:val="20"/>
                <w:color w:val="auto"/>
              </w:rPr>
            </w:pPr>
            <w:r>
              <w:rPr>
                <w:rFonts w:ascii="Arial" w:cs="Arial" w:eastAsia="Arial" w:hAnsi="Arial"/>
                <w:sz w:val="9"/>
                <w:szCs w:val="9"/>
                <w:color w:val="auto"/>
              </w:rPr>
              <w:t>3</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843.79</w:t>
            </w:r>
          </w:p>
        </w:tc>
        <w:tc>
          <w:tcPr>
            <w:tcW w:w="820" w:type="dxa"/>
            <w:vAlign w:val="bottom"/>
          </w:tcPr>
          <w:p>
            <w:pPr>
              <w:jc w:val="right"/>
              <w:spacing w:after="0"/>
              <w:rPr>
                <w:sz w:val="20"/>
                <w:szCs w:val="20"/>
                <w:color w:val="auto"/>
              </w:rPr>
            </w:pPr>
            <w:r>
              <w:rPr>
                <w:rFonts w:ascii="Arial" w:cs="Arial" w:eastAsia="Arial" w:hAnsi="Arial"/>
                <w:sz w:val="14"/>
                <w:szCs w:val="14"/>
                <w:color w:val="auto"/>
              </w:rPr>
              <w:t>12/08/2033</w:t>
            </w: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11,429</w:t>
            </w:r>
          </w:p>
        </w:tc>
        <w:tc>
          <w:tcPr>
            <w:tcW w:w="800" w:type="dxa"/>
            <w:vAlign w:val="bottom"/>
          </w:tcPr>
          <w:p>
            <w:pPr>
              <w:jc w:val="right"/>
              <w:spacing w:after="0"/>
              <w:rPr>
                <w:sz w:val="20"/>
                <w:szCs w:val="20"/>
                <w:color w:val="auto"/>
              </w:rPr>
            </w:pPr>
            <w:r>
              <w:rPr>
                <w:rFonts w:ascii="Arial" w:cs="Arial" w:eastAsia="Arial" w:hAnsi="Arial"/>
                <w:sz w:val="14"/>
                <w:szCs w:val="14"/>
                <w:color w:val="auto"/>
              </w:rPr>
              <w:t>3,809</w:t>
            </w:r>
          </w:p>
        </w:tc>
        <w:tc>
          <w:tcPr>
            <w:tcW w:w="200" w:type="dxa"/>
            <w:vAlign w:val="bottom"/>
          </w:tcPr>
          <w:p>
            <w:pPr>
              <w:jc w:val="right"/>
              <w:spacing w:after="0"/>
              <w:rPr>
                <w:sz w:val="20"/>
                <w:szCs w:val="20"/>
                <w:color w:val="auto"/>
              </w:rPr>
            </w:pPr>
            <w:r>
              <w:rPr>
                <w:rFonts w:ascii="Arial" w:cs="Arial" w:eastAsia="Arial" w:hAnsi="Arial"/>
                <w:sz w:val="9"/>
                <w:szCs w:val="9"/>
                <w:color w:val="auto"/>
              </w:rPr>
              <w:t>4</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726.53</w:t>
            </w:r>
          </w:p>
        </w:tc>
        <w:tc>
          <w:tcPr>
            <w:tcW w:w="820" w:type="dxa"/>
            <w:vAlign w:val="bottom"/>
          </w:tcPr>
          <w:p>
            <w:pPr>
              <w:jc w:val="right"/>
              <w:spacing w:after="0"/>
              <w:rPr>
                <w:sz w:val="20"/>
                <w:szCs w:val="20"/>
                <w:color w:val="auto"/>
              </w:rPr>
            </w:pPr>
            <w:r>
              <w:rPr>
                <w:rFonts w:ascii="Arial" w:cs="Arial" w:eastAsia="Arial" w:hAnsi="Arial"/>
                <w:sz w:val="14"/>
                <w:szCs w:val="14"/>
                <w:color w:val="auto"/>
              </w:rPr>
              <w:t>12/16/2032</w:t>
            </w: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14,783</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644.54</w:t>
            </w:r>
          </w:p>
        </w:tc>
        <w:tc>
          <w:tcPr>
            <w:tcW w:w="820" w:type="dxa"/>
            <w:vAlign w:val="bottom"/>
          </w:tcPr>
          <w:p>
            <w:pPr>
              <w:jc w:val="right"/>
              <w:spacing w:after="0"/>
              <w:rPr>
                <w:sz w:val="20"/>
                <w:szCs w:val="20"/>
                <w:color w:val="auto"/>
              </w:rPr>
            </w:pPr>
            <w:r>
              <w:rPr>
                <w:rFonts w:ascii="Arial" w:cs="Arial" w:eastAsia="Arial" w:hAnsi="Arial"/>
                <w:sz w:val="14"/>
                <w:szCs w:val="14"/>
                <w:color w:val="auto"/>
              </w:rPr>
              <w:t>12/08/2031</w:t>
            </w: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25,000</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492.00</w:t>
            </w:r>
          </w:p>
        </w:tc>
        <w:tc>
          <w:tcPr>
            <w:tcW w:w="820" w:type="dxa"/>
            <w:vAlign w:val="bottom"/>
          </w:tcPr>
          <w:p>
            <w:pPr>
              <w:jc w:val="right"/>
              <w:spacing w:after="0"/>
              <w:rPr>
                <w:sz w:val="20"/>
                <w:szCs w:val="20"/>
                <w:color w:val="auto"/>
              </w:rPr>
            </w:pPr>
            <w:r>
              <w:rPr>
                <w:rFonts w:ascii="Arial" w:cs="Arial" w:eastAsia="Arial" w:hAnsi="Arial"/>
                <w:sz w:val="14"/>
                <w:szCs w:val="14"/>
                <w:color w:val="auto"/>
              </w:rPr>
              <w:t>12/09/2030</w:t>
            </w: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24,500</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372.46</w:t>
            </w:r>
          </w:p>
        </w:tc>
        <w:tc>
          <w:tcPr>
            <w:tcW w:w="820" w:type="dxa"/>
            <w:vAlign w:val="bottom"/>
          </w:tcPr>
          <w:p>
            <w:pPr>
              <w:jc w:val="right"/>
              <w:spacing w:after="0"/>
              <w:rPr>
                <w:sz w:val="20"/>
                <w:szCs w:val="20"/>
                <w:color w:val="auto"/>
              </w:rPr>
            </w:pPr>
            <w:r>
              <w:rPr>
                <w:rFonts w:ascii="Arial" w:cs="Arial" w:eastAsia="Arial" w:hAnsi="Arial"/>
                <w:sz w:val="14"/>
                <w:szCs w:val="14"/>
                <w:color w:val="auto"/>
              </w:rPr>
              <w:t>12/11/2029</w:t>
            </w: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25,000</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381.40</w:t>
            </w:r>
          </w:p>
        </w:tc>
        <w:tc>
          <w:tcPr>
            <w:tcW w:w="820" w:type="dxa"/>
            <w:vAlign w:val="bottom"/>
          </w:tcPr>
          <w:p>
            <w:pPr>
              <w:jc w:val="right"/>
              <w:spacing w:after="0"/>
              <w:rPr>
                <w:sz w:val="20"/>
                <w:szCs w:val="20"/>
                <w:color w:val="auto"/>
              </w:rPr>
            </w:pPr>
            <w:r>
              <w:rPr>
                <w:rFonts w:ascii="Arial" w:cs="Arial" w:eastAsia="Arial" w:hAnsi="Arial"/>
                <w:sz w:val="14"/>
                <w:szCs w:val="14"/>
                <w:color w:val="auto"/>
              </w:rPr>
              <w:t>12/12/2028</w:t>
            </w: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50,000</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378.98</w:t>
            </w:r>
          </w:p>
        </w:tc>
        <w:tc>
          <w:tcPr>
            <w:tcW w:w="820" w:type="dxa"/>
            <w:vAlign w:val="bottom"/>
          </w:tcPr>
          <w:p>
            <w:pPr>
              <w:jc w:val="right"/>
              <w:spacing w:after="0"/>
              <w:rPr>
                <w:sz w:val="20"/>
                <w:szCs w:val="20"/>
                <w:color w:val="auto"/>
              </w:rPr>
            </w:pPr>
            <w:r>
              <w:rPr>
                <w:rFonts w:ascii="Arial" w:cs="Arial" w:eastAsia="Arial" w:hAnsi="Arial"/>
                <w:sz w:val="14"/>
                <w:szCs w:val="14"/>
                <w:color w:val="auto"/>
              </w:rPr>
              <w:t>12/12/2027</w:t>
            </w: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34,000</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381.92</w:t>
            </w:r>
          </w:p>
        </w:tc>
        <w:tc>
          <w:tcPr>
            <w:tcW w:w="820" w:type="dxa"/>
            <w:vAlign w:val="bottom"/>
          </w:tcPr>
          <w:p>
            <w:pPr>
              <w:jc w:val="right"/>
              <w:spacing w:after="0"/>
              <w:rPr>
                <w:sz w:val="20"/>
                <w:szCs w:val="20"/>
                <w:color w:val="auto"/>
              </w:rPr>
            </w:pPr>
            <w:r>
              <w:rPr>
                <w:rFonts w:ascii="Arial" w:cs="Arial" w:eastAsia="Arial" w:hAnsi="Arial"/>
                <w:sz w:val="14"/>
                <w:szCs w:val="14"/>
                <w:color w:val="auto"/>
              </w:rPr>
              <w:t>12/16/2026</w:t>
            </w: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3,715</w:t>
            </w:r>
          </w:p>
        </w:tc>
        <w:tc>
          <w:tcPr>
            <w:tcW w:w="240" w:type="dxa"/>
            <w:vAlign w:val="bottom"/>
          </w:tcPr>
          <w:p>
            <w:pPr>
              <w:jc w:val="center"/>
              <w:spacing w:after="0"/>
              <w:rPr>
                <w:sz w:val="20"/>
                <w:szCs w:val="20"/>
                <w:color w:val="auto"/>
              </w:rPr>
            </w:pPr>
            <w:r>
              <w:rPr>
                <w:rFonts w:ascii="Arial" w:cs="Arial" w:eastAsia="Arial" w:hAnsi="Arial"/>
                <w:sz w:val="9"/>
                <w:szCs w:val="9"/>
                <w:color w:val="auto"/>
              </w:rPr>
              <w:t>5</w:t>
            </w:r>
          </w:p>
        </w:tc>
        <w:tc>
          <w:tcPr>
            <w:tcW w:w="800" w:type="dxa"/>
            <w:vAlign w:val="bottom"/>
          </w:tcPr>
          <w:p>
            <w:pPr>
              <w:jc w:val="right"/>
              <w:spacing w:after="0"/>
              <w:rPr>
                <w:sz w:val="20"/>
                <w:szCs w:val="20"/>
                <w:color w:val="auto"/>
              </w:rPr>
            </w:pPr>
            <w:r>
              <w:rPr>
                <w:rFonts w:ascii="Arial" w:cs="Arial" w:eastAsia="Arial" w:hAnsi="Arial"/>
                <w:sz w:val="14"/>
                <w:szCs w:val="14"/>
                <w:color w:val="auto"/>
              </w:rPr>
              <w:t>2,867,497</w:t>
            </w:r>
          </w:p>
        </w:tc>
        <w:tc>
          <w:tcPr>
            <w:tcW w:w="180" w:type="dxa"/>
            <w:vAlign w:val="bottom"/>
          </w:tcPr>
          <w:p>
            <w:pPr>
              <w:jc w:val="right"/>
              <w:spacing w:after="0"/>
              <w:rPr>
                <w:sz w:val="20"/>
                <w:szCs w:val="20"/>
                <w:color w:val="auto"/>
              </w:rPr>
            </w:pPr>
            <w:r>
              <w:rPr>
                <w:rFonts w:ascii="Arial" w:cs="Arial" w:eastAsia="Arial" w:hAnsi="Arial"/>
                <w:sz w:val="9"/>
                <w:szCs w:val="9"/>
                <w:color w:val="auto"/>
              </w:rPr>
              <w:t>9</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3,499</w:t>
            </w:r>
          </w:p>
        </w:tc>
        <w:tc>
          <w:tcPr>
            <w:tcW w:w="240" w:type="dxa"/>
            <w:vAlign w:val="bottom"/>
          </w:tcPr>
          <w:p>
            <w:pPr>
              <w:jc w:val="center"/>
              <w:spacing w:after="0"/>
              <w:rPr>
                <w:sz w:val="20"/>
                <w:szCs w:val="20"/>
                <w:color w:val="auto"/>
              </w:rPr>
            </w:pPr>
            <w:r>
              <w:rPr>
                <w:rFonts w:ascii="Arial" w:cs="Arial" w:eastAsia="Arial" w:hAnsi="Arial"/>
                <w:sz w:val="9"/>
                <w:szCs w:val="9"/>
                <w:color w:val="auto"/>
              </w:rPr>
              <w:t>6</w:t>
            </w:r>
          </w:p>
        </w:tc>
        <w:tc>
          <w:tcPr>
            <w:tcW w:w="800" w:type="dxa"/>
            <w:vAlign w:val="bottom"/>
          </w:tcPr>
          <w:p>
            <w:pPr>
              <w:jc w:val="right"/>
              <w:spacing w:after="0"/>
              <w:rPr>
                <w:sz w:val="20"/>
                <w:szCs w:val="20"/>
                <w:color w:val="auto"/>
              </w:rPr>
            </w:pPr>
            <w:r>
              <w:rPr>
                <w:rFonts w:ascii="Arial" w:cs="Arial" w:eastAsia="Arial" w:hAnsi="Arial"/>
                <w:sz w:val="14"/>
                <w:szCs w:val="14"/>
                <w:color w:val="auto"/>
              </w:rPr>
              <w:t>2,700,773</w:t>
            </w:r>
          </w:p>
        </w:tc>
        <w:tc>
          <w:tcPr>
            <w:tcW w:w="180" w:type="dxa"/>
            <w:vAlign w:val="bottom"/>
          </w:tcPr>
          <w:p>
            <w:pPr>
              <w:jc w:val="right"/>
              <w:spacing w:after="0"/>
              <w:rPr>
                <w:sz w:val="20"/>
                <w:szCs w:val="20"/>
                <w:color w:val="auto"/>
              </w:rPr>
            </w:pPr>
            <w:r>
              <w:rPr>
                <w:rFonts w:ascii="Arial" w:cs="Arial" w:eastAsia="Arial" w:hAnsi="Arial"/>
                <w:sz w:val="9"/>
                <w:szCs w:val="9"/>
                <w:color w:val="auto"/>
              </w:rPr>
              <w:t>9</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1,599</w:t>
            </w:r>
          </w:p>
        </w:tc>
        <w:tc>
          <w:tcPr>
            <w:tcW w:w="240" w:type="dxa"/>
            <w:vAlign w:val="bottom"/>
          </w:tcPr>
          <w:p>
            <w:pPr>
              <w:jc w:val="center"/>
              <w:spacing w:after="0"/>
              <w:rPr>
                <w:sz w:val="20"/>
                <w:szCs w:val="20"/>
                <w:color w:val="auto"/>
              </w:rPr>
            </w:pPr>
            <w:r>
              <w:rPr>
                <w:rFonts w:ascii="Arial" w:cs="Arial" w:eastAsia="Arial" w:hAnsi="Arial"/>
                <w:sz w:val="9"/>
                <w:szCs w:val="9"/>
                <w:color w:val="auto"/>
              </w:rPr>
              <w:t>7</w:t>
            </w:r>
          </w:p>
        </w:tc>
        <w:tc>
          <w:tcPr>
            <w:tcW w:w="800" w:type="dxa"/>
            <w:vAlign w:val="bottom"/>
          </w:tcPr>
          <w:p>
            <w:pPr>
              <w:jc w:val="right"/>
              <w:spacing w:after="0"/>
              <w:rPr>
                <w:sz w:val="20"/>
                <w:szCs w:val="20"/>
                <w:color w:val="auto"/>
              </w:rPr>
            </w:pPr>
            <w:r>
              <w:rPr>
                <w:rFonts w:ascii="Arial" w:cs="Arial" w:eastAsia="Arial" w:hAnsi="Arial"/>
                <w:sz w:val="14"/>
                <w:szCs w:val="14"/>
                <w:color w:val="auto"/>
              </w:rPr>
              <w:t>1,234,220</w:t>
            </w:r>
          </w:p>
        </w:tc>
        <w:tc>
          <w:tcPr>
            <w:tcW w:w="180" w:type="dxa"/>
            <w:vAlign w:val="bottom"/>
          </w:tcPr>
          <w:p>
            <w:pPr>
              <w:jc w:val="right"/>
              <w:spacing w:after="0"/>
              <w:rPr>
                <w:sz w:val="20"/>
                <w:szCs w:val="20"/>
                <w:color w:val="auto"/>
              </w:rPr>
            </w:pPr>
            <w:r>
              <w:rPr>
                <w:rFonts w:ascii="Arial" w:cs="Arial" w:eastAsia="Arial" w:hAnsi="Arial"/>
                <w:sz w:val="9"/>
                <w:szCs w:val="9"/>
                <w:color w:val="auto"/>
              </w:rPr>
              <w:t>9</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2,064</w:t>
            </w:r>
          </w:p>
        </w:tc>
        <w:tc>
          <w:tcPr>
            <w:tcW w:w="240" w:type="dxa"/>
            <w:vAlign w:val="bottom"/>
          </w:tcPr>
          <w:p>
            <w:pPr>
              <w:jc w:val="center"/>
              <w:spacing w:after="0"/>
              <w:rPr>
                <w:sz w:val="20"/>
                <w:szCs w:val="20"/>
                <w:color w:val="auto"/>
              </w:rPr>
            </w:pPr>
            <w:r>
              <w:rPr>
                <w:rFonts w:ascii="Arial" w:cs="Arial" w:eastAsia="Arial" w:hAnsi="Arial"/>
                <w:sz w:val="9"/>
                <w:szCs w:val="9"/>
                <w:color w:val="auto"/>
              </w:rPr>
              <w:t>8</w:t>
            </w:r>
          </w:p>
        </w:tc>
        <w:tc>
          <w:tcPr>
            <w:tcW w:w="800" w:type="dxa"/>
            <w:vAlign w:val="bottom"/>
          </w:tcPr>
          <w:p>
            <w:pPr>
              <w:jc w:val="right"/>
              <w:spacing w:after="0"/>
              <w:rPr>
                <w:sz w:val="20"/>
                <w:szCs w:val="20"/>
                <w:color w:val="auto"/>
              </w:rPr>
            </w:pPr>
            <w:r>
              <w:rPr>
                <w:rFonts w:ascii="Arial" w:cs="Arial" w:eastAsia="Arial" w:hAnsi="Arial"/>
                <w:sz w:val="14"/>
                <w:szCs w:val="14"/>
                <w:color w:val="auto"/>
              </w:rPr>
              <w:t>1,593,140</w:t>
            </w:r>
          </w:p>
        </w:tc>
        <w:tc>
          <w:tcPr>
            <w:tcW w:w="180" w:type="dxa"/>
            <w:vAlign w:val="bottom"/>
          </w:tcPr>
          <w:p>
            <w:pPr>
              <w:jc w:val="right"/>
              <w:spacing w:after="0"/>
              <w:rPr>
                <w:sz w:val="20"/>
                <w:szCs w:val="20"/>
                <w:color w:val="auto"/>
              </w:rPr>
            </w:pPr>
            <w:r>
              <w:rPr>
                <w:rFonts w:ascii="Arial" w:cs="Arial" w:eastAsia="Arial" w:hAnsi="Arial"/>
                <w:sz w:val="9"/>
                <w:szCs w:val="9"/>
                <w:color w:val="auto"/>
              </w:rPr>
              <w:t>9</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193,817</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37,964</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10,877</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8,395,630</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1100" w:space="60"/>
            <w:col w:w="785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83</w:t>
            </w:r>
          </w:p>
        </w:tc>
      </w:tr>
    </w:tbl>
    <w:p>
      <w:pPr>
        <w:sectPr>
          <w:pgSz w:w="11900" w:h="16838" w:orient="portrait"/>
          <w:cols w:equalWidth="0" w:num="1">
            <w:col w:w="9019"/>
          </w:cols>
          <w:pgMar w:left="1440" w:top="657" w:right="1440" w:bottom="1440" w:gutter="0" w:footer="0" w:header="0"/>
          <w:type w:val="continuous"/>
        </w:sectPr>
      </w:pPr>
    </w:p>
    <w:bookmarkStart w:id="92" w:name="page93"/>
    <w:bookmarkEnd w:id="92"/>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40" w:type="dxa"/>
            <w:vAlign w:val="bottom"/>
            <w:tcBorders>
              <w:bottom w:val="single" w:sz="8" w:color="065BAA"/>
            </w:tcBorders>
          </w:tcPr>
          <w:p>
            <w:pPr>
              <w:ind w:left="480"/>
              <w:spacing w:after="0"/>
              <w:rPr>
                <w:sz w:val="20"/>
                <w:szCs w:val="20"/>
                <w:color w:val="auto"/>
              </w:rPr>
            </w:pPr>
            <w:r>
              <w:rPr>
                <w:rFonts w:ascii="Arial" w:cs="Arial" w:eastAsia="Arial" w:hAnsi="Arial"/>
                <w:sz w:val="14"/>
                <w:szCs w:val="14"/>
                <w:b w:val="1"/>
                <w:bCs w:val="1"/>
                <w:color w:val="065BAA"/>
              </w:rPr>
              <w:t>A</w:t>
            </w:r>
          </w:p>
        </w:tc>
        <w:tc>
          <w:tcPr>
            <w:tcW w:w="840" w:type="dxa"/>
            <w:vAlign w:val="bottom"/>
            <w:tcBorders>
              <w:bottom w:val="single" w:sz="8" w:color="065BAA"/>
            </w:tcBorders>
          </w:tcPr>
          <w:p>
            <w:pPr>
              <w:jc w:val="right"/>
              <w:ind w:right="292"/>
              <w:spacing w:after="0"/>
              <w:rPr>
                <w:sz w:val="20"/>
                <w:szCs w:val="20"/>
                <w:color w:val="auto"/>
              </w:rPr>
            </w:pPr>
            <w:r>
              <w:rPr>
                <w:rFonts w:ascii="Arial" w:cs="Arial" w:eastAsia="Arial" w:hAnsi="Arial"/>
                <w:sz w:val="14"/>
                <w:szCs w:val="14"/>
                <w:b w:val="1"/>
                <w:bCs w:val="1"/>
                <w:color w:val="065BAA"/>
              </w:rPr>
              <w:t>B</w:t>
            </w:r>
          </w:p>
        </w:tc>
        <w:tc>
          <w:tcPr>
            <w:tcW w:w="800" w:type="dxa"/>
            <w:vAlign w:val="bottom"/>
            <w:tcBorders>
              <w:bottom w:val="single" w:sz="8" w:color="065BAA"/>
            </w:tcBorders>
          </w:tcPr>
          <w:p>
            <w:pPr>
              <w:jc w:val="right"/>
              <w:ind w:right="252"/>
              <w:spacing w:after="0"/>
              <w:rPr>
                <w:sz w:val="20"/>
                <w:szCs w:val="20"/>
                <w:color w:val="auto"/>
              </w:rPr>
            </w:pPr>
            <w:r>
              <w:rPr>
                <w:rFonts w:ascii="Arial" w:cs="Arial" w:eastAsia="Arial" w:hAnsi="Arial"/>
                <w:sz w:val="14"/>
                <w:szCs w:val="14"/>
                <w:b w:val="1"/>
                <w:bCs w:val="1"/>
                <w:color w:val="065BAA"/>
              </w:rPr>
              <w:t>C</w:t>
            </w:r>
          </w:p>
        </w:tc>
        <w:tc>
          <w:tcPr>
            <w:tcW w:w="200" w:type="dxa"/>
            <w:vAlign w:val="bottom"/>
            <w:tcBorders>
              <w:bottom w:val="single" w:sz="8" w:color="065BAA"/>
            </w:tcBorders>
          </w:tcPr>
          <w:p>
            <w:pPr>
              <w:spacing w:after="0"/>
              <w:rPr>
                <w:sz w:val="14"/>
                <w:szCs w:val="14"/>
                <w:color w:val="auto"/>
              </w:rPr>
            </w:pPr>
          </w:p>
        </w:tc>
        <w:tc>
          <w:tcPr>
            <w:tcW w:w="880" w:type="dxa"/>
            <w:vAlign w:val="bottom"/>
            <w:tcBorders>
              <w:bottom w:val="single" w:sz="8" w:color="065BAA"/>
            </w:tcBorders>
          </w:tcPr>
          <w:p>
            <w:pPr>
              <w:jc w:val="right"/>
              <w:ind w:right="313"/>
              <w:spacing w:after="0"/>
              <w:rPr>
                <w:sz w:val="20"/>
                <w:szCs w:val="20"/>
                <w:color w:val="auto"/>
              </w:rPr>
            </w:pPr>
            <w:r>
              <w:rPr>
                <w:rFonts w:ascii="Arial" w:cs="Arial" w:eastAsia="Arial" w:hAnsi="Arial"/>
                <w:sz w:val="14"/>
                <w:szCs w:val="14"/>
                <w:b w:val="1"/>
                <w:bCs w:val="1"/>
                <w:color w:val="065BAA"/>
              </w:rPr>
              <w:t>D</w:t>
            </w:r>
          </w:p>
        </w:tc>
        <w:tc>
          <w:tcPr>
            <w:tcW w:w="620" w:type="dxa"/>
            <w:vAlign w:val="bottom"/>
            <w:tcBorders>
              <w:bottom w:val="single" w:sz="8" w:color="065BAA"/>
            </w:tcBorders>
          </w:tcPr>
          <w:p>
            <w:pPr>
              <w:jc w:val="right"/>
              <w:ind w:right="191"/>
              <w:spacing w:after="0"/>
              <w:rPr>
                <w:sz w:val="20"/>
                <w:szCs w:val="20"/>
                <w:color w:val="auto"/>
              </w:rPr>
            </w:pPr>
            <w:r>
              <w:rPr>
                <w:rFonts w:ascii="Arial" w:cs="Arial" w:eastAsia="Arial" w:hAnsi="Arial"/>
                <w:sz w:val="14"/>
                <w:szCs w:val="14"/>
                <w:b w:val="1"/>
                <w:bCs w:val="1"/>
                <w:color w:val="065BAA"/>
              </w:rPr>
              <w:t>E</w:t>
            </w:r>
          </w:p>
        </w:tc>
        <w:tc>
          <w:tcPr>
            <w:tcW w:w="820" w:type="dxa"/>
            <w:vAlign w:val="bottom"/>
            <w:tcBorders>
              <w:bottom w:val="single" w:sz="8" w:color="065BAA"/>
            </w:tcBorders>
          </w:tcPr>
          <w:p>
            <w:pPr>
              <w:jc w:val="right"/>
              <w:ind w:right="310"/>
              <w:spacing w:after="0"/>
              <w:rPr>
                <w:sz w:val="20"/>
                <w:szCs w:val="20"/>
                <w:color w:val="auto"/>
              </w:rPr>
            </w:pPr>
            <w:r>
              <w:rPr>
                <w:rFonts w:ascii="Arial" w:cs="Arial" w:eastAsia="Arial" w:hAnsi="Arial"/>
                <w:sz w:val="14"/>
                <w:szCs w:val="14"/>
                <w:b w:val="1"/>
                <w:bCs w:val="1"/>
                <w:color w:val="065BAA"/>
              </w:rPr>
              <w:t>F</w:t>
            </w:r>
          </w:p>
        </w:tc>
        <w:tc>
          <w:tcPr>
            <w:tcW w:w="40" w:type="dxa"/>
            <w:vAlign w:val="bottom"/>
            <w:tcBorders>
              <w:bottom w:val="single" w:sz="8" w:color="065BAA"/>
            </w:tcBorders>
          </w:tcPr>
          <w:p>
            <w:pPr>
              <w:spacing w:after="0"/>
              <w:rPr>
                <w:sz w:val="14"/>
                <w:szCs w:val="14"/>
                <w:color w:val="auto"/>
              </w:rPr>
            </w:pPr>
          </w:p>
        </w:tc>
        <w:tc>
          <w:tcPr>
            <w:tcW w:w="560" w:type="dxa"/>
            <w:vAlign w:val="bottom"/>
            <w:tcBorders>
              <w:bottom w:val="single" w:sz="8" w:color="065BAA"/>
            </w:tcBorders>
          </w:tcPr>
          <w:p>
            <w:pPr>
              <w:jc w:val="right"/>
              <w:ind w:right="132"/>
              <w:spacing w:after="0"/>
              <w:rPr>
                <w:sz w:val="20"/>
                <w:szCs w:val="20"/>
                <w:color w:val="auto"/>
              </w:rPr>
            </w:pPr>
            <w:r>
              <w:rPr>
                <w:rFonts w:ascii="Arial" w:cs="Arial" w:eastAsia="Arial" w:hAnsi="Arial"/>
                <w:sz w:val="14"/>
                <w:szCs w:val="14"/>
                <w:b w:val="1"/>
                <w:bCs w:val="1"/>
                <w:color w:val="065BAA"/>
              </w:rPr>
              <w:t>G</w:t>
            </w:r>
          </w:p>
        </w:tc>
        <w:tc>
          <w:tcPr>
            <w:tcW w:w="240" w:type="dxa"/>
            <w:vAlign w:val="bottom"/>
            <w:tcBorders>
              <w:bottom w:val="single" w:sz="8" w:color="065BAA"/>
            </w:tcBorders>
          </w:tcPr>
          <w:p>
            <w:pPr>
              <w:spacing w:after="0"/>
              <w:rPr>
                <w:sz w:val="14"/>
                <w:szCs w:val="14"/>
                <w:color w:val="auto"/>
              </w:rPr>
            </w:pPr>
          </w:p>
        </w:tc>
        <w:tc>
          <w:tcPr>
            <w:tcW w:w="800" w:type="dxa"/>
            <w:vAlign w:val="bottom"/>
            <w:tcBorders>
              <w:bottom w:val="single" w:sz="8" w:color="065BAA"/>
            </w:tcBorders>
          </w:tcPr>
          <w:p>
            <w:pPr>
              <w:jc w:val="right"/>
              <w:ind w:right="253"/>
              <w:spacing w:after="0"/>
              <w:rPr>
                <w:sz w:val="20"/>
                <w:szCs w:val="20"/>
                <w:color w:val="auto"/>
              </w:rPr>
            </w:pPr>
            <w:r>
              <w:rPr>
                <w:rFonts w:ascii="Arial" w:cs="Arial" w:eastAsia="Arial" w:hAnsi="Arial"/>
                <w:sz w:val="14"/>
                <w:szCs w:val="14"/>
                <w:b w:val="1"/>
                <w:bCs w:val="1"/>
                <w:color w:val="065BAA"/>
              </w:rPr>
              <w:t>H</w:t>
            </w:r>
          </w:p>
        </w:tc>
        <w:tc>
          <w:tcPr>
            <w:tcW w:w="180" w:type="dxa"/>
            <w:vAlign w:val="bottom"/>
            <w:tcBorders>
              <w:bottom w:val="single" w:sz="8" w:color="065BAA"/>
            </w:tcBorders>
          </w:tcPr>
          <w:p>
            <w:pPr>
              <w:spacing w:after="0"/>
              <w:rPr>
                <w:sz w:val="14"/>
                <w:szCs w:val="14"/>
                <w:color w:val="auto"/>
              </w:rPr>
            </w:pPr>
          </w:p>
        </w:tc>
        <w:tc>
          <w:tcPr>
            <w:tcW w:w="860" w:type="dxa"/>
            <w:vAlign w:val="bottom"/>
            <w:tcBorders>
              <w:bottom w:val="single" w:sz="8" w:color="065BAA"/>
            </w:tcBorders>
          </w:tcPr>
          <w:p>
            <w:pPr>
              <w:jc w:val="right"/>
              <w:ind w:right="334"/>
              <w:spacing w:after="0"/>
              <w:rPr>
                <w:sz w:val="20"/>
                <w:szCs w:val="20"/>
                <w:color w:val="auto"/>
              </w:rPr>
            </w:pPr>
            <w:r>
              <w:rPr>
                <w:rFonts w:ascii="Arial" w:cs="Arial" w:eastAsia="Arial" w:hAnsi="Arial"/>
                <w:sz w:val="14"/>
                <w:szCs w:val="14"/>
                <w:b w:val="1"/>
                <w:bCs w:val="1"/>
                <w:color w:val="065BAA"/>
              </w:rPr>
              <w:t>I</w:t>
            </w:r>
          </w:p>
        </w:tc>
        <w:tc>
          <w:tcPr>
            <w:tcW w:w="880" w:type="dxa"/>
            <w:vAlign w:val="bottom"/>
            <w:tcBorders>
              <w:bottom w:val="single" w:sz="8" w:color="065BAA"/>
            </w:tcBorders>
          </w:tcPr>
          <w:p>
            <w:pPr>
              <w:jc w:val="right"/>
              <w:ind w:right="334"/>
              <w:spacing w:after="0"/>
              <w:rPr>
                <w:sz w:val="20"/>
                <w:szCs w:val="20"/>
                <w:color w:val="auto"/>
              </w:rPr>
            </w:pPr>
            <w:r>
              <w:rPr>
                <w:rFonts w:ascii="Arial" w:cs="Arial" w:eastAsia="Arial" w:hAnsi="Arial"/>
                <w:sz w:val="14"/>
                <w:szCs w:val="14"/>
                <w:b w:val="1"/>
                <w:bCs w:val="1"/>
                <w:color w:val="065BAA"/>
              </w:rPr>
              <w:t>J</w:t>
            </w:r>
          </w:p>
        </w:tc>
      </w:tr>
      <w:tr>
        <w:trPr>
          <w:trHeight w:val="196"/>
        </w:trPr>
        <w:tc>
          <w:tcPr>
            <w:tcW w:w="1040" w:type="dxa"/>
            <w:vAlign w:val="bottom"/>
          </w:tcPr>
          <w:p>
            <w:pPr>
              <w:spacing w:after="0"/>
              <w:rPr>
                <w:sz w:val="17"/>
                <w:szCs w:val="17"/>
                <w:color w:val="auto"/>
              </w:rPr>
            </w:pPr>
          </w:p>
        </w:tc>
        <w:tc>
          <w:tcPr>
            <w:tcW w:w="840" w:type="dxa"/>
            <w:vAlign w:val="bottom"/>
            <w:tcBorders>
              <w:bottom w:val="single" w:sz="8" w:color="3B5AA4"/>
            </w:tcBorders>
          </w:tcPr>
          <w:p>
            <w:pPr>
              <w:spacing w:after="0"/>
              <w:rPr>
                <w:sz w:val="17"/>
                <w:szCs w:val="17"/>
                <w:color w:val="auto"/>
              </w:rPr>
            </w:pPr>
          </w:p>
        </w:tc>
        <w:tc>
          <w:tcPr>
            <w:tcW w:w="800" w:type="dxa"/>
            <w:vAlign w:val="bottom"/>
            <w:tcBorders>
              <w:bottom w:val="single" w:sz="8" w:color="3B5AA4"/>
            </w:tcBorders>
          </w:tcPr>
          <w:p>
            <w:pPr>
              <w:spacing w:after="0"/>
              <w:rPr>
                <w:sz w:val="17"/>
                <w:szCs w:val="17"/>
                <w:color w:val="auto"/>
              </w:rPr>
            </w:pPr>
          </w:p>
        </w:tc>
        <w:tc>
          <w:tcPr>
            <w:tcW w:w="1080" w:type="dxa"/>
            <w:vAlign w:val="bottom"/>
            <w:tcBorders>
              <w:bottom w:val="single" w:sz="8" w:color="3B5AA4"/>
            </w:tcBorders>
            <w:gridSpan w:val="2"/>
          </w:tcPr>
          <w:p>
            <w:pPr>
              <w:jc w:val="right"/>
              <w:ind w:right="173"/>
              <w:spacing w:after="0"/>
              <w:rPr>
                <w:sz w:val="20"/>
                <w:szCs w:val="20"/>
                <w:color w:val="auto"/>
              </w:rPr>
            </w:pPr>
            <w:r>
              <w:rPr>
                <w:rFonts w:ascii="Arial" w:cs="Arial" w:eastAsia="Arial" w:hAnsi="Arial"/>
                <w:sz w:val="12"/>
                <w:szCs w:val="12"/>
                <w:b w:val="1"/>
                <w:bCs w:val="1"/>
                <w:color w:val="065BAA"/>
                <w:w w:val="96"/>
              </w:rPr>
              <w:t>Option Awards</w:t>
            </w:r>
          </w:p>
        </w:tc>
        <w:tc>
          <w:tcPr>
            <w:tcW w:w="620" w:type="dxa"/>
            <w:vAlign w:val="bottom"/>
            <w:tcBorders>
              <w:bottom w:val="single" w:sz="8" w:color="3B5AA4"/>
            </w:tcBorders>
          </w:tcPr>
          <w:p>
            <w:pPr>
              <w:spacing w:after="0"/>
              <w:rPr>
                <w:sz w:val="17"/>
                <w:szCs w:val="17"/>
                <w:color w:val="auto"/>
              </w:rPr>
            </w:pPr>
          </w:p>
        </w:tc>
        <w:tc>
          <w:tcPr>
            <w:tcW w:w="820" w:type="dxa"/>
            <w:vAlign w:val="bottom"/>
            <w:tcBorders>
              <w:bottom w:val="single" w:sz="8" w:color="3B5AA4"/>
            </w:tcBorders>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bottom w:val="single" w:sz="8" w:color="3B5AA4"/>
            </w:tcBorders>
          </w:tcPr>
          <w:p>
            <w:pPr>
              <w:spacing w:after="0"/>
              <w:rPr>
                <w:sz w:val="17"/>
                <w:szCs w:val="17"/>
                <w:color w:val="auto"/>
              </w:rPr>
            </w:pPr>
          </w:p>
        </w:tc>
        <w:tc>
          <w:tcPr>
            <w:tcW w:w="240" w:type="dxa"/>
            <w:vAlign w:val="bottom"/>
            <w:tcBorders>
              <w:bottom w:val="single" w:sz="8" w:color="3B5AA4"/>
            </w:tcBorders>
          </w:tcPr>
          <w:p>
            <w:pPr>
              <w:spacing w:after="0"/>
              <w:rPr>
                <w:sz w:val="17"/>
                <w:szCs w:val="17"/>
                <w:color w:val="auto"/>
              </w:rPr>
            </w:pPr>
          </w:p>
        </w:tc>
        <w:tc>
          <w:tcPr>
            <w:tcW w:w="1840" w:type="dxa"/>
            <w:vAlign w:val="bottom"/>
            <w:tcBorders>
              <w:bottom w:val="single" w:sz="8" w:color="3B5AA4"/>
            </w:tcBorders>
            <w:gridSpan w:val="3"/>
          </w:tcPr>
          <w:p>
            <w:pPr>
              <w:jc w:val="right"/>
              <w:ind w:right="434"/>
              <w:spacing w:after="0"/>
              <w:rPr>
                <w:sz w:val="20"/>
                <w:szCs w:val="20"/>
                <w:color w:val="auto"/>
              </w:rPr>
            </w:pPr>
            <w:r>
              <w:rPr>
                <w:rFonts w:ascii="Arial" w:cs="Arial" w:eastAsia="Arial" w:hAnsi="Arial"/>
                <w:sz w:val="12"/>
                <w:szCs w:val="12"/>
                <w:b w:val="1"/>
                <w:bCs w:val="1"/>
                <w:color w:val="065BAA"/>
              </w:rPr>
              <w:t>Stock Awards</w:t>
            </w:r>
          </w:p>
        </w:tc>
        <w:tc>
          <w:tcPr>
            <w:tcW w:w="880" w:type="dxa"/>
            <w:vAlign w:val="bottom"/>
            <w:tcBorders>
              <w:bottom w:val="single" w:sz="8" w:color="3B5AA4"/>
            </w:tcBorders>
          </w:tcPr>
          <w:p>
            <w:pPr>
              <w:spacing w:after="0"/>
              <w:rPr>
                <w:sz w:val="17"/>
                <w:szCs w:val="17"/>
                <w:color w:val="auto"/>
              </w:rPr>
            </w:pPr>
          </w:p>
        </w:tc>
      </w:tr>
      <w:tr>
        <w:trPr>
          <w:trHeight w:val="159"/>
        </w:trPr>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065BAA"/>
              </w:rPr>
              <w:t>Equity</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065BAA"/>
              </w:rPr>
              <w:t>Equity</w:t>
            </w:r>
          </w:p>
        </w:tc>
      </w:tr>
      <w:tr>
        <w:trPr>
          <w:trHeight w:val="135"/>
        </w:trPr>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incentive</w:t>
            </w: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incentive</w:t>
            </w:r>
          </w:p>
        </w:tc>
      </w:tr>
      <w:tr>
        <w:trPr>
          <w:trHeight w:val="148"/>
        </w:trPr>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065BAA"/>
              </w:rPr>
              <w:t>Equity</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065BAA"/>
              </w:rPr>
              <w:t>plan awards:</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065BAA"/>
              </w:rPr>
              <w:t>plan awards:</w:t>
            </w:r>
          </w:p>
        </w:tc>
      </w:tr>
      <w:tr>
        <w:trPr>
          <w:trHeight w:val="135"/>
        </w:trPr>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incentive</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number of</w:t>
            </w: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market or</w:t>
            </w:r>
          </w:p>
        </w:tc>
      </w:tr>
      <w:tr>
        <w:trPr>
          <w:trHeight w:val="135"/>
        </w:trPr>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plan awards:</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Number</w:t>
            </w:r>
          </w:p>
        </w:tc>
        <w:tc>
          <w:tcPr>
            <w:tcW w:w="98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Market</w:t>
            </w:r>
          </w:p>
        </w:tc>
        <w:tc>
          <w:tcPr>
            <w:tcW w:w="86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unearned</w:t>
            </w: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payout value</w:t>
            </w:r>
          </w:p>
        </w:tc>
      </w:tr>
      <w:tr>
        <w:trPr>
          <w:trHeight w:val="148"/>
        </w:trPr>
        <w:tc>
          <w:tcPr>
            <w:tcW w:w="10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065BAA"/>
              </w:rPr>
              <w:t>Number of</w:t>
            </w:r>
          </w:p>
        </w:tc>
        <w:tc>
          <w:tcPr>
            <w:tcW w:w="1000" w:type="dxa"/>
            <w:vAlign w:val="bottom"/>
            <w:gridSpan w:val="2"/>
          </w:tcPr>
          <w:p>
            <w:pPr>
              <w:jc w:val="right"/>
              <w:spacing w:after="0"/>
              <w:rPr>
                <w:sz w:val="20"/>
                <w:szCs w:val="20"/>
                <w:color w:val="auto"/>
              </w:rPr>
            </w:pPr>
            <w:r>
              <w:rPr>
                <w:rFonts w:ascii="Arial" w:cs="Arial" w:eastAsia="Arial" w:hAnsi="Arial"/>
                <w:sz w:val="12"/>
                <w:szCs w:val="12"/>
                <w:b w:val="1"/>
                <w:bCs w:val="1"/>
                <w:color w:val="065BAA"/>
              </w:rPr>
              <w:t>Number of</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065BAA"/>
              </w:rPr>
              <w:t>number of</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b w:val="1"/>
                <w:bCs w:val="1"/>
                <w:color w:val="065BAA"/>
              </w:rPr>
              <w:t>of shares</w:t>
            </w:r>
          </w:p>
        </w:tc>
        <w:tc>
          <w:tcPr>
            <w:tcW w:w="980" w:type="dxa"/>
            <w:vAlign w:val="bottom"/>
            <w:gridSpan w:val="2"/>
          </w:tcPr>
          <w:p>
            <w:pPr>
              <w:jc w:val="right"/>
              <w:spacing w:after="0"/>
              <w:rPr>
                <w:sz w:val="20"/>
                <w:szCs w:val="20"/>
                <w:color w:val="auto"/>
              </w:rPr>
            </w:pPr>
            <w:r>
              <w:rPr>
                <w:rFonts w:ascii="Arial" w:cs="Arial" w:eastAsia="Arial" w:hAnsi="Arial"/>
                <w:sz w:val="12"/>
                <w:szCs w:val="12"/>
                <w:b w:val="1"/>
                <w:bCs w:val="1"/>
                <w:color w:val="065BAA"/>
              </w:rPr>
              <w:t>value</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065BAA"/>
              </w:rPr>
              <w:t>shares,</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065BAA"/>
              </w:rPr>
              <w:t>of unearned</w:t>
            </w:r>
          </w:p>
        </w:tc>
      </w:tr>
      <w:tr>
        <w:trPr>
          <w:trHeight w:val="135"/>
        </w:trPr>
        <w:tc>
          <w:tcPr>
            <w:tcW w:w="10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securities</w:t>
            </w:r>
          </w:p>
        </w:tc>
        <w:tc>
          <w:tcPr>
            <w:tcW w:w="10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securities</w:t>
            </w: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securities</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or units</w:t>
            </w:r>
          </w:p>
        </w:tc>
        <w:tc>
          <w:tcPr>
            <w:tcW w:w="98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of shares</w:t>
            </w:r>
          </w:p>
        </w:tc>
        <w:tc>
          <w:tcPr>
            <w:tcW w:w="86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units</w:t>
            </w: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shares,</w:t>
            </w:r>
          </w:p>
        </w:tc>
      </w:tr>
      <w:tr>
        <w:trPr>
          <w:trHeight w:val="148"/>
        </w:trPr>
        <w:tc>
          <w:tcPr>
            <w:tcW w:w="10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065BAA"/>
              </w:rPr>
              <w:t>underlying</w:t>
            </w:r>
          </w:p>
        </w:tc>
        <w:tc>
          <w:tcPr>
            <w:tcW w:w="1000" w:type="dxa"/>
            <w:vAlign w:val="bottom"/>
            <w:gridSpan w:val="2"/>
          </w:tcPr>
          <w:p>
            <w:pPr>
              <w:jc w:val="right"/>
              <w:spacing w:after="0"/>
              <w:rPr>
                <w:sz w:val="20"/>
                <w:szCs w:val="20"/>
                <w:color w:val="auto"/>
              </w:rPr>
            </w:pPr>
            <w:r>
              <w:rPr>
                <w:rFonts w:ascii="Arial" w:cs="Arial" w:eastAsia="Arial" w:hAnsi="Arial"/>
                <w:sz w:val="12"/>
                <w:szCs w:val="12"/>
                <w:b w:val="1"/>
                <w:bCs w:val="1"/>
                <w:color w:val="065BAA"/>
              </w:rPr>
              <w:t>underlying</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065BAA"/>
              </w:rPr>
              <w:t>underlying</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b w:val="1"/>
                <w:bCs w:val="1"/>
                <w:color w:val="065BAA"/>
              </w:rPr>
              <w:t>of stock</w:t>
            </w:r>
          </w:p>
        </w:tc>
        <w:tc>
          <w:tcPr>
            <w:tcW w:w="980" w:type="dxa"/>
            <w:vAlign w:val="bottom"/>
            <w:gridSpan w:val="2"/>
          </w:tcPr>
          <w:p>
            <w:pPr>
              <w:jc w:val="right"/>
              <w:spacing w:after="0"/>
              <w:rPr>
                <w:sz w:val="20"/>
                <w:szCs w:val="20"/>
                <w:color w:val="auto"/>
              </w:rPr>
            </w:pPr>
            <w:r>
              <w:rPr>
                <w:rFonts w:ascii="Arial" w:cs="Arial" w:eastAsia="Arial" w:hAnsi="Arial"/>
                <w:sz w:val="12"/>
                <w:szCs w:val="12"/>
                <w:b w:val="1"/>
                <w:bCs w:val="1"/>
                <w:color w:val="065BAA"/>
              </w:rPr>
              <w:t>or units</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065BAA"/>
              </w:rPr>
              <w:t>or other</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065BAA"/>
              </w:rPr>
              <w:t>units or</w:t>
            </w:r>
          </w:p>
        </w:tc>
      </w:tr>
      <w:tr>
        <w:trPr>
          <w:trHeight w:val="135"/>
        </w:trPr>
        <w:tc>
          <w:tcPr>
            <w:tcW w:w="10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unexercised</w:t>
            </w:r>
          </w:p>
        </w:tc>
        <w:tc>
          <w:tcPr>
            <w:tcW w:w="10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unexercised</w:t>
            </w: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unexercised</w:t>
            </w:r>
          </w:p>
        </w:tc>
        <w:tc>
          <w:tcPr>
            <w:tcW w:w="62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Option</w:t>
            </w: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that have</w:t>
            </w:r>
          </w:p>
        </w:tc>
        <w:tc>
          <w:tcPr>
            <w:tcW w:w="98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of stock</w:t>
            </w:r>
          </w:p>
        </w:tc>
        <w:tc>
          <w:tcPr>
            <w:tcW w:w="86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rights that</w:t>
            </w: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other rights</w:t>
            </w:r>
          </w:p>
        </w:tc>
      </w:tr>
      <w:tr>
        <w:trPr>
          <w:trHeight w:val="135"/>
        </w:trPr>
        <w:tc>
          <w:tcPr>
            <w:tcW w:w="10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options</w:t>
            </w:r>
          </w:p>
        </w:tc>
        <w:tc>
          <w:tcPr>
            <w:tcW w:w="100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options</w:t>
            </w: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unearned</w:t>
            </w:r>
          </w:p>
        </w:tc>
        <w:tc>
          <w:tcPr>
            <w:tcW w:w="62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exercise</w:t>
            </w:r>
          </w:p>
        </w:tc>
        <w:tc>
          <w:tcPr>
            <w:tcW w:w="82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Option</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w w:val="96"/>
              </w:rPr>
              <w:t>not</w:t>
            </w:r>
          </w:p>
        </w:tc>
        <w:tc>
          <w:tcPr>
            <w:tcW w:w="980" w:type="dxa"/>
            <w:vAlign w:val="bottom"/>
            <w:gridSpan w:val="2"/>
          </w:tcPr>
          <w:p>
            <w:pPr>
              <w:jc w:val="right"/>
              <w:spacing w:after="0" w:line="135" w:lineRule="exact"/>
              <w:rPr>
                <w:sz w:val="20"/>
                <w:szCs w:val="20"/>
                <w:color w:val="auto"/>
              </w:rPr>
            </w:pPr>
            <w:r>
              <w:rPr>
                <w:rFonts w:ascii="Arial" w:cs="Arial" w:eastAsia="Arial" w:hAnsi="Arial"/>
                <w:sz w:val="12"/>
                <w:szCs w:val="12"/>
                <w:b w:val="1"/>
                <w:bCs w:val="1"/>
                <w:color w:val="065BAA"/>
              </w:rPr>
              <w:t>that have</w:t>
            </w:r>
          </w:p>
        </w:tc>
        <w:tc>
          <w:tcPr>
            <w:tcW w:w="86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have not</w:t>
            </w:r>
          </w:p>
        </w:tc>
        <w:tc>
          <w:tcPr>
            <w:tcW w:w="880" w:type="dxa"/>
            <w:vAlign w:val="bottom"/>
          </w:tcPr>
          <w:p>
            <w:pPr>
              <w:jc w:val="right"/>
              <w:spacing w:after="0" w:line="135" w:lineRule="exact"/>
              <w:rPr>
                <w:sz w:val="20"/>
                <w:szCs w:val="20"/>
                <w:color w:val="auto"/>
              </w:rPr>
            </w:pPr>
            <w:r>
              <w:rPr>
                <w:rFonts w:ascii="Arial" w:cs="Arial" w:eastAsia="Arial" w:hAnsi="Arial"/>
                <w:sz w:val="12"/>
                <w:szCs w:val="12"/>
                <w:b w:val="1"/>
                <w:bCs w:val="1"/>
                <w:color w:val="065BAA"/>
              </w:rPr>
              <w:t>that have</w:t>
            </w:r>
          </w:p>
        </w:tc>
      </w:tr>
      <w:tr>
        <w:trPr>
          <w:trHeight w:val="149"/>
        </w:trPr>
        <w:tc>
          <w:tcPr>
            <w:tcW w:w="10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065BAA"/>
              </w:rPr>
              <w:t>exercisable</w:t>
            </w:r>
          </w:p>
        </w:tc>
        <w:tc>
          <w:tcPr>
            <w:tcW w:w="1000" w:type="dxa"/>
            <w:vAlign w:val="bottom"/>
            <w:gridSpan w:val="2"/>
          </w:tcPr>
          <w:p>
            <w:pPr>
              <w:jc w:val="right"/>
              <w:spacing w:after="0"/>
              <w:rPr>
                <w:sz w:val="20"/>
                <w:szCs w:val="20"/>
                <w:color w:val="auto"/>
              </w:rPr>
            </w:pPr>
            <w:r>
              <w:rPr>
                <w:rFonts w:ascii="Arial" w:cs="Arial" w:eastAsia="Arial" w:hAnsi="Arial"/>
                <w:sz w:val="12"/>
                <w:szCs w:val="12"/>
                <w:b w:val="1"/>
                <w:bCs w:val="1"/>
                <w:color w:val="065BAA"/>
              </w:rPr>
              <w:t>unexercisable</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065BAA"/>
              </w:rPr>
              <w:t>options</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065BAA"/>
              </w:rPr>
              <w:t>price</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065BAA"/>
              </w:rPr>
              <w:t>expiration</w:t>
            </w:r>
          </w:p>
        </w:tc>
        <w:tc>
          <w:tcPr>
            <w:tcW w:w="4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b w:val="1"/>
                <w:bCs w:val="1"/>
                <w:color w:val="065BAA"/>
              </w:rPr>
              <w:t>vested</w:t>
            </w:r>
          </w:p>
        </w:tc>
        <w:tc>
          <w:tcPr>
            <w:tcW w:w="980" w:type="dxa"/>
            <w:vAlign w:val="bottom"/>
            <w:gridSpan w:val="2"/>
          </w:tcPr>
          <w:p>
            <w:pPr>
              <w:jc w:val="right"/>
              <w:spacing w:after="0"/>
              <w:rPr>
                <w:sz w:val="20"/>
                <w:szCs w:val="20"/>
                <w:color w:val="auto"/>
              </w:rPr>
            </w:pPr>
            <w:r>
              <w:rPr>
                <w:rFonts w:ascii="Arial" w:cs="Arial" w:eastAsia="Arial" w:hAnsi="Arial"/>
                <w:sz w:val="12"/>
                <w:szCs w:val="12"/>
                <w:b w:val="1"/>
                <w:bCs w:val="1"/>
                <w:color w:val="065BAA"/>
              </w:rPr>
              <w:t>not vested</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065BAA"/>
              </w:rPr>
              <w:t>vested</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065BAA"/>
              </w:rPr>
              <w:t>not vested</w:t>
            </w:r>
          </w:p>
        </w:tc>
      </w:tr>
      <w:tr>
        <w:trPr>
          <w:trHeight w:val="158"/>
        </w:trPr>
        <w:tc>
          <w:tcPr>
            <w:tcW w:w="1040" w:type="dxa"/>
            <w:vAlign w:val="bottom"/>
            <w:tcBorders>
              <w:bottom w:val="single" w:sz="8" w:color="3B5AA4"/>
            </w:tcBorders>
          </w:tcPr>
          <w:p>
            <w:pPr>
              <w:ind w:left="80"/>
              <w:spacing w:after="0"/>
              <w:rPr>
                <w:sz w:val="20"/>
                <w:szCs w:val="20"/>
                <w:color w:val="auto"/>
              </w:rPr>
            </w:pPr>
            <w:r>
              <w:rPr>
                <w:rFonts w:ascii="Arial" w:cs="Arial" w:eastAsia="Arial" w:hAnsi="Arial"/>
                <w:sz w:val="12"/>
                <w:szCs w:val="12"/>
                <w:b w:val="1"/>
                <w:bCs w:val="1"/>
                <w:color w:val="065BAA"/>
              </w:rPr>
              <w:t>Name</w:t>
            </w:r>
          </w:p>
        </w:tc>
        <w:tc>
          <w:tcPr>
            <w:tcW w:w="840" w:type="dxa"/>
            <w:vAlign w:val="bottom"/>
            <w:tcBorders>
              <w:bottom w:val="single" w:sz="8" w:color="065BAA"/>
            </w:tcBorders>
          </w:tcPr>
          <w:p>
            <w:pPr>
              <w:jc w:val="right"/>
              <w:spacing w:after="0"/>
              <w:rPr>
                <w:sz w:val="20"/>
                <w:szCs w:val="20"/>
                <w:color w:val="auto"/>
              </w:rPr>
            </w:pPr>
            <w:r>
              <w:rPr>
                <w:rFonts w:ascii="Arial" w:cs="Arial" w:eastAsia="Arial" w:hAnsi="Arial"/>
                <w:sz w:val="12"/>
                <w:szCs w:val="12"/>
                <w:b w:val="1"/>
                <w:bCs w:val="1"/>
                <w:color w:val="065BAA"/>
              </w:rPr>
              <w:t>(#)</w:t>
            </w:r>
          </w:p>
        </w:tc>
        <w:tc>
          <w:tcPr>
            <w:tcW w:w="800" w:type="dxa"/>
            <w:vAlign w:val="bottom"/>
            <w:tcBorders>
              <w:bottom w:val="single" w:sz="8" w:color="065BAA"/>
            </w:tcBorders>
          </w:tcPr>
          <w:p>
            <w:pPr>
              <w:spacing w:after="0"/>
              <w:rPr>
                <w:sz w:val="13"/>
                <w:szCs w:val="13"/>
                <w:color w:val="auto"/>
              </w:rPr>
            </w:pPr>
          </w:p>
        </w:tc>
        <w:tc>
          <w:tcPr>
            <w:tcW w:w="200" w:type="dxa"/>
            <w:vAlign w:val="bottom"/>
            <w:tcBorders>
              <w:bottom w:val="single" w:sz="8" w:color="065BAA"/>
            </w:tcBorders>
          </w:tcPr>
          <w:p>
            <w:pPr>
              <w:jc w:val="right"/>
              <w:spacing w:after="0"/>
              <w:rPr>
                <w:sz w:val="20"/>
                <w:szCs w:val="20"/>
                <w:color w:val="auto"/>
              </w:rPr>
            </w:pPr>
            <w:r>
              <w:rPr>
                <w:rFonts w:ascii="Arial" w:cs="Arial" w:eastAsia="Arial" w:hAnsi="Arial"/>
                <w:sz w:val="12"/>
                <w:szCs w:val="12"/>
                <w:b w:val="1"/>
                <w:bCs w:val="1"/>
                <w:color w:val="065BAA"/>
                <w:w w:val="95"/>
              </w:rPr>
              <w:t>(#)</w:t>
            </w:r>
          </w:p>
        </w:tc>
        <w:tc>
          <w:tcPr>
            <w:tcW w:w="880" w:type="dxa"/>
            <w:vAlign w:val="bottom"/>
            <w:tcBorders>
              <w:bottom w:val="single" w:sz="8" w:color="065BAA"/>
            </w:tcBorders>
          </w:tcPr>
          <w:p>
            <w:pPr>
              <w:jc w:val="right"/>
              <w:spacing w:after="0"/>
              <w:rPr>
                <w:sz w:val="20"/>
                <w:szCs w:val="20"/>
                <w:color w:val="auto"/>
              </w:rPr>
            </w:pPr>
            <w:r>
              <w:rPr>
                <w:rFonts w:ascii="Arial" w:cs="Arial" w:eastAsia="Arial" w:hAnsi="Arial"/>
                <w:sz w:val="12"/>
                <w:szCs w:val="12"/>
                <w:b w:val="1"/>
                <w:bCs w:val="1"/>
                <w:color w:val="065BAA"/>
              </w:rPr>
              <w:t>(#)</w:t>
            </w:r>
          </w:p>
        </w:tc>
        <w:tc>
          <w:tcPr>
            <w:tcW w:w="620" w:type="dxa"/>
            <w:vAlign w:val="bottom"/>
            <w:tcBorders>
              <w:bottom w:val="single" w:sz="8" w:color="065BAA"/>
            </w:tcBorders>
          </w:tcPr>
          <w:p>
            <w:pPr>
              <w:jc w:val="right"/>
              <w:spacing w:after="0"/>
              <w:rPr>
                <w:sz w:val="20"/>
                <w:szCs w:val="20"/>
                <w:color w:val="auto"/>
              </w:rPr>
            </w:pPr>
            <w:r>
              <w:rPr>
                <w:rFonts w:ascii="Arial" w:cs="Arial" w:eastAsia="Arial" w:hAnsi="Arial"/>
                <w:sz w:val="12"/>
                <w:szCs w:val="12"/>
                <w:b w:val="1"/>
                <w:bCs w:val="1"/>
                <w:color w:val="065BAA"/>
              </w:rPr>
              <w:t>($)</w:t>
            </w:r>
          </w:p>
        </w:tc>
        <w:tc>
          <w:tcPr>
            <w:tcW w:w="820" w:type="dxa"/>
            <w:vAlign w:val="bottom"/>
            <w:tcBorders>
              <w:bottom w:val="single" w:sz="8" w:color="065BAA"/>
            </w:tcBorders>
          </w:tcPr>
          <w:p>
            <w:pPr>
              <w:jc w:val="right"/>
              <w:spacing w:after="0"/>
              <w:rPr>
                <w:sz w:val="20"/>
                <w:szCs w:val="20"/>
                <w:color w:val="auto"/>
              </w:rPr>
            </w:pPr>
            <w:r>
              <w:rPr>
                <w:rFonts w:ascii="Arial" w:cs="Arial" w:eastAsia="Arial" w:hAnsi="Arial"/>
                <w:sz w:val="12"/>
                <w:szCs w:val="12"/>
                <w:b w:val="1"/>
                <w:bCs w:val="1"/>
                <w:color w:val="065BAA"/>
              </w:rPr>
              <w:t>date</w:t>
            </w:r>
          </w:p>
        </w:tc>
        <w:tc>
          <w:tcPr>
            <w:tcW w:w="40" w:type="dxa"/>
            <w:vAlign w:val="bottom"/>
            <w:tcBorders>
              <w:bottom w:val="single" w:sz="8" w:color="065BAA"/>
            </w:tcBorders>
          </w:tcPr>
          <w:p>
            <w:pPr>
              <w:spacing w:after="0"/>
              <w:rPr>
                <w:sz w:val="13"/>
                <w:szCs w:val="13"/>
                <w:color w:val="auto"/>
              </w:rPr>
            </w:pPr>
          </w:p>
        </w:tc>
        <w:tc>
          <w:tcPr>
            <w:tcW w:w="560" w:type="dxa"/>
            <w:vAlign w:val="bottom"/>
            <w:tcBorders>
              <w:bottom w:val="single" w:sz="8" w:color="065BAA"/>
            </w:tcBorders>
          </w:tcPr>
          <w:p>
            <w:pPr>
              <w:spacing w:after="0"/>
              <w:rPr>
                <w:sz w:val="13"/>
                <w:szCs w:val="13"/>
                <w:color w:val="auto"/>
              </w:rPr>
            </w:pPr>
          </w:p>
        </w:tc>
        <w:tc>
          <w:tcPr>
            <w:tcW w:w="240" w:type="dxa"/>
            <w:vAlign w:val="bottom"/>
            <w:tcBorders>
              <w:bottom w:val="single" w:sz="8" w:color="065BAA"/>
            </w:tcBorders>
          </w:tcPr>
          <w:p>
            <w:pPr>
              <w:jc w:val="right"/>
              <w:spacing w:after="0"/>
              <w:rPr>
                <w:sz w:val="20"/>
                <w:szCs w:val="20"/>
                <w:color w:val="auto"/>
              </w:rPr>
            </w:pPr>
            <w:r>
              <w:rPr>
                <w:rFonts w:ascii="Arial" w:cs="Arial" w:eastAsia="Arial" w:hAnsi="Arial"/>
                <w:sz w:val="12"/>
                <w:szCs w:val="12"/>
                <w:b w:val="1"/>
                <w:bCs w:val="1"/>
                <w:color w:val="065BAA"/>
              </w:rPr>
              <w:t>(#)</w:t>
            </w:r>
          </w:p>
        </w:tc>
        <w:tc>
          <w:tcPr>
            <w:tcW w:w="800" w:type="dxa"/>
            <w:vAlign w:val="bottom"/>
            <w:tcBorders>
              <w:bottom w:val="single" w:sz="8" w:color="065BAA"/>
            </w:tcBorders>
          </w:tcPr>
          <w:p>
            <w:pPr>
              <w:spacing w:after="0"/>
              <w:rPr>
                <w:sz w:val="13"/>
                <w:szCs w:val="13"/>
                <w:color w:val="auto"/>
              </w:rPr>
            </w:pPr>
          </w:p>
        </w:tc>
        <w:tc>
          <w:tcPr>
            <w:tcW w:w="180" w:type="dxa"/>
            <w:vAlign w:val="bottom"/>
            <w:tcBorders>
              <w:bottom w:val="single" w:sz="8" w:color="065BAA"/>
            </w:tcBorders>
          </w:tcPr>
          <w:p>
            <w:pPr>
              <w:jc w:val="right"/>
              <w:spacing w:after="0"/>
              <w:rPr>
                <w:sz w:val="20"/>
                <w:szCs w:val="20"/>
                <w:color w:val="auto"/>
              </w:rPr>
            </w:pPr>
            <w:r>
              <w:rPr>
                <w:rFonts w:ascii="Arial" w:cs="Arial" w:eastAsia="Arial" w:hAnsi="Arial"/>
                <w:sz w:val="12"/>
                <w:szCs w:val="12"/>
                <w:b w:val="1"/>
                <w:bCs w:val="1"/>
                <w:color w:val="065BAA"/>
                <w:w w:val="81"/>
              </w:rPr>
              <w:t>($)</w:t>
            </w:r>
          </w:p>
        </w:tc>
        <w:tc>
          <w:tcPr>
            <w:tcW w:w="860" w:type="dxa"/>
            <w:vAlign w:val="bottom"/>
            <w:tcBorders>
              <w:bottom w:val="single" w:sz="8" w:color="065BAA"/>
            </w:tcBorders>
          </w:tcPr>
          <w:p>
            <w:pPr>
              <w:jc w:val="right"/>
              <w:spacing w:after="0"/>
              <w:rPr>
                <w:sz w:val="20"/>
                <w:szCs w:val="20"/>
                <w:color w:val="auto"/>
              </w:rPr>
            </w:pPr>
            <w:r>
              <w:rPr>
                <w:rFonts w:ascii="Arial" w:cs="Arial" w:eastAsia="Arial" w:hAnsi="Arial"/>
                <w:sz w:val="12"/>
                <w:szCs w:val="12"/>
                <w:b w:val="1"/>
                <w:bCs w:val="1"/>
                <w:color w:val="065BAA"/>
              </w:rPr>
              <w:t>(#)</w:t>
            </w:r>
          </w:p>
        </w:tc>
        <w:tc>
          <w:tcPr>
            <w:tcW w:w="880" w:type="dxa"/>
            <w:vAlign w:val="bottom"/>
            <w:tcBorders>
              <w:bottom w:val="single" w:sz="8" w:color="065BAA"/>
            </w:tcBorders>
          </w:tcPr>
          <w:p>
            <w:pPr>
              <w:jc w:val="right"/>
              <w:spacing w:after="0"/>
              <w:rPr>
                <w:sz w:val="20"/>
                <w:szCs w:val="20"/>
                <w:color w:val="auto"/>
              </w:rPr>
            </w:pPr>
            <w:r>
              <w:rPr>
                <w:rFonts w:ascii="Arial" w:cs="Arial" w:eastAsia="Arial" w:hAnsi="Arial"/>
                <w:sz w:val="12"/>
                <w:szCs w:val="12"/>
                <w:b w:val="1"/>
                <w:bCs w:val="1"/>
                <w:color w:val="065BAA"/>
              </w:rPr>
              <w:t>($)</w:t>
            </w:r>
          </w:p>
        </w:tc>
      </w:tr>
      <w:tr>
        <w:trPr>
          <w:trHeight w:val="156"/>
        </w:trPr>
        <w:tc>
          <w:tcPr>
            <w:tcW w:w="1040" w:type="dxa"/>
            <w:vAlign w:val="bottom"/>
            <w:shd w:val="clear" w:color="auto" w:fill="DAEBF8"/>
          </w:tcPr>
          <w:p>
            <w:pPr>
              <w:ind w:left="80"/>
              <w:spacing w:after="0"/>
              <w:rPr>
                <w:sz w:val="20"/>
                <w:szCs w:val="20"/>
                <w:color w:val="auto"/>
              </w:rPr>
            </w:pPr>
            <w:r>
              <w:rPr>
                <w:rFonts w:ascii="Arial" w:cs="Arial" w:eastAsia="Arial" w:hAnsi="Arial"/>
                <w:sz w:val="13"/>
                <w:szCs w:val="13"/>
                <w:b w:val="1"/>
                <w:bCs w:val="1"/>
                <w:color w:val="auto"/>
              </w:rPr>
              <w:t>Joseph J.</w:t>
            </w:r>
          </w:p>
        </w:tc>
        <w:tc>
          <w:tcPr>
            <w:tcW w:w="840" w:type="dxa"/>
            <w:vAlign w:val="bottom"/>
            <w:shd w:val="clear" w:color="auto" w:fill="DAEBF8"/>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DAEBF8"/>
          </w:tcPr>
          <w:p>
            <w:pPr>
              <w:jc w:val="right"/>
              <w:spacing w:after="0" w:line="155" w:lineRule="exact"/>
              <w:rPr>
                <w:sz w:val="20"/>
                <w:szCs w:val="20"/>
                <w:color w:val="auto"/>
              </w:rPr>
            </w:pPr>
            <w:r>
              <w:rPr>
                <w:rFonts w:ascii="Arial" w:cs="Arial" w:eastAsia="Arial" w:hAnsi="Arial"/>
                <w:sz w:val="14"/>
                <w:szCs w:val="14"/>
                <w:color w:val="auto"/>
              </w:rPr>
              <w:t>12,210</w:t>
            </w:r>
          </w:p>
        </w:tc>
        <w:tc>
          <w:tcPr>
            <w:tcW w:w="200" w:type="dxa"/>
            <w:vAlign w:val="bottom"/>
            <w:shd w:val="clear" w:color="auto" w:fill="DAEBF8"/>
          </w:tcPr>
          <w:p>
            <w:pPr>
              <w:jc w:val="right"/>
              <w:spacing w:after="0"/>
              <w:rPr>
                <w:sz w:val="20"/>
                <w:szCs w:val="20"/>
                <w:color w:val="auto"/>
              </w:rPr>
            </w:pPr>
            <w:r>
              <w:rPr>
                <w:rFonts w:ascii="Arial" w:cs="Arial" w:eastAsia="Arial" w:hAnsi="Arial"/>
                <w:sz w:val="9"/>
                <w:szCs w:val="9"/>
                <w:color w:val="auto"/>
              </w:rPr>
              <w:t>1</w:t>
            </w:r>
          </w:p>
        </w:tc>
        <w:tc>
          <w:tcPr>
            <w:tcW w:w="880" w:type="dxa"/>
            <w:vAlign w:val="bottom"/>
            <w:shd w:val="clear" w:color="auto" w:fill="DAEBF8"/>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1"/>
              <w:spacing w:after="0" w:line="155" w:lineRule="exact"/>
              <w:rPr>
                <w:sz w:val="20"/>
                <w:szCs w:val="20"/>
                <w:color w:val="auto"/>
              </w:rPr>
            </w:pPr>
            <w:r>
              <w:rPr>
                <w:rFonts w:ascii="Arial" w:cs="Arial" w:eastAsia="Arial" w:hAnsi="Arial"/>
                <w:sz w:val="14"/>
                <w:szCs w:val="14"/>
                <w:color w:val="auto"/>
              </w:rPr>
              <w:t>726.71</w:t>
            </w:r>
          </w:p>
        </w:tc>
        <w:tc>
          <w:tcPr>
            <w:tcW w:w="820" w:type="dxa"/>
            <w:vAlign w:val="bottom"/>
            <w:shd w:val="clear" w:color="auto" w:fill="DAEBF8"/>
          </w:tcPr>
          <w:p>
            <w:pPr>
              <w:jc w:val="right"/>
              <w:spacing w:after="0" w:line="155" w:lineRule="exact"/>
              <w:rPr>
                <w:sz w:val="20"/>
                <w:szCs w:val="20"/>
                <w:color w:val="auto"/>
              </w:rPr>
            </w:pPr>
            <w:r>
              <w:rPr>
                <w:rFonts w:ascii="Arial" w:cs="Arial" w:eastAsia="Arial" w:hAnsi="Arial"/>
                <w:sz w:val="14"/>
                <w:szCs w:val="14"/>
                <w:color w:val="auto"/>
              </w:rPr>
              <w:t>12/05/2035</w:t>
            </w:r>
          </w:p>
        </w:tc>
        <w:tc>
          <w:tcPr>
            <w:tcW w:w="40" w:type="dxa"/>
            <w:vAlign w:val="bottom"/>
            <w:shd w:val="clear" w:color="auto" w:fill="DAEBF8"/>
          </w:tcPr>
          <w:p>
            <w:pPr>
              <w:spacing w:after="0"/>
              <w:rPr>
                <w:sz w:val="13"/>
                <w:szCs w:val="13"/>
                <w:color w:val="auto"/>
              </w:rPr>
            </w:pPr>
          </w:p>
        </w:tc>
        <w:tc>
          <w:tcPr>
            <w:tcW w:w="560" w:type="dxa"/>
            <w:vAlign w:val="bottom"/>
            <w:shd w:val="clear" w:color="auto" w:fill="DAEBF8"/>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DAEBF8"/>
          </w:tcPr>
          <w:p>
            <w:pPr>
              <w:spacing w:after="0"/>
              <w:rPr>
                <w:sz w:val="13"/>
                <w:szCs w:val="13"/>
                <w:color w:val="auto"/>
              </w:rPr>
            </w:pPr>
          </w:p>
        </w:tc>
        <w:tc>
          <w:tcPr>
            <w:tcW w:w="800" w:type="dxa"/>
            <w:vAlign w:val="bottom"/>
            <w:shd w:val="clear" w:color="auto" w:fill="DAEBF8"/>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shd w:val="clear" w:color="auto" w:fill="DAEBF8"/>
          </w:tcPr>
          <w:p>
            <w:pPr>
              <w:spacing w:after="0"/>
              <w:rPr>
                <w:sz w:val="13"/>
                <w:szCs w:val="13"/>
                <w:color w:val="auto"/>
              </w:rPr>
            </w:pPr>
          </w:p>
        </w:tc>
        <w:tc>
          <w:tcPr>
            <w:tcW w:w="860" w:type="dxa"/>
            <w:vAlign w:val="bottom"/>
            <w:shd w:val="clear" w:color="auto" w:fill="DAEBF8"/>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DAEBF8"/>
          </w:tcPr>
          <w:p>
            <w:pPr>
              <w:jc w:val="right"/>
              <w:spacing w:after="0" w:line="155" w:lineRule="exact"/>
              <w:rPr>
                <w:sz w:val="20"/>
                <w:szCs w:val="20"/>
                <w:color w:val="auto"/>
              </w:rPr>
            </w:pPr>
            <w:r>
              <w:rPr>
                <w:rFonts w:ascii="Arial" w:cs="Arial" w:eastAsia="Arial" w:hAnsi="Arial"/>
                <w:sz w:val="14"/>
                <w:szCs w:val="14"/>
                <w:color w:val="auto"/>
              </w:rPr>
              <w:t>—</w:t>
            </w:r>
          </w:p>
        </w:tc>
      </w:tr>
      <w:tr>
        <w:trPr>
          <w:trHeight w:val="257"/>
        </w:trPr>
        <w:tc>
          <w:tcPr>
            <w:tcW w:w="1040" w:type="dxa"/>
            <w:vAlign w:val="bottom"/>
            <w:shd w:val="clear" w:color="auto" w:fill="DAEBF8"/>
          </w:tcPr>
          <w:p>
            <w:pPr>
              <w:ind w:left="80"/>
              <w:spacing w:after="0"/>
              <w:rPr>
                <w:sz w:val="20"/>
                <w:szCs w:val="20"/>
                <w:color w:val="auto"/>
              </w:rPr>
            </w:pPr>
            <w:r>
              <w:rPr>
                <w:rFonts w:ascii="Arial" w:cs="Arial" w:eastAsia="Arial" w:hAnsi="Arial"/>
                <w:sz w:val="13"/>
                <w:szCs w:val="13"/>
                <w:b w:val="1"/>
                <w:bCs w:val="1"/>
                <w:color w:val="auto"/>
              </w:rPr>
              <w:t>LaRosa</w:t>
            </w: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2,246</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6,735</w:t>
            </w:r>
          </w:p>
        </w:tc>
        <w:tc>
          <w:tcPr>
            <w:tcW w:w="200" w:type="dxa"/>
            <w:vAlign w:val="bottom"/>
            <w:shd w:val="clear" w:color="auto" w:fill="DAEBF8"/>
          </w:tcPr>
          <w:p>
            <w:pPr>
              <w:jc w:val="right"/>
              <w:spacing w:after="0"/>
              <w:rPr>
                <w:sz w:val="20"/>
                <w:szCs w:val="20"/>
                <w:color w:val="auto"/>
              </w:rPr>
            </w:pPr>
            <w:r>
              <w:rPr>
                <w:rFonts w:ascii="Arial" w:cs="Arial" w:eastAsia="Arial" w:hAnsi="Arial"/>
                <w:sz w:val="9"/>
                <w:szCs w:val="9"/>
                <w:color w:val="auto"/>
              </w:rPr>
              <w:t>2</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1"/>
              <w:spacing w:after="0"/>
              <w:rPr>
                <w:sz w:val="20"/>
                <w:szCs w:val="20"/>
                <w:color w:val="auto"/>
              </w:rPr>
            </w:pPr>
            <w:r>
              <w:rPr>
                <w:rFonts w:ascii="Arial" w:cs="Arial" w:eastAsia="Arial" w:hAnsi="Arial"/>
                <w:sz w:val="14"/>
                <w:szCs w:val="14"/>
                <w:color w:val="auto"/>
              </w:rPr>
              <w:t>771.64</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12/06/2034</w:t>
            </w:r>
          </w:p>
        </w:tc>
        <w:tc>
          <w:tcPr>
            <w:tcW w:w="40" w:type="dxa"/>
            <w:vAlign w:val="bottom"/>
            <w:shd w:val="clear" w:color="auto" w:fill="DAEBF8"/>
          </w:tcPr>
          <w:p>
            <w:pPr>
              <w:spacing w:after="0"/>
              <w:rPr>
                <w:sz w:val="22"/>
                <w:szCs w:val="22"/>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AEBF8"/>
          </w:tcPr>
          <w:p>
            <w:pPr>
              <w:spacing w:after="0"/>
              <w:rPr>
                <w:sz w:val="22"/>
                <w:szCs w:val="22"/>
                <w:color w:val="auto"/>
              </w:rPr>
            </w:pP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AEBF8"/>
          </w:tcPr>
          <w:p>
            <w:pPr>
              <w:spacing w:after="0"/>
              <w:rPr>
                <w:sz w:val="22"/>
                <w:szCs w:val="22"/>
                <w:color w:val="auto"/>
              </w:rPr>
            </w:pP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040" w:type="dxa"/>
            <w:vAlign w:val="bottom"/>
            <w:shd w:val="clear" w:color="auto" w:fill="DAEBF8"/>
          </w:tcPr>
          <w:p>
            <w:pPr>
              <w:spacing w:after="0"/>
              <w:rPr>
                <w:sz w:val="18"/>
                <w:szCs w:val="18"/>
                <w:color w:val="auto"/>
              </w:rPr>
            </w:pP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3,825</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3,824</w:t>
            </w:r>
          </w:p>
        </w:tc>
        <w:tc>
          <w:tcPr>
            <w:tcW w:w="200" w:type="dxa"/>
            <w:vAlign w:val="bottom"/>
            <w:shd w:val="clear" w:color="auto" w:fill="DAEBF8"/>
          </w:tcPr>
          <w:p>
            <w:pPr>
              <w:jc w:val="right"/>
              <w:spacing w:after="0"/>
              <w:rPr>
                <w:sz w:val="20"/>
                <w:szCs w:val="20"/>
                <w:color w:val="auto"/>
              </w:rPr>
            </w:pPr>
            <w:r>
              <w:rPr>
                <w:rFonts w:ascii="Arial" w:cs="Arial" w:eastAsia="Arial" w:hAnsi="Arial"/>
                <w:sz w:val="9"/>
                <w:szCs w:val="9"/>
                <w:color w:val="auto"/>
              </w:rPr>
              <w:t>3</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1"/>
              <w:spacing w:after="0"/>
              <w:rPr>
                <w:sz w:val="20"/>
                <w:szCs w:val="20"/>
                <w:color w:val="auto"/>
              </w:rPr>
            </w:pPr>
            <w:r>
              <w:rPr>
                <w:rFonts w:ascii="Arial" w:cs="Arial" w:eastAsia="Arial" w:hAnsi="Arial"/>
                <w:sz w:val="14"/>
                <w:szCs w:val="14"/>
                <w:color w:val="auto"/>
              </w:rPr>
              <w:t>843.79</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12/08/2033</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AEBF8"/>
          </w:tcPr>
          <w:p>
            <w:pPr>
              <w:spacing w:after="0"/>
              <w:rPr>
                <w:sz w:val="18"/>
                <w:szCs w:val="18"/>
                <w:color w:val="auto"/>
              </w:rPr>
            </w:pP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AEBF8"/>
          </w:tcPr>
          <w:p>
            <w:pPr>
              <w:spacing w:after="0"/>
              <w:rPr>
                <w:sz w:val="18"/>
                <w:szCs w:val="18"/>
                <w:color w:val="auto"/>
              </w:rPr>
            </w:pP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040" w:type="dxa"/>
            <w:vAlign w:val="bottom"/>
            <w:shd w:val="clear" w:color="auto" w:fill="DAEBF8"/>
          </w:tcPr>
          <w:p>
            <w:pPr>
              <w:spacing w:after="0"/>
              <w:rPr>
                <w:sz w:val="18"/>
                <w:szCs w:val="18"/>
                <w:color w:val="auto"/>
              </w:rPr>
            </w:pP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7,620</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2,539</w:t>
            </w:r>
          </w:p>
        </w:tc>
        <w:tc>
          <w:tcPr>
            <w:tcW w:w="200" w:type="dxa"/>
            <w:vAlign w:val="bottom"/>
            <w:shd w:val="clear" w:color="auto" w:fill="DAEBF8"/>
          </w:tcPr>
          <w:p>
            <w:pPr>
              <w:jc w:val="right"/>
              <w:spacing w:after="0"/>
              <w:rPr>
                <w:sz w:val="20"/>
                <w:szCs w:val="20"/>
                <w:color w:val="auto"/>
              </w:rPr>
            </w:pPr>
            <w:r>
              <w:rPr>
                <w:rFonts w:ascii="Arial" w:cs="Arial" w:eastAsia="Arial" w:hAnsi="Arial"/>
                <w:sz w:val="9"/>
                <w:szCs w:val="9"/>
                <w:color w:val="auto"/>
              </w:rPr>
              <w:t>4</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1"/>
              <w:spacing w:after="0"/>
              <w:rPr>
                <w:sz w:val="20"/>
                <w:szCs w:val="20"/>
                <w:color w:val="auto"/>
              </w:rPr>
            </w:pPr>
            <w:r>
              <w:rPr>
                <w:rFonts w:ascii="Arial" w:cs="Arial" w:eastAsia="Arial" w:hAnsi="Arial"/>
                <w:sz w:val="14"/>
                <w:szCs w:val="14"/>
                <w:color w:val="auto"/>
              </w:rPr>
              <w:t>726.53</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12/16/2032</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AEBF8"/>
          </w:tcPr>
          <w:p>
            <w:pPr>
              <w:spacing w:after="0"/>
              <w:rPr>
                <w:sz w:val="18"/>
                <w:szCs w:val="18"/>
                <w:color w:val="auto"/>
              </w:rPr>
            </w:pP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AEBF8"/>
          </w:tcPr>
          <w:p>
            <w:pPr>
              <w:spacing w:after="0"/>
              <w:rPr>
                <w:sz w:val="18"/>
                <w:szCs w:val="18"/>
                <w:color w:val="auto"/>
              </w:rPr>
            </w:pP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040" w:type="dxa"/>
            <w:vAlign w:val="bottom"/>
            <w:shd w:val="clear" w:color="auto" w:fill="DAEBF8"/>
          </w:tcPr>
          <w:p>
            <w:pPr>
              <w:spacing w:after="0"/>
              <w:rPr>
                <w:sz w:val="18"/>
                <w:szCs w:val="18"/>
                <w:color w:val="auto"/>
              </w:rPr>
            </w:pP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14,253</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AEBF8"/>
          </w:tcPr>
          <w:p>
            <w:pPr>
              <w:spacing w:after="0"/>
              <w:rPr>
                <w:sz w:val="18"/>
                <w:szCs w:val="18"/>
                <w:color w:val="auto"/>
              </w:rPr>
            </w:pP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1"/>
              <w:spacing w:after="0"/>
              <w:rPr>
                <w:sz w:val="20"/>
                <w:szCs w:val="20"/>
                <w:color w:val="auto"/>
              </w:rPr>
            </w:pPr>
            <w:r>
              <w:rPr>
                <w:rFonts w:ascii="Arial" w:cs="Arial" w:eastAsia="Arial" w:hAnsi="Arial"/>
                <w:sz w:val="14"/>
                <w:szCs w:val="14"/>
                <w:color w:val="auto"/>
              </w:rPr>
              <w:t>644.54</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12/08/2031</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AEBF8"/>
          </w:tcPr>
          <w:p>
            <w:pPr>
              <w:spacing w:after="0"/>
              <w:rPr>
                <w:sz w:val="18"/>
                <w:szCs w:val="18"/>
                <w:color w:val="auto"/>
              </w:rPr>
            </w:pP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AEBF8"/>
          </w:tcPr>
          <w:p>
            <w:pPr>
              <w:spacing w:after="0"/>
              <w:rPr>
                <w:sz w:val="18"/>
                <w:szCs w:val="18"/>
                <w:color w:val="auto"/>
              </w:rPr>
            </w:pP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040" w:type="dxa"/>
            <w:vAlign w:val="bottom"/>
            <w:shd w:val="clear" w:color="auto" w:fill="DAEBF8"/>
          </w:tcPr>
          <w:p>
            <w:pPr>
              <w:spacing w:after="0"/>
              <w:rPr>
                <w:sz w:val="18"/>
                <w:szCs w:val="18"/>
                <w:color w:val="auto"/>
              </w:rPr>
            </w:pP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19,950</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AEBF8"/>
          </w:tcPr>
          <w:p>
            <w:pPr>
              <w:spacing w:after="0"/>
              <w:rPr>
                <w:sz w:val="18"/>
                <w:szCs w:val="18"/>
                <w:color w:val="auto"/>
              </w:rPr>
            </w:pP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1"/>
              <w:spacing w:after="0"/>
              <w:rPr>
                <w:sz w:val="20"/>
                <w:szCs w:val="20"/>
                <w:color w:val="auto"/>
              </w:rPr>
            </w:pPr>
            <w:r>
              <w:rPr>
                <w:rFonts w:ascii="Arial" w:cs="Arial" w:eastAsia="Arial" w:hAnsi="Arial"/>
                <w:sz w:val="14"/>
                <w:szCs w:val="14"/>
                <w:color w:val="auto"/>
              </w:rPr>
              <w:t>492.00</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12/09/2030</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AEBF8"/>
          </w:tcPr>
          <w:p>
            <w:pPr>
              <w:spacing w:after="0"/>
              <w:rPr>
                <w:sz w:val="18"/>
                <w:szCs w:val="18"/>
                <w:color w:val="auto"/>
              </w:rPr>
            </w:pP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AEBF8"/>
          </w:tcPr>
          <w:p>
            <w:pPr>
              <w:spacing w:after="0"/>
              <w:rPr>
                <w:sz w:val="18"/>
                <w:szCs w:val="18"/>
                <w:color w:val="auto"/>
              </w:rPr>
            </w:pP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040" w:type="dxa"/>
            <w:vAlign w:val="bottom"/>
            <w:shd w:val="clear" w:color="auto" w:fill="DAEBF8"/>
          </w:tcPr>
          <w:p>
            <w:pPr>
              <w:spacing w:after="0"/>
              <w:rPr>
                <w:sz w:val="18"/>
                <w:szCs w:val="18"/>
                <w:color w:val="auto"/>
              </w:rPr>
            </w:pP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24,500</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AEBF8"/>
          </w:tcPr>
          <w:p>
            <w:pPr>
              <w:spacing w:after="0"/>
              <w:rPr>
                <w:sz w:val="18"/>
                <w:szCs w:val="18"/>
                <w:color w:val="auto"/>
              </w:rPr>
            </w:pP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1"/>
              <w:spacing w:after="0"/>
              <w:rPr>
                <w:sz w:val="20"/>
                <w:szCs w:val="20"/>
                <w:color w:val="auto"/>
              </w:rPr>
            </w:pPr>
            <w:r>
              <w:rPr>
                <w:rFonts w:ascii="Arial" w:cs="Arial" w:eastAsia="Arial" w:hAnsi="Arial"/>
                <w:sz w:val="14"/>
                <w:szCs w:val="14"/>
                <w:color w:val="auto"/>
              </w:rPr>
              <w:t>372.46</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12/11/2029</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AEBF8"/>
          </w:tcPr>
          <w:p>
            <w:pPr>
              <w:spacing w:after="0"/>
              <w:rPr>
                <w:sz w:val="18"/>
                <w:szCs w:val="18"/>
                <w:color w:val="auto"/>
              </w:rPr>
            </w:pP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AEBF8"/>
          </w:tcPr>
          <w:p>
            <w:pPr>
              <w:spacing w:after="0"/>
              <w:rPr>
                <w:sz w:val="18"/>
                <w:szCs w:val="18"/>
                <w:color w:val="auto"/>
              </w:rPr>
            </w:pP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040" w:type="dxa"/>
            <w:vAlign w:val="bottom"/>
            <w:shd w:val="clear" w:color="auto" w:fill="DAEBF8"/>
          </w:tcPr>
          <w:p>
            <w:pPr>
              <w:spacing w:after="0"/>
              <w:rPr>
                <w:sz w:val="18"/>
                <w:szCs w:val="18"/>
                <w:color w:val="auto"/>
              </w:rPr>
            </w:pP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20,000</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AEBF8"/>
          </w:tcPr>
          <w:p>
            <w:pPr>
              <w:spacing w:after="0"/>
              <w:rPr>
                <w:sz w:val="18"/>
                <w:szCs w:val="18"/>
                <w:color w:val="auto"/>
              </w:rPr>
            </w:pP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1"/>
              <w:spacing w:after="0"/>
              <w:rPr>
                <w:sz w:val="20"/>
                <w:szCs w:val="20"/>
                <w:color w:val="auto"/>
              </w:rPr>
            </w:pPr>
            <w:r>
              <w:rPr>
                <w:rFonts w:ascii="Arial" w:cs="Arial" w:eastAsia="Arial" w:hAnsi="Arial"/>
                <w:sz w:val="14"/>
                <w:szCs w:val="14"/>
                <w:color w:val="auto"/>
              </w:rPr>
              <w:t>381.40</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12/12/2028</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AEBF8"/>
          </w:tcPr>
          <w:p>
            <w:pPr>
              <w:spacing w:after="0"/>
              <w:rPr>
                <w:sz w:val="18"/>
                <w:szCs w:val="18"/>
                <w:color w:val="auto"/>
              </w:rPr>
            </w:pP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AEBF8"/>
          </w:tcPr>
          <w:p>
            <w:pPr>
              <w:spacing w:after="0"/>
              <w:rPr>
                <w:sz w:val="18"/>
                <w:szCs w:val="18"/>
                <w:color w:val="auto"/>
              </w:rPr>
            </w:pP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040" w:type="dxa"/>
            <w:vAlign w:val="bottom"/>
            <w:shd w:val="clear" w:color="auto" w:fill="DAEBF8"/>
          </w:tcPr>
          <w:p>
            <w:pPr>
              <w:spacing w:after="0"/>
              <w:rPr>
                <w:sz w:val="18"/>
                <w:szCs w:val="18"/>
                <w:color w:val="auto"/>
              </w:rPr>
            </w:pP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23,337</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AEBF8"/>
          </w:tcPr>
          <w:p>
            <w:pPr>
              <w:spacing w:after="0"/>
              <w:rPr>
                <w:sz w:val="18"/>
                <w:szCs w:val="18"/>
                <w:color w:val="auto"/>
              </w:rPr>
            </w:pP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1"/>
              <w:spacing w:after="0"/>
              <w:rPr>
                <w:sz w:val="20"/>
                <w:szCs w:val="20"/>
                <w:color w:val="auto"/>
              </w:rPr>
            </w:pPr>
            <w:r>
              <w:rPr>
                <w:rFonts w:ascii="Arial" w:cs="Arial" w:eastAsia="Arial" w:hAnsi="Arial"/>
                <w:sz w:val="14"/>
                <w:szCs w:val="14"/>
                <w:color w:val="auto"/>
              </w:rPr>
              <w:t>378.98</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12/12/2027</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AEBF8"/>
          </w:tcPr>
          <w:p>
            <w:pPr>
              <w:spacing w:after="0"/>
              <w:rPr>
                <w:sz w:val="18"/>
                <w:szCs w:val="18"/>
                <w:color w:val="auto"/>
              </w:rPr>
            </w:pP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AEBF8"/>
          </w:tcPr>
          <w:p>
            <w:pPr>
              <w:spacing w:after="0"/>
              <w:rPr>
                <w:sz w:val="18"/>
                <w:szCs w:val="18"/>
                <w:color w:val="auto"/>
              </w:rPr>
            </w:pP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040" w:type="dxa"/>
            <w:vAlign w:val="bottom"/>
            <w:shd w:val="clear" w:color="auto" w:fill="DAEBF8"/>
          </w:tcPr>
          <w:p>
            <w:pPr>
              <w:spacing w:after="0"/>
              <w:rPr>
                <w:sz w:val="18"/>
                <w:szCs w:val="18"/>
                <w:color w:val="auto"/>
              </w:rPr>
            </w:pP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24,565</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AEBF8"/>
          </w:tcPr>
          <w:p>
            <w:pPr>
              <w:spacing w:after="0"/>
              <w:rPr>
                <w:sz w:val="18"/>
                <w:szCs w:val="18"/>
                <w:color w:val="auto"/>
              </w:rPr>
            </w:pP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1"/>
              <w:spacing w:after="0"/>
              <w:rPr>
                <w:sz w:val="20"/>
                <w:szCs w:val="20"/>
                <w:color w:val="auto"/>
              </w:rPr>
            </w:pPr>
            <w:r>
              <w:rPr>
                <w:rFonts w:ascii="Arial" w:cs="Arial" w:eastAsia="Arial" w:hAnsi="Arial"/>
                <w:sz w:val="14"/>
                <w:szCs w:val="14"/>
                <w:color w:val="auto"/>
              </w:rPr>
              <w:t>381.92</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12/16/2026</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AEBF8"/>
          </w:tcPr>
          <w:p>
            <w:pPr>
              <w:spacing w:after="0"/>
              <w:rPr>
                <w:sz w:val="18"/>
                <w:szCs w:val="18"/>
                <w:color w:val="auto"/>
              </w:rPr>
            </w:pP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AEBF8"/>
          </w:tcPr>
          <w:p>
            <w:pPr>
              <w:spacing w:after="0"/>
              <w:rPr>
                <w:sz w:val="18"/>
                <w:szCs w:val="18"/>
                <w:color w:val="auto"/>
              </w:rPr>
            </w:pP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040" w:type="dxa"/>
            <w:vAlign w:val="bottom"/>
            <w:shd w:val="clear" w:color="auto" w:fill="DAEBF8"/>
          </w:tcPr>
          <w:p>
            <w:pPr>
              <w:spacing w:after="0"/>
              <w:rPr>
                <w:sz w:val="18"/>
                <w:szCs w:val="18"/>
                <w:color w:val="auto"/>
              </w:rPr>
            </w:pP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AEBF8"/>
          </w:tcPr>
          <w:p>
            <w:pPr>
              <w:spacing w:after="0"/>
              <w:rPr>
                <w:sz w:val="18"/>
                <w:szCs w:val="18"/>
                <w:color w:val="auto"/>
              </w:rPr>
            </w:pP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2,476</w:t>
            </w:r>
          </w:p>
        </w:tc>
        <w:tc>
          <w:tcPr>
            <w:tcW w:w="240" w:type="dxa"/>
            <w:vAlign w:val="bottom"/>
            <w:shd w:val="clear" w:color="auto" w:fill="DAEBF8"/>
          </w:tcPr>
          <w:p>
            <w:pPr>
              <w:jc w:val="right"/>
              <w:ind w:right="49"/>
              <w:spacing w:after="0"/>
              <w:rPr>
                <w:sz w:val="20"/>
                <w:szCs w:val="20"/>
                <w:color w:val="auto"/>
              </w:rPr>
            </w:pPr>
            <w:r>
              <w:rPr>
                <w:rFonts w:ascii="Arial" w:cs="Arial" w:eastAsia="Arial" w:hAnsi="Arial"/>
                <w:sz w:val="9"/>
                <w:szCs w:val="9"/>
                <w:color w:val="auto"/>
              </w:rPr>
              <w:t>5</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1,911,150</w:t>
            </w:r>
          </w:p>
        </w:tc>
        <w:tc>
          <w:tcPr>
            <w:tcW w:w="180" w:type="dxa"/>
            <w:vAlign w:val="bottom"/>
            <w:shd w:val="clear" w:color="auto" w:fill="DAEBF8"/>
          </w:tcPr>
          <w:p>
            <w:pPr>
              <w:jc w:val="right"/>
              <w:spacing w:after="0"/>
              <w:rPr>
                <w:sz w:val="20"/>
                <w:szCs w:val="20"/>
                <w:color w:val="auto"/>
              </w:rPr>
            </w:pPr>
            <w:r>
              <w:rPr>
                <w:rFonts w:ascii="Arial" w:cs="Arial" w:eastAsia="Arial" w:hAnsi="Arial"/>
                <w:sz w:val="9"/>
                <w:szCs w:val="9"/>
                <w:color w:val="auto"/>
              </w:rPr>
              <w:t>9</w:t>
            </w: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040" w:type="dxa"/>
            <w:vAlign w:val="bottom"/>
            <w:shd w:val="clear" w:color="auto" w:fill="DAEBF8"/>
          </w:tcPr>
          <w:p>
            <w:pPr>
              <w:spacing w:after="0"/>
              <w:rPr>
                <w:sz w:val="18"/>
                <w:szCs w:val="18"/>
                <w:color w:val="auto"/>
              </w:rPr>
            </w:pP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AEBF8"/>
          </w:tcPr>
          <w:p>
            <w:pPr>
              <w:spacing w:after="0"/>
              <w:rPr>
                <w:sz w:val="18"/>
                <w:szCs w:val="18"/>
                <w:color w:val="auto"/>
              </w:rPr>
            </w:pP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2,332</w:t>
            </w:r>
          </w:p>
        </w:tc>
        <w:tc>
          <w:tcPr>
            <w:tcW w:w="240" w:type="dxa"/>
            <w:vAlign w:val="bottom"/>
            <w:shd w:val="clear" w:color="auto" w:fill="DAEBF8"/>
          </w:tcPr>
          <w:p>
            <w:pPr>
              <w:jc w:val="right"/>
              <w:ind w:right="49"/>
              <w:spacing w:after="0"/>
              <w:rPr>
                <w:sz w:val="20"/>
                <w:szCs w:val="20"/>
                <w:color w:val="auto"/>
              </w:rPr>
            </w:pPr>
            <w:r>
              <w:rPr>
                <w:rFonts w:ascii="Arial" w:cs="Arial" w:eastAsia="Arial" w:hAnsi="Arial"/>
                <w:sz w:val="9"/>
                <w:szCs w:val="9"/>
                <w:color w:val="auto"/>
              </w:rPr>
              <w:t>6</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1,800,001</w:t>
            </w:r>
          </w:p>
        </w:tc>
        <w:tc>
          <w:tcPr>
            <w:tcW w:w="180" w:type="dxa"/>
            <w:vAlign w:val="bottom"/>
            <w:shd w:val="clear" w:color="auto" w:fill="DAEBF8"/>
          </w:tcPr>
          <w:p>
            <w:pPr>
              <w:jc w:val="right"/>
              <w:spacing w:after="0"/>
              <w:rPr>
                <w:sz w:val="20"/>
                <w:szCs w:val="20"/>
                <w:color w:val="auto"/>
              </w:rPr>
            </w:pPr>
            <w:r>
              <w:rPr>
                <w:rFonts w:ascii="Arial" w:cs="Arial" w:eastAsia="Arial" w:hAnsi="Arial"/>
                <w:sz w:val="9"/>
                <w:szCs w:val="9"/>
                <w:color w:val="auto"/>
              </w:rPr>
              <w:t>9</w:t>
            </w: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21"/>
        </w:trPr>
        <w:tc>
          <w:tcPr>
            <w:tcW w:w="1040" w:type="dxa"/>
            <w:vAlign w:val="bottom"/>
            <w:shd w:val="clear" w:color="auto" w:fill="DAEBF8"/>
          </w:tcPr>
          <w:p>
            <w:pPr>
              <w:spacing w:after="0"/>
              <w:rPr>
                <w:sz w:val="19"/>
                <w:szCs w:val="19"/>
                <w:color w:val="auto"/>
              </w:rPr>
            </w:pP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AEBF8"/>
          </w:tcPr>
          <w:p>
            <w:pPr>
              <w:spacing w:after="0"/>
              <w:rPr>
                <w:sz w:val="19"/>
                <w:szCs w:val="19"/>
                <w:color w:val="auto"/>
              </w:rPr>
            </w:pP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DAEBF8"/>
          </w:tcPr>
          <w:p>
            <w:pPr>
              <w:spacing w:after="0"/>
              <w:rPr>
                <w:sz w:val="19"/>
                <w:szCs w:val="19"/>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1,066</w:t>
            </w:r>
          </w:p>
        </w:tc>
        <w:tc>
          <w:tcPr>
            <w:tcW w:w="240" w:type="dxa"/>
            <w:vAlign w:val="bottom"/>
            <w:shd w:val="clear" w:color="auto" w:fill="DAEBF8"/>
          </w:tcPr>
          <w:p>
            <w:pPr>
              <w:jc w:val="right"/>
              <w:ind w:right="49"/>
              <w:spacing w:after="0"/>
              <w:rPr>
                <w:sz w:val="20"/>
                <w:szCs w:val="20"/>
                <w:color w:val="auto"/>
              </w:rPr>
            </w:pPr>
            <w:r>
              <w:rPr>
                <w:rFonts w:ascii="Arial" w:cs="Arial" w:eastAsia="Arial" w:hAnsi="Arial"/>
                <w:sz w:val="9"/>
                <w:szCs w:val="9"/>
                <w:color w:val="auto"/>
              </w:rPr>
              <w:t>7</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822,813</w:t>
            </w:r>
          </w:p>
        </w:tc>
        <w:tc>
          <w:tcPr>
            <w:tcW w:w="180" w:type="dxa"/>
            <w:vAlign w:val="bottom"/>
            <w:shd w:val="clear" w:color="auto" w:fill="DAEBF8"/>
          </w:tcPr>
          <w:p>
            <w:pPr>
              <w:jc w:val="right"/>
              <w:spacing w:after="0"/>
              <w:rPr>
                <w:sz w:val="20"/>
                <w:szCs w:val="20"/>
                <w:color w:val="auto"/>
              </w:rPr>
            </w:pPr>
            <w:r>
              <w:rPr>
                <w:rFonts w:ascii="Arial" w:cs="Arial" w:eastAsia="Arial" w:hAnsi="Arial"/>
                <w:sz w:val="9"/>
                <w:szCs w:val="9"/>
                <w:color w:val="auto"/>
              </w:rPr>
              <w:t>9</w:t>
            </w: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040" w:type="dxa"/>
            <w:vAlign w:val="bottom"/>
            <w:shd w:val="clear" w:color="auto" w:fill="DAEBF8"/>
          </w:tcPr>
          <w:p>
            <w:pPr>
              <w:spacing w:after="0"/>
              <w:rPr>
                <w:sz w:val="18"/>
                <w:szCs w:val="18"/>
                <w:color w:val="auto"/>
              </w:rPr>
            </w:pPr>
          </w:p>
        </w:tc>
        <w:tc>
          <w:tcPr>
            <w:tcW w:w="8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AEBF8"/>
          </w:tcPr>
          <w:p>
            <w:pPr>
              <w:spacing w:after="0"/>
              <w:rPr>
                <w:sz w:val="18"/>
                <w:szCs w:val="18"/>
                <w:color w:val="auto"/>
              </w:rPr>
            </w:pP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AEBF8"/>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DAEBF8"/>
          </w:tcPr>
          <w:p>
            <w:pPr>
              <w:spacing w:after="0"/>
              <w:rPr>
                <w:sz w:val="18"/>
                <w:szCs w:val="18"/>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1,376</w:t>
            </w:r>
          </w:p>
        </w:tc>
        <w:tc>
          <w:tcPr>
            <w:tcW w:w="240" w:type="dxa"/>
            <w:vAlign w:val="bottom"/>
            <w:shd w:val="clear" w:color="auto" w:fill="DAEBF8"/>
          </w:tcPr>
          <w:p>
            <w:pPr>
              <w:jc w:val="right"/>
              <w:ind w:right="49"/>
              <w:spacing w:after="0"/>
              <w:rPr>
                <w:sz w:val="20"/>
                <w:szCs w:val="20"/>
                <w:color w:val="auto"/>
              </w:rPr>
            </w:pPr>
            <w:r>
              <w:rPr>
                <w:rFonts w:ascii="Arial" w:cs="Arial" w:eastAsia="Arial" w:hAnsi="Arial"/>
                <w:sz w:val="9"/>
                <w:szCs w:val="9"/>
                <w:color w:val="auto"/>
              </w:rPr>
              <w:t>8</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1,062,093</w:t>
            </w:r>
          </w:p>
        </w:tc>
        <w:tc>
          <w:tcPr>
            <w:tcW w:w="180" w:type="dxa"/>
            <w:vAlign w:val="bottom"/>
            <w:shd w:val="clear" w:color="auto" w:fill="DAEBF8"/>
          </w:tcPr>
          <w:p>
            <w:pPr>
              <w:jc w:val="right"/>
              <w:spacing w:after="0"/>
              <w:rPr>
                <w:sz w:val="20"/>
                <w:szCs w:val="20"/>
                <w:color w:val="auto"/>
              </w:rPr>
            </w:pPr>
            <w:r>
              <w:rPr>
                <w:rFonts w:ascii="Arial" w:cs="Arial" w:eastAsia="Arial" w:hAnsi="Arial"/>
                <w:sz w:val="9"/>
                <w:szCs w:val="9"/>
                <w:color w:val="auto"/>
              </w:rPr>
              <w:t>9</w:t>
            </w:r>
          </w:p>
        </w:tc>
        <w:tc>
          <w:tcPr>
            <w:tcW w:w="8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1040" w:type="dxa"/>
            <w:vAlign w:val="bottom"/>
            <w:tcBorders>
              <w:bottom w:val="single" w:sz="8" w:color="3B5AA4"/>
            </w:tcBorders>
            <w:shd w:val="clear" w:color="auto" w:fill="DAEBF8"/>
          </w:tcPr>
          <w:p>
            <w:pPr>
              <w:ind w:left="560"/>
              <w:spacing w:after="0"/>
              <w:rPr>
                <w:sz w:val="20"/>
                <w:szCs w:val="20"/>
                <w:color w:val="auto"/>
              </w:rPr>
            </w:pPr>
            <w:r>
              <w:rPr>
                <w:rFonts w:ascii="Arial" w:cs="Arial" w:eastAsia="Arial" w:hAnsi="Arial"/>
                <w:sz w:val="13"/>
                <w:szCs w:val="13"/>
                <w:b w:val="1"/>
                <w:bCs w:val="1"/>
                <w:color w:val="auto"/>
              </w:rPr>
              <w:t>TOTAL</w:t>
            </w:r>
          </w:p>
        </w:tc>
        <w:tc>
          <w:tcPr>
            <w:tcW w:w="840" w:type="dxa"/>
            <w:vAlign w:val="bottom"/>
            <w:tcBorders>
              <w:bottom w:val="single" w:sz="8" w:color="3B5AA4"/>
            </w:tcBorders>
            <w:shd w:val="clear" w:color="auto" w:fill="DAEBF8"/>
          </w:tcPr>
          <w:p>
            <w:pPr>
              <w:jc w:val="right"/>
              <w:spacing w:after="0"/>
              <w:rPr>
                <w:sz w:val="20"/>
                <w:szCs w:val="20"/>
                <w:color w:val="auto"/>
              </w:rPr>
            </w:pPr>
            <w:r>
              <w:rPr>
                <w:rFonts w:ascii="Arial" w:cs="Arial" w:eastAsia="Arial" w:hAnsi="Arial"/>
                <w:sz w:val="14"/>
                <w:szCs w:val="14"/>
                <w:b w:val="1"/>
                <w:bCs w:val="1"/>
                <w:color w:val="auto"/>
              </w:rPr>
              <w:t>140,296</w:t>
            </w:r>
          </w:p>
        </w:tc>
        <w:tc>
          <w:tcPr>
            <w:tcW w:w="800" w:type="dxa"/>
            <w:vAlign w:val="bottom"/>
            <w:tcBorders>
              <w:bottom w:val="single" w:sz="8" w:color="3B5AA4"/>
            </w:tcBorders>
            <w:shd w:val="clear" w:color="auto" w:fill="DAEBF8"/>
          </w:tcPr>
          <w:p>
            <w:pPr>
              <w:jc w:val="right"/>
              <w:spacing w:after="0"/>
              <w:rPr>
                <w:sz w:val="20"/>
                <w:szCs w:val="20"/>
                <w:color w:val="auto"/>
              </w:rPr>
            </w:pPr>
            <w:r>
              <w:rPr>
                <w:rFonts w:ascii="Arial" w:cs="Arial" w:eastAsia="Arial" w:hAnsi="Arial"/>
                <w:sz w:val="14"/>
                <w:szCs w:val="14"/>
                <w:b w:val="1"/>
                <w:bCs w:val="1"/>
                <w:color w:val="auto"/>
              </w:rPr>
              <w:t>25,308</w:t>
            </w:r>
          </w:p>
        </w:tc>
        <w:tc>
          <w:tcPr>
            <w:tcW w:w="200" w:type="dxa"/>
            <w:vAlign w:val="bottom"/>
            <w:tcBorders>
              <w:bottom w:val="single" w:sz="8" w:color="3B5AA4"/>
            </w:tcBorders>
            <w:shd w:val="clear" w:color="auto" w:fill="DAEBF8"/>
          </w:tcPr>
          <w:p>
            <w:pPr>
              <w:spacing w:after="0"/>
              <w:rPr>
                <w:sz w:val="18"/>
                <w:szCs w:val="18"/>
                <w:color w:val="auto"/>
              </w:rPr>
            </w:pPr>
          </w:p>
        </w:tc>
        <w:tc>
          <w:tcPr>
            <w:tcW w:w="880" w:type="dxa"/>
            <w:vAlign w:val="bottom"/>
            <w:tcBorders>
              <w:bottom w:val="single" w:sz="8" w:color="3B5AA4"/>
            </w:tcBorders>
            <w:shd w:val="clear" w:color="auto" w:fill="DAEBF8"/>
          </w:tcPr>
          <w:p>
            <w:pPr>
              <w:spacing w:after="0"/>
              <w:rPr>
                <w:sz w:val="18"/>
                <w:szCs w:val="18"/>
                <w:color w:val="auto"/>
              </w:rPr>
            </w:pPr>
          </w:p>
        </w:tc>
        <w:tc>
          <w:tcPr>
            <w:tcW w:w="620" w:type="dxa"/>
            <w:vAlign w:val="bottom"/>
            <w:tcBorders>
              <w:bottom w:val="single" w:sz="8" w:color="3B5AA4"/>
            </w:tcBorders>
            <w:shd w:val="clear" w:color="auto" w:fill="DAEBF8"/>
          </w:tcPr>
          <w:p>
            <w:pPr>
              <w:spacing w:after="0"/>
              <w:rPr>
                <w:sz w:val="18"/>
                <w:szCs w:val="18"/>
                <w:color w:val="auto"/>
              </w:rPr>
            </w:pPr>
          </w:p>
        </w:tc>
        <w:tc>
          <w:tcPr>
            <w:tcW w:w="820" w:type="dxa"/>
            <w:vAlign w:val="bottom"/>
            <w:tcBorders>
              <w:bottom w:val="single" w:sz="8" w:color="3B5AA4"/>
            </w:tcBorders>
            <w:shd w:val="clear" w:color="auto" w:fill="DAEBF8"/>
          </w:tcPr>
          <w:p>
            <w:pPr>
              <w:spacing w:after="0"/>
              <w:rPr>
                <w:sz w:val="18"/>
                <w:szCs w:val="18"/>
                <w:color w:val="auto"/>
              </w:rPr>
            </w:pPr>
          </w:p>
        </w:tc>
        <w:tc>
          <w:tcPr>
            <w:tcW w:w="40" w:type="dxa"/>
            <w:vAlign w:val="bottom"/>
            <w:tcBorders>
              <w:bottom w:val="single" w:sz="8" w:color="3B5AA4"/>
            </w:tcBorders>
            <w:shd w:val="clear" w:color="auto" w:fill="DAEBF8"/>
          </w:tcPr>
          <w:p>
            <w:pPr>
              <w:spacing w:after="0"/>
              <w:rPr>
                <w:sz w:val="18"/>
                <w:szCs w:val="18"/>
                <w:color w:val="auto"/>
              </w:rPr>
            </w:pPr>
          </w:p>
        </w:tc>
        <w:tc>
          <w:tcPr>
            <w:tcW w:w="560" w:type="dxa"/>
            <w:vAlign w:val="bottom"/>
            <w:tcBorders>
              <w:bottom w:val="single" w:sz="8" w:color="3B5AA4"/>
            </w:tcBorders>
            <w:shd w:val="clear" w:color="auto" w:fill="DAEBF8"/>
          </w:tcPr>
          <w:p>
            <w:pPr>
              <w:jc w:val="right"/>
              <w:spacing w:after="0"/>
              <w:rPr>
                <w:sz w:val="20"/>
                <w:szCs w:val="20"/>
                <w:color w:val="auto"/>
              </w:rPr>
            </w:pPr>
            <w:r>
              <w:rPr>
                <w:rFonts w:ascii="Arial" w:cs="Arial" w:eastAsia="Arial" w:hAnsi="Arial"/>
                <w:sz w:val="14"/>
                <w:szCs w:val="14"/>
                <w:b w:val="1"/>
                <w:bCs w:val="1"/>
                <w:color w:val="auto"/>
              </w:rPr>
              <w:t>7,250</w:t>
            </w:r>
          </w:p>
        </w:tc>
        <w:tc>
          <w:tcPr>
            <w:tcW w:w="240" w:type="dxa"/>
            <w:vAlign w:val="bottom"/>
            <w:tcBorders>
              <w:bottom w:val="single" w:sz="8" w:color="3B5AA4"/>
            </w:tcBorders>
            <w:shd w:val="clear" w:color="auto" w:fill="DAEBF8"/>
          </w:tcPr>
          <w:p>
            <w:pPr>
              <w:spacing w:after="0"/>
              <w:rPr>
                <w:sz w:val="18"/>
                <w:szCs w:val="18"/>
                <w:color w:val="auto"/>
              </w:rPr>
            </w:pPr>
          </w:p>
        </w:tc>
        <w:tc>
          <w:tcPr>
            <w:tcW w:w="800" w:type="dxa"/>
            <w:vAlign w:val="bottom"/>
            <w:tcBorders>
              <w:bottom w:val="single" w:sz="8" w:color="3B5AA4"/>
            </w:tcBorders>
            <w:shd w:val="clear" w:color="auto" w:fill="DAEBF8"/>
          </w:tcPr>
          <w:p>
            <w:pPr>
              <w:jc w:val="right"/>
              <w:spacing w:after="0"/>
              <w:rPr>
                <w:sz w:val="20"/>
                <w:szCs w:val="20"/>
                <w:color w:val="auto"/>
              </w:rPr>
            </w:pPr>
            <w:r>
              <w:rPr>
                <w:rFonts w:ascii="Arial" w:cs="Arial" w:eastAsia="Arial" w:hAnsi="Arial"/>
                <w:sz w:val="14"/>
                <w:szCs w:val="14"/>
                <w:b w:val="1"/>
                <w:bCs w:val="1"/>
                <w:color w:val="auto"/>
              </w:rPr>
              <w:t>5,596,057</w:t>
            </w:r>
          </w:p>
        </w:tc>
        <w:tc>
          <w:tcPr>
            <w:tcW w:w="180" w:type="dxa"/>
            <w:vAlign w:val="bottom"/>
            <w:tcBorders>
              <w:bottom w:val="single" w:sz="8" w:color="3B5AA4"/>
            </w:tcBorders>
            <w:shd w:val="clear" w:color="auto" w:fill="DAEBF8"/>
          </w:tcPr>
          <w:p>
            <w:pPr>
              <w:spacing w:after="0"/>
              <w:rPr>
                <w:sz w:val="18"/>
                <w:szCs w:val="18"/>
                <w:color w:val="auto"/>
              </w:rPr>
            </w:pPr>
          </w:p>
        </w:tc>
        <w:tc>
          <w:tcPr>
            <w:tcW w:w="860" w:type="dxa"/>
            <w:vAlign w:val="bottom"/>
            <w:tcBorders>
              <w:bottom w:val="single" w:sz="8" w:color="3B5AA4"/>
            </w:tcBorders>
            <w:shd w:val="clear" w:color="auto" w:fill="DAEBF8"/>
          </w:tcPr>
          <w:p>
            <w:pPr>
              <w:spacing w:after="0"/>
              <w:rPr>
                <w:sz w:val="18"/>
                <w:szCs w:val="18"/>
                <w:color w:val="auto"/>
              </w:rPr>
            </w:pPr>
          </w:p>
        </w:tc>
        <w:tc>
          <w:tcPr>
            <w:tcW w:w="880" w:type="dxa"/>
            <w:vAlign w:val="bottom"/>
            <w:tcBorders>
              <w:bottom w:val="single" w:sz="8" w:color="3B5AA4"/>
            </w:tcBorders>
            <w:shd w:val="clear" w:color="auto" w:fill="DAEBF8"/>
          </w:tcPr>
          <w:p>
            <w:pPr>
              <w:spacing w:after="0"/>
              <w:rPr>
                <w:sz w:val="18"/>
                <w:szCs w:val="18"/>
                <w:color w:val="auto"/>
              </w:rPr>
            </w:pPr>
          </w:p>
        </w:tc>
      </w:tr>
    </w:tbl>
    <w:p>
      <w:pPr>
        <w:spacing w:after="0" w:line="111" w:lineRule="exact"/>
        <w:rPr>
          <w:sz w:val="20"/>
          <w:szCs w:val="20"/>
          <w:color w:val="auto"/>
        </w:rPr>
      </w:pPr>
    </w:p>
    <w:p>
      <w:pPr>
        <w:ind w:left="320" w:hanging="190"/>
        <w:spacing w:after="0"/>
        <w:tabs>
          <w:tab w:leader="none" w:pos="320" w:val="left"/>
        </w:tabs>
        <w:numPr>
          <w:ilvl w:val="0"/>
          <w:numId w:val="161"/>
        </w:numPr>
        <w:rPr>
          <w:rFonts w:ascii="Arial" w:cs="Arial" w:eastAsia="Arial" w:hAnsi="Arial"/>
          <w:sz w:val="15"/>
          <w:szCs w:val="15"/>
          <w:color w:val="auto"/>
          <w:vertAlign w:val="superscript"/>
        </w:rPr>
      </w:pPr>
      <w:r>
        <w:rPr>
          <w:rFonts w:ascii="Arial" w:cs="Arial" w:eastAsia="Arial" w:hAnsi="Arial"/>
          <w:sz w:val="12"/>
          <w:szCs w:val="12"/>
          <w:color w:val="auto"/>
        </w:rPr>
        <w:t>This stock option award was granted to the NEO on December 5, 2025 and vests at a rate of 25% per year over the first four years of the option term.</w:t>
      </w:r>
    </w:p>
    <w:p>
      <w:pPr>
        <w:spacing w:after="0" w:line="30" w:lineRule="exact"/>
        <w:rPr>
          <w:sz w:val="20"/>
          <w:szCs w:val="20"/>
          <w:color w:val="auto"/>
        </w:rPr>
      </w:pPr>
    </w:p>
    <w:p>
      <w:pPr>
        <w:ind w:left="320" w:hanging="190"/>
        <w:spacing w:after="0"/>
        <w:tabs>
          <w:tab w:leader="none" w:pos="320" w:val="left"/>
        </w:tabs>
        <w:numPr>
          <w:ilvl w:val="0"/>
          <w:numId w:val="162"/>
        </w:numPr>
        <w:rPr>
          <w:rFonts w:ascii="Arial" w:cs="Arial" w:eastAsia="Arial" w:hAnsi="Arial"/>
          <w:sz w:val="15"/>
          <w:szCs w:val="15"/>
          <w:color w:val="auto"/>
          <w:vertAlign w:val="superscript"/>
        </w:rPr>
      </w:pPr>
      <w:r>
        <w:rPr>
          <w:rFonts w:ascii="Arial" w:cs="Arial" w:eastAsia="Arial" w:hAnsi="Arial"/>
          <w:sz w:val="12"/>
          <w:szCs w:val="12"/>
          <w:color w:val="auto"/>
        </w:rPr>
        <w:t>This stock option award was granted to the NEO on December 6, 2024 and vests at a rate of 25% per year over the first four years of the option term.</w:t>
      </w:r>
    </w:p>
    <w:p>
      <w:pPr>
        <w:spacing w:after="0" w:line="17" w:lineRule="exact"/>
        <w:rPr>
          <w:sz w:val="20"/>
          <w:szCs w:val="20"/>
          <w:color w:val="auto"/>
        </w:rPr>
      </w:pPr>
    </w:p>
    <w:p>
      <w:pPr>
        <w:ind w:left="320" w:hanging="190"/>
        <w:spacing w:after="0"/>
        <w:tabs>
          <w:tab w:leader="none" w:pos="320" w:val="left"/>
        </w:tabs>
        <w:numPr>
          <w:ilvl w:val="0"/>
          <w:numId w:val="163"/>
        </w:numPr>
        <w:rPr>
          <w:rFonts w:ascii="Arial" w:cs="Arial" w:eastAsia="Arial" w:hAnsi="Arial"/>
          <w:sz w:val="15"/>
          <w:szCs w:val="15"/>
          <w:color w:val="auto"/>
          <w:vertAlign w:val="superscript"/>
        </w:rPr>
      </w:pPr>
      <w:r>
        <w:rPr>
          <w:rFonts w:ascii="Arial" w:cs="Arial" w:eastAsia="Arial" w:hAnsi="Arial"/>
          <w:sz w:val="12"/>
          <w:szCs w:val="12"/>
          <w:color w:val="auto"/>
        </w:rPr>
        <w:t>This stock option award was granted to the NEO on December 8, 2023 and vests at a rate of 25% per year over the first four years of the option term.</w:t>
      </w:r>
    </w:p>
    <w:p>
      <w:pPr>
        <w:spacing w:after="0" w:line="30" w:lineRule="exact"/>
        <w:rPr>
          <w:sz w:val="20"/>
          <w:szCs w:val="20"/>
          <w:color w:val="auto"/>
        </w:rPr>
      </w:pPr>
    </w:p>
    <w:p>
      <w:pPr>
        <w:ind w:left="320" w:hanging="190"/>
        <w:spacing w:after="0"/>
        <w:tabs>
          <w:tab w:leader="none" w:pos="320" w:val="left"/>
        </w:tabs>
        <w:numPr>
          <w:ilvl w:val="0"/>
          <w:numId w:val="164"/>
        </w:numPr>
        <w:rPr>
          <w:rFonts w:ascii="Arial" w:cs="Arial" w:eastAsia="Arial" w:hAnsi="Arial"/>
          <w:sz w:val="15"/>
          <w:szCs w:val="15"/>
          <w:color w:val="auto"/>
          <w:vertAlign w:val="superscript"/>
        </w:rPr>
      </w:pPr>
      <w:r>
        <w:rPr>
          <w:rFonts w:ascii="Arial" w:cs="Arial" w:eastAsia="Arial" w:hAnsi="Arial"/>
          <w:sz w:val="12"/>
          <w:szCs w:val="12"/>
          <w:color w:val="auto"/>
        </w:rPr>
        <w:t>This stock option award was granted to the NEO on December 16, 2022 and vests at a rate of 25% per year over the first four years of the option term.</w:t>
      </w:r>
    </w:p>
    <w:p>
      <w:pPr>
        <w:spacing w:after="0" w:line="37" w:lineRule="exact"/>
        <w:rPr>
          <w:sz w:val="20"/>
          <w:szCs w:val="20"/>
          <w:color w:val="auto"/>
        </w:rPr>
      </w:pPr>
    </w:p>
    <w:p>
      <w:pPr>
        <w:ind w:left="320" w:right="799" w:hanging="190"/>
        <w:spacing w:after="0" w:line="236" w:lineRule="auto"/>
        <w:tabs>
          <w:tab w:leader="none" w:pos="320" w:val="left"/>
        </w:tabs>
        <w:numPr>
          <w:ilvl w:val="0"/>
          <w:numId w:val="165"/>
        </w:numPr>
        <w:rPr>
          <w:rFonts w:ascii="Arial" w:cs="Arial" w:eastAsia="Arial" w:hAnsi="Arial"/>
          <w:sz w:val="16"/>
          <w:szCs w:val="16"/>
          <w:color w:val="auto"/>
          <w:vertAlign w:val="superscript"/>
        </w:rPr>
      </w:pPr>
      <w:r>
        <w:rPr>
          <w:rFonts w:ascii="Arial" w:cs="Arial" w:eastAsia="Arial" w:hAnsi="Arial"/>
          <w:sz w:val="13"/>
          <w:szCs w:val="13"/>
          <w:color w:val="auto"/>
        </w:rPr>
        <w:t>This RSA was granted to the NEO on December 5, 2025 and vests 50% on the second anniversary of the date of grant and 50% on the fourth anniversary of the date of grant, subject to the NEO’s continued employment.</w:t>
      </w:r>
    </w:p>
    <w:p>
      <w:pPr>
        <w:spacing w:after="0" w:line="37" w:lineRule="exact"/>
        <w:rPr>
          <w:sz w:val="20"/>
          <w:szCs w:val="20"/>
          <w:color w:val="auto"/>
        </w:rPr>
      </w:pPr>
    </w:p>
    <w:p>
      <w:pPr>
        <w:ind w:left="320" w:right="799" w:hanging="190"/>
        <w:spacing w:after="0" w:line="236" w:lineRule="auto"/>
        <w:tabs>
          <w:tab w:leader="none" w:pos="320" w:val="left"/>
        </w:tabs>
        <w:numPr>
          <w:ilvl w:val="0"/>
          <w:numId w:val="166"/>
        </w:numPr>
        <w:rPr>
          <w:rFonts w:ascii="Arial" w:cs="Arial" w:eastAsia="Arial" w:hAnsi="Arial"/>
          <w:sz w:val="16"/>
          <w:szCs w:val="16"/>
          <w:color w:val="auto"/>
          <w:vertAlign w:val="superscript"/>
        </w:rPr>
      </w:pPr>
      <w:r>
        <w:rPr>
          <w:rFonts w:ascii="Arial" w:cs="Arial" w:eastAsia="Arial" w:hAnsi="Arial"/>
          <w:sz w:val="13"/>
          <w:szCs w:val="13"/>
          <w:color w:val="auto"/>
        </w:rPr>
        <w:t>This RSA was granted to the NEO on December 6, 2024 and vests 50% on the second anniversary of the date of grant and 50% on the fourth anniversary of the date of grant, subject to the NEO’s continued employment.</w:t>
      </w:r>
    </w:p>
    <w:p>
      <w:pPr>
        <w:spacing w:after="0" w:line="23" w:lineRule="exact"/>
        <w:rPr>
          <w:sz w:val="20"/>
          <w:szCs w:val="20"/>
          <w:color w:val="auto"/>
        </w:rPr>
      </w:pPr>
    </w:p>
    <w:p>
      <w:pPr>
        <w:ind w:left="320" w:right="799" w:hanging="190"/>
        <w:spacing w:after="0" w:line="236" w:lineRule="auto"/>
        <w:tabs>
          <w:tab w:leader="none" w:pos="320" w:val="left"/>
        </w:tabs>
        <w:numPr>
          <w:ilvl w:val="0"/>
          <w:numId w:val="167"/>
        </w:numPr>
        <w:rPr>
          <w:rFonts w:ascii="Arial" w:cs="Arial" w:eastAsia="Arial" w:hAnsi="Arial"/>
          <w:sz w:val="16"/>
          <w:szCs w:val="16"/>
          <w:color w:val="auto"/>
          <w:vertAlign w:val="superscript"/>
        </w:rPr>
      </w:pPr>
      <w:r>
        <w:rPr>
          <w:rFonts w:ascii="Arial" w:cs="Arial" w:eastAsia="Arial" w:hAnsi="Arial"/>
          <w:sz w:val="13"/>
          <w:szCs w:val="13"/>
          <w:color w:val="auto"/>
        </w:rPr>
        <w:t>This RSA was granted to the NEO on December 8, 2023 and vests 50% on the second anniversary of the date of grant and 50% on the fourth anniversary of the date of grant, subject to the NEO’s continued employment.</w:t>
      </w:r>
    </w:p>
    <w:p>
      <w:pPr>
        <w:spacing w:after="0" w:line="37" w:lineRule="exact"/>
        <w:rPr>
          <w:sz w:val="20"/>
          <w:szCs w:val="20"/>
          <w:color w:val="auto"/>
        </w:rPr>
      </w:pPr>
    </w:p>
    <w:p>
      <w:pPr>
        <w:ind w:left="320" w:right="719" w:hanging="190"/>
        <w:spacing w:after="0" w:line="236" w:lineRule="auto"/>
        <w:tabs>
          <w:tab w:leader="none" w:pos="320" w:val="left"/>
        </w:tabs>
        <w:numPr>
          <w:ilvl w:val="0"/>
          <w:numId w:val="168"/>
        </w:numPr>
        <w:rPr>
          <w:rFonts w:ascii="Arial" w:cs="Arial" w:eastAsia="Arial" w:hAnsi="Arial"/>
          <w:sz w:val="16"/>
          <w:szCs w:val="16"/>
          <w:color w:val="auto"/>
          <w:vertAlign w:val="superscript"/>
        </w:rPr>
      </w:pPr>
      <w:r>
        <w:rPr>
          <w:rFonts w:ascii="Arial" w:cs="Arial" w:eastAsia="Arial" w:hAnsi="Arial"/>
          <w:sz w:val="13"/>
          <w:szCs w:val="13"/>
          <w:color w:val="auto"/>
        </w:rPr>
        <w:t>This RSA was granted to the NEO on December 16, 2022 and vests 50% on the second anniversary of the date of grant and 50% on the fourth anniversary of the date of grant, subject to the NEO’s continued employment.</w:t>
      </w:r>
    </w:p>
    <w:p>
      <w:pPr>
        <w:spacing w:after="0" w:line="19" w:lineRule="exact"/>
        <w:rPr>
          <w:sz w:val="20"/>
          <w:szCs w:val="20"/>
          <w:color w:val="auto"/>
        </w:rPr>
      </w:pPr>
    </w:p>
    <w:p>
      <w:pPr>
        <w:ind w:left="320" w:hanging="190"/>
        <w:spacing w:after="0"/>
        <w:tabs>
          <w:tab w:leader="none" w:pos="320" w:val="left"/>
        </w:tabs>
        <w:numPr>
          <w:ilvl w:val="0"/>
          <w:numId w:val="169"/>
        </w:numPr>
        <w:rPr>
          <w:rFonts w:ascii="Arial" w:cs="Arial" w:eastAsia="Arial" w:hAnsi="Arial"/>
          <w:sz w:val="16"/>
          <w:szCs w:val="16"/>
          <w:color w:val="auto"/>
          <w:vertAlign w:val="superscript"/>
        </w:rPr>
      </w:pPr>
      <w:r>
        <w:rPr>
          <w:rFonts w:ascii="Arial" w:cs="Arial" w:eastAsia="Arial" w:hAnsi="Arial"/>
          <w:sz w:val="13"/>
          <w:szCs w:val="13"/>
          <w:color w:val="auto"/>
        </w:rPr>
        <w:t>Reflects the closing price of $771.87 per share of the Company’s common stock on the Nasdaq Global Select Market on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84</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93" w:name="page94"/>
    <w:bookmarkEnd w:id="93"/>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2025 Option Exercises and Stock Vested</w:t>
      </w:r>
    </w:p>
    <w:p>
      <w:pPr>
        <w:spacing w:after="0" w:line="180" w:lineRule="exact"/>
        <w:rPr>
          <w:sz w:val="20"/>
          <w:szCs w:val="20"/>
          <w:color w:val="auto"/>
        </w:rPr>
      </w:pPr>
    </w:p>
    <w:p>
      <w:pPr>
        <w:ind w:left="140" w:right="179"/>
        <w:spacing w:after="0" w:line="321" w:lineRule="auto"/>
        <w:rPr>
          <w:sz w:val="20"/>
          <w:szCs w:val="20"/>
          <w:color w:val="auto"/>
        </w:rPr>
      </w:pPr>
      <w:r>
        <w:rPr>
          <w:rFonts w:ascii="Arial" w:cs="Arial" w:eastAsia="Arial" w:hAnsi="Arial"/>
          <w:sz w:val="16"/>
          <w:szCs w:val="16"/>
          <w:color w:val="auto"/>
        </w:rPr>
        <w:t>The following table and explanatory footnotes provide information with regard to stock options exercises by our NEOs and vesting of RSAs and PSUs held by them that occurred in 2025.</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380" w:type="dxa"/>
            <w:vAlign w:val="bottom"/>
            <w:gridSpan w:val="3"/>
          </w:tcPr>
          <w:p>
            <w:pPr>
              <w:ind w:left="600"/>
              <w:spacing w:after="0"/>
              <w:rPr>
                <w:sz w:val="20"/>
                <w:szCs w:val="20"/>
                <w:color w:val="auto"/>
              </w:rPr>
            </w:pPr>
            <w:r>
              <w:rPr>
                <w:rFonts w:ascii="Arial" w:cs="Arial" w:eastAsia="Arial" w:hAnsi="Arial"/>
                <w:sz w:val="14"/>
                <w:szCs w:val="14"/>
                <w:b w:val="1"/>
                <w:bCs w:val="1"/>
                <w:color w:val="065BAA"/>
              </w:rPr>
              <w:t>Option awards</w:t>
            </w:r>
          </w:p>
        </w:tc>
        <w:tc>
          <w:tcPr>
            <w:tcW w:w="232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065BAA"/>
              </w:rPr>
              <w:t>Stock awards</w:t>
            </w:r>
          </w:p>
        </w:tc>
      </w:tr>
      <w:tr>
        <w:trPr>
          <w:trHeight w:val="173"/>
        </w:trPr>
        <w:tc>
          <w:tcPr>
            <w:tcW w:w="4060" w:type="dxa"/>
            <w:vAlign w:val="bottom"/>
          </w:tcPr>
          <w:p>
            <w:pPr>
              <w:spacing w:after="0"/>
              <w:rPr>
                <w:sz w:val="15"/>
                <w:szCs w:val="15"/>
                <w:color w:val="auto"/>
              </w:rPr>
            </w:pPr>
          </w:p>
        </w:tc>
        <w:tc>
          <w:tcPr>
            <w:tcW w:w="1220" w:type="dxa"/>
            <w:vAlign w:val="bottom"/>
            <w:tcBorders>
              <w:top w:val="single" w:sz="8" w:color="3B5AA4"/>
            </w:tcBorders>
          </w:tcPr>
          <w:p>
            <w:pPr>
              <w:jc w:val="right"/>
              <w:ind w:right="68"/>
              <w:spacing w:after="0"/>
              <w:rPr>
                <w:sz w:val="20"/>
                <w:szCs w:val="20"/>
                <w:color w:val="auto"/>
              </w:rPr>
            </w:pPr>
            <w:r>
              <w:rPr>
                <w:rFonts w:ascii="Arial" w:cs="Arial" w:eastAsia="Arial" w:hAnsi="Arial"/>
                <w:sz w:val="14"/>
                <w:szCs w:val="14"/>
                <w:b w:val="1"/>
                <w:bCs w:val="1"/>
                <w:color w:val="065BAA"/>
              </w:rPr>
              <w:t>Number of</w:t>
            </w:r>
          </w:p>
        </w:tc>
        <w:tc>
          <w:tcPr>
            <w:tcW w:w="980" w:type="dxa"/>
            <w:vAlign w:val="bottom"/>
            <w:tcBorders>
              <w:top w:val="single" w:sz="8" w:color="3B5AA4"/>
            </w:tcBorders>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Borders>
              <w:top w:val="single" w:sz="8" w:color="3B5AA4"/>
            </w:tcBorders>
            <w:gridSpan w:val="2"/>
          </w:tcPr>
          <w:p>
            <w:pPr>
              <w:jc w:val="right"/>
              <w:ind w:right="70"/>
              <w:spacing w:after="0"/>
              <w:rPr>
                <w:sz w:val="20"/>
                <w:szCs w:val="20"/>
                <w:color w:val="auto"/>
              </w:rPr>
            </w:pPr>
            <w:r>
              <w:rPr>
                <w:rFonts w:ascii="Arial" w:cs="Arial" w:eastAsia="Arial" w:hAnsi="Arial"/>
                <w:sz w:val="14"/>
                <w:szCs w:val="14"/>
                <w:b w:val="1"/>
                <w:bCs w:val="1"/>
                <w:color w:val="065BAA"/>
              </w:rPr>
              <w:t>Number of</w:t>
            </w:r>
          </w:p>
        </w:tc>
        <w:tc>
          <w:tcPr>
            <w:tcW w:w="1000" w:type="dxa"/>
            <w:vAlign w:val="bottom"/>
            <w:tcBorders>
              <w:top w:val="single" w:sz="8" w:color="3B5AA4"/>
            </w:tcBorders>
          </w:tcPr>
          <w:p>
            <w:pPr>
              <w:spacing w:after="0"/>
              <w:rPr>
                <w:sz w:val="15"/>
                <w:szCs w:val="15"/>
                <w:color w:val="auto"/>
              </w:rPr>
            </w:pPr>
          </w:p>
        </w:tc>
      </w:tr>
      <w:tr>
        <w:trPr>
          <w:trHeight w:val="176"/>
        </w:trPr>
        <w:tc>
          <w:tcPr>
            <w:tcW w:w="406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065BAA"/>
              </w:rPr>
              <w:t>shares</w:t>
            </w:r>
          </w:p>
        </w:tc>
        <w:tc>
          <w:tcPr>
            <w:tcW w:w="1160" w:type="dxa"/>
            <w:vAlign w:val="bottom"/>
            <w:gridSpan w:val="2"/>
          </w:tcPr>
          <w:p>
            <w:pPr>
              <w:ind w:left="540"/>
              <w:spacing w:after="0"/>
              <w:rPr>
                <w:sz w:val="20"/>
                <w:szCs w:val="20"/>
                <w:color w:val="auto"/>
              </w:rPr>
            </w:pPr>
            <w:r>
              <w:rPr>
                <w:rFonts w:ascii="Arial" w:cs="Arial" w:eastAsia="Arial" w:hAnsi="Arial"/>
                <w:sz w:val="14"/>
                <w:szCs w:val="14"/>
                <w:b w:val="1"/>
                <w:bCs w:val="1"/>
                <w:color w:val="065BAA"/>
              </w:rPr>
              <w:t>Value</w:t>
            </w:r>
          </w:p>
        </w:tc>
        <w:tc>
          <w:tcPr>
            <w:tcW w:w="13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065BAA"/>
              </w:rPr>
              <w:t>shares</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065BAA"/>
              </w:rPr>
              <w:t>Value</w:t>
            </w:r>
          </w:p>
        </w:tc>
      </w:tr>
      <w:tr>
        <w:trPr>
          <w:trHeight w:val="175"/>
        </w:trPr>
        <w:tc>
          <w:tcPr>
            <w:tcW w:w="406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065BAA"/>
              </w:rPr>
              <w:t>acquired</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065BAA"/>
              </w:rPr>
              <w:t>realized</w:t>
            </w:r>
          </w:p>
        </w:tc>
        <w:tc>
          <w:tcPr>
            <w:tcW w:w="13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065BAA"/>
              </w:rPr>
              <w:t>acquired</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065BAA"/>
              </w:rPr>
              <w:t>realized</w:t>
            </w:r>
          </w:p>
        </w:tc>
      </w:tr>
      <w:tr>
        <w:trPr>
          <w:trHeight w:val="160"/>
        </w:trPr>
        <w:tc>
          <w:tcPr>
            <w:tcW w:w="4060" w:type="dxa"/>
            <w:vAlign w:val="bottom"/>
          </w:tcPr>
          <w:p>
            <w:pPr>
              <w:spacing w:after="0"/>
              <w:rPr>
                <w:sz w:val="13"/>
                <w:szCs w:val="13"/>
                <w:color w:val="auto"/>
              </w:rPr>
            </w:pPr>
          </w:p>
        </w:tc>
        <w:tc>
          <w:tcPr>
            <w:tcW w:w="1220" w:type="dxa"/>
            <w:vAlign w:val="bottom"/>
          </w:tcPr>
          <w:p>
            <w:pPr>
              <w:jc w:val="right"/>
              <w:ind w:right="68"/>
              <w:spacing w:after="0" w:line="159" w:lineRule="exact"/>
              <w:rPr>
                <w:sz w:val="20"/>
                <w:szCs w:val="20"/>
                <w:color w:val="auto"/>
              </w:rPr>
            </w:pPr>
            <w:r>
              <w:rPr>
                <w:rFonts w:ascii="Arial" w:cs="Arial" w:eastAsia="Arial" w:hAnsi="Arial"/>
                <w:sz w:val="14"/>
                <w:szCs w:val="14"/>
                <w:b w:val="1"/>
                <w:bCs w:val="1"/>
                <w:color w:val="065BAA"/>
              </w:rPr>
              <w:t>on exercise</w:t>
            </w:r>
          </w:p>
        </w:tc>
        <w:tc>
          <w:tcPr>
            <w:tcW w:w="1160" w:type="dxa"/>
            <w:vAlign w:val="bottom"/>
            <w:gridSpan w:val="2"/>
          </w:tcPr>
          <w:p>
            <w:pPr>
              <w:jc w:val="right"/>
              <w:ind w:right="220"/>
              <w:spacing w:after="0" w:line="159" w:lineRule="exact"/>
              <w:rPr>
                <w:sz w:val="20"/>
                <w:szCs w:val="20"/>
                <w:color w:val="auto"/>
              </w:rPr>
            </w:pPr>
            <w:r>
              <w:rPr>
                <w:rFonts w:ascii="Arial" w:cs="Arial" w:eastAsia="Arial" w:hAnsi="Arial"/>
                <w:sz w:val="14"/>
                <w:szCs w:val="14"/>
                <w:b w:val="1"/>
                <w:bCs w:val="1"/>
                <w:color w:val="065BAA"/>
              </w:rPr>
              <w:t>on exercise</w:t>
            </w:r>
          </w:p>
        </w:tc>
        <w:tc>
          <w:tcPr>
            <w:tcW w:w="1320" w:type="dxa"/>
            <w:vAlign w:val="bottom"/>
            <w:gridSpan w:val="2"/>
          </w:tcPr>
          <w:p>
            <w:pPr>
              <w:jc w:val="right"/>
              <w:ind w:right="70"/>
              <w:spacing w:after="0" w:line="159" w:lineRule="exact"/>
              <w:rPr>
                <w:sz w:val="20"/>
                <w:szCs w:val="20"/>
                <w:color w:val="auto"/>
              </w:rPr>
            </w:pPr>
            <w:r>
              <w:rPr>
                <w:rFonts w:ascii="Arial" w:cs="Arial" w:eastAsia="Arial" w:hAnsi="Arial"/>
                <w:sz w:val="14"/>
                <w:szCs w:val="14"/>
                <w:b w:val="1"/>
                <w:bCs w:val="1"/>
                <w:color w:val="065BAA"/>
              </w:rPr>
              <w:t>on vesting</w:t>
            </w:r>
          </w:p>
        </w:tc>
        <w:tc>
          <w:tcPr>
            <w:tcW w:w="1000" w:type="dxa"/>
            <w:vAlign w:val="bottom"/>
          </w:tcPr>
          <w:p>
            <w:pPr>
              <w:jc w:val="right"/>
              <w:spacing w:after="0" w:line="159" w:lineRule="exact"/>
              <w:rPr>
                <w:sz w:val="20"/>
                <w:szCs w:val="20"/>
                <w:color w:val="auto"/>
              </w:rPr>
            </w:pPr>
            <w:r>
              <w:rPr>
                <w:rFonts w:ascii="Arial" w:cs="Arial" w:eastAsia="Arial" w:hAnsi="Arial"/>
                <w:sz w:val="14"/>
                <w:szCs w:val="14"/>
                <w:b w:val="1"/>
                <w:bCs w:val="1"/>
                <w:color w:val="065BAA"/>
              </w:rPr>
              <w:t>on vesting</w:t>
            </w:r>
          </w:p>
        </w:tc>
      </w:tr>
      <w:tr>
        <w:trPr>
          <w:trHeight w:val="201"/>
        </w:trPr>
        <w:tc>
          <w:tcPr>
            <w:tcW w:w="4060" w:type="dxa"/>
            <w:vAlign w:val="bottom"/>
            <w:tcBorders>
              <w:bottom w:val="single" w:sz="8" w:color="3B5AA4"/>
            </w:tcBorders>
          </w:tcPr>
          <w:p>
            <w:pPr>
              <w:ind w:left="80"/>
              <w:spacing w:after="0"/>
              <w:rPr>
                <w:sz w:val="20"/>
                <w:szCs w:val="20"/>
                <w:color w:val="auto"/>
              </w:rPr>
            </w:pPr>
            <w:r>
              <w:rPr>
                <w:rFonts w:ascii="Arial" w:cs="Arial" w:eastAsia="Arial" w:hAnsi="Arial"/>
                <w:sz w:val="14"/>
                <w:szCs w:val="14"/>
                <w:b w:val="1"/>
                <w:bCs w:val="1"/>
                <w:color w:val="065BAA"/>
              </w:rPr>
              <w:t>Name</w:t>
            </w:r>
          </w:p>
        </w:tc>
        <w:tc>
          <w:tcPr>
            <w:tcW w:w="1220" w:type="dxa"/>
            <w:vAlign w:val="bottom"/>
            <w:tcBorders>
              <w:bottom w:val="single" w:sz="8" w:color="3B5AA4"/>
            </w:tcBorders>
          </w:tcPr>
          <w:p>
            <w:pPr>
              <w:jc w:val="right"/>
              <w:ind w:right="68"/>
              <w:spacing w:after="0"/>
              <w:rPr>
                <w:sz w:val="20"/>
                <w:szCs w:val="20"/>
                <w:color w:val="auto"/>
              </w:rPr>
            </w:pPr>
            <w:r>
              <w:rPr>
                <w:rFonts w:ascii="Arial" w:cs="Arial" w:eastAsia="Arial" w:hAnsi="Arial"/>
                <w:sz w:val="14"/>
                <w:szCs w:val="14"/>
                <w:b w:val="1"/>
                <w:bCs w:val="1"/>
                <w:color w:val="065BAA"/>
              </w:rPr>
              <w:t>(#)</w:t>
            </w:r>
          </w:p>
        </w:tc>
        <w:tc>
          <w:tcPr>
            <w:tcW w:w="980" w:type="dxa"/>
            <w:vAlign w:val="bottom"/>
            <w:tcBorders>
              <w:bottom w:val="single" w:sz="8" w:color="3B5AA4"/>
            </w:tcBorders>
          </w:tcPr>
          <w:p>
            <w:pPr>
              <w:jc w:val="right"/>
              <w:spacing w:after="0" w:line="201" w:lineRule="exact"/>
              <w:rPr>
                <w:sz w:val="20"/>
                <w:szCs w:val="20"/>
                <w:color w:val="auto"/>
              </w:rPr>
            </w:pPr>
            <w:r>
              <w:rPr>
                <w:rFonts w:ascii="Arial" w:cs="Arial" w:eastAsia="Arial" w:hAnsi="Arial"/>
                <w:sz w:val="14"/>
                <w:szCs w:val="14"/>
                <w:b w:val="1"/>
                <w:bCs w:val="1"/>
                <w:color w:val="065BAA"/>
              </w:rPr>
              <w:t>($)</w:t>
            </w:r>
            <w:r>
              <w:rPr>
                <w:rFonts w:ascii="Arial" w:cs="Arial" w:eastAsia="Arial" w:hAnsi="Arial"/>
                <w:sz w:val="18"/>
                <w:szCs w:val="18"/>
                <w:b w:val="1"/>
                <w:bCs w:val="1"/>
                <w:color w:val="065BAA"/>
                <w:vertAlign w:val="superscript"/>
              </w:rPr>
              <w:t>1</w:t>
            </w:r>
          </w:p>
        </w:tc>
        <w:tc>
          <w:tcPr>
            <w:tcW w:w="180" w:type="dxa"/>
            <w:vAlign w:val="bottom"/>
            <w:tcBorders>
              <w:bottom w:val="single" w:sz="8" w:color="3B5AA4"/>
            </w:tcBorders>
          </w:tcPr>
          <w:p>
            <w:pPr>
              <w:spacing w:after="0"/>
              <w:rPr>
                <w:sz w:val="17"/>
                <w:szCs w:val="17"/>
                <w:color w:val="auto"/>
              </w:rPr>
            </w:pPr>
          </w:p>
        </w:tc>
        <w:tc>
          <w:tcPr>
            <w:tcW w:w="1320" w:type="dxa"/>
            <w:vAlign w:val="bottom"/>
            <w:tcBorders>
              <w:bottom w:val="single" w:sz="8" w:color="3B5AA4"/>
            </w:tcBorders>
            <w:gridSpan w:val="2"/>
          </w:tcPr>
          <w:p>
            <w:pPr>
              <w:jc w:val="right"/>
              <w:ind w:right="70"/>
              <w:spacing w:after="0"/>
              <w:rPr>
                <w:sz w:val="20"/>
                <w:szCs w:val="20"/>
                <w:color w:val="auto"/>
              </w:rPr>
            </w:pPr>
            <w:r>
              <w:rPr>
                <w:rFonts w:ascii="Arial" w:cs="Arial" w:eastAsia="Arial" w:hAnsi="Arial"/>
                <w:sz w:val="14"/>
                <w:szCs w:val="14"/>
                <w:b w:val="1"/>
                <w:bCs w:val="1"/>
                <w:color w:val="065BAA"/>
              </w:rPr>
              <w:t>(#)</w:t>
            </w:r>
          </w:p>
        </w:tc>
        <w:tc>
          <w:tcPr>
            <w:tcW w:w="1000" w:type="dxa"/>
            <w:vAlign w:val="bottom"/>
            <w:tcBorders>
              <w:bottom w:val="single" w:sz="8" w:color="3B5AA4"/>
            </w:tcBorders>
          </w:tcPr>
          <w:p>
            <w:pPr>
              <w:jc w:val="right"/>
              <w:spacing w:after="0" w:line="201" w:lineRule="exact"/>
              <w:rPr>
                <w:sz w:val="20"/>
                <w:szCs w:val="20"/>
                <w:color w:val="auto"/>
              </w:rPr>
            </w:pPr>
            <w:r>
              <w:rPr>
                <w:rFonts w:ascii="Arial" w:cs="Arial" w:eastAsia="Arial" w:hAnsi="Arial"/>
                <w:sz w:val="14"/>
                <w:szCs w:val="14"/>
                <w:b w:val="1"/>
                <w:bCs w:val="1"/>
                <w:color w:val="065BAA"/>
              </w:rPr>
              <w:t>($)</w:t>
            </w:r>
            <w:r>
              <w:rPr>
                <w:rFonts w:ascii="Arial" w:cs="Arial" w:eastAsia="Arial" w:hAnsi="Arial"/>
                <w:sz w:val="18"/>
                <w:szCs w:val="18"/>
                <w:b w:val="1"/>
                <w:bCs w:val="1"/>
                <w:color w:val="065BAA"/>
                <w:vertAlign w:val="superscript"/>
              </w:rPr>
              <w:t>2</w:t>
            </w:r>
          </w:p>
        </w:tc>
      </w:tr>
      <w:tr>
        <w:trPr>
          <w:trHeight w:val="196"/>
        </w:trPr>
        <w:tc>
          <w:tcPr>
            <w:tcW w:w="4060" w:type="dxa"/>
            <w:vAlign w:val="bottom"/>
          </w:tcPr>
          <w:p>
            <w:pPr>
              <w:ind w:left="80"/>
              <w:spacing w:after="0"/>
              <w:rPr>
                <w:sz w:val="20"/>
                <w:szCs w:val="20"/>
                <w:color w:val="auto"/>
              </w:rPr>
            </w:pPr>
            <w:r>
              <w:rPr>
                <w:rFonts w:ascii="Arial" w:cs="Arial" w:eastAsia="Arial" w:hAnsi="Arial"/>
                <w:sz w:val="14"/>
                <w:szCs w:val="14"/>
                <w:b w:val="1"/>
                <w:bCs w:val="1"/>
                <w:color w:val="auto"/>
              </w:rPr>
              <w:t>Leonard S. Schleifer, M.D., Ph.D.</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172,723</w:t>
            </w:r>
          </w:p>
        </w:tc>
        <w:tc>
          <w:tcPr>
            <w:tcW w:w="980" w:type="dxa"/>
            <w:vAlign w:val="bottom"/>
          </w:tcPr>
          <w:p>
            <w:pPr>
              <w:jc w:val="right"/>
              <w:spacing w:after="0"/>
              <w:rPr>
                <w:sz w:val="20"/>
                <w:szCs w:val="20"/>
                <w:color w:val="auto"/>
              </w:rPr>
            </w:pPr>
            <w:r>
              <w:rPr>
                <w:rFonts w:ascii="Arial" w:cs="Arial" w:eastAsia="Arial" w:hAnsi="Arial"/>
                <w:sz w:val="14"/>
                <w:szCs w:val="14"/>
                <w:color w:val="auto"/>
              </w:rPr>
              <w:t>25,189,922</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623,647</w:t>
            </w:r>
          </w:p>
        </w:tc>
        <w:tc>
          <w:tcPr>
            <w:tcW w:w="220" w:type="dxa"/>
            <w:vAlign w:val="bottom"/>
          </w:tcPr>
          <w:p>
            <w:pPr>
              <w:jc w:val="right"/>
              <w:ind w:right="70"/>
              <w:spacing w:after="0"/>
              <w:rPr>
                <w:sz w:val="20"/>
                <w:szCs w:val="20"/>
                <w:color w:val="auto"/>
              </w:rPr>
            </w:pPr>
            <w:r>
              <w:rPr>
                <w:rFonts w:ascii="Arial" w:cs="Arial" w:eastAsia="Arial" w:hAnsi="Arial"/>
                <w:sz w:val="9"/>
                <w:szCs w:val="9"/>
                <w:color w:val="auto"/>
              </w:rPr>
              <w:t>3</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481,511,612</w:t>
            </w:r>
          </w:p>
        </w:tc>
      </w:tr>
      <w:tr>
        <w:trPr>
          <w:trHeight w:val="216"/>
        </w:trPr>
        <w:tc>
          <w:tcPr>
            <w:tcW w:w="406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George D. Yancopoulos, M.D., Ph.D.</w:t>
            </w:r>
          </w:p>
        </w:tc>
        <w:tc>
          <w:tcPr>
            <w:tcW w:w="1220" w:type="dxa"/>
            <w:vAlign w:val="bottom"/>
            <w:shd w:val="clear" w:color="auto" w:fill="DAEBF8"/>
          </w:tcPr>
          <w:p>
            <w:pPr>
              <w:jc w:val="right"/>
              <w:ind w:right="88"/>
              <w:spacing w:after="0"/>
              <w:rPr>
                <w:sz w:val="20"/>
                <w:szCs w:val="20"/>
                <w:color w:val="auto"/>
              </w:rPr>
            </w:pPr>
            <w:r>
              <w:rPr>
                <w:rFonts w:ascii="Arial" w:cs="Arial" w:eastAsia="Arial" w:hAnsi="Arial"/>
                <w:sz w:val="14"/>
                <w:szCs w:val="14"/>
                <w:color w:val="auto"/>
              </w:rPr>
              <w:t>146,815</w:t>
            </w:r>
          </w:p>
        </w:tc>
        <w:tc>
          <w:tcPr>
            <w:tcW w:w="98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21,411,500</w:t>
            </w:r>
          </w:p>
        </w:tc>
        <w:tc>
          <w:tcPr>
            <w:tcW w:w="180" w:type="dxa"/>
            <w:vAlign w:val="bottom"/>
            <w:shd w:val="clear" w:color="auto" w:fill="DAEBF8"/>
          </w:tcPr>
          <w:p>
            <w:pPr>
              <w:spacing w:after="0"/>
              <w:rPr>
                <w:sz w:val="18"/>
                <w:szCs w:val="18"/>
                <w:color w:val="auto"/>
              </w:rPr>
            </w:pPr>
          </w:p>
        </w:tc>
        <w:tc>
          <w:tcPr>
            <w:tcW w:w="11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623,647</w:t>
            </w:r>
          </w:p>
        </w:tc>
        <w:tc>
          <w:tcPr>
            <w:tcW w:w="220" w:type="dxa"/>
            <w:vAlign w:val="bottom"/>
            <w:shd w:val="clear" w:color="auto" w:fill="DAEBF8"/>
          </w:tcPr>
          <w:p>
            <w:pPr>
              <w:jc w:val="right"/>
              <w:ind w:right="70"/>
              <w:spacing w:after="0"/>
              <w:rPr>
                <w:sz w:val="20"/>
                <w:szCs w:val="20"/>
                <w:color w:val="auto"/>
              </w:rPr>
            </w:pPr>
            <w:r>
              <w:rPr>
                <w:rFonts w:ascii="Arial" w:cs="Arial" w:eastAsia="Arial" w:hAnsi="Arial"/>
                <w:sz w:val="11"/>
                <w:szCs w:val="11"/>
                <w:color w:val="auto"/>
              </w:rPr>
              <w:t>3</w:t>
            </w:r>
          </w:p>
        </w:tc>
        <w:tc>
          <w:tcPr>
            <w:tcW w:w="100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481,511,612</w:t>
            </w:r>
          </w:p>
        </w:tc>
      </w:tr>
      <w:tr>
        <w:trPr>
          <w:trHeight w:val="216"/>
        </w:trPr>
        <w:tc>
          <w:tcPr>
            <w:tcW w:w="4060" w:type="dxa"/>
            <w:vAlign w:val="bottom"/>
          </w:tcPr>
          <w:p>
            <w:pPr>
              <w:ind w:left="80"/>
              <w:spacing w:after="0"/>
              <w:rPr>
                <w:sz w:val="20"/>
                <w:szCs w:val="20"/>
                <w:color w:val="auto"/>
              </w:rPr>
            </w:pPr>
            <w:r>
              <w:rPr>
                <w:rFonts w:ascii="Arial" w:cs="Arial" w:eastAsia="Arial" w:hAnsi="Arial"/>
                <w:sz w:val="14"/>
                <w:szCs w:val="14"/>
                <w:b w:val="1"/>
                <w:bCs w:val="1"/>
                <w:color w:val="auto"/>
              </w:rPr>
              <w:t>Christopher Fenimore</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2,114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1,507,155</w:t>
            </w:r>
          </w:p>
        </w:tc>
      </w:tr>
      <w:tr>
        <w:trPr>
          <w:trHeight w:val="216"/>
        </w:trPr>
        <w:tc>
          <w:tcPr>
            <w:tcW w:w="406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Daniel P. Van Plew</w:t>
            </w:r>
          </w:p>
        </w:tc>
        <w:tc>
          <w:tcPr>
            <w:tcW w:w="1220" w:type="dxa"/>
            <w:vAlign w:val="bottom"/>
            <w:shd w:val="clear" w:color="auto" w:fill="DAEBF8"/>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DAEBF8"/>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8,772</w:t>
            </w:r>
          </w:p>
        </w:tc>
        <w:tc>
          <w:tcPr>
            <w:tcW w:w="220" w:type="dxa"/>
            <w:vAlign w:val="bottom"/>
            <w:shd w:val="clear" w:color="auto" w:fill="DAEBF8"/>
          </w:tcPr>
          <w:p>
            <w:pPr>
              <w:spacing w:after="0"/>
              <w:rPr>
                <w:sz w:val="18"/>
                <w:szCs w:val="18"/>
                <w:color w:val="auto"/>
              </w:rPr>
            </w:pPr>
          </w:p>
        </w:tc>
        <w:tc>
          <w:tcPr>
            <w:tcW w:w="10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6,196,760</w:t>
            </w:r>
          </w:p>
        </w:tc>
      </w:tr>
      <w:tr>
        <w:trPr>
          <w:trHeight w:val="216"/>
        </w:trPr>
        <w:tc>
          <w:tcPr>
            <w:tcW w:w="4060" w:type="dxa"/>
            <w:vAlign w:val="bottom"/>
          </w:tcPr>
          <w:p>
            <w:pPr>
              <w:ind w:left="80"/>
              <w:spacing w:after="0"/>
              <w:rPr>
                <w:sz w:val="20"/>
                <w:szCs w:val="20"/>
                <w:color w:val="auto"/>
              </w:rPr>
            </w:pPr>
            <w:r>
              <w:rPr>
                <w:rFonts w:ascii="Arial" w:cs="Arial" w:eastAsia="Arial" w:hAnsi="Arial"/>
                <w:sz w:val="14"/>
                <w:szCs w:val="14"/>
                <w:b w:val="1"/>
                <w:bCs w:val="1"/>
                <w:color w:val="auto"/>
              </w:rPr>
              <w:t>Andrew J. Murphy, Ph.D.</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35,000</w:t>
            </w:r>
          </w:p>
        </w:tc>
        <w:tc>
          <w:tcPr>
            <w:tcW w:w="980" w:type="dxa"/>
            <w:vAlign w:val="bottom"/>
          </w:tcPr>
          <w:p>
            <w:pPr>
              <w:jc w:val="right"/>
              <w:spacing w:after="0"/>
              <w:rPr>
                <w:sz w:val="20"/>
                <w:szCs w:val="20"/>
                <w:color w:val="auto"/>
              </w:rPr>
            </w:pPr>
            <w:r>
              <w:rPr>
                <w:rFonts w:ascii="Arial" w:cs="Arial" w:eastAsia="Arial" w:hAnsi="Arial"/>
                <w:sz w:val="14"/>
                <w:szCs w:val="14"/>
                <w:color w:val="auto"/>
              </w:rPr>
              <w:t>3,260,250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11,616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8,186,813</w:t>
            </w:r>
          </w:p>
        </w:tc>
      </w:tr>
      <w:tr>
        <w:trPr>
          <w:trHeight w:val="216"/>
        </w:trPr>
        <w:tc>
          <w:tcPr>
            <w:tcW w:w="4060" w:type="dxa"/>
            <w:vAlign w:val="bottom"/>
            <w:tcBorders>
              <w:bottom w:val="single" w:sz="8" w:color="3B5AA4"/>
            </w:tcBorders>
            <w:shd w:val="clear" w:color="auto" w:fill="DAEBF8"/>
          </w:tcPr>
          <w:p>
            <w:pPr>
              <w:ind w:left="80"/>
              <w:spacing w:after="0"/>
              <w:rPr>
                <w:sz w:val="20"/>
                <w:szCs w:val="20"/>
                <w:color w:val="auto"/>
              </w:rPr>
            </w:pPr>
            <w:r>
              <w:rPr>
                <w:rFonts w:ascii="Arial" w:cs="Arial" w:eastAsia="Arial" w:hAnsi="Arial"/>
                <w:sz w:val="14"/>
                <w:szCs w:val="14"/>
                <w:b w:val="1"/>
                <w:bCs w:val="1"/>
                <w:color w:val="auto"/>
              </w:rPr>
              <w:t>Joseph J. LaRosa</w:t>
            </w:r>
          </w:p>
        </w:tc>
        <w:tc>
          <w:tcPr>
            <w:tcW w:w="1220" w:type="dxa"/>
            <w:vAlign w:val="bottom"/>
            <w:tcBorders>
              <w:bottom w:val="single" w:sz="8" w:color="3B5AA4"/>
            </w:tcBorders>
            <w:shd w:val="clear" w:color="auto" w:fill="DAEBF8"/>
          </w:tcPr>
          <w:p>
            <w:pPr>
              <w:jc w:val="right"/>
              <w:ind w:right="88"/>
              <w:spacing w:after="0"/>
              <w:rPr>
                <w:sz w:val="20"/>
                <w:szCs w:val="20"/>
                <w:color w:val="auto"/>
              </w:rPr>
            </w:pPr>
            <w:r>
              <w:rPr>
                <w:rFonts w:ascii="Arial" w:cs="Arial" w:eastAsia="Arial" w:hAnsi="Arial"/>
                <w:sz w:val="14"/>
                <w:szCs w:val="14"/>
                <w:color w:val="auto"/>
              </w:rPr>
              <w:t>14,450</w:t>
            </w:r>
          </w:p>
        </w:tc>
        <w:tc>
          <w:tcPr>
            <w:tcW w:w="980" w:type="dxa"/>
            <w:vAlign w:val="bottom"/>
            <w:tcBorders>
              <w:bottom w:val="single" w:sz="8" w:color="3B5AA4"/>
            </w:tcBorders>
            <w:shd w:val="clear" w:color="auto" w:fill="DAEBF8"/>
          </w:tcPr>
          <w:p>
            <w:pPr>
              <w:jc w:val="right"/>
              <w:spacing w:after="0"/>
              <w:rPr>
                <w:sz w:val="20"/>
                <w:szCs w:val="20"/>
                <w:color w:val="auto"/>
              </w:rPr>
            </w:pPr>
            <w:r>
              <w:rPr>
                <w:rFonts w:ascii="Arial" w:cs="Arial" w:eastAsia="Arial" w:hAnsi="Arial"/>
                <w:sz w:val="14"/>
                <w:szCs w:val="14"/>
                <w:color w:val="auto"/>
              </w:rPr>
              <w:t>2,616,895</w:t>
            </w:r>
          </w:p>
        </w:tc>
        <w:tc>
          <w:tcPr>
            <w:tcW w:w="180" w:type="dxa"/>
            <w:vAlign w:val="bottom"/>
            <w:tcBorders>
              <w:bottom w:val="single" w:sz="8" w:color="3B5AA4"/>
            </w:tcBorders>
            <w:shd w:val="clear" w:color="auto" w:fill="DAEBF8"/>
          </w:tcPr>
          <w:p>
            <w:pPr>
              <w:spacing w:after="0"/>
              <w:rPr>
                <w:sz w:val="18"/>
                <w:szCs w:val="18"/>
                <w:color w:val="auto"/>
              </w:rPr>
            </w:pPr>
          </w:p>
        </w:tc>
        <w:tc>
          <w:tcPr>
            <w:tcW w:w="1100" w:type="dxa"/>
            <w:vAlign w:val="bottom"/>
            <w:tcBorders>
              <w:bottom w:val="single" w:sz="8" w:color="3B5AA4"/>
            </w:tcBorders>
            <w:shd w:val="clear" w:color="auto" w:fill="DAEBF8"/>
          </w:tcPr>
          <w:p>
            <w:pPr>
              <w:jc w:val="right"/>
              <w:spacing w:after="0"/>
              <w:rPr>
                <w:sz w:val="20"/>
                <w:szCs w:val="20"/>
                <w:color w:val="auto"/>
              </w:rPr>
            </w:pPr>
            <w:r>
              <w:rPr>
                <w:rFonts w:ascii="Arial" w:cs="Arial" w:eastAsia="Arial" w:hAnsi="Arial"/>
                <w:sz w:val="14"/>
                <w:szCs w:val="14"/>
                <w:color w:val="auto"/>
              </w:rPr>
              <w:t>2,736</w:t>
            </w:r>
          </w:p>
        </w:tc>
        <w:tc>
          <w:tcPr>
            <w:tcW w:w="220" w:type="dxa"/>
            <w:vAlign w:val="bottom"/>
            <w:tcBorders>
              <w:bottom w:val="single" w:sz="8" w:color="3B5AA4"/>
            </w:tcBorders>
            <w:shd w:val="clear" w:color="auto" w:fill="DAEBF8"/>
          </w:tcPr>
          <w:p>
            <w:pPr>
              <w:spacing w:after="0"/>
              <w:rPr>
                <w:sz w:val="18"/>
                <w:szCs w:val="18"/>
                <w:color w:val="auto"/>
              </w:rPr>
            </w:pPr>
          </w:p>
        </w:tc>
        <w:tc>
          <w:tcPr>
            <w:tcW w:w="1000" w:type="dxa"/>
            <w:vAlign w:val="bottom"/>
            <w:tcBorders>
              <w:bottom w:val="single" w:sz="8" w:color="3B5AA4"/>
            </w:tcBorders>
            <w:shd w:val="clear" w:color="auto" w:fill="DAEBF8"/>
          </w:tcPr>
          <w:p>
            <w:pPr>
              <w:jc w:val="right"/>
              <w:spacing w:after="0"/>
              <w:rPr>
                <w:sz w:val="20"/>
                <w:szCs w:val="20"/>
                <w:color w:val="auto"/>
              </w:rPr>
            </w:pPr>
            <w:r>
              <w:rPr>
                <w:rFonts w:ascii="Arial" w:cs="Arial" w:eastAsia="Arial" w:hAnsi="Arial"/>
                <w:sz w:val="14"/>
                <w:szCs w:val="14"/>
                <w:color w:val="auto"/>
              </w:rPr>
              <w:t>1,950,604</w:t>
            </w:r>
          </w:p>
        </w:tc>
      </w:tr>
    </w:tbl>
    <w:p>
      <w:pPr>
        <w:spacing w:after="0" w:line="117" w:lineRule="exact"/>
        <w:rPr>
          <w:sz w:val="20"/>
          <w:szCs w:val="20"/>
          <w:color w:val="auto"/>
        </w:rPr>
      </w:pPr>
    </w:p>
    <w:p>
      <w:pPr>
        <w:ind w:left="320" w:right="359" w:hanging="190"/>
        <w:spacing w:after="0" w:line="236" w:lineRule="auto"/>
        <w:tabs>
          <w:tab w:leader="none" w:pos="320" w:val="left"/>
        </w:tabs>
        <w:numPr>
          <w:ilvl w:val="0"/>
          <w:numId w:val="170"/>
        </w:numPr>
        <w:rPr>
          <w:rFonts w:ascii="Arial" w:cs="Arial" w:eastAsia="Arial" w:hAnsi="Arial"/>
          <w:sz w:val="16"/>
          <w:szCs w:val="16"/>
          <w:color w:val="auto"/>
          <w:vertAlign w:val="superscript"/>
        </w:rPr>
      </w:pPr>
      <w:r>
        <w:rPr>
          <w:rFonts w:ascii="Arial" w:cs="Arial" w:eastAsia="Arial" w:hAnsi="Arial"/>
          <w:sz w:val="13"/>
          <w:szCs w:val="13"/>
          <w:color w:val="auto"/>
        </w:rPr>
        <w:t>Amounts reflect the difference between the exercise price of the option(s) and the average of the high and low sales price per share of the Company’s common stock on the Nasdaq Global Select Market on the exercise date(s).</w:t>
      </w:r>
    </w:p>
    <w:p>
      <w:pPr>
        <w:spacing w:after="0" w:line="23" w:lineRule="exact"/>
        <w:rPr>
          <w:sz w:val="20"/>
          <w:szCs w:val="20"/>
          <w:color w:val="auto"/>
        </w:rPr>
      </w:pPr>
    </w:p>
    <w:p>
      <w:pPr>
        <w:ind w:left="320" w:right="519" w:hanging="190"/>
        <w:spacing w:after="0" w:line="236" w:lineRule="auto"/>
        <w:tabs>
          <w:tab w:leader="none" w:pos="320" w:val="left"/>
        </w:tabs>
        <w:numPr>
          <w:ilvl w:val="0"/>
          <w:numId w:val="171"/>
        </w:numPr>
        <w:rPr>
          <w:rFonts w:ascii="Arial" w:cs="Arial" w:eastAsia="Arial" w:hAnsi="Arial"/>
          <w:sz w:val="16"/>
          <w:szCs w:val="16"/>
          <w:color w:val="auto"/>
          <w:vertAlign w:val="superscript"/>
        </w:rPr>
      </w:pPr>
      <w:r>
        <w:rPr>
          <w:rFonts w:ascii="Arial" w:cs="Arial" w:eastAsia="Arial" w:hAnsi="Arial"/>
          <w:sz w:val="13"/>
          <w:szCs w:val="13"/>
          <w:color w:val="auto"/>
        </w:rPr>
        <w:t>Amount reflects the average of the high and low sales price per share of the Company’s common stock on the Nasdaq Global Select Market on the vesting date.</w:t>
      </w:r>
    </w:p>
    <w:p>
      <w:pPr>
        <w:spacing w:after="0" w:line="37" w:lineRule="exact"/>
        <w:rPr>
          <w:sz w:val="20"/>
          <w:szCs w:val="20"/>
          <w:color w:val="auto"/>
        </w:rPr>
      </w:pPr>
    </w:p>
    <w:p>
      <w:pPr>
        <w:ind w:left="320" w:right="139" w:hanging="190"/>
        <w:spacing w:after="0" w:line="253" w:lineRule="auto"/>
        <w:tabs>
          <w:tab w:leader="none" w:pos="320" w:val="left"/>
        </w:tabs>
        <w:numPr>
          <w:ilvl w:val="0"/>
          <w:numId w:val="172"/>
        </w:numPr>
        <w:rPr>
          <w:rFonts w:ascii="Arial" w:cs="Arial" w:eastAsia="Arial" w:hAnsi="Arial"/>
          <w:sz w:val="16"/>
          <w:szCs w:val="16"/>
          <w:color w:val="auto"/>
          <w:vertAlign w:val="superscript"/>
        </w:rPr>
      </w:pPr>
      <w:r>
        <w:rPr>
          <w:rFonts w:ascii="Arial" w:cs="Arial" w:eastAsia="Arial" w:hAnsi="Arial"/>
          <w:sz w:val="13"/>
          <w:szCs w:val="13"/>
          <w:color w:val="auto"/>
        </w:rPr>
        <w:t>Amount consists of the gross number of 2020 PSUs that vested on December 31, 2025. The underlying shares of common stock, net of an amount (28,570 shares) surrendered to satisfy certain tax liabilities triggered in connection with the vesting, remain subject to a mandatory three-year deferral and holding period such that the shares will not be settled until the end of such period or, if earlier, the date of the recipient’s death or disability or change in control pursuant to the terms of the award agreement governing the 2020 PSUs. See “Nonqualified Deferred Compensation for 2025 Fiscal Year-End” below. The reported amount includes 3,377 PSUs resulting from dividends paid by the Company in 2025 pursuant to the terms of the award agreement governing the 2020 PSUs.</w:t>
      </w:r>
    </w:p>
    <w:p>
      <w:pPr>
        <w:spacing w:after="0" w:line="269"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Nonqualified Deferred Compensation at 2025 Fiscal Year-End</w:t>
      </w:r>
    </w:p>
    <w:p>
      <w:pPr>
        <w:spacing w:after="0" w:line="180" w:lineRule="exact"/>
        <w:rPr>
          <w:sz w:val="20"/>
          <w:szCs w:val="20"/>
          <w:color w:val="auto"/>
        </w:rPr>
      </w:pPr>
    </w:p>
    <w:p>
      <w:pPr>
        <w:ind w:left="140" w:right="419"/>
        <w:spacing w:after="0" w:line="321" w:lineRule="auto"/>
        <w:rPr>
          <w:sz w:val="20"/>
          <w:szCs w:val="20"/>
          <w:color w:val="auto"/>
        </w:rPr>
      </w:pPr>
      <w:r>
        <w:rPr>
          <w:rFonts w:ascii="Arial" w:cs="Arial" w:eastAsia="Arial" w:hAnsi="Arial"/>
          <w:sz w:val="16"/>
          <w:szCs w:val="16"/>
          <w:color w:val="auto"/>
        </w:rPr>
        <w:t>The following table and explanatory footnote provide information regarding nonqualified deferred compensation for our NEOs for 2025.</w:t>
      </w: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920" w:type="dxa"/>
            <w:vAlign w:val="bottom"/>
            <w:tcBorders>
              <w:bottom w:val="single" w:sz="8" w:color="3B5AA4"/>
            </w:tcBorders>
          </w:tcPr>
          <w:p>
            <w:pPr>
              <w:ind w:left="1560"/>
              <w:spacing w:after="0"/>
              <w:rPr>
                <w:sz w:val="20"/>
                <w:szCs w:val="20"/>
                <w:color w:val="auto"/>
              </w:rPr>
            </w:pPr>
            <w:r>
              <w:rPr>
                <w:rFonts w:ascii="Arial" w:cs="Arial" w:eastAsia="Arial" w:hAnsi="Arial"/>
                <w:sz w:val="14"/>
                <w:szCs w:val="14"/>
                <w:b w:val="1"/>
                <w:bCs w:val="1"/>
                <w:color w:val="065BAA"/>
              </w:rPr>
              <w:t>A</w:t>
            </w:r>
          </w:p>
        </w:tc>
        <w:tc>
          <w:tcPr>
            <w:tcW w:w="1460" w:type="dxa"/>
            <w:vAlign w:val="bottom"/>
            <w:tcBorders>
              <w:bottom w:val="single" w:sz="8" w:color="3B5AA4"/>
            </w:tcBorders>
          </w:tcPr>
          <w:p>
            <w:pPr>
              <w:jc w:val="right"/>
              <w:ind w:right="528"/>
              <w:spacing w:after="0"/>
              <w:rPr>
                <w:sz w:val="20"/>
                <w:szCs w:val="20"/>
                <w:color w:val="auto"/>
              </w:rPr>
            </w:pPr>
            <w:r>
              <w:rPr>
                <w:rFonts w:ascii="Arial" w:cs="Arial" w:eastAsia="Arial" w:hAnsi="Arial"/>
                <w:sz w:val="14"/>
                <w:szCs w:val="14"/>
                <w:b w:val="1"/>
                <w:bCs w:val="1"/>
                <w:color w:val="065BAA"/>
              </w:rPr>
              <w:t>B</w:t>
            </w:r>
          </w:p>
        </w:tc>
        <w:tc>
          <w:tcPr>
            <w:tcW w:w="1220" w:type="dxa"/>
            <w:vAlign w:val="bottom"/>
            <w:tcBorders>
              <w:bottom w:val="single" w:sz="8" w:color="3B5AA4"/>
            </w:tcBorders>
          </w:tcPr>
          <w:p>
            <w:pPr>
              <w:jc w:val="right"/>
              <w:ind w:right="588"/>
              <w:spacing w:after="0"/>
              <w:rPr>
                <w:sz w:val="20"/>
                <w:szCs w:val="20"/>
                <w:color w:val="auto"/>
              </w:rPr>
            </w:pPr>
            <w:r>
              <w:rPr>
                <w:rFonts w:ascii="Arial" w:cs="Arial" w:eastAsia="Arial" w:hAnsi="Arial"/>
                <w:sz w:val="14"/>
                <w:szCs w:val="14"/>
                <w:b w:val="1"/>
                <w:bCs w:val="1"/>
                <w:color w:val="065BAA"/>
              </w:rPr>
              <w:t>C</w:t>
            </w:r>
          </w:p>
        </w:tc>
        <w:tc>
          <w:tcPr>
            <w:tcW w:w="980" w:type="dxa"/>
            <w:vAlign w:val="bottom"/>
            <w:tcBorders>
              <w:bottom w:val="single" w:sz="8" w:color="3B5AA4"/>
            </w:tcBorders>
          </w:tcPr>
          <w:p>
            <w:pPr>
              <w:jc w:val="right"/>
              <w:ind w:right="468"/>
              <w:spacing w:after="0"/>
              <w:rPr>
                <w:sz w:val="20"/>
                <w:szCs w:val="20"/>
                <w:color w:val="auto"/>
              </w:rPr>
            </w:pPr>
            <w:r>
              <w:rPr>
                <w:rFonts w:ascii="Arial" w:cs="Arial" w:eastAsia="Arial" w:hAnsi="Arial"/>
                <w:sz w:val="14"/>
                <w:szCs w:val="14"/>
                <w:b w:val="1"/>
                <w:bCs w:val="1"/>
                <w:color w:val="065BAA"/>
              </w:rPr>
              <w:t>D</w:t>
            </w:r>
          </w:p>
        </w:tc>
        <w:tc>
          <w:tcPr>
            <w:tcW w:w="1180" w:type="dxa"/>
            <w:vAlign w:val="bottom"/>
            <w:tcBorders>
              <w:bottom w:val="single" w:sz="8" w:color="3B5AA4"/>
            </w:tcBorders>
          </w:tcPr>
          <w:p>
            <w:pPr>
              <w:jc w:val="right"/>
              <w:ind w:right="568"/>
              <w:spacing w:after="0"/>
              <w:rPr>
                <w:sz w:val="20"/>
                <w:szCs w:val="20"/>
                <w:color w:val="auto"/>
              </w:rPr>
            </w:pPr>
            <w:r>
              <w:rPr>
                <w:rFonts w:ascii="Arial" w:cs="Arial" w:eastAsia="Arial" w:hAnsi="Arial"/>
                <w:sz w:val="14"/>
                <w:szCs w:val="14"/>
                <w:b w:val="1"/>
                <w:bCs w:val="1"/>
                <w:color w:val="065BAA"/>
              </w:rPr>
              <w:t>E</w:t>
            </w:r>
          </w:p>
        </w:tc>
        <w:tc>
          <w:tcPr>
            <w:tcW w:w="1000" w:type="dxa"/>
            <w:vAlign w:val="bottom"/>
            <w:tcBorders>
              <w:bottom w:val="single" w:sz="8" w:color="3B5AA4"/>
            </w:tcBorders>
          </w:tcPr>
          <w:p>
            <w:pPr>
              <w:jc w:val="right"/>
              <w:ind w:right="428"/>
              <w:spacing w:after="0"/>
              <w:rPr>
                <w:sz w:val="20"/>
                <w:szCs w:val="20"/>
                <w:color w:val="auto"/>
              </w:rPr>
            </w:pPr>
            <w:r>
              <w:rPr>
                <w:rFonts w:ascii="Arial" w:cs="Arial" w:eastAsia="Arial" w:hAnsi="Arial"/>
                <w:sz w:val="14"/>
                <w:szCs w:val="14"/>
                <w:b w:val="1"/>
                <w:bCs w:val="1"/>
                <w:color w:val="065BAA"/>
              </w:rPr>
              <w:t>G</w:t>
            </w:r>
          </w:p>
        </w:tc>
      </w:tr>
      <w:tr>
        <w:trPr>
          <w:trHeight w:val="200"/>
        </w:trPr>
        <w:tc>
          <w:tcPr>
            <w:tcW w:w="2920" w:type="dxa"/>
            <w:vAlign w:val="bottom"/>
          </w:tcPr>
          <w:p>
            <w:pPr>
              <w:spacing w:after="0"/>
              <w:rPr>
                <w:sz w:val="17"/>
                <w:szCs w:val="17"/>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b w:val="1"/>
                <w:bCs w:val="1"/>
                <w:color w:val="065BAA"/>
              </w:rPr>
              <w:t>Executive</w:t>
            </w: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065BAA"/>
              </w:rPr>
              <w:t>Registrant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065BAA"/>
              </w:rPr>
              <w:t>Aggregate</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065BAA"/>
              </w:rPr>
              <w:t>Aggregate</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065BAA"/>
              </w:rPr>
              <w:t>Aggregate</w:t>
            </w:r>
          </w:p>
        </w:tc>
      </w:tr>
      <w:tr>
        <w:trPr>
          <w:trHeight w:val="176"/>
        </w:trPr>
        <w:tc>
          <w:tcPr>
            <w:tcW w:w="2920" w:type="dxa"/>
            <w:vAlign w:val="bottom"/>
          </w:tcPr>
          <w:p>
            <w:pPr>
              <w:spacing w:after="0"/>
              <w:rPr>
                <w:sz w:val="15"/>
                <w:szCs w:val="15"/>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b w:val="1"/>
                <w:bCs w:val="1"/>
                <w:color w:val="065BAA"/>
              </w:rPr>
              <w:t>Contributions</w:t>
            </w: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065BAA"/>
              </w:rPr>
              <w:t>Contributions</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065BAA"/>
              </w:rPr>
              <w:t>Earnings</w:t>
            </w:r>
          </w:p>
        </w:tc>
        <w:tc>
          <w:tcPr>
            <w:tcW w:w="1180" w:type="dxa"/>
            <w:vAlign w:val="bottom"/>
          </w:tcPr>
          <w:p>
            <w:pPr>
              <w:jc w:val="right"/>
              <w:ind w:right="88"/>
              <w:spacing w:after="0"/>
              <w:rPr>
                <w:sz w:val="20"/>
                <w:szCs w:val="20"/>
                <w:color w:val="auto"/>
              </w:rPr>
            </w:pPr>
            <w:r>
              <w:rPr>
                <w:rFonts w:ascii="Arial" w:cs="Arial" w:eastAsia="Arial" w:hAnsi="Arial"/>
                <w:sz w:val="14"/>
                <w:szCs w:val="14"/>
                <w:b w:val="1"/>
                <w:bCs w:val="1"/>
                <w:color w:val="065BAA"/>
              </w:rPr>
              <w:t>Withdrawals/</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065BAA"/>
              </w:rPr>
              <w:t>Balance at</w:t>
            </w:r>
          </w:p>
        </w:tc>
      </w:tr>
      <w:tr>
        <w:trPr>
          <w:trHeight w:val="160"/>
        </w:trPr>
        <w:tc>
          <w:tcPr>
            <w:tcW w:w="2920" w:type="dxa"/>
            <w:vAlign w:val="bottom"/>
          </w:tcPr>
          <w:p>
            <w:pPr>
              <w:spacing w:after="0"/>
              <w:rPr>
                <w:sz w:val="13"/>
                <w:szCs w:val="13"/>
                <w:color w:val="auto"/>
              </w:rPr>
            </w:pPr>
          </w:p>
        </w:tc>
        <w:tc>
          <w:tcPr>
            <w:tcW w:w="1460" w:type="dxa"/>
            <w:vAlign w:val="bottom"/>
          </w:tcPr>
          <w:p>
            <w:pPr>
              <w:jc w:val="right"/>
              <w:ind w:right="68"/>
              <w:spacing w:after="0" w:line="159" w:lineRule="exact"/>
              <w:rPr>
                <w:sz w:val="20"/>
                <w:szCs w:val="20"/>
                <w:color w:val="auto"/>
              </w:rPr>
            </w:pPr>
            <w:r>
              <w:rPr>
                <w:rFonts w:ascii="Arial" w:cs="Arial" w:eastAsia="Arial" w:hAnsi="Arial"/>
                <w:sz w:val="14"/>
                <w:szCs w:val="14"/>
                <w:b w:val="1"/>
                <w:bCs w:val="1"/>
                <w:color w:val="065BAA"/>
              </w:rPr>
              <w:t>in Last FY</w:t>
            </w:r>
          </w:p>
        </w:tc>
        <w:tc>
          <w:tcPr>
            <w:tcW w:w="1220" w:type="dxa"/>
            <w:vAlign w:val="bottom"/>
          </w:tcPr>
          <w:p>
            <w:pPr>
              <w:jc w:val="right"/>
              <w:ind w:right="88"/>
              <w:spacing w:after="0" w:line="159" w:lineRule="exact"/>
              <w:rPr>
                <w:sz w:val="20"/>
                <w:szCs w:val="20"/>
                <w:color w:val="auto"/>
              </w:rPr>
            </w:pPr>
            <w:r>
              <w:rPr>
                <w:rFonts w:ascii="Arial" w:cs="Arial" w:eastAsia="Arial" w:hAnsi="Arial"/>
                <w:sz w:val="14"/>
                <w:szCs w:val="14"/>
                <w:b w:val="1"/>
                <w:bCs w:val="1"/>
                <w:color w:val="065BAA"/>
              </w:rPr>
              <w:t>in Last FY</w:t>
            </w:r>
          </w:p>
        </w:tc>
        <w:tc>
          <w:tcPr>
            <w:tcW w:w="980" w:type="dxa"/>
            <w:vAlign w:val="bottom"/>
          </w:tcPr>
          <w:p>
            <w:pPr>
              <w:jc w:val="right"/>
              <w:ind w:right="48"/>
              <w:spacing w:after="0" w:line="159" w:lineRule="exact"/>
              <w:rPr>
                <w:sz w:val="20"/>
                <w:szCs w:val="20"/>
                <w:color w:val="auto"/>
              </w:rPr>
            </w:pPr>
            <w:r>
              <w:rPr>
                <w:rFonts w:ascii="Arial" w:cs="Arial" w:eastAsia="Arial" w:hAnsi="Arial"/>
                <w:sz w:val="14"/>
                <w:szCs w:val="14"/>
                <w:b w:val="1"/>
                <w:bCs w:val="1"/>
                <w:color w:val="065BAA"/>
              </w:rPr>
              <w:t>in Last FY</w:t>
            </w:r>
          </w:p>
        </w:tc>
        <w:tc>
          <w:tcPr>
            <w:tcW w:w="1180" w:type="dxa"/>
            <w:vAlign w:val="bottom"/>
          </w:tcPr>
          <w:p>
            <w:pPr>
              <w:jc w:val="right"/>
              <w:ind w:right="88"/>
              <w:spacing w:after="0" w:line="159" w:lineRule="exact"/>
              <w:rPr>
                <w:sz w:val="20"/>
                <w:szCs w:val="20"/>
                <w:color w:val="auto"/>
              </w:rPr>
            </w:pPr>
            <w:r>
              <w:rPr>
                <w:rFonts w:ascii="Arial" w:cs="Arial" w:eastAsia="Arial" w:hAnsi="Arial"/>
                <w:sz w:val="14"/>
                <w:szCs w:val="14"/>
                <w:b w:val="1"/>
                <w:bCs w:val="1"/>
                <w:color w:val="065BAA"/>
              </w:rPr>
              <w:t>Distributions</w:t>
            </w:r>
          </w:p>
        </w:tc>
        <w:tc>
          <w:tcPr>
            <w:tcW w:w="1000" w:type="dxa"/>
            <w:vAlign w:val="bottom"/>
          </w:tcPr>
          <w:p>
            <w:pPr>
              <w:jc w:val="right"/>
              <w:spacing w:after="0" w:line="159" w:lineRule="exact"/>
              <w:rPr>
                <w:sz w:val="20"/>
                <w:szCs w:val="20"/>
                <w:color w:val="auto"/>
              </w:rPr>
            </w:pPr>
            <w:r>
              <w:rPr>
                <w:rFonts w:ascii="Arial" w:cs="Arial" w:eastAsia="Arial" w:hAnsi="Arial"/>
                <w:sz w:val="14"/>
                <w:szCs w:val="14"/>
                <w:b w:val="1"/>
                <w:bCs w:val="1"/>
                <w:color w:val="065BAA"/>
              </w:rPr>
              <w:t>Last FYE</w:t>
            </w:r>
          </w:p>
        </w:tc>
      </w:tr>
      <w:tr>
        <w:trPr>
          <w:trHeight w:val="187"/>
        </w:trPr>
        <w:tc>
          <w:tcPr>
            <w:tcW w:w="2920" w:type="dxa"/>
            <w:vAlign w:val="bottom"/>
            <w:tcBorders>
              <w:bottom w:val="single" w:sz="8" w:color="3B5AA4"/>
            </w:tcBorders>
          </w:tcPr>
          <w:p>
            <w:pPr>
              <w:ind w:left="80"/>
              <w:spacing w:after="0"/>
              <w:rPr>
                <w:sz w:val="20"/>
                <w:szCs w:val="20"/>
                <w:color w:val="auto"/>
              </w:rPr>
            </w:pPr>
            <w:r>
              <w:rPr>
                <w:rFonts w:ascii="Arial" w:cs="Arial" w:eastAsia="Arial" w:hAnsi="Arial"/>
                <w:sz w:val="14"/>
                <w:szCs w:val="14"/>
                <w:b w:val="1"/>
                <w:bCs w:val="1"/>
                <w:color w:val="065BAA"/>
              </w:rPr>
              <w:t>Name</w:t>
            </w:r>
          </w:p>
        </w:tc>
        <w:tc>
          <w:tcPr>
            <w:tcW w:w="1460" w:type="dxa"/>
            <w:vAlign w:val="bottom"/>
            <w:tcBorders>
              <w:bottom w:val="single" w:sz="8" w:color="3B5AA4"/>
            </w:tcBorders>
          </w:tcPr>
          <w:p>
            <w:pPr>
              <w:jc w:val="center"/>
              <w:ind w:left="928"/>
              <w:spacing w:after="0"/>
              <w:rPr>
                <w:sz w:val="20"/>
                <w:szCs w:val="20"/>
                <w:color w:val="auto"/>
              </w:rPr>
            </w:pPr>
            <w:r>
              <w:rPr>
                <w:rFonts w:ascii="Arial" w:cs="Arial" w:eastAsia="Arial" w:hAnsi="Arial"/>
                <w:sz w:val="14"/>
                <w:szCs w:val="14"/>
                <w:b w:val="1"/>
                <w:bCs w:val="1"/>
                <w:color w:val="065BAA"/>
              </w:rPr>
              <w:t>($)</w:t>
            </w:r>
          </w:p>
        </w:tc>
        <w:tc>
          <w:tcPr>
            <w:tcW w:w="1220" w:type="dxa"/>
            <w:vAlign w:val="bottom"/>
            <w:tcBorders>
              <w:bottom w:val="single" w:sz="8" w:color="3B5AA4"/>
            </w:tcBorders>
          </w:tcPr>
          <w:p>
            <w:pPr>
              <w:jc w:val="right"/>
              <w:ind w:right="88"/>
              <w:spacing w:after="0" w:line="188" w:lineRule="exact"/>
              <w:rPr>
                <w:sz w:val="20"/>
                <w:szCs w:val="20"/>
                <w:color w:val="auto"/>
              </w:rPr>
            </w:pPr>
            <w:r>
              <w:rPr>
                <w:rFonts w:ascii="Arial" w:cs="Arial" w:eastAsia="Arial" w:hAnsi="Arial"/>
                <w:sz w:val="14"/>
                <w:szCs w:val="14"/>
                <w:b w:val="1"/>
                <w:bCs w:val="1"/>
                <w:color w:val="065BAA"/>
              </w:rPr>
              <w:t>($)</w:t>
            </w:r>
            <w:r>
              <w:rPr>
                <w:rFonts w:ascii="Arial" w:cs="Arial" w:eastAsia="Arial" w:hAnsi="Arial"/>
                <w:sz w:val="18"/>
                <w:szCs w:val="18"/>
                <w:b w:val="1"/>
                <w:bCs w:val="1"/>
                <w:color w:val="065BAA"/>
                <w:vertAlign w:val="superscript"/>
              </w:rPr>
              <w:t>1</w:t>
            </w:r>
          </w:p>
        </w:tc>
        <w:tc>
          <w:tcPr>
            <w:tcW w:w="980" w:type="dxa"/>
            <w:vAlign w:val="bottom"/>
            <w:tcBorders>
              <w:bottom w:val="single" w:sz="8" w:color="3B5AA4"/>
            </w:tcBorders>
          </w:tcPr>
          <w:p>
            <w:pPr>
              <w:jc w:val="center"/>
              <w:ind w:left="488"/>
              <w:spacing w:after="0"/>
              <w:rPr>
                <w:sz w:val="20"/>
                <w:szCs w:val="20"/>
                <w:color w:val="auto"/>
              </w:rPr>
            </w:pPr>
            <w:r>
              <w:rPr>
                <w:rFonts w:ascii="Arial" w:cs="Arial" w:eastAsia="Arial" w:hAnsi="Arial"/>
                <w:sz w:val="14"/>
                <w:szCs w:val="14"/>
                <w:b w:val="1"/>
                <w:bCs w:val="1"/>
                <w:color w:val="065BAA"/>
              </w:rPr>
              <w:t>($)</w:t>
            </w:r>
          </w:p>
        </w:tc>
        <w:tc>
          <w:tcPr>
            <w:tcW w:w="1180" w:type="dxa"/>
            <w:vAlign w:val="bottom"/>
            <w:tcBorders>
              <w:bottom w:val="single" w:sz="8" w:color="3B5AA4"/>
            </w:tcBorders>
          </w:tcPr>
          <w:p>
            <w:pPr>
              <w:jc w:val="center"/>
              <w:ind w:left="608"/>
              <w:spacing w:after="0"/>
              <w:rPr>
                <w:sz w:val="20"/>
                <w:szCs w:val="20"/>
                <w:color w:val="auto"/>
              </w:rPr>
            </w:pPr>
            <w:r>
              <w:rPr>
                <w:rFonts w:ascii="Arial" w:cs="Arial" w:eastAsia="Arial" w:hAnsi="Arial"/>
                <w:sz w:val="14"/>
                <w:szCs w:val="14"/>
                <w:b w:val="1"/>
                <w:bCs w:val="1"/>
                <w:color w:val="065BAA"/>
              </w:rPr>
              <w:t>($)</w:t>
            </w:r>
          </w:p>
        </w:tc>
        <w:tc>
          <w:tcPr>
            <w:tcW w:w="1000" w:type="dxa"/>
            <w:vAlign w:val="bottom"/>
            <w:tcBorders>
              <w:bottom w:val="single" w:sz="8" w:color="3B5AA4"/>
            </w:tcBorders>
          </w:tcPr>
          <w:p>
            <w:pPr>
              <w:jc w:val="right"/>
              <w:spacing w:after="0" w:line="188" w:lineRule="exact"/>
              <w:rPr>
                <w:sz w:val="20"/>
                <w:szCs w:val="20"/>
                <w:color w:val="auto"/>
              </w:rPr>
            </w:pPr>
            <w:r>
              <w:rPr>
                <w:rFonts w:ascii="Arial" w:cs="Arial" w:eastAsia="Arial" w:hAnsi="Arial"/>
                <w:sz w:val="14"/>
                <w:szCs w:val="14"/>
                <w:b w:val="1"/>
                <w:bCs w:val="1"/>
                <w:color w:val="065BAA"/>
              </w:rPr>
              <w:t>($)</w:t>
            </w:r>
            <w:r>
              <w:rPr>
                <w:rFonts w:ascii="Arial" w:cs="Arial" w:eastAsia="Arial" w:hAnsi="Arial"/>
                <w:sz w:val="18"/>
                <w:szCs w:val="18"/>
                <w:b w:val="1"/>
                <w:bCs w:val="1"/>
                <w:color w:val="065BAA"/>
                <w:vertAlign w:val="superscript"/>
              </w:rPr>
              <w:t>1</w:t>
            </w:r>
          </w:p>
        </w:tc>
      </w:tr>
      <w:tr>
        <w:trPr>
          <w:trHeight w:val="196"/>
        </w:trPr>
        <w:tc>
          <w:tcPr>
            <w:tcW w:w="2920" w:type="dxa"/>
            <w:vAlign w:val="bottom"/>
          </w:tcPr>
          <w:p>
            <w:pPr>
              <w:ind w:left="80"/>
              <w:spacing w:after="0"/>
              <w:rPr>
                <w:sz w:val="20"/>
                <w:szCs w:val="20"/>
                <w:color w:val="auto"/>
              </w:rPr>
            </w:pPr>
            <w:r>
              <w:rPr>
                <w:rFonts w:ascii="Arial" w:cs="Arial" w:eastAsia="Arial" w:hAnsi="Arial"/>
                <w:sz w:val="14"/>
                <w:szCs w:val="14"/>
                <w:b w:val="1"/>
                <w:bCs w:val="1"/>
                <w:color w:val="auto"/>
              </w:rPr>
              <w:t>Leonard S. Schleifer, M.D., Ph.D.</w:t>
            </w:r>
          </w:p>
        </w:tc>
        <w:tc>
          <w:tcPr>
            <w:tcW w:w="1460" w:type="dxa"/>
            <w:vAlign w:val="bottom"/>
          </w:tcPr>
          <w:p>
            <w:pPr>
              <w:jc w:val="center"/>
              <w:ind w:left="928"/>
              <w:spacing w:after="0"/>
              <w:rPr>
                <w:sz w:val="20"/>
                <w:szCs w:val="20"/>
                <w:color w:val="auto"/>
              </w:rPr>
            </w:pPr>
            <w:r>
              <w:rPr>
                <w:rFonts w:ascii="Arial" w:cs="Arial" w:eastAsia="Arial" w:hAnsi="Arial"/>
                <w:sz w:val="14"/>
                <w:szCs w:val="14"/>
                <w:color w:val="auto"/>
                <w:w w:val="99"/>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459,453,001</w:t>
            </w:r>
          </w:p>
        </w:tc>
        <w:tc>
          <w:tcPr>
            <w:tcW w:w="980" w:type="dxa"/>
            <w:vAlign w:val="bottom"/>
          </w:tcPr>
          <w:p>
            <w:pPr>
              <w:jc w:val="center"/>
              <w:ind w:left="488"/>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ind w:left="608"/>
              <w:spacing w:after="0"/>
              <w:rPr>
                <w:sz w:val="20"/>
                <w:szCs w:val="20"/>
                <w:color w:val="auto"/>
              </w:rPr>
            </w:pPr>
            <w:r>
              <w:rPr>
                <w:rFonts w:ascii="Arial" w:cs="Arial" w:eastAsia="Arial" w:hAnsi="Arial"/>
                <w:sz w:val="14"/>
                <w:szCs w:val="14"/>
                <w:color w:val="auto"/>
                <w:w w:val="99"/>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459,453,001</w:t>
            </w:r>
          </w:p>
        </w:tc>
      </w:tr>
      <w:tr>
        <w:trPr>
          <w:trHeight w:val="216"/>
        </w:trPr>
        <w:tc>
          <w:tcPr>
            <w:tcW w:w="2920" w:type="dxa"/>
            <w:vAlign w:val="bottom"/>
            <w:tcBorders>
              <w:bottom w:val="single" w:sz="8" w:color="3B5AA4"/>
            </w:tcBorders>
            <w:shd w:val="clear" w:color="auto" w:fill="DAEBF8"/>
          </w:tcPr>
          <w:p>
            <w:pPr>
              <w:ind w:left="80"/>
              <w:spacing w:after="0"/>
              <w:rPr>
                <w:sz w:val="20"/>
                <w:szCs w:val="20"/>
                <w:color w:val="auto"/>
              </w:rPr>
            </w:pPr>
            <w:r>
              <w:rPr>
                <w:rFonts w:ascii="Arial" w:cs="Arial" w:eastAsia="Arial" w:hAnsi="Arial"/>
                <w:sz w:val="14"/>
                <w:szCs w:val="14"/>
                <w:b w:val="1"/>
                <w:bCs w:val="1"/>
                <w:color w:val="auto"/>
              </w:rPr>
              <w:t>George D. Yancopoulos, M.D., Ph.D.</w:t>
            </w:r>
          </w:p>
        </w:tc>
        <w:tc>
          <w:tcPr>
            <w:tcW w:w="1460" w:type="dxa"/>
            <w:vAlign w:val="bottom"/>
            <w:tcBorders>
              <w:bottom w:val="single" w:sz="8" w:color="3B5AA4"/>
            </w:tcBorders>
            <w:shd w:val="clear" w:color="auto" w:fill="DAEBF8"/>
          </w:tcPr>
          <w:p>
            <w:pPr>
              <w:jc w:val="center"/>
              <w:ind w:left="928"/>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3B5AA4"/>
            </w:tcBorders>
            <w:shd w:val="clear" w:color="auto" w:fill="DAEBF8"/>
          </w:tcPr>
          <w:p>
            <w:pPr>
              <w:jc w:val="right"/>
              <w:ind w:right="88"/>
              <w:spacing w:after="0"/>
              <w:rPr>
                <w:sz w:val="20"/>
                <w:szCs w:val="20"/>
                <w:color w:val="auto"/>
              </w:rPr>
            </w:pPr>
            <w:r>
              <w:rPr>
                <w:rFonts w:ascii="Arial" w:cs="Arial" w:eastAsia="Arial" w:hAnsi="Arial"/>
                <w:sz w:val="14"/>
                <w:szCs w:val="14"/>
                <w:color w:val="auto"/>
              </w:rPr>
              <w:t>459,453,001</w:t>
            </w:r>
          </w:p>
        </w:tc>
        <w:tc>
          <w:tcPr>
            <w:tcW w:w="980" w:type="dxa"/>
            <w:vAlign w:val="bottom"/>
            <w:tcBorders>
              <w:bottom w:val="single" w:sz="8" w:color="3B5AA4"/>
            </w:tcBorders>
            <w:shd w:val="clear" w:color="auto" w:fill="DAEBF8"/>
          </w:tcPr>
          <w:p>
            <w:pPr>
              <w:jc w:val="center"/>
              <w:ind w:left="488"/>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3B5AA4"/>
            </w:tcBorders>
            <w:shd w:val="clear" w:color="auto" w:fill="DAEBF8"/>
          </w:tcPr>
          <w:p>
            <w:pPr>
              <w:jc w:val="center"/>
              <w:ind w:left="608"/>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3B5AA4"/>
            </w:tcBorders>
            <w:shd w:val="clear" w:color="auto" w:fill="DAEBF8"/>
          </w:tcPr>
          <w:p>
            <w:pPr>
              <w:jc w:val="right"/>
              <w:spacing w:after="0"/>
              <w:rPr>
                <w:sz w:val="20"/>
                <w:szCs w:val="20"/>
                <w:color w:val="auto"/>
              </w:rPr>
            </w:pPr>
            <w:r>
              <w:rPr>
                <w:rFonts w:ascii="Arial" w:cs="Arial" w:eastAsia="Arial" w:hAnsi="Arial"/>
                <w:sz w:val="14"/>
                <w:szCs w:val="14"/>
                <w:color w:val="auto"/>
              </w:rPr>
              <w:t>459,453,001</w:t>
            </w:r>
          </w:p>
        </w:tc>
      </w:tr>
    </w:tbl>
    <w:p>
      <w:pPr>
        <w:spacing w:after="0" w:line="117" w:lineRule="exact"/>
        <w:rPr>
          <w:sz w:val="20"/>
          <w:szCs w:val="20"/>
          <w:color w:val="auto"/>
        </w:rPr>
      </w:pPr>
    </w:p>
    <w:p>
      <w:pPr>
        <w:jc w:val="both"/>
        <w:ind w:left="320" w:right="219" w:hanging="190"/>
        <w:spacing w:after="0" w:line="275" w:lineRule="auto"/>
        <w:tabs>
          <w:tab w:leader="none" w:pos="320" w:val="left"/>
        </w:tabs>
        <w:numPr>
          <w:ilvl w:val="0"/>
          <w:numId w:val="173"/>
        </w:numPr>
        <w:rPr>
          <w:rFonts w:ascii="Arial" w:cs="Arial" w:eastAsia="Arial" w:hAnsi="Arial"/>
          <w:sz w:val="15"/>
          <w:szCs w:val="15"/>
          <w:color w:val="auto"/>
          <w:vertAlign w:val="superscript"/>
        </w:rPr>
      </w:pPr>
      <w:r>
        <w:rPr>
          <w:rFonts w:ascii="Arial" w:cs="Arial" w:eastAsia="Arial" w:hAnsi="Arial"/>
          <w:sz w:val="12"/>
          <w:szCs w:val="12"/>
          <w:color w:val="auto"/>
        </w:rPr>
        <w:t>Amount reflects the net number of 2020 PSUs, or 595,077 PSUs (after giving effect to a tax withholding in connection with the vesting), at the average of the high and low sales price per share of the Company’s common stock on the Nasdaq Global Select Market on the vesting date. The underlying shares of common stock remain subject to a mandatory three-year deferral and holding period and will be settled at the end of such period or, if earlier, the date of the recipient’s death or disability or a change in control pursuant to the terms of the award agreement governing the 2020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85</w:t>
            </w:r>
          </w:p>
        </w:tc>
      </w:tr>
    </w:tbl>
    <w:p>
      <w:pPr>
        <w:sectPr>
          <w:pgSz w:w="11900" w:h="16838" w:orient="portrait"/>
          <w:cols w:equalWidth="0" w:num="1">
            <w:col w:w="9019"/>
          </w:cols>
          <w:pgMar w:left="1440" w:top="657" w:right="1440" w:bottom="1440" w:gutter="0" w:footer="0" w:header="0"/>
        </w:sectPr>
      </w:pPr>
    </w:p>
    <w:bookmarkStart w:id="94" w:name="page95"/>
    <w:bookmarkEnd w:id="94"/>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Post-Employment Compensation</w:t>
      </w:r>
    </w:p>
    <w:p>
      <w:pPr>
        <w:spacing w:after="0" w:line="180" w:lineRule="exact"/>
        <w:rPr>
          <w:sz w:val="20"/>
          <w:szCs w:val="20"/>
          <w:color w:val="auto"/>
        </w:rPr>
      </w:pPr>
    </w:p>
    <w:p>
      <w:pPr>
        <w:ind w:left="140" w:right="179"/>
        <w:spacing w:after="0" w:line="288" w:lineRule="auto"/>
        <w:rPr>
          <w:sz w:val="20"/>
          <w:szCs w:val="20"/>
          <w:color w:val="auto"/>
        </w:rPr>
      </w:pPr>
      <w:r>
        <w:rPr>
          <w:rFonts w:ascii="Arial" w:cs="Arial" w:eastAsia="Arial" w:hAnsi="Arial"/>
          <w:sz w:val="16"/>
          <w:szCs w:val="16"/>
          <w:color w:val="auto"/>
        </w:rPr>
        <w:t>As discussed in “Compensation Dashboard—Additional Compensation Information—Potential Severance Payments,” our NEOs are entitled to certain severance benefits upon the voluntary or involuntary termination of their employment. We provide additional information regarding the severance benefits available to our NEOs in the tables set out below in this subsection. For our CEO, the table shows the amounts payable under his employment agreement upon his involuntary or not-for-cause termination, termination in connection with a corporate change of control, and in the event of his disability or death. For the other NEOs, the table shows their post-termination compensation arrangements under our change in control severance plan upon an involuntary or not-for-cause termination in connection with a corporate change of control.</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065BAA"/>
        </w:rPr>
        <w:t>Leonard S. Schleifer, M.D., Ph.D., Employment Agreement</w:t>
      </w:r>
    </w:p>
    <w:p>
      <w:pPr>
        <w:spacing w:after="0" w:line="84" w:lineRule="exact"/>
        <w:rPr>
          <w:sz w:val="20"/>
          <w:szCs w:val="20"/>
          <w:color w:val="auto"/>
        </w:rPr>
      </w:pPr>
    </w:p>
    <w:p>
      <w:pPr>
        <w:ind w:left="140" w:right="139"/>
        <w:spacing w:after="0" w:line="280" w:lineRule="auto"/>
        <w:rPr>
          <w:sz w:val="20"/>
          <w:szCs w:val="20"/>
          <w:color w:val="auto"/>
        </w:rPr>
      </w:pPr>
      <w:r>
        <w:rPr>
          <w:rFonts w:ascii="Arial" w:cs="Arial" w:eastAsia="Arial" w:hAnsi="Arial"/>
          <w:sz w:val="16"/>
          <w:szCs w:val="16"/>
          <w:color w:val="auto"/>
        </w:rPr>
        <w:t>We entered into an employment agreement with our CEO, Dr. Schleifer, effective as of December 20, 2002, providing for his employment with the Company through December 31, 2003 and continuing thereafter on a year-by-year basis. On November 14, 2008, this employment agreement was amended and restated to bring the employment agreement into compliance with Section 409A of the Internal Revenue Code (“Section 409A”). Pursuant to this agreement, we agreed that in the event that Dr. Schleifer’s employment is terminated by us other than for cause (as defined in the employment agreement) or is terminated by Dr. Schleifer for good reason (as defined in the employment agreement to include specified acts of constructive termination (which Dr. Schleifer has agreed does not include the election of Dr. Yancopoulos as co-Chair of the Board), together called an “involuntary termination”), we will pay Dr. Schleifer an amount equal to 125% of the sum of his base salary plus his average cash incentive paid over the prior three years. This amount will be paid in a lump-sum severance payment. In addition, we will continue to provide Dr. Schleifer and his dependents medical, dental, and life insurance benefits for 18 months. Subject to the discussion in the following paragraph, in the event that Dr. Schleifer’s employment terminates for any reason other than for cause, any unvested stock options will continue to vest in accordance with the terms of the applicable award grant and he will be entitled to exercise all outstanding stock options throughout their original term, which is generally ten years from the date of grant. The treatment of Dr. Schleifer’s 2020 PSUs upon certain termination events is governed by the terms of the 2020 PSU award agreement, notwithstanding any provision to the contrary in his employment agreement. As noted above under “Nonqualified Deferred Compensation for 2025 Fiscal Year-End,” following the December 31, 2025 vesting date of the 2020 PSUs, the net number of PSUs (after giving effect to a tax withholding in connection with the vesting) remain subject to a mandatory three-year deferral and holding period (the “Holding Period”). The terms of the 2020 PSU award agreement provide that such Holding Period</w:t>
      </w:r>
    </w:p>
    <w:p>
      <w:pPr>
        <w:spacing w:after="0" w:line="12" w:lineRule="exact"/>
        <w:rPr>
          <w:sz w:val="20"/>
          <w:szCs w:val="20"/>
          <w:color w:val="auto"/>
        </w:rPr>
      </w:pPr>
    </w:p>
    <w:p>
      <w:pPr>
        <w:ind w:left="140" w:right="319" w:hanging="10"/>
        <w:spacing w:after="0" w:line="301" w:lineRule="auto"/>
        <w:tabs>
          <w:tab w:leader="none" w:pos="32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will end early in the case of (a) Dr. Schleifer’s death or disability or (b) a change in control of the Company and (ii) will continue for its full term in the case of a termination by the Company without cause or a departure by Dr. Schleifer for good reason (each as defined in his employment agreement).</w:t>
      </w:r>
    </w:p>
    <w:p>
      <w:pPr>
        <w:spacing w:after="0" w:line="91" w:lineRule="exact"/>
        <w:rPr>
          <w:sz w:val="20"/>
          <w:szCs w:val="20"/>
          <w:color w:val="auto"/>
        </w:rPr>
      </w:pPr>
    </w:p>
    <w:p>
      <w:pPr>
        <w:ind w:left="140" w:right="139"/>
        <w:spacing w:after="0" w:line="285" w:lineRule="auto"/>
        <w:rPr>
          <w:sz w:val="20"/>
          <w:szCs w:val="20"/>
          <w:color w:val="auto"/>
        </w:rPr>
      </w:pPr>
      <w:r>
        <w:rPr>
          <w:rFonts w:ascii="Arial" w:cs="Arial" w:eastAsia="Arial" w:hAnsi="Arial"/>
          <w:sz w:val="16"/>
          <w:szCs w:val="16"/>
          <w:color w:val="auto"/>
        </w:rPr>
        <w:t>Upon an involuntary termination (i.e., a termination by the Company without cause or by Dr. Schleifer for good reason, each as defined in the employment agreement) within three years after a change of control of the Company or within three months prior to such a change of control, we will pay Dr. Schleifer an amount equal to three times the sum of his annual base salary plus his average cash incentive over the prior three years. This amount will be paid in a lump-sum severance payment. In addition, we will continue to provide Dr. Schleifer and his dependents medical, dental, and life insurance benefits for 36 months. Upon such an involuntary termination in connection with a change of control, any unvested stock options will vest immediately and all outstanding stock options will remain exercisable throughout their original term, which is generally ten years from the date of grant. Pursuant to the terms of his 2020 PSU award agreement, the previously vested, deferred PSUs will be immediately deliverable to Dr. Schleifer (with no Holding Period) upon a change of control, as discussed above.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 by less than 10%, in which case such benefits and payments will be reduced accordingly.</w:t>
      </w:r>
    </w:p>
    <w:p>
      <w:pPr>
        <w:spacing w:after="0" w:line="319" w:lineRule="exact"/>
        <w:rPr>
          <w:sz w:val="20"/>
          <w:szCs w:val="20"/>
          <w:color w:val="auto"/>
        </w:rPr>
      </w:pPr>
    </w:p>
    <w:p>
      <w:pPr>
        <w:ind w:left="140" w:right="259"/>
        <w:spacing w:after="0" w:line="295" w:lineRule="auto"/>
        <w:rPr>
          <w:sz w:val="20"/>
          <w:szCs w:val="20"/>
          <w:color w:val="auto"/>
        </w:rPr>
      </w:pPr>
      <w:r>
        <w:rPr>
          <w:rFonts w:ascii="Arial" w:cs="Arial" w:eastAsia="Arial" w:hAnsi="Arial"/>
          <w:sz w:val="16"/>
          <w:szCs w:val="16"/>
          <w:color w:val="auto"/>
        </w:rPr>
        <w:t>The following table reflects the potential payments to our CEO under his employment agreement assuming a termination effective December 31, 2025 under different scenarios (including following a change of control), as well as upon death or disability. The information in the table below is based on the assumptions set forth in the footnotes to the table; actual values and amounts may differ from those presented below.</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86</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95" w:name="page96"/>
    <w:bookmarkEnd w:id="95"/>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Potential Severance Payments under Dr. Schleifer’s Employment Agreement</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3B5AA4"/>
              </w:rPr>
              <w:t>Value of</w:t>
            </w: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0"/>
        </w:trPr>
        <w:tc>
          <w:tcPr>
            <w:tcW w:w="1760" w:type="dxa"/>
            <w:vAlign w:val="bottom"/>
          </w:tcPr>
          <w:p>
            <w:pPr>
              <w:spacing w:after="0"/>
              <w:rPr>
                <w:sz w:val="13"/>
                <w:szCs w:val="13"/>
                <w:color w:val="auto"/>
              </w:rPr>
            </w:pPr>
          </w:p>
        </w:tc>
        <w:tc>
          <w:tcPr>
            <w:tcW w:w="1160" w:type="dxa"/>
            <w:vAlign w:val="bottom"/>
            <w:gridSpan w:val="2"/>
          </w:tcPr>
          <w:p>
            <w:pPr>
              <w:jc w:val="right"/>
              <w:ind w:right="33"/>
              <w:spacing w:after="0" w:line="159" w:lineRule="exact"/>
              <w:rPr>
                <w:sz w:val="20"/>
                <w:szCs w:val="20"/>
                <w:color w:val="auto"/>
              </w:rPr>
            </w:pPr>
            <w:r>
              <w:rPr>
                <w:rFonts w:ascii="Arial" w:cs="Arial" w:eastAsia="Arial" w:hAnsi="Arial"/>
                <w:sz w:val="14"/>
                <w:szCs w:val="14"/>
                <w:b w:val="1"/>
                <w:bCs w:val="1"/>
                <w:color w:val="3B5AA4"/>
              </w:rPr>
              <w:t>Cash</w:t>
            </w:r>
          </w:p>
        </w:tc>
        <w:tc>
          <w:tcPr>
            <w:tcW w:w="1060" w:type="dxa"/>
            <w:vAlign w:val="bottom"/>
            <w:gridSpan w:val="2"/>
          </w:tcPr>
          <w:p>
            <w:pPr>
              <w:jc w:val="right"/>
              <w:ind w:right="33"/>
              <w:spacing w:after="0" w:line="159" w:lineRule="exact"/>
              <w:rPr>
                <w:sz w:val="20"/>
                <w:szCs w:val="20"/>
                <w:color w:val="auto"/>
              </w:rPr>
            </w:pPr>
            <w:r>
              <w:rPr>
                <w:rFonts w:ascii="Arial" w:cs="Arial" w:eastAsia="Arial" w:hAnsi="Arial"/>
                <w:sz w:val="14"/>
                <w:szCs w:val="14"/>
                <w:b w:val="1"/>
                <w:bCs w:val="1"/>
                <w:color w:val="3B5AA4"/>
              </w:rPr>
              <w:t>Benefits</w:t>
            </w:r>
          </w:p>
        </w:tc>
        <w:tc>
          <w:tcPr>
            <w:tcW w:w="840" w:type="dxa"/>
            <w:vAlign w:val="bottom"/>
          </w:tcPr>
          <w:p>
            <w:pPr>
              <w:jc w:val="right"/>
              <w:ind w:right="48"/>
              <w:spacing w:after="0" w:line="159" w:lineRule="exact"/>
              <w:rPr>
                <w:sz w:val="20"/>
                <w:szCs w:val="20"/>
                <w:color w:val="auto"/>
              </w:rPr>
            </w:pPr>
            <w:r>
              <w:rPr>
                <w:rFonts w:ascii="Arial" w:cs="Arial" w:eastAsia="Arial" w:hAnsi="Arial"/>
                <w:sz w:val="14"/>
                <w:szCs w:val="14"/>
                <w:b w:val="1"/>
                <w:bCs w:val="1"/>
                <w:color w:val="3B5AA4"/>
              </w:rPr>
              <w:t>Death</w:t>
            </w:r>
          </w:p>
        </w:tc>
        <w:tc>
          <w:tcPr>
            <w:tcW w:w="800" w:type="dxa"/>
            <w:vAlign w:val="bottom"/>
          </w:tcPr>
          <w:p>
            <w:pPr>
              <w:jc w:val="right"/>
              <w:spacing w:after="0" w:line="159" w:lineRule="exact"/>
              <w:rPr>
                <w:sz w:val="20"/>
                <w:szCs w:val="20"/>
                <w:color w:val="auto"/>
              </w:rPr>
            </w:pPr>
            <w:r>
              <w:rPr>
                <w:rFonts w:ascii="Arial" w:cs="Arial" w:eastAsia="Arial" w:hAnsi="Arial"/>
                <w:sz w:val="14"/>
                <w:szCs w:val="14"/>
                <w:b w:val="1"/>
                <w:bCs w:val="1"/>
                <w:color w:val="3B5AA4"/>
              </w:rPr>
              <w:t>Disability</w:t>
            </w:r>
          </w:p>
        </w:tc>
        <w:tc>
          <w:tcPr>
            <w:tcW w:w="200" w:type="dxa"/>
            <w:vAlign w:val="bottom"/>
          </w:tcPr>
          <w:p>
            <w:pPr>
              <w:spacing w:after="0"/>
              <w:rPr>
                <w:sz w:val="13"/>
                <w:szCs w:val="13"/>
                <w:color w:val="auto"/>
              </w:rPr>
            </w:pPr>
          </w:p>
        </w:tc>
        <w:tc>
          <w:tcPr>
            <w:tcW w:w="1160" w:type="dxa"/>
            <w:vAlign w:val="bottom"/>
          </w:tcPr>
          <w:p>
            <w:pPr>
              <w:jc w:val="right"/>
              <w:spacing w:after="0" w:line="159" w:lineRule="exact"/>
              <w:rPr>
                <w:sz w:val="20"/>
                <w:szCs w:val="20"/>
                <w:color w:val="auto"/>
              </w:rPr>
            </w:pPr>
            <w:r>
              <w:rPr>
                <w:rFonts w:ascii="Arial" w:cs="Arial" w:eastAsia="Arial" w:hAnsi="Arial"/>
                <w:sz w:val="14"/>
                <w:szCs w:val="14"/>
                <w:b w:val="1"/>
                <w:bCs w:val="1"/>
                <w:color w:val="3B5AA4"/>
              </w:rPr>
              <w:t>Accelerated</w:t>
            </w:r>
          </w:p>
        </w:tc>
        <w:tc>
          <w:tcPr>
            <w:tcW w:w="900" w:type="dxa"/>
            <w:vAlign w:val="bottom"/>
          </w:tcPr>
          <w:p>
            <w:pPr>
              <w:jc w:val="right"/>
              <w:ind w:right="28"/>
              <w:spacing w:after="0" w:line="159" w:lineRule="exact"/>
              <w:rPr>
                <w:sz w:val="20"/>
                <w:szCs w:val="20"/>
                <w:color w:val="auto"/>
              </w:rPr>
            </w:pPr>
            <w:r>
              <w:rPr>
                <w:rFonts w:ascii="Arial" w:cs="Arial" w:eastAsia="Arial" w:hAnsi="Arial"/>
                <w:sz w:val="14"/>
                <w:szCs w:val="14"/>
                <w:b w:val="1"/>
                <w:bCs w:val="1"/>
                <w:color w:val="3B5AA4"/>
              </w:rPr>
              <w:t>Cutback/</w:t>
            </w:r>
          </w:p>
        </w:tc>
        <w:tc>
          <w:tcPr>
            <w:tcW w:w="880" w:type="dxa"/>
            <w:vAlign w:val="bottom"/>
          </w:tcPr>
          <w:p>
            <w:pPr>
              <w:jc w:val="right"/>
              <w:spacing w:after="0" w:line="159" w:lineRule="exact"/>
              <w:rPr>
                <w:sz w:val="20"/>
                <w:szCs w:val="20"/>
                <w:color w:val="auto"/>
              </w:rPr>
            </w:pPr>
            <w:r>
              <w:rPr>
                <w:rFonts w:ascii="Arial" w:cs="Arial" w:eastAsia="Arial" w:hAnsi="Arial"/>
                <w:sz w:val="14"/>
                <w:szCs w:val="14"/>
                <w:b w:val="1"/>
                <w:bCs w:val="1"/>
                <w:color w:val="3B5AA4"/>
              </w:rPr>
              <w:t>Total</w:t>
            </w:r>
          </w:p>
        </w:tc>
      </w:tr>
      <w:tr>
        <w:trPr>
          <w:trHeight w:val="191"/>
        </w:trPr>
        <w:tc>
          <w:tcPr>
            <w:tcW w:w="1760" w:type="dxa"/>
            <w:vAlign w:val="bottom"/>
          </w:tcPr>
          <w:p>
            <w:pPr>
              <w:spacing w:after="0"/>
              <w:rPr>
                <w:sz w:val="16"/>
                <w:szCs w:val="16"/>
                <w:color w:val="auto"/>
              </w:rPr>
            </w:pPr>
          </w:p>
        </w:tc>
        <w:tc>
          <w:tcPr>
            <w:tcW w:w="1160" w:type="dxa"/>
            <w:vAlign w:val="bottom"/>
            <w:gridSpan w:val="2"/>
          </w:tcPr>
          <w:p>
            <w:pPr>
              <w:jc w:val="right"/>
              <w:ind w:right="33"/>
              <w:spacing w:after="0"/>
              <w:rPr>
                <w:sz w:val="20"/>
                <w:szCs w:val="20"/>
                <w:color w:val="auto"/>
              </w:rPr>
            </w:pPr>
            <w:r>
              <w:rPr>
                <w:rFonts w:ascii="Arial" w:cs="Arial" w:eastAsia="Arial" w:hAnsi="Arial"/>
                <w:sz w:val="14"/>
                <w:szCs w:val="14"/>
                <w:b w:val="1"/>
                <w:bCs w:val="1"/>
                <w:color w:val="3B5AA4"/>
              </w:rPr>
              <w:t>Severance</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3B5AA4"/>
              </w:rPr>
              <w:t>Continuation</w:t>
            </w:r>
          </w:p>
        </w:tc>
        <w:tc>
          <w:tcPr>
            <w:tcW w:w="840" w:type="dxa"/>
            <w:vAlign w:val="bottom"/>
          </w:tcPr>
          <w:p>
            <w:pPr>
              <w:jc w:val="right"/>
              <w:ind w:right="48"/>
              <w:spacing w:after="0" w:line="191" w:lineRule="exact"/>
              <w:rPr>
                <w:sz w:val="20"/>
                <w:szCs w:val="20"/>
                <w:color w:val="auto"/>
              </w:rPr>
            </w:pPr>
            <w:r>
              <w:rPr>
                <w:rFonts w:ascii="Arial" w:cs="Arial" w:eastAsia="Arial" w:hAnsi="Arial"/>
                <w:sz w:val="14"/>
                <w:szCs w:val="14"/>
                <w:b w:val="1"/>
                <w:bCs w:val="1"/>
                <w:color w:val="3B5AA4"/>
              </w:rPr>
              <w:t>Benefits</w:t>
            </w:r>
            <w:r>
              <w:rPr>
                <w:rFonts w:ascii="Arial" w:cs="Arial" w:eastAsia="Arial" w:hAnsi="Arial"/>
                <w:sz w:val="18"/>
                <w:szCs w:val="18"/>
                <w:b w:val="1"/>
                <w:bCs w:val="1"/>
                <w:color w:val="3B5AA4"/>
                <w:vertAlign w:val="superscript"/>
              </w:rPr>
              <w:t>4</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3B5AA4"/>
              </w:rPr>
              <w:t>Benefits</w:t>
            </w:r>
          </w:p>
        </w:tc>
        <w:tc>
          <w:tcPr>
            <w:tcW w:w="20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Arial" w:cs="Arial" w:eastAsia="Arial" w:hAnsi="Arial"/>
                <w:sz w:val="14"/>
                <w:szCs w:val="14"/>
                <w:b w:val="1"/>
                <w:bCs w:val="1"/>
                <w:color w:val="3B5AA4"/>
              </w:rPr>
              <w:t>Equity Awards</w:t>
            </w:r>
            <w:r>
              <w:rPr>
                <w:rFonts w:ascii="Arial" w:cs="Arial" w:eastAsia="Arial" w:hAnsi="Arial"/>
                <w:sz w:val="18"/>
                <w:szCs w:val="18"/>
                <w:b w:val="1"/>
                <w:bCs w:val="1"/>
                <w:color w:val="3B5AA4"/>
                <w:vertAlign w:val="superscript"/>
              </w:rPr>
              <w:t>5</w:t>
            </w:r>
          </w:p>
        </w:tc>
        <w:tc>
          <w:tcPr>
            <w:tcW w:w="900" w:type="dxa"/>
            <w:vAlign w:val="bottom"/>
          </w:tcPr>
          <w:p>
            <w:pPr>
              <w:jc w:val="right"/>
              <w:ind w:right="28"/>
              <w:spacing w:after="0" w:line="191" w:lineRule="exact"/>
              <w:rPr>
                <w:sz w:val="20"/>
                <w:szCs w:val="20"/>
                <w:color w:val="auto"/>
              </w:rPr>
            </w:pPr>
            <w:r>
              <w:rPr>
                <w:rFonts w:ascii="Arial" w:cs="Arial" w:eastAsia="Arial" w:hAnsi="Arial"/>
                <w:sz w:val="14"/>
                <w:szCs w:val="14"/>
                <w:b w:val="1"/>
                <w:bCs w:val="1"/>
                <w:color w:val="3B5AA4"/>
              </w:rPr>
              <w:t>Gross-up</w:t>
            </w:r>
            <w:r>
              <w:rPr>
                <w:rFonts w:ascii="Arial" w:cs="Arial" w:eastAsia="Arial" w:hAnsi="Arial"/>
                <w:sz w:val="18"/>
                <w:szCs w:val="18"/>
                <w:b w:val="1"/>
                <w:bCs w:val="1"/>
                <w:color w:val="3B5AA4"/>
                <w:vertAlign w:val="superscript"/>
              </w:rPr>
              <w:t>6</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3B5AA4"/>
              </w:rPr>
              <w:t>Amount</w:t>
            </w:r>
          </w:p>
        </w:tc>
      </w:tr>
      <w:tr>
        <w:trPr>
          <w:trHeight w:val="171"/>
        </w:trPr>
        <w:tc>
          <w:tcPr>
            <w:tcW w:w="1760" w:type="dxa"/>
            <w:vAlign w:val="bottom"/>
            <w:tcBorders>
              <w:bottom w:val="single" w:sz="8" w:color="3B5AA4"/>
            </w:tcBorders>
          </w:tcPr>
          <w:p>
            <w:pPr>
              <w:spacing w:after="0"/>
              <w:rPr>
                <w:sz w:val="14"/>
                <w:szCs w:val="14"/>
                <w:color w:val="auto"/>
              </w:rPr>
            </w:pPr>
          </w:p>
        </w:tc>
        <w:tc>
          <w:tcPr>
            <w:tcW w:w="1160" w:type="dxa"/>
            <w:vAlign w:val="bottom"/>
            <w:tcBorders>
              <w:bottom w:val="single" w:sz="8" w:color="3B5AA4"/>
            </w:tcBorders>
            <w:gridSpan w:val="2"/>
          </w:tcPr>
          <w:p>
            <w:pPr>
              <w:jc w:val="right"/>
              <w:ind w:right="33"/>
              <w:spacing w:after="0"/>
              <w:rPr>
                <w:sz w:val="20"/>
                <w:szCs w:val="20"/>
                <w:color w:val="auto"/>
              </w:rPr>
            </w:pPr>
            <w:r>
              <w:rPr>
                <w:rFonts w:ascii="Arial" w:cs="Arial" w:eastAsia="Arial" w:hAnsi="Arial"/>
                <w:sz w:val="14"/>
                <w:szCs w:val="14"/>
                <w:b w:val="1"/>
                <w:bCs w:val="1"/>
                <w:color w:val="3B5AA4"/>
              </w:rPr>
              <w:t>($)</w:t>
            </w:r>
          </w:p>
        </w:tc>
        <w:tc>
          <w:tcPr>
            <w:tcW w:w="1060" w:type="dxa"/>
            <w:vAlign w:val="bottom"/>
            <w:tcBorders>
              <w:bottom w:val="single" w:sz="8" w:color="3B5AA4"/>
            </w:tcBorders>
            <w:gridSpan w:val="2"/>
          </w:tcPr>
          <w:p>
            <w:pPr>
              <w:jc w:val="right"/>
              <w:ind w:right="33"/>
              <w:spacing w:after="0"/>
              <w:rPr>
                <w:sz w:val="20"/>
                <w:szCs w:val="20"/>
                <w:color w:val="auto"/>
              </w:rPr>
            </w:pPr>
            <w:r>
              <w:rPr>
                <w:rFonts w:ascii="Arial" w:cs="Arial" w:eastAsia="Arial" w:hAnsi="Arial"/>
                <w:sz w:val="14"/>
                <w:szCs w:val="14"/>
                <w:b w:val="1"/>
                <w:bCs w:val="1"/>
                <w:color w:val="3B5AA4"/>
              </w:rPr>
              <w:t>($)</w:t>
            </w:r>
          </w:p>
        </w:tc>
        <w:tc>
          <w:tcPr>
            <w:tcW w:w="840" w:type="dxa"/>
            <w:vAlign w:val="bottom"/>
            <w:tcBorders>
              <w:bottom w:val="single" w:sz="8" w:color="3B5AA4"/>
            </w:tcBorders>
          </w:tcPr>
          <w:p>
            <w:pPr>
              <w:jc w:val="center"/>
              <w:ind w:left="348"/>
              <w:spacing w:after="0"/>
              <w:rPr>
                <w:sz w:val="20"/>
                <w:szCs w:val="20"/>
                <w:color w:val="auto"/>
              </w:rPr>
            </w:pPr>
            <w:r>
              <w:rPr>
                <w:rFonts w:ascii="Arial" w:cs="Arial" w:eastAsia="Arial" w:hAnsi="Arial"/>
                <w:sz w:val="14"/>
                <w:szCs w:val="14"/>
                <w:b w:val="1"/>
                <w:bCs w:val="1"/>
                <w:color w:val="3B5AA4"/>
              </w:rPr>
              <w:t>($)</w:t>
            </w:r>
          </w:p>
        </w:tc>
        <w:tc>
          <w:tcPr>
            <w:tcW w:w="800" w:type="dxa"/>
            <w:vAlign w:val="bottom"/>
            <w:tcBorders>
              <w:bottom w:val="single" w:sz="8" w:color="3B5AA4"/>
            </w:tcBorders>
          </w:tcPr>
          <w:p>
            <w:pPr>
              <w:jc w:val="right"/>
              <w:spacing w:after="0"/>
              <w:rPr>
                <w:sz w:val="20"/>
                <w:szCs w:val="20"/>
                <w:color w:val="auto"/>
              </w:rPr>
            </w:pPr>
            <w:r>
              <w:rPr>
                <w:rFonts w:ascii="Arial" w:cs="Arial" w:eastAsia="Arial" w:hAnsi="Arial"/>
                <w:sz w:val="14"/>
                <w:szCs w:val="14"/>
                <w:b w:val="1"/>
                <w:bCs w:val="1"/>
                <w:color w:val="3B5AA4"/>
              </w:rPr>
              <w:t>($)</w:t>
            </w:r>
          </w:p>
        </w:tc>
        <w:tc>
          <w:tcPr>
            <w:tcW w:w="200" w:type="dxa"/>
            <w:vAlign w:val="bottom"/>
            <w:tcBorders>
              <w:bottom w:val="single" w:sz="8" w:color="3B5AA4"/>
            </w:tcBorders>
          </w:tcPr>
          <w:p>
            <w:pPr>
              <w:spacing w:after="0"/>
              <w:rPr>
                <w:sz w:val="14"/>
                <w:szCs w:val="14"/>
                <w:color w:val="auto"/>
              </w:rPr>
            </w:pPr>
          </w:p>
        </w:tc>
        <w:tc>
          <w:tcPr>
            <w:tcW w:w="1160" w:type="dxa"/>
            <w:vAlign w:val="bottom"/>
            <w:tcBorders>
              <w:bottom w:val="single" w:sz="8" w:color="065BAA"/>
            </w:tcBorders>
          </w:tcPr>
          <w:p>
            <w:pPr>
              <w:jc w:val="center"/>
              <w:ind w:left="808"/>
              <w:spacing w:after="0"/>
              <w:rPr>
                <w:sz w:val="20"/>
                <w:szCs w:val="20"/>
                <w:color w:val="auto"/>
              </w:rPr>
            </w:pPr>
            <w:r>
              <w:rPr>
                <w:rFonts w:ascii="Arial" w:cs="Arial" w:eastAsia="Arial" w:hAnsi="Arial"/>
                <w:sz w:val="14"/>
                <w:szCs w:val="14"/>
                <w:b w:val="1"/>
                <w:bCs w:val="1"/>
                <w:color w:val="3B5AA4"/>
                <w:w w:val="93"/>
              </w:rPr>
              <w:t>($)</w:t>
            </w:r>
          </w:p>
        </w:tc>
        <w:tc>
          <w:tcPr>
            <w:tcW w:w="900" w:type="dxa"/>
            <w:vAlign w:val="bottom"/>
            <w:tcBorders>
              <w:bottom w:val="single" w:sz="8" w:color="3B5AA4"/>
            </w:tcBorders>
          </w:tcPr>
          <w:p>
            <w:pPr>
              <w:jc w:val="center"/>
              <w:ind w:left="448"/>
              <w:spacing w:after="0"/>
              <w:rPr>
                <w:sz w:val="20"/>
                <w:szCs w:val="20"/>
                <w:color w:val="auto"/>
              </w:rPr>
            </w:pPr>
            <w:r>
              <w:rPr>
                <w:rFonts w:ascii="Arial" w:cs="Arial" w:eastAsia="Arial" w:hAnsi="Arial"/>
                <w:sz w:val="14"/>
                <w:szCs w:val="14"/>
                <w:b w:val="1"/>
                <w:bCs w:val="1"/>
                <w:color w:val="3B5AA4"/>
              </w:rPr>
              <w:t>($)</w:t>
            </w:r>
          </w:p>
        </w:tc>
        <w:tc>
          <w:tcPr>
            <w:tcW w:w="880" w:type="dxa"/>
            <w:vAlign w:val="bottom"/>
            <w:tcBorders>
              <w:bottom w:val="single" w:sz="8" w:color="3B5AA4"/>
            </w:tcBorders>
          </w:tcPr>
          <w:p>
            <w:pPr>
              <w:jc w:val="right"/>
              <w:spacing w:after="0"/>
              <w:rPr>
                <w:sz w:val="20"/>
                <w:szCs w:val="20"/>
                <w:color w:val="auto"/>
              </w:rPr>
            </w:pPr>
            <w:r>
              <w:rPr>
                <w:rFonts w:ascii="Arial" w:cs="Arial" w:eastAsia="Arial" w:hAnsi="Arial"/>
                <w:sz w:val="14"/>
                <w:szCs w:val="14"/>
                <w:b w:val="1"/>
                <w:bCs w:val="1"/>
                <w:color w:val="3B5AA4"/>
              </w:rPr>
              <w:t>($)</w:t>
            </w:r>
          </w:p>
        </w:tc>
      </w:tr>
      <w:tr>
        <w:trPr>
          <w:trHeight w:val="173"/>
        </w:trPr>
        <w:tc>
          <w:tcPr>
            <w:tcW w:w="1760" w:type="dxa"/>
            <w:vAlign w:val="bottom"/>
          </w:tcPr>
          <w:p>
            <w:pPr>
              <w:ind w:left="80"/>
              <w:spacing w:after="0"/>
              <w:rPr>
                <w:sz w:val="20"/>
                <w:szCs w:val="20"/>
                <w:color w:val="auto"/>
              </w:rPr>
            </w:pPr>
            <w:r>
              <w:rPr>
                <w:rFonts w:ascii="Arial" w:cs="Arial" w:eastAsia="Arial" w:hAnsi="Arial"/>
                <w:sz w:val="14"/>
                <w:szCs w:val="14"/>
                <w:color w:val="auto"/>
              </w:rPr>
              <w:t>Involuntary Termination</w:t>
            </w:r>
          </w:p>
        </w:tc>
        <w:tc>
          <w:tcPr>
            <w:tcW w:w="980" w:type="dxa"/>
            <w:vAlign w:val="bottom"/>
          </w:tcPr>
          <w:p>
            <w:pPr>
              <w:jc w:val="right"/>
              <w:spacing w:after="0"/>
              <w:rPr>
                <w:sz w:val="20"/>
                <w:szCs w:val="20"/>
                <w:color w:val="auto"/>
              </w:rPr>
            </w:pPr>
            <w:r>
              <w:rPr>
                <w:rFonts w:ascii="Arial" w:cs="Arial" w:eastAsia="Arial" w:hAnsi="Arial"/>
                <w:sz w:val="14"/>
                <w:szCs w:val="14"/>
                <w:color w:val="auto"/>
              </w:rPr>
              <w:t>17,841,040</w:t>
            </w:r>
          </w:p>
        </w:tc>
        <w:tc>
          <w:tcPr>
            <w:tcW w:w="180" w:type="dxa"/>
            <w:vAlign w:val="bottom"/>
          </w:tcPr>
          <w:p>
            <w:pPr>
              <w:jc w:val="right"/>
              <w:ind w:right="33"/>
              <w:spacing w:after="0"/>
              <w:rPr>
                <w:sz w:val="20"/>
                <w:szCs w:val="20"/>
                <w:color w:val="auto"/>
              </w:rPr>
            </w:pPr>
            <w:r>
              <w:rPr>
                <w:rFonts w:ascii="Arial" w:cs="Arial" w:eastAsia="Arial" w:hAnsi="Arial"/>
                <w:sz w:val="9"/>
                <w:szCs w:val="9"/>
                <w:color w:val="auto"/>
              </w:rPr>
              <w:t>2</w:t>
            </w:r>
          </w:p>
        </w:tc>
        <w:tc>
          <w:tcPr>
            <w:tcW w:w="860" w:type="dxa"/>
            <w:vAlign w:val="bottom"/>
          </w:tcPr>
          <w:p>
            <w:pPr>
              <w:jc w:val="center"/>
              <w:ind w:left="148"/>
              <w:spacing w:after="0"/>
              <w:rPr>
                <w:sz w:val="20"/>
                <w:szCs w:val="20"/>
                <w:color w:val="auto"/>
              </w:rPr>
            </w:pPr>
            <w:r>
              <w:rPr>
                <w:rFonts w:ascii="Arial" w:cs="Arial" w:eastAsia="Arial" w:hAnsi="Arial"/>
                <w:sz w:val="14"/>
                <w:szCs w:val="14"/>
                <w:color w:val="auto"/>
              </w:rPr>
              <w:t>396,196</w:t>
            </w:r>
          </w:p>
        </w:tc>
        <w:tc>
          <w:tcPr>
            <w:tcW w:w="200" w:type="dxa"/>
            <w:vAlign w:val="bottom"/>
          </w:tcPr>
          <w:p>
            <w:pPr>
              <w:jc w:val="right"/>
              <w:ind w:right="53"/>
              <w:spacing w:after="0"/>
              <w:rPr>
                <w:sz w:val="20"/>
                <w:szCs w:val="20"/>
                <w:color w:val="auto"/>
              </w:rPr>
            </w:pPr>
            <w:r>
              <w:rPr>
                <w:rFonts w:ascii="Arial" w:cs="Arial" w:eastAsia="Arial" w:hAnsi="Arial"/>
                <w:sz w:val="9"/>
                <w:szCs w:val="9"/>
                <w:color w:val="auto"/>
              </w:rPr>
              <w:t>3</w:t>
            </w:r>
          </w:p>
        </w:tc>
        <w:tc>
          <w:tcPr>
            <w:tcW w:w="840" w:type="dxa"/>
            <w:vAlign w:val="bottom"/>
          </w:tcPr>
          <w:p>
            <w:pPr>
              <w:jc w:val="center"/>
              <w:ind w:left="348"/>
              <w:spacing w:after="0"/>
              <w:rPr>
                <w:sz w:val="20"/>
                <w:szCs w:val="20"/>
                <w:color w:val="auto"/>
              </w:rPr>
            </w:pPr>
            <w:r>
              <w:rPr>
                <w:rFonts w:ascii="Arial" w:cs="Arial" w:eastAsia="Arial" w:hAnsi="Arial"/>
                <w:sz w:val="14"/>
                <w:szCs w:val="14"/>
                <w:color w:val="auto"/>
                <w:w w:val="99"/>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60" w:type="dxa"/>
            <w:vAlign w:val="bottom"/>
          </w:tcPr>
          <w:p>
            <w:pPr>
              <w:jc w:val="center"/>
              <w:ind w:left="828"/>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18,237,236</w:t>
            </w:r>
          </w:p>
        </w:tc>
      </w:tr>
      <w:tr>
        <w:trPr>
          <w:trHeight w:val="160"/>
        </w:trPr>
        <w:tc>
          <w:tcPr>
            <w:tcW w:w="1760" w:type="dxa"/>
            <w:vAlign w:val="bottom"/>
          </w:tcPr>
          <w:p>
            <w:pPr>
              <w:ind w:left="80"/>
              <w:spacing w:after="0" w:line="159" w:lineRule="exact"/>
              <w:rPr>
                <w:sz w:val="20"/>
                <w:szCs w:val="20"/>
                <w:color w:val="auto"/>
              </w:rPr>
            </w:pPr>
            <w:r>
              <w:rPr>
                <w:rFonts w:ascii="Arial" w:cs="Arial" w:eastAsia="Arial" w:hAnsi="Arial"/>
                <w:sz w:val="14"/>
                <w:szCs w:val="14"/>
                <w:color w:val="auto"/>
              </w:rPr>
              <w:t>Following a Change</w:t>
            </w: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28"/>
        </w:trPr>
        <w:tc>
          <w:tcPr>
            <w:tcW w:w="1760" w:type="dxa"/>
            <w:vAlign w:val="bottom"/>
          </w:tcPr>
          <w:p>
            <w:pPr>
              <w:ind w:left="80"/>
              <w:spacing w:after="0"/>
              <w:rPr>
                <w:sz w:val="20"/>
                <w:szCs w:val="20"/>
                <w:color w:val="auto"/>
              </w:rPr>
            </w:pPr>
            <w:r>
              <w:rPr>
                <w:rFonts w:ascii="Arial" w:cs="Arial" w:eastAsia="Arial" w:hAnsi="Arial"/>
                <w:sz w:val="14"/>
                <w:szCs w:val="14"/>
                <w:color w:val="auto"/>
              </w:rPr>
              <w:t>of Control</w:t>
            </w:r>
            <w:r>
              <w:rPr>
                <w:rFonts w:ascii="Arial" w:cs="Arial" w:eastAsia="Arial" w:hAnsi="Arial"/>
                <w:sz w:val="18"/>
                <w:szCs w:val="18"/>
                <w:color w:val="auto"/>
                <w:vertAlign w:val="superscript"/>
              </w:rPr>
              <w:t>1</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1760" w:type="dxa"/>
            <w:vAlign w:val="bottom"/>
            <w:shd w:val="clear" w:color="auto" w:fill="DAEBF8"/>
          </w:tcPr>
          <w:p>
            <w:pPr>
              <w:ind w:left="80"/>
              <w:spacing w:after="0"/>
              <w:rPr>
                <w:sz w:val="20"/>
                <w:szCs w:val="20"/>
                <w:color w:val="auto"/>
              </w:rPr>
            </w:pPr>
            <w:r>
              <w:rPr>
                <w:rFonts w:ascii="Arial" w:cs="Arial" w:eastAsia="Arial" w:hAnsi="Arial"/>
                <w:sz w:val="14"/>
                <w:szCs w:val="14"/>
                <w:color w:val="auto"/>
              </w:rPr>
              <w:t>Involuntary Termination</w:t>
            </w:r>
          </w:p>
        </w:tc>
        <w:tc>
          <w:tcPr>
            <w:tcW w:w="9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7,433,767</w:t>
            </w:r>
          </w:p>
        </w:tc>
        <w:tc>
          <w:tcPr>
            <w:tcW w:w="180" w:type="dxa"/>
            <w:vAlign w:val="bottom"/>
            <w:shd w:val="clear" w:color="auto" w:fill="DAEBF8"/>
          </w:tcPr>
          <w:p>
            <w:pPr>
              <w:jc w:val="right"/>
              <w:ind w:right="33"/>
              <w:spacing w:after="0"/>
              <w:rPr>
                <w:sz w:val="20"/>
                <w:szCs w:val="20"/>
                <w:color w:val="auto"/>
              </w:rPr>
            </w:pPr>
            <w:r>
              <w:rPr>
                <w:rFonts w:ascii="Arial" w:cs="Arial" w:eastAsia="Arial" w:hAnsi="Arial"/>
                <w:sz w:val="9"/>
                <w:szCs w:val="9"/>
                <w:color w:val="auto"/>
              </w:rPr>
              <w:t>7</w:t>
            </w:r>
          </w:p>
        </w:tc>
        <w:tc>
          <w:tcPr>
            <w:tcW w:w="860" w:type="dxa"/>
            <w:vAlign w:val="bottom"/>
            <w:shd w:val="clear" w:color="auto" w:fill="DAEBF8"/>
          </w:tcPr>
          <w:p>
            <w:pPr>
              <w:jc w:val="center"/>
              <w:ind w:left="148"/>
              <w:spacing w:after="0"/>
              <w:rPr>
                <w:sz w:val="20"/>
                <w:szCs w:val="20"/>
                <w:color w:val="auto"/>
              </w:rPr>
            </w:pPr>
            <w:r>
              <w:rPr>
                <w:rFonts w:ascii="Arial" w:cs="Arial" w:eastAsia="Arial" w:hAnsi="Arial"/>
                <w:sz w:val="14"/>
                <w:szCs w:val="14"/>
                <w:color w:val="auto"/>
              </w:rPr>
              <w:t>188,726</w:t>
            </w:r>
          </w:p>
        </w:tc>
        <w:tc>
          <w:tcPr>
            <w:tcW w:w="200" w:type="dxa"/>
            <w:vAlign w:val="bottom"/>
            <w:shd w:val="clear" w:color="auto" w:fill="DAEBF8"/>
          </w:tcPr>
          <w:p>
            <w:pPr>
              <w:jc w:val="right"/>
              <w:ind w:right="53"/>
              <w:spacing w:after="0"/>
              <w:rPr>
                <w:sz w:val="20"/>
                <w:szCs w:val="20"/>
                <w:color w:val="auto"/>
              </w:rPr>
            </w:pPr>
            <w:r>
              <w:rPr>
                <w:rFonts w:ascii="Arial" w:cs="Arial" w:eastAsia="Arial" w:hAnsi="Arial"/>
                <w:sz w:val="9"/>
                <w:szCs w:val="9"/>
                <w:color w:val="auto"/>
              </w:rPr>
              <w:t>8</w:t>
            </w:r>
          </w:p>
        </w:tc>
        <w:tc>
          <w:tcPr>
            <w:tcW w:w="840" w:type="dxa"/>
            <w:vAlign w:val="bottom"/>
            <w:shd w:val="clear" w:color="auto" w:fill="DAEBF8"/>
          </w:tcPr>
          <w:p>
            <w:pPr>
              <w:jc w:val="center"/>
              <w:ind w:left="348"/>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AEBF8"/>
          </w:tcPr>
          <w:p>
            <w:pPr>
              <w:spacing w:after="0"/>
              <w:rPr>
                <w:sz w:val="18"/>
                <w:szCs w:val="18"/>
                <w:color w:val="auto"/>
              </w:rPr>
            </w:pPr>
          </w:p>
        </w:tc>
        <w:tc>
          <w:tcPr>
            <w:tcW w:w="1160" w:type="dxa"/>
            <w:vAlign w:val="bottom"/>
            <w:shd w:val="clear" w:color="auto" w:fill="DAEBF8"/>
          </w:tcPr>
          <w:p>
            <w:pPr>
              <w:jc w:val="center"/>
              <w:ind w:left="828"/>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DAEBF8"/>
          </w:tcPr>
          <w:p>
            <w:pPr>
              <w:jc w:val="center"/>
              <w:ind w:left="448"/>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7,622,493</w:t>
            </w:r>
          </w:p>
        </w:tc>
      </w:tr>
      <w:tr>
        <w:trPr>
          <w:trHeight w:val="212"/>
        </w:trPr>
        <w:tc>
          <w:tcPr>
            <w:tcW w:w="1760" w:type="dxa"/>
            <w:vAlign w:val="bottom"/>
          </w:tcPr>
          <w:p>
            <w:pPr>
              <w:ind w:left="80"/>
              <w:spacing w:after="0"/>
              <w:rPr>
                <w:sz w:val="20"/>
                <w:szCs w:val="20"/>
                <w:color w:val="auto"/>
              </w:rPr>
            </w:pPr>
            <w:r>
              <w:rPr>
                <w:rFonts w:ascii="Arial" w:cs="Arial" w:eastAsia="Arial" w:hAnsi="Arial"/>
                <w:sz w:val="14"/>
                <w:szCs w:val="14"/>
                <w:color w:val="auto"/>
              </w:rPr>
              <w:t>Death</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center"/>
              <w:ind w:left="148"/>
              <w:spacing w:after="0"/>
              <w:rPr>
                <w:sz w:val="20"/>
                <w:szCs w:val="20"/>
                <w:color w:val="auto"/>
              </w:rPr>
            </w:pPr>
            <w:r>
              <w:rPr>
                <w:rFonts w:ascii="Arial" w:cs="Arial" w:eastAsia="Arial" w:hAnsi="Arial"/>
                <w:sz w:val="14"/>
                <w:szCs w:val="14"/>
                <w:color w:val="auto"/>
              </w:rPr>
              <w:t>157,640</w:t>
            </w:r>
          </w:p>
        </w:tc>
        <w:tc>
          <w:tcPr>
            <w:tcW w:w="200" w:type="dxa"/>
            <w:vAlign w:val="bottom"/>
          </w:tcPr>
          <w:p>
            <w:pPr>
              <w:jc w:val="right"/>
              <w:ind w:right="53"/>
              <w:spacing w:after="0"/>
              <w:rPr>
                <w:sz w:val="20"/>
                <w:szCs w:val="20"/>
                <w:color w:val="auto"/>
              </w:rPr>
            </w:pPr>
            <w:r>
              <w:rPr>
                <w:rFonts w:ascii="Arial" w:cs="Arial" w:eastAsia="Arial" w:hAnsi="Arial"/>
                <w:sz w:val="9"/>
                <w:szCs w:val="9"/>
                <w:color w:val="auto"/>
              </w:rPr>
              <w:t>9</w:t>
            </w:r>
          </w:p>
        </w:tc>
        <w:tc>
          <w:tcPr>
            <w:tcW w:w="840" w:type="dxa"/>
            <w:vAlign w:val="bottom"/>
          </w:tcPr>
          <w:p>
            <w:pPr>
              <w:jc w:val="center"/>
              <w:ind w:left="348"/>
              <w:spacing w:after="0"/>
              <w:rPr>
                <w:sz w:val="20"/>
                <w:szCs w:val="20"/>
                <w:color w:val="auto"/>
              </w:rPr>
            </w:pPr>
            <w:r>
              <w:rPr>
                <w:rFonts w:ascii="Arial" w:cs="Arial" w:eastAsia="Arial" w:hAnsi="Arial"/>
                <w:sz w:val="14"/>
                <w:szCs w:val="14"/>
                <w:color w:val="auto"/>
                <w:w w:val="99"/>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center"/>
              <w:ind w:left="828"/>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157,640</w:t>
            </w:r>
          </w:p>
        </w:tc>
      </w:tr>
      <w:tr>
        <w:trPr>
          <w:trHeight w:val="216"/>
        </w:trPr>
        <w:tc>
          <w:tcPr>
            <w:tcW w:w="1760" w:type="dxa"/>
            <w:vAlign w:val="bottom"/>
            <w:tcBorders>
              <w:bottom w:val="single" w:sz="8" w:color="3B5AA4"/>
            </w:tcBorders>
            <w:shd w:val="clear" w:color="auto" w:fill="DAEBF8"/>
          </w:tcPr>
          <w:p>
            <w:pPr>
              <w:ind w:left="80"/>
              <w:spacing w:after="0"/>
              <w:rPr>
                <w:sz w:val="20"/>
                <w:szCs w:val="20"/>
                <w:color w:val="auto"/>
              </w:rPr>
            </w:pPr>
            <w:r>
              <w:rPr>
                <w:rFonts w:ascii="Arial" w:cs="Arial" w:eastAsia="Arial" w:hAnsi="Arial"/>
                <w:sz w:val="14"/>
                <w:szCs w:val="14"/>
                <w:color w:val="auto"/>
              </w:rPr>
              <w:t>Disability</w:t>
            </w:r>
          </w:p>
        </w:tc>
        <w:tc>
          <w:tcPr>
            <w:tcW w:w="980" w:type="dxa"/>
            <w:vAlign w:val="bottom"/>
            <w:tcBorders>
              <w:bottom w:val="single" w:sz="8" w:color="3B5AA4"/>
            </w:tcBorders>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3B5AA4"/>
            </w:tcBorders>
            <w:shd w:val="clear" w:color="auto" w:fill="DAEBF8"/>
          </w:tcPr>
          <w:p>
            <w:pPr>
              <w:spacing w:after="0"/>
              <w:rPr>
                <w:sz w:val="18"/>
                <w:szCs w:val="18"/>
                <w:color w:val="auto"/>
              </w:rPr>
            </w:pPr>
          </w:p>
        </w:tc>
        <w:tc>
          <w:tcPr>
            <w:tcW w:w="860" w:type="dxa"/>
            <w:vAlign w:val="bottom"/>
            <w:tcBorders>
              <w:bottom w:val="single" w:sz="8" w:color="3B5AA4"/>
            </w:tcBorders>
            <w:shd w:val="clear" w:color="auto" w:fill="DAEBF8"/>
          </w:tcPr>
          <w:p>
            <w:pPr>
              <w:jc w:val="center"/>
              <w:ind w:left="148"/>
              <w:spacing w:after="0"/>
              <w:rPr>
                <w:sz w:val="20"/>
                <w:szCs w:val="20"/>
                <w:color w:val="auto"/>
              </w:rPr>
            </w:pPr>
            <w:r>
              <w:rPr>
                <w:rFonts w:ascii="Arial" w:cs="Arial" w:eastAsia="Arial" w:hAnsi="Arial"/>
                <w:sz w:val="14"/>
                <w:szCs w:val="14"/>
                <w:color w:val="auto"/>
              </w:rPr>
              <w:t>188,726</w:t>
            </w:r>
          </w:p>
        </w:tc>
        <w:tc>
          <w:tcPr>
            <w:tcW w:w="200" w:type="dxa"/>
            <w:vAlign w:val="bottom"/>
            <w:tcBorders>
              <w:bottom w:val="single" w:sz="8" w:color="3B5AA4"/>
            </w:tcBorders>
            <w:shd w:val="clear" w:color="auto" w:fill="DAEBF8"/>
          </w:tcPr>
          <w:p>
            <w:pPr>
              <w:jc w:val="right"/>
              <w:ind w:right="53"/>
              <w:spacing w:after="0"/>
              <w:rPr>
                <w:sz w:val="20"/>
                <w:szCs w:val="20"/>
                <w:color w:val="auto"/>
              </w:rPr>
            </w:pPr>
            <w:r>
              <w:rPr>
                <w:rFonts w:ascii="Arial" w:cs="Arial" w:eastAsia="Arial" w:hAnsi="Arial"/>
                <w:sz w:val="9"/>
                <w:szCs w:val="9"/>
                <w:color w:val="auto"/>
              </w:rPr>
              <w:t>8</w:t>
            </w:r>
          </w:p>
        </w:tc>
        <w:tc>
          <w:tcPr>
            <w:tcW w:w="840" w:type="dxa"/>
            <w:vAlign w:val="bottom"/>
            <w:tcBorders>
              <w:bottom w:val="single" w:sz="8" w:color="3B5AA4"/>
            </w:tcBorders>
            <w:shd w:val="clear" w:color="auto" w:fill="DAEBF8"/>
          </w:tcPr>
          <w:p>
            <w:pPr>
              <w:jc w:val="center"/>
              <w:ind w:left="348"/>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3B5AA4"/>
            </w:tcBorders>
            <w:shd w:val="clear" w:color="auto" w:fill="DAEBF8"/>
          </w:tcPr>
          <w:p>
            <w:pPr>
              <w:jc w:val="right"/>
              <w:spacing w:after="0"/>
              <w:rPr>
                <w:sz w:val="20"/>
                <w:szCs w:val="20"/>
                <w:color w:val="auto"/>
              </w:rPr>
            </w:pPr>
            <w:r>
              <w:rPr>
                <w:rFonts w:ascii="Arial" w:cs="Arial" w:eastAsia="Arial" w:hAnsi="Arial"/>
                <w:sz w:val="14"/>
                <w:szCs w:val="14"/>
                <w:color w:val="auto"/>
              </w:rPr>
              <w:t>1,039,459</w:t>
            </w:r>
          </w:p>
        </w:tc>
        <w:tc>
          <w:tcPr>
            <w:tcW w:w="200" w:type="dxa"/>
            <w:vAlign w:val="bottom"/>
            <w:tcBorders>
              <w:bottom w:val="single" w:sz="8" w:color="3B5AA4"/>
            </w:tcBorders>
            <w:shd w:val="clear" w:color="auto" w:fill="DAEBF8"/>
          </w:tcPr>
          <w:p>
            <w:pPr>
              <w:jc w:val="right"/>
              <w:spacing w:after="0"/>
              <w:rPr>
                <w:sz w:val="20"/>
                <w:szCs w:val="20"/>
                <w:color w:val="auto"/>
              </w:rPr>
            </w:pPr>
            <w:r>
              <w:rPr>
                <w:rFonts w:ascii="Arial" w:cs="Arial" w:eastAsia="Arial" w:hAnsi="Arial"/>
                <w:sz w:val="9"/>
                <w:szCs w:val="9"/>
                <w:color w:val="auto"/>
              </w:rPr>
              <w:t>10</w:t>
            </w:r>
          </w:p>
        </w:tc>
        <w:tc>
          <w:tcPr>
            <w:tcW w:w="1160" w:type="dxa"/>
            <w:vAlign w:val="bottom"/>
            <w:tcBorders>
              <w:bottom w:val="single" w:sz="8" w:color="3B5AA4"/>
            </w:tcBorders>
            <w:shd w:val="clear" w:color="auto" w:fill="DAEBF8"/>
          </w:tcPr>
          <w:p>
            <w:pPr>
              <w:jc w:val="center"/>
              <w:ind w:left="8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3B5AA4"/>
            </w:tcBorders>
            <w:shd w:val="clear" w:color="auto" w:fill="DAEBF8"/>
          </w:tcPr>
          <w:p>
            <w:pPr>
              <w:jc w:val="center"/>
              <w:ind w:left="448"/>
              <w:spacing w:after="0"/>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3B5AA4"/>
            </w:tcBorders>
            <w:shd w:val="clear" w:color="auto" w:fill="DAEBF8"/>
          </w:tcPr>
          <w:p>
            <w:pPr>
              <w:jc w:val="right"/>
              <w:spacing w:after="0"/>
              <w:rPr>
                <w:sz w:val="20"/>
                <w:szCs w:val="20"/>
                <w:color w:val="auto"/>
              </w:rPr>
            </w:pPr>
            <w:r>
              <w:rPr>
                <w:rFonts w:ascii="Arial" w:cs="Arial" w:eastAsia="Arial" w:hAnsi="Arial"/>
                <w:sz w:val="14"/>
                <w:szCs w:val="14"/>
                <w:color w:val="auto"/>
              </w:rPr>
              <w:t>1,228,185</w:t>
            </w:r>
          </w:p>
        </w:tc>
      </w:tr>
    </w:tbl>
    <w:p>
      <w:pPr>
        <w:spacing w:after="0" w:line="117" w:lineRule="exact"/>
        <w:rPr>
          <w:sz w:val="20"/>
          <w:szCs w:val="20"/>
          <w:color w:val="auto"/>
        </w:rPr>
      </w:pPr>
    </w:p>
    <w:p>
      <w:pPr>
        <w:ind w:left="320" w:right="139" w:hanging="190"/>
        <w:spacing w:after="0" w:line="256" w:lineRule="auto"/>
        <w:tabs>
          <w:tab w:leader="none" w:pos="320" w:val="left"/>
        </w:tabs>
        <w:numPr>
          <w:ilvl w:val="0"/>
          <w:numId w:val="175"/>
        </w:numPr>
        <w:rPr>
          <w:rFonts w:ascii="Arial" w:cs="Arial" w:eastAsia="Arial" w:hAnsi="Arial"/>
          <w:sz w:val="16"/>
          <w:szCs w:val="16"/>
          <w:color w:val="auto"/>
          <w:vertAlign w:val="superscript"/>
        </w:rPr>
      </w:pPr>
      <w:r>
        <w:rPr>
          <w:rFonts w:ascii="Arial" w:cs="Arial" w:eastAsia="Arial" w:hAnsi="Arial"/>
          <w:sz w:val="13"/>
          <w:szCs w:val="13"/>
          <w:color w:val="auto"/>
        </w:rPr>
        <w:t>For purposes of these calculations, (i) we used Dr. Schleifer’s 2025 base salary and the annual cash incentives paid to Dr. Schleifer for performance in 2022, 2023, and 2024, respectively; (ii) we assumed that Dr. Schleifer received his annual cash incentive that was earned in 2025 and paid in 2026 (described in the Summary Compensation Table above); (iii) we assumed a 9.0% annual increase in medical premiums, 4.5% annual increase in dental premiums, and no increase in annual disability or life insurance premiums; (iv) we assumed that the medical and dental insurance benefits received in 2026, 2027, and 2028 would be taxable and that Dr. Schleifer would be eligible for a tax gross-up for these benefits under the terms of his employment agreement; (v) although Dr. Schleifer’s employment agreement provides for restrictive covenants, including a six-month non-compete obligation, no specific value has been ascribed to these covenants solely for purposes of assessing excise tax liabilities and potential cutbacks; and (vi) although certain payments to Dr. Schleifer would be subject to potential delays upon separation of service under Section 409A, we did not attempt to determine which, if any, payments would be delayed or revise the values to reflect any such delay.</w:t>
      </w:r>
    </w:p>
    <w:p>
      <w:pPr>
        <w:spacing w:after="0" w:line="27" w:lineRule="exact"/>
        <w:rPr>
          <w:sz w:val="20"/>
          <w:szCs w:val="20"/>
          <w:color w:val="auto"/>
        </w:rPr>
      </w:pPr>
    </w:p>
    <w:p>
      <w:pPr>
        <w:ind w:left="320" w:right="179" w:hanging="190"/>
        <w:spacing w:after="0" w:line="245" w:lineRule="auto"/>
        <w:tabs>
          <w:tab w:leader="none" w:pos="320" w:val="left"/>
        </w:tabs>
        <w:numPr>
          <w:ilvl w:val="0"/>
          <w:numId w:val="176"/>
        </w:numPr>
        <w:rPr>
          <w:rFonts w:ascii="Arial" w:cs="Arial" w:eastAsia="Arial" w:hAnsi="Arial"/>
          <w:sz w:val="16"/>
          <w:szCs w:val="16"/>
          <w:color w:val="auto"/>
          <w:vertAlign w:val="superscript"/>
        </w:rPr>
      </w:pPr>
      <w:r>
        <w:rPr>
          <w:rFonts w:ascii="Arial" w:cs="Arial" w:eastAsia="Arial" w:hAnsi="Arial"/>
          <w:sz w:val="13"/>
          <w:szCs w:val="13"/>
          <w:color w:val="auto"/>
        </w:rPr>
        <w:t>Equal to three times the sum of (a) Dr. Schleifer’s 2025 base salary and (b) the average annual cash incentive paid to Dr. Schleifer for performance in the three completed years prior to the termination date. For purposes of this calculation, we used Dr. Schleifer’s annual cash incentives for performance in 2022, 2023, and 2024.</w:t>
      </w:r>
    </w:p>
    <w:p>
      <w:pPr>
        <w:spacing w:after="0" w:line="2" w:lineRule="exact"/>
        <w:rPr>
          <w:sz w:val="20"/>
          <w:szCs w:val="20"/>
          <w:color w:val="auto"/>
        </w:rPr>
      </w:pPr>
    </w:p>
    <w:p>
      <w:pPr>
        <w:ind w:left="320" w:hanging="190"/>
        <w:spacing w:after="0"/>
        <w:tabs>
          <w:tab w:leader="none" w:pos="320" w:val="left"/>
        </w:tabs>
        <w:numPr>
          <w:ilvl w:val="0"/>
          <w:numId w:val="177"/>
        </w:numPr>
        <w:rPr>
          <w:rFonts w:ascii="Arial" w:cs="Arial" w:eastAsia="Arial" w:hAnsi="Arial"/>
          <w:sz w:val="16"/>
          <w:szCs w:val="16"/>
          <w:color w:val="auto"/>
          <w:vertAlign w:val="superscript"/>
        </w:rPr>
      </w:pPr>
      <w:r>
        <w:rPr>
          <w:rFonts w:ascii="Arial" w:cs="Arial" w:eastAsia="Arial" w:hAnsi="Arial"/>
          <w:sz w:val="13"/>
          <w:szCs w:val="13"/>
          <w:color w:val="auto"/>
        </w:rPr>
        <w:t>Equal to the estimated cost of providing Dr. Schleifer and his dependents medical, dental, and life insurance benefits for 36 months.</w:t>
      </w:r>
    </w:p>
    <w:p>
      <w:pPr>
        <w:spacing w:after="0" w:line="19" w:lineRule="exact"/>
        <w:rPr>
          <w:sz w:val="20"/>
          <w:szCs w:val="20"/>
          <w:color w:val="auto"/>
        </w:rPr>
      </w:pPr>
    </w:p>
    <w:p>
      <w:pPr>
        <w:ind w:left="320" w:hanging="190"/>
        <w:spacing w:after="0"/>
        <w:tabs>
          <w:tab w:leader="none" w:pos="320" w:val="left"/>
        </w:tabs>
        <w:numPr>
          <w:ilvl w:val="0"/>
          <w:numId w:val="178"/>
        </w:numPr>
        <w:rPr>
          <w:rFonts w:ascii="Arial" w:cs="Arial" w:eastAsia="Arial" w:hAnsi="Arial"/>
          <w:sz w:val="16"/>
          <w:szCs w:val="16"/>
          <w:color w:val="auto"/>
          <w:vertAlign w:val="superscript"/>
        </w:rPr>
      </w:pPr>
      <w:r>
        <w:rPr>
          <w:rFonts w:ascii="Arial" w:cs="Arial" w:eastAsia="Arial" w:hAnsi="Arial"/>
          <w:sz w:val="13"/>
          <w:szCs w:val="13"/>
          <w:color w:val="auto"/>
        </w:rPr>
        <w:t>We maintain $1 million of term life insurance covering Dr. Schleifer payable to his designated beneficiary.</w:t>
      </w:r>
    </w:p>
    <w:p>
      <w:pPr>
        <w:spacing w:after="0" w:line="37" w:lineRule="exact"/>
        <w:rPr>
          <w:sz w:val="20"/>
          <w:szCs w:val="20"/>
          <w:color w:val="auto"/>
        </w:rPr>
      </w:pPr>
    </w:p>
    <w:p>
      <w:pPr>
        <w:ind w:left="320" w:right="199" w:hanging="190"/>
        <w:spacing w:after="0" w:line="275" w:lineRule="auto"/>
        <w:tabs>
          <w:tab w:leader="none" w:pos="320" w:val="left"/>
        </w:tabs>
        <w:numPr>
          <w:ilvl w:val="0"/>
          <w:numId w:val="179"/>
        </w:numPr>
        <w:rPr>
          <w:rFonts w:ascii="Arial" w:cs="Arial" w:eastAsia="Arial" w:hAnsi="Arial"/>
          <w:sz w:val="15"/>
          <w:szCs w:val="15"/>
          <w:color w:val="auto"/>
          <w:vertAlign w:val="superscript"/>
        </w:rPr>
      </w:pPr>
      <w:r>
        <w:rPr>
          <w:rFonts w:ascii="Arial" w:cs="Arial" w:eastAsia="Arial" w:hAnsi="Arial"/>
          <w:sz w:val="12"/>
          <w:szCs w:val="12"/>
          <w:color w:val="auto"/>
        </w:rPr>
        <w:t>There is no value ascribed for equity award acceleration as all of Dr. Schleifer’s then-outstanding equity awards (stock options and the 2020 PSUs) were fully vested as of December 31, 2025. With respect to the 2020 PSUs, the terms of the award agreement provide that the Holding Period (i) will end early in the case of (a) Dr. Schleifer’s death or disability or (b) a change in control of the Company and (ii) will continue for its full term in the case of a termination by the Company without cause or a departure by Dr. Schleifer for good reason (each as defined in his employment agreement).</w:t>
      </w:r>
    </w:p>
    <w:p>
      <w:pPr>
        <w:spacing w:after="0" w:line="17" w:lineRule="exact"/>
        <w:rPr>
          <w:sz w:val="20"/>
          <w:szCs w:val="20"/>
          <w:color w:val="auto"/>
        </w:rPr>
      </w:pPr>
    </w:p>
    <w:p>
      <w:pPr>
        <w:ind w:left="320" w:right="199" w:hanging="190"/>
        <w:spacing w:after="0" w:line="252" w:lineRule="auto"/>
        <w:tabs>
          <w:tab w:leader="none" w:pos="320" w:val="left"/>
        </w:tabs>
        <w:numPr>
          <w:ilvl w:val="0"/>
          <w:numId w:val="180"/>
        </w:numPr>
        <w:rPr>
          <w:rFonts w:ascii="Arial" w:cs="Arial" w:eastAsia="Arial" w:hAnsi="Arial"/>
          <w:sz w:val="16"/>
          <w:szCs w:val="16"/>
          <w:color w:val="auto"/>
          <w:vertAlign w:val="superscript"/>
        </w:rPr>
      </w:pPr>
      <w:r>
        <w:rPr>
          <w:rFonts w:ascii="Arial" w:cs="Arial" w:eastAsia="Arial" w:hAnsi="Arial"/>
          <w:sz w:val="13"/>
          <w:szCs w:val="13"/>
          <w:color w:val="auto"/>
        </w:rPr>
        <w:t>Under Dr. Schleifer’s employment agreement, if payments due in connection with a change of control are subject to excise taxes under Section 280G of the Internal Revenue Code, we will cut back the payments if the excise tax can be eliminated by reducing his cash severance payments and benefits by less than 10%. Otherwise, we will pay him an additional “gross up” amount so that his after-tax benefits are the same as though no excise tax had been applied. We have determined that Dr. Schleifer would not have been subject to excise taxes if he had been terminated on December 31, 2025 as a result of a change of control.</w:t>
      </w:r>
    </w:p>
    <w:p>
      <w:pPr>
        <w:spacing w:after="0" w:line="16" w:lineRule="exact"/>
        <w:rPr>
          <w:sz w:val="20"/>
          <w:szCs w:val="20"/>
          <w:color w:val="auto"/>
        </w:rPr>
      </w:pPr>
    </w:p>
    <w:p>
      <w:pPr>
        <w:ind w:left="320" w:right="219" w:hanging="190"/>
        <w:spacing w:after="0" w:line="254" w:lineRule="auto"/>
        <w:tabs>
          <w:tab w:leader="none" w:pos="320" w:val="left"/>
        </w:tabs>
        <w:numPr>
          <w:ilvl w:val="0"/>
          <w:numId w:val="181"/>
        </w:numPr>
        <w:rPr>
          <w:rFonts w:ascii="Arial" w:cs="Arial" w:eastAsia="Arial" w:hAnsi="Arial"/>
          <w:sz w:val="16"/>
          <w:szCs w:val="16"/>
          <w:color w:val="auto"/>
          <w:vertAlign w:val="superscript"/>
        </w:rPr>
      </w:pPr>
      <w:r>
        <w:rPr>
          <w:rFonts w:ascii="Arial" w:cs="Arial" w:eastAsia="Arial" w:hAnsi="Arial"/>
          <w:sz w:val="13"/>
          <w:szCs w:val="13"/>
          <w:color w:val="auto"/>
        </w:rPr>
        <w:t>Equal to 1.25 times the sum of (a) Dr. Schleifer’s 2025 base salary and (b) the average annual cash incentive paid to Dr. Schleifer for performance in the three completed years prior to the termination date. For purposes of this calculation, we used Dr. Schleifer’s year-end cash incentive awards for performance in 2022, 2023, and 2024.</w:t>
      </w:r>
    </w:p>
    <w:p>
      <w:pPr>
        <w:ind w:left="320" w:hanging="190"/>
        <w:spacing w:after="0" w:line="236" w:lineRule="auto"/>
        <w:tabs>
          <w:tab w:leader="none" w:pos="320" w:val="left"/>
        </w:tabs>
        <w:numPr>
          <w:ilvl w:val="0"/>
          <w:numId w:val="182"/>
        </w:numPr>
        <w:rPr>
          <w:rFonts w:ascii="Arial" w:cs="Arial" w:eastAsia="Arial" w:hAnsi="Arial"/>
          <w:sz w:val="16"/>
          <w:szCs w:val="16"/>
          <w:color w:val="auto"/>
          <w:vertAlign w:val="superscript"/>
        </w:rPr>
      </w:pPr>
      <w:r>
        <w:rPr>
          <w:rFonts w:ascii="Arial" w:cs="Arial" w:eastAsia="Arial" w:hAnsi="Arial"/>
          <w:sz w:val="13"/>
          <w:szCs w:val="13"/>
          <w:color w:val="auto"/>
        </w:rPr>
        <w:t>Equal to the estimated cost of providing Dr. Schleifer and his dependents medical, dental, and life insurance benefits for 18 months.</w:t>
      </w:r>
    </w:p>
    <w:p>
      <w:pPr>
        <w:spacing w:after="0" w:line="19" w:lineRule="exact"/>
        <w:rPr>
          <w:sz w:val="20"/>
          <w:szCs w:val="20"/>
          <w:color w:val="auto"/>
        </w:rPr>
      </w:pPr>
    </w:p>
    <w:p>
      <w:pPr>
        <w:ind w:left="320" w:hanging="190"/>
        <w:spacing w:after="0"/>
        <w:tabs>
          <w:tab w:leader="none" w:pos="320" w:val="left"/>
        </w:tabs>
        <w:numPr>
          <w:ilvl w:val="0"/>
          <w:numId w:val="183"/>
        </w:numPr>
        <w:rPr>
          <w:rFonts w:ascii="Arial" w:cs="Arial" w:eastAsia="Arial" w:hAnsi="Arial"/>
          <w:sz w:val="16"/>
          <w:szCs w:val="16"/>
          <w:color w:val="auto"/>
          <w:vertAlign w:val="superscript"/>
        </w:rPr>
      </w:pPr>
      <w:r>
        <w:rPr>
          <w:rFonts w:ascii="Arial" w:cs="Arial" w:eastAsia="Arial" w:hAnsi="Arial"/>
          <w:sz w:val="13"/>
          <w:szCs w:val="13"/>
          <w:color w:val="auto"/>
        </w:rPr>
        <w:t>Equal to the estimated cost of providing Dr. Schleifer’s dependents medical and dental benefits for 18 months.</w:t>
      </w:r>
    </w:p>
    <w:p>
      <w:pPr>
        <w:spacing w:after="0" w:line="37" w:lineRule="exact"/>
        <w:rPr>
          <w:sz w:val="20"/>
          <w:szCs w:val="20"/>
          <w:color w:val="auto"/>
        </w:rPr>
      </w:pPr>
    </w:p>
    <w:p>
      <w:pPr>
        <w:ind w:left="320" w:right="819" w:hanging="190"/>
        <w:spacing w:after="0" w:line="236" w:lineRule="auto"/>
        <w:tabs>
          <w:tab w:leader="none" w:pos="320" w:val="left"/>
        </w:tabs>
        <w:numPr>
          <w:ilvl w:val="0"/>
          <w:numId w:val="184"/>
        </w:numPr>
        <w:rPr>
          <w:rFonts w:ascii="Arial" w:cs="Arial" w:eastAsia="Arial" w:hAnsi="Arial"/>
          <w:sz w:val="16"/>
          <w:szCs w:val="16"/>
          <w:color w:val="auto"/>
          <w:vertAlign w:val="superscript"/>
        </w:rPr>
      </w:pPr>
      <w:r>
        <w:rPr>
          <w:rFonts w:ascii="Arial" w:cs="Arial" w:eastAsia="Arial" w:hAnsi="Arial"/>
          <w:sz w:val="13"/>
          <w:szCs w:val="13"/>
          <w:color w:val="auto"/>
        </w:rPr>
        <w:t>Represents 35% of Dr. Schleifer’s 2025 salary over a period of 18 months. We have assumed long-term disability coverage exists pursuant to Dr. Schleifer’s employment agreement for the remaining 65% of Dr. Schleifer’s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87</w:t>
            </w:r>
          </w:p>
        </w:tc>
      </w:tr>
    </w:tbl>
    <w:p>
      <w:pPr>
        <w:sectPr>
          <w:pgSz w:w="11900" w:h="16838" w:orient="portrait"/>
          <w:cols w:equalWidth="0" w:num="1">
            <w:col w:w="9019"/>
          </w:cols>
          <w:pgMar w:left="1440" w:top="657" w:right="1440" w:bottom="1440" w:gutter="0" w:footer="0" w:header="0"/>
        </w:sectPr>
      </w:pPr>
    </w:p>
    <w:bookmarkStart w:id="96" w:name="page97"/>
    <w:bookmarkEnd w:id="96"/>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065BAA"/>
        </w:rPr>
        <w:t>Change in Control Severance Plan</w:t>
      </w:r>
    </w:p>
    <w:p>
      <w:pPr>
        <w:spacing w:after="0" w:line="84" w:lineRule="exact"/>
        <w:rPr>
          <w:sz w:val="20"/>
          <w:szCs w:val="20"/>
          <w:color w:val="auto"/>
        </w:rPr>
      </w:pPr>
    </w:p>
    <w:p>
      <w:pPr>
        <w:ind w:left="140" w:right="159"/>
        <w:spacing w:after="0" w:line="289" w:lineRule="auto"/>
        <w:rPr>
          <w:sz w:val="20"/>
          <w:szCs w:val="20"/>
          <w:color w:val="auto"/>
        </w:rPr>
      </w:pPr>
      <w:r>
        <w:rPr>
          <w:rFonts w:ascii="Arial" w:cs="Arial" w:eastAsia="Arial" w:hAnsi="Arial"/>
          <w:sz w:val="16"/>
          <w:szCs w:val="16"/>
          <w:color w:val="auto"/>
        </w:rPr>
        <w:t>Each of the NEOs, other than our CEO, participates in our change in control severance plan that was adopted by the board of directors on January 20, 2006. The purposes of the plan are (i) 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 On November 14, 2008, the change in control severance plan was amended and restated to bring it into compliance with Section 409A.</w:t>
      </w:r>
    </w:p>
    <w:p>
      <w:pPr>
        <w:spacing w:after="0" w:line="102" w:lineRule="exact"/>
        <w:rPr>
          <w:sz w:val="20"/>
          <w:szCs w:val="20"/>
          <w:color w:val="auto"/>
        </w:rPr>
      </w:pPr>
    </w:p>
    <w:p>
      <w:pPr>
        <w:ind w:left="140" w:right="479"/>
        <w:spacing w:after="0" w:line="281" w:lineRule="auto"/>
        <w:rPr>
          <w:sz w:val="20"/>
          <w:szCs w:val="20"/>
          <w:color w:val="auto"/>
        </w:rPr>
      </w:pPr>
      <w:r>
        <w:rPr>
          <w:rFonts w:ascii="Arial" w:cs="Arial" w:eastAsia="Arial" w:hAnsi="Arial"/>
          <w:sz w:val="16"/>
          <w:szCs w:val="16"/>
          <w:color w:val="auto"/>
        </w:rPr>
        <w:t>Under the plan, each participant is entitled to receive a cash severance payment in an amount equal to one, or, in designated cases, including with respect to the NEOs other than Dr. Schleifer, two times the sum of the participant’s annual base salary and his or her average annual cash incentive over the prior three years if, within two years after or</w:t>
      </w:r>
    </w:p>
    <w:p>
      <w:pPr>
        <w:spacing w:after="0" w:line="2" w:lineRule="exact"/>
        <w:rPr>
          <w:sz w:val="20"/>
          <w:szCs w:val="20"/>
          <w:color w:val="auto"/>
        </w:rPr>
      </w:pPr>
    </w:p>
    <w:p>
      <w:pPr>
        <w:ind w:left="140" w:right="159"/>
        <w:spacing w:after="0" w:line="287" w:lineRule="auto"/>
        <w:rPr>
          <w:sz w:val="20"/>
          <w:szCs w:val="20"/>
          <w:color w:val="auto"/>
        </w:rPr>
      </w:pPr>
      <w:r>
        <w:rPr>
          <w:rFonts w:ascii="Arial" w:cs="Arial" w:eastAsia="Arial" w:hAnsi="Arial"/>
          <w:sz w:val="16"/>
          <w:szCs w:val="16"/>
          <w:color w:val="auto"/>
        </w:rPr>
        <w:t>180 days before a change in control, either the participant resigns his or her employment for Good Reason (as defined in the plan) or the participant’s employment is terminated by the Company for any reason other than Cause (as defined in the plan). This amount will be paid in a lump-sum severance payment. A participant so terminated is also entitled to receive a pro-rata annual cash incentive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his or her employment with the Company.</w:t>
      </w:r>
    </w:p>
    <w:p>
      <w:pPr>
        <w:spacing w:after="0" w:line="103" w:lineRule="exact"/>
        <w:rPr>
          <w:sz w:val="20"/>
          <w:szCs w:val="20"/>
          <w:color w:val="auto"/>
        </w:rPr>
      </w:pPr>
    </w:p>
    <w:p>
      <w:pPr>
        <w:ind w:left="140" w:right="139"/>
        <w:spacing w:after="0" w:line="285" w:lineRule="auto"/>
        <w:rPr>
          <w:sz w:val="20"/>
          <w:szCs w:val="20"/>
          <w:color w:val="auto"/>
        </w:rPr>
      </w:pPr>
      <w:r>
        <w:rPr>
          <w:rFonts w:ascii="Arial" w:cs="Arial" w:eastAsia="Arial" w:hAnsi="Arial"/>
          <w:sz w:val="16"/>
          <w:szCs w:val="16"/>
          <w:color w:val="auto"/>
        </w:rPr>
        <w:t>In the event that a plan participant resigns his or her employment for Good Reason (which generally conforms to the definition in Section 409A), or the participant’s employment is terminated by the Company for any reason other than Cause, in either case within two years after or 180 days before a change in control, then, unless otherwise provided in an award agreement,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30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w:t>
      </w:r>
    </w:p>
    <w:p>
      <w:pPr>
        <w:spacing w:after="0" w:line="121" w:lineRule="exact"/>
        <w:rPr>
          <w:sz w:val="20"/>
          <w:szCs w:val="20"/>
          <w:color w:val="auto"/>
        </w:rPr>
      </w:pPr>
    </w:p>
    <w:p>
      <w:pPr>
        <w:ind w:left="140" w:right="179"/>
        <w:spacing w:after="0" w:line="287" w:lineRule="auto"/>
        <w:rPr>
          <w:sz w:val="20"/>
          <w:szCs w:val="20"/>
          <w:color w:val="auto"/>
        </w:rPr>
      </w:pPr>
      <w:r>
        <w:rPr>
          <w:rFonts w:ascii="Arial" w:cs="Arial" w:eastAsia="Arial" w:hAnsi="Arial"/>
          <w:sz w:val="16"/>
          <w:szCs w:val="16"/>
          <w:color w:val="auto"/>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spacing w:after="0" w:line="115" w:lineRule="exact"/>
        <w:rPr>
          <w:sz w:val="20"/>
          <w:szCs w:val="20"/>
          <w:color w:val="auto"/>
        </w:rPr>
      </w:pPr>
    </w:p>
    <w:p>
      <w:pPr>
        <w:ind w:left="140" w:right="239"/>
        <w:spacing w:after="0" w:line="291" w:lineRule="auto"/>
        <w:rPr>
          <w:sz w:val="20"/>
          <w:szCs w:val="20"/>
          <w:color w:val="auto"/>
        </w:rPr>
      </w:pPr>
      <w:r>
        <w:rPr>
          <w:rFonts w:ascii="Arial" w:cs="Arial" w:eastAsia="Arial" w:hAnsi="Arial"/>
          <w:sz w:val="16"/>
          <w:szCs w:val="16"/>
          <w:color w:val="auto"/>
        </w:rPr>
        <w:t>The following table shows the potential payments to our NEOs (other than our CEO), upon their hypothetical termination (other than for Cause) or resignation for Good Reason, in the two years following, or the 180 days prior to, a change in control. The information in the table below assumes an effective termination or resignation date of December 31, 2025 and is further based on the assumptions set forth in the footnotes to the table; actual values and amounts may differ from those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88</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97" w:name="page98"/>
    <w:bookmarkEnd w:id="97"/>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Potential Payments under Change in Control Severance Plan</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0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b w:val="1"/>
                <w:bCs w:val="1"/>
                <w:color w:val="065BAA"/>
              </w:rPr>
              <w:t>Value of</w:t>
            </w: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0"/>
        </w:trPr>
        <w:tc>
          <w:tcPr>
            <w:tcW w:w="3000" w:type="dxa"/>
            <w:vAlign w:val="bottom"/>
          </w:tcPr>
          <w:p>
            <w:pPr>
              <w:spacing w:after="0"/>
              <w:rPr>
                <w:sz w:val="13"/>
                <w:szCs w:val="13"/>
                <w:color w:val="auto"/>
              </w:rPr>
            </w:pPr>
          </w:p>
        </w:tc>
        <w:tc>
          <w:tcPr>
            <w:tcW w:w="1380" w:type="dxa"/>
            <w:vAlign w:val="bottom"/>
          </w:tcPr>
          <w:p>
            <w:pPr>
              <w:jc w:val="right"/>
              <w:ind w:right="48"/>
              <w:spacing w:after="0" w:line="159" w:lineRule="exact"/>
              <w:rPr>
                <w:sz w:val="20"/>
                <w:szCs w:val="20"/>
                <w:color w:val="auto"/>
              </w:rPr>
            </w:pPr>
            <w:r>
              <w:rPr>
                <w:rFonts w:ascii="Arial" w:cs="Arial" w:eastAsia="Arial" w:hAnsi="Arial"/>
                <w:sz w:val="14"/>
                <w:szCs w:val="14"/>
                <w:b w:val="1"/>
                <w:bCs w:val="1"/>
                <w:color w:val="065BAA"/>
              </w:rPr>
              <w:t>Cash</w:t>
            </w:r>
          </w:p>
        </w:tc>
        <w:tc>
          <w:tcPr>
            <w:tcW w:w="1220" w:type="dxa"/>
            <w:vAlign w:val="bottom"/>
          </w:tcPr>
          <w:p>
            <w:pPr>
              <w:jc w:val="right"/>
              <w:ind w:right="68"/>
              <w:spacing w:after="0" w:line="159" w:lineRule="exact"/>
              <w:rPr>
                <w:sz w:val="20"/>
                <w:szCs w:val="20"/>
                <w:color w:val="auto"/>
              </w:rPr>
            </w:pPr>
            <w:r>
              <w:rPr>
                <w:rFonts w:ascii="Arial" w:cs="Arial" w:eastAsia="Arial" w:hAnsi="Arial"/>
                <w:sz w:val="14"/>
                <w:szCs w:val="14"/>
                <w:b w:val="1"/>
                <w:bCs w:val="1"/>
                <w:color w:val="065BAA"/>
              </w:rPr>
              <w:t>Benefits</w:t>
            </w:r>
          </w:p>
        </w:tc>
        <w:tc>
          <w:tcPr>
            <w:tcW w:w="1320" w:type="dxa"/>
            <w:vAlign w:val="bottom"/>
          </w:tcPr>
          <w:p>
            <w:pPr>
              <w:jc w:val="right"/>
              <w:ind w:right="48"/>
              <w:spacing w:after="0" w:line="159" w:lineRule="exact"/>
              <w:rPr>
                <w:sz w:val="20"/>
                <w:szCs w:val="20"/>
                <w:color w:val="auto"/>
              </w:rPr>
            </w:pPr>
            <w:r>
              <w:rPr>
                <w:rFonts w:ascii="Arial" w:cs="Arial" w:eastAsia="Arial" w:hAnsi="Arial"/>
                <w:sz w:val="14"/>
                <w:szCs w:val="14"/>
                <w:b w:val="1"/>
                <w:bCs w:val="1"/>
                <w:color w:val="065BAA"/>
              </w:rPr>
              <w:t>Accelerated</w:t>
            </w:r>
          </w:p>
        </w:tc>
        <w:tc>
          <w:tcPr>
            <w:tcW w:w="90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b w:val="1"/>
                <w:bCs w:val="1"/>
                <w:color w:val="065BAA"/>
              </w:rPr>
              <w:t>Total</w:t>
            </w:r>
          </w:p>
        </w:tc>
      </w:tr>
      <w:tr>
        <w:trPr>
          <w:trHeight w:val="191"/>
        </w:trPr>
        <w:tc>
          <w:tcPr>
            <w:tcW w:w="3000" w:type="dxa"/>
            <w:vAlign w:val="bottom"/>
          </w:tcPr>
          <w:p>
            <w:pPr>
              <w:spacing w:after="0"/>
              <w:rPr>
                <w:sz w:val="16"/>
                <w:szCs w:val="16"/>
                <w:color w:val="auto"/>
              </w:rPr>
            </w:pPr>
          </w:p>
        </w:tc>
        <w:tc>
          <w:tcPr>
            <w:tcW w:w="1380" w:type="dxa"/>
            <w:vAlign w:val="bottom"/>
          </w:tcPr>
          <w:p>
            <w:pPr>
              <w:jc w:val="right"/>
              <w:ind w:right="48"/>
              <w:spacing w:after="0" w:line="191" w:lineRule="exact"/>
              <w:rPr>
                <w:sz w:val="20"/>
                <w:szCs w:val="20"/>
                <w:color w:val="auto"/>
              </w:rPr>
            </w:pPr>
            <w:r>
              <w:rPr>
                <w:rFonts w:ascii="Arial" w:cs="Arial" w:eastAsia="Arial" w:hAnsi="Arial"/>
                <w:sz w:val="14"/>
                <w:szCs w:val="14"/>
                <w:b w:val="1"/>
                <w:bCs w:val="1"/>
                <w:color w:val="065BAA"/>
              </w:rPr>
              <w:t>Severance</w:t>
            </w:r>
            <w:r>
              <w:rPr>
                <w:rFonts w:ascii="Arial" w:cs="Arial" w:eastAsia="Arial" w:hAnsi="Arial"/>
                <w:sz w:val="18"/>
                <w:szCs w:val="18"/>
                <w:b w:val="1"/>
                <w:bCs w:val="1"/>
                <w:color w:val="065BAA"/>
                <w:vertAlign w:val="superscript"/>
              </w:rPr>
              <w:t>1</w:t>
            </w:r>
          </w:p>
        </w:tc>
        <w:tc>
          <w:tcPr>
            <w:tcW w:w="1220" w:type="dxa"/>
            <w:vAlign w:val="bottom"/>
          </w:tcPr>
          <w:p>
            <w:pPr>
              <w:jc w:val="right"/>
              <w:ind w:right="68"/>
              <w:spacing w:after="0" w:line="191" w:lineRule="exact"/>
              <w:rPr>
                <w:sz w:val="20"/>
                <w:szCs w:val="20"/>
                <w:color w:val="auto"/>
              </w:rPr>
            </w:pPr>
            <w:r>
              <w:rPr>
                <w:rFonts w:ascii="Arial" w:cs="Arial" w:eastAsia="Arial" w:hAnsi="Arial"/>
                <w:sz w:val="14"/>
                <w:szCs w:val="14"/>
                <w:b w:val="1"/>
                <w:bCs w:val="1"/>
                <w:color w:val="065BAA"/>
              </w:rPr>
              <w:t>Continuation</w:t>
            </w:r>
            <w:r>
              <w:rPr>
                <w:rFonts w:ascii="Arial" w:cs="Arial" w:eastAsia="Arial" w:hAnsi="Arial"/>
                <w:sz w:val="18"/>
                <w:szCs w:val="18"/>
                <w:b w:val="1"/>
                <w:bCs w:val="1"/>
                <w:color w:val="065BAA"/>
                <w:vertAlign w:val="superscript"/>
              </w:rPr>
              <w:t>2</w:t>
            </w:r>
          </w:p>
        </w:tc>
        <w:tc>
          <w:tcPr>
            <w:tcW w:w="1320" w:type="dxa"/>
            <w:vAlign w:val="bottom"/>
          </w:tcPr>
          <w:p>
            <w:pPr>
              <w:jc w:val="right"/>
              <w:ind w:right="48"/>
              <w:spacing w:after="0" w:line="191" w:lineRule="exact"/>
              <w:rPr>
                <w:sz w:val="20"/>
                <w:szCs w:val="20"/>
                <w:color w:val="auto"/>
              </w:rPr>
            </w:pPr>
            <w:r>
              <w:rPr>
                <w:rFonts w:ascii="Arial" w:cs="Arial" w:eastAsia="Arial" w:hAnsi="Arial"/>
                <w:sz w:val="14"/>
                <w:szCs w:val="14"/>
                <w:b w:val="1"/>
                <w:bCs w:val="1"/>
                <w:color w:val="065BAA"/>
              </w:rPr>
              <w:t>Equity Awards</w:t>
            </w:r>
            <w:r>
              <w:rPr>
                <w:rFonts w:ascii="Arial" w:cs="Arial" w:eastAsia="Arial" w:hAnsi="Arial"/>
                <w:sz w:val="18"/>
                <w:szCs w:val="18"/>
                <w:b w:val="1"/>
                <w:bCs w:val="1"/>
                <w:color w:val="065BAA"/>
                <w:vertAlign w:val="superscript"/>
              </w:rPr>
              <w:t>3</w:t>
            </w:r>
          </w:p>
        </w:tc>
        <w:tc>
          <w:tcPr>
            <w:tcW w:w="900" w:type="dxa"/>
            <w:vAlign w:val="bottom"/>
          </w:tcPr>
          <w:p>
            <w:pPr>
              <w:ind w:left="140"/>
              <w:spacing w:after="0" w:line="191" w:lineRule="exact"/>
              <w:rPr>
                <w:sz w:val="20"/>
                <w:szCs w:val="20"/>
                <w:color w:val="auto"/>
              </w:rPr>
            </w:pPr>
            <w:r>
              <w:rPr>
                <w:rFonts w:ascii="Arial" w:cs="Arial" w:eastAsia="Arial" w:hAnsi="Arial"/>
                <w:sz w:val="14"/>
                <w:szCs w:val="14"/>
                <w:b w:val="1"/>
                <w:bCs w:val="1"/>
                <w:color w:val="065BAA"/>
              </w:rPr>
              <w:t>Cutback</w:t>
            </w:r>
            <w:r>
              <w:rPr>
                <w:rFonts w:ascii="Arial" w:cs="Arial" w:eastAsia="Arial" w:hAnsi="Arial"/>
                <w:sz w:val="18"/>
                <w:szCs w:val="18"/>
                <w:b w:val="1"/>
                <w:bCs w:val="1"/>
                <w:color w:val="065BAA"/>
                <w:vertAlign w:val="superscript"/>
              </w:rPr>
              <w:t>4</w:t>
            </w:r>
          </w:p>
        </w:tc>
        <w:tc>
          <w:tcPr>
            <w:tcW w:w="940" w:type="dxa"/>
            <w:vAlign w:val="bottom"/>
          </w:tcPr>
          <w:p>
            <w:pPr>
              <w:jc w:val="right"/>
              <w:spacing w:after="0" w:line="191" w:lineRule="exact"/>
              <w:rPr>
                <w:sz w:val="20"/>
                <w:szCs w:val="20"/>
                <w:color w:val="auto"/>
              </w:rPr>
            </w:pPr>
            <w:r>
              <w:rPr>
                <w:rFonts w:ascii="Arial" w:cs="Arial" w:eastAsia="Arial" w:hAnsi="Arial"/>
                <w:sz w:val="14"/>
                <w:szCs w:val="14"/>
                <w:b w:val="1"/>
                <w:bCs w:val="1"/>
                <w:color w:val="065BAA"/>
              </w:rPr>
              <w:t>Amount</w:t>
            </w:r>
            <w:r>
              <w:rPr>
                <w:rFonts w:ascii="Arial" w:cs="Arial" w:eastAsia="Arial" w:hAnsi="Arial"/>
                <w:sz w:val="18"/>
                <w:szCs w:val="18"/>
                <w:b w:val="1"/>
                <w:bCs w:val="1"/>
                <w:color w:val="065BAA"/>
                <w:vertAlign w:val="superscript"/>
              </w:rPr>
              <w:t>5</w:t>
            </w:r>
          </w:p>
        </w:tc>
      </w:tr>
      <w:tr>
        <w:trPr>
          <w:trHeight w:val="171"/>
        </w:trPr>
        <w:tc>
          <w:tcPr>
            <w:tcW w:w="3000" w:type="dxa"/>
            <w:vAlign w:val="bottom"/>
            <w:tcBorders>
              <w:bottom w:val="single" w:sz="8" w:color="3B5AA4"/>
            </w:tcBorders>
          </w:tcPr>
          <w:p>
            <w:pPr>
              <w:spacing w:after="0"/>
              <w:rPr>
                <w:sz w:val="14"/>
                <w:szCs w:val="14"/>
                <w:color w:val="auto"/>
              </w:rPr>
            </w:pPr>
          </w:p>
        </w:tc>
        <w:tc>
          <w:tcPr>
            <w:tcW w:w="1380" w:type="dxa"/>
            <w:vAlign w:val="bottom"/>
            <w:tcBorders>
              <w:bottom w:val="single" w:sz="8" w:color="3B5AA4"/>
            </w:tcBorders>
          </w:tcPr>
          <w:p>
            <w:pPr>
              <w:jc w:val="right"/>
              <w:ind w:right="48"/>
              <w:spacing w:after="0"/>
              <w:rPr>
                <w:sz w:val="20"/>
                <w:szCs w:val="20"/>
                <w:color w:val="auto"/>
              </w:rPr>
            </w:pPr>
            <w:r>
              <w:rPr>
                <w:rFonts w:ascii="Arial" w:cs="Arial" w:eastAsia="Arial" w:hAnsi="Arial"/>
                <w:sz w:val="14"/>
                <w:szCs w:val="14"/>
                <w:b w:val="1"/>
                <w:bCs w:val="1"/>
                <w:color w:val="065BAA"/>
              </w:rPr>
              <w:t>($)</w:t>
            </w:r>
          </w:p>
        </w:tc>
        <w:tc>
          <w:tcPr>
            <w:tcW w:w="1220" w:type="dxa"/>
            <w:vAlign w:val="bottom"/>
            <w:tcBorders>
              <w:bottom w:val="single" w:sz="8" w:color="3B5AA4"/>
            </w:tcBorders>
          </w:tcPr>
          <w:p>
            <w:pPr>
              <w:jc w:val="right"/>
              <w:ind w:right="68"/>
              <w:spacing w:after="0"/>
              <w:rPr>
                <w:sz w:val="20"/>
                <w:szCs w:val="20"/>
                <w:color w:val="auto"/>
              </w:rPr>
            </w:pPr>
            <w:r>
              <w:rPr>
                <w:rFonts w:ascii="Arial" w:cs="Arial" w:eastAsia="Arial" w:hAnsi="Arial"/>
                <w:sz w:val="14"/>
                <w:szCs w:val="14"/>
                <w:b w:val="1"/>
                <w:bCs w:val="1"/>
                <w:color w:val="065BAA"/>
              </w:rPr>
              <w:t>($)</w:t>
            </w:r>
          </w:p>
        </w:tc>
        <w:tc>
          <w:tcPr>
            <w:tcW w:w="1320" w:type="dxa"/>
            <w:vAlign w:val="bottom"/>
            <w:tcBorders>
              <w:bottom w:val="single" w:sz="8" w:color="3B5AA4"/>
            </w:tcBorders>
          </w:tcPr>
          <w:p>
            <w:pPr>
              <w:jc w:val="right"/>
              <w:ind w:right="48"/>
              <w:spacing w:after="0"/>
              <w:rPr>
                <w:sz w:val="20"/>
                <w:szCs w:val="20"/>
                <w:color w:val="auto"/>
              </w:rPr>
            </w:pPr>
            <w:r>
              <w:rPr>
                <w:rFonts w:ascii="Arial" w:cs="Arial" w:eastAsia="Arial" w:hAnsi="Arial"/>
                <w:sz w:val="14"/>
                <w:szCs w:val="14"/>
                <w:b w:val="1"/>
                <w:bCs w:val="1"/>
                <w:color w:val="065BAA"/>
              </w:rPr>
              <w:t>($)</w:t>
            </w:r>
          </w:p>
        </w:tc>
        <w:tc>
          <w:tcPr>
            <w:tcW w:w="900" w:type="dxa"/>
            <w:vAlign w:val="bottom"/>
            <w:tcBorders>
              <w:bottom w:val="single" w:sz="8" w:color="3B5AA4"/>
            </w:tcBorders>
          </w:tcPr>
          <w:p>
            <w:pPr>
              <w:jc w:val="center"/>
              <w:ind w:left="368"/>
              <w:spacing w:after="0"/>
              <w:rPr>
                <w:sz w:val="20"/>
                <w:szCs w:val="20"/>
                <w:color w:val="auto"/>
              </w:rPr>
            </w:pPr>
            <w:r>
              <w:rPr>
                <w:rFonts w:ascii="Arial" w:cs="Arial" w:eastAsia="Arial" w:hAnsi="Arial"/>
                <w:sz w:val="14"/>
                <w:szCs w:val="14"/>
                <w:b w:val="1"/>
                <w:bCs w:val="1"/>
                <w:color w:val="065BAA"/>
              </w:rPr>
              <w:t>($)</w:t>
            </w:r>
          </w:p>
        </w:tc>
        <w:tc>
          <w:tcPr>
            <w:tcW w:w="940" w:type="dxa"/>
            <w:vAlign w:val="bottom"/>
            <w:tcBorders>
              <w:bottom w:val="single" w:sz="8" w:color="3B5AA4"/>
            </w:tcBorders>
          </w:tcPr>
          <w:p>
            <w:pPr>
              <w:jc w:val="right"/>
              <w:spacing w:after="0"/>
              <w:rPr>
                <w:sz w:val="20"/>
                <w:szCs w:val="20"/>
                <w:color w:val="auto"/>
              </w:rPr>
            </w:pPr>
            <w:r>
              <w:rPr>
                <w:rFonts w:ascii="Arial" w:cs="Arial" w:eastAsia="Arial" w:hAnsi="Arial"/>
                <w:sz w:val="14"/>
                <w:szCs w:val="14"/>
                <w:b w:val="1"/>
                <w:bCs w:val="1"/>
                <w:color w:val="065BAA"/>
              </w:rPr>
              <w:t>($)</w:t>
            </w:r>
          </w:p>
        </w:tc>
      </w:tr>
      <w:tr>
        <w:trPr>
          <w:trHeight w:val="196"/>
        </w:trPr>
        <w:tc>
          <w:tcPr>
            <w:tcW w:w="3000" w:type="dxa"/>
            <w:vAlign w:val="bottom"/>
          </w:tcPr>
          <w:p>
            <w:pPr>
              <w:ind w:left="80"/>
              <w:spacing w:after="0"/>
              <w:rPr>
                <w:sz w:val="20"/>
                <w:szCs w:val="20"/>
                <w:color w:val="auto"/>
              </w:rPr>
            </w:pPr>
            <w:r>
              <w:rPr>
                <w:rFonts w:ascii="Arial" w:cs="Arial" w:eastAsia="Arial" w:hAnsi="Arial"/>
                <w:sz w:val="14"/>
                <w:szCs w:val="14"/>
                <w:b w:val="1"/>
                <w:bCs w:val="1"/>
                <w:color w:val="auto"/>
              </w:rPr>
              <w:t>George D. Yancopoulos, M.D., Ph.D.</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11,894,027</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128,496</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left="368"/>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12,022,523</w:t>
            </w:r>
          </w:p>
        </w:tc>
      </w:tr>
      <w:tr>
        <w:trPr>
          <w:trHeight w:val="216"/>
        </w:trPr>
        <w:tc>
          <w:tcPr>
            <w:tcW w:w="300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Christopher Fenimore</w:t>
            </w:r>
          </w:p>
        </w:tc>
        <w:tc>
          <w:tcPr>
            <w:tcW w:w="1380" w:type="dxa"/>
            <w:vAlign w:val="bottom"/>
            <w:shd w:val="clear" w:color="auto" w:fill="DAEBF8"/>
          </w:tcPr>
          <w:p>
            <w:pPr>
              <w:jc w:val="right"/>
              <w:ind w:right="68"/>
              <w:spacing w:after="0"/>
              <w:rPr>
                <w:sz w:val="20"/>
                <w:szCs w:val="20"/>
                <w:color w:val="auto"/>
              </w:rPr>
            </w:pPr>
            <w:r>
              <w:rPr>
                <w:rFonts w:ascii="Arial" w:cs="Arial" w:eastAsia="Arial" w:hAnsi="Arial"/>
                <w:sz w:val="14"/>
                <w:szCs w:val="14"/>
                <w:color w:val="auto"/>
              </w:rPr>
              <w:t>2,363,468</w:t>
            </w:r>
          </w:p>
        </w:tc>
        <w:tc>
          <w:tcPr>
            <w:tcW w:w="1220" w:type="dxa"/>
            <w:vAlign w:val="bottom"/>
            <w:shd w:val="clear" w:color="auto" w:fill="DAEBF8"/>
          </w:tcPr>
          <w:p>
            <w:pPr>
              <w:jc w:val="right"/>
              <w:ind w:right="88"/>
              <w:spacing w:after="0"/>
              <w:rPr>
                <w:sz w:val="20"/>
                <w:szCs w:val="20"/>
                <w:color w:val="auto"/>
              </w:rPr>
            </w:pPr>
            <w:r>
              <w:rPr>
                <w:rFonts w:ascii="Arial" w:cs="Arial" w:eastAsia="Arial" w:hAnsi="Arial"/>
                <w:sz w:val="14"/>
                <w:szCs w:val="14"/>
                <w:color w:val="auto"/>
              </w:rPr>
              <w:t>214,587</w:t>
            </w:r>
          </w:p>
        </w:tc>
        <w:tc>
          <w:tcPr>
            <w:tcW w:w="1320" w:type="dxa"/>
            <w:vAlign w:val="bottom"/>
            <w:shd w:val="clear" w:color="auto" w:fill="DAEBF8"/>
          </w:tcPr>
          <w:p>
            <w:pPr>
              <w:jc w:val="right"/>
              <w:ind w:right="68"/>
              <w:spacing w:after="0"/>
              <w:rPr>
                <w:sz w:val="20"/>
                <w:szCs w:val="20"/>
                <w:color w:val="auto"/>
              </w:rPr>
            </w:pPr>
            <w:r>
              <w:rPr>
                <w:rFonts w:ascii="Arial" w:cs="Arial" w:eastAsia="Arial" w:hAnsi="Arial"/>
                <w:sz w:val="14"/>
                <w:szCs w:val="14"/>
                <w:color w:val="auto"/>
              </w:rPr>
              <w:t>6,750,601</w:t>
            </w:r>
          </w:p>
        </w:tc>
        <w:tc>
          <w:tcPr>
            <w:tcW w:w="900" w:type="dxa"/>
            <w:vAlign w:val="bottom"/>
            <w:shd w:val="clear" w:color="auto" w:fill="DAEBF8"/>
          </w:tcPr>
          <w:p>
            <w:pPr>
              <w:jc w:val="center"/>
              <w:ind w:left="368"/>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9,328,656</w:t>
            </w:r>
          </w:p>
        </w:tc>
      </w:tr>
      <w:tr>
        <w:trPr>
          <w:trHeight w:val="216"/>
        </w:trPr>
        <w:tc>
          <w:tcPr>
            <w:tcW w:w="3000" w:type="dxa"/>
            <w:vAlign w:val="bottom"/>
          </w:tcPr>
          <w:p>
            <w:pPr>
              <w:ind w:left="80"/>
              <w:spacing w:after="0"/>
              <w:rPr>
                <w:sz w:val="20"/>
                <w:szCs w:val="20"/>
                <w:color w:val="auto"/>
              </w:rPr>
            </w:pPr>
            <w:r>
              <w:rPr>
                <w:rFonts w:ascii="Arial" w:cs="Arial" w:eastAsia="Arial" w:hAnsi="Arial"/>
                <w:sz w:val="14"/>
                <w:szCs w:val="14"/>
                <w:b w:val="1"/>
                <w:bCs w:val="1"/>
                <w:color w:val="auto"/>
              </w:rPr>
              <w:t>Daniel P. Van Plew</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3,957,669</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214,769</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9,256,572</w:t>
            </w:r>
          </w:p>
        </w:tc>
        <w:tc>
          <w:tcPr>
            <w:tcW w:w="900" w:type="dxa"/>
            <w:vAlign w:val="bottom"/>
          </w:tcPr>
          <w:p>
            <w:pPr>
              <w:jc w:val="center"/>
              <w:ind w:left="368"/>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13,429,010</w:t>
            </w:r>
          </w:p>
        </w:tc>
      </w:tr>
      <w:tr>
        <w:trPr>
          <w:trHeight w:val="216"/>
        </w:trPr>
        <w:tc>
          <w:tcPr>
            <w:tcW w:w="300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Andrew J. Murphy, Ph.D.</w:t>
            </w:r>
          </w:p>
        </w:tc>
        <w:tc>
          <w:tcPr>
            <w:tcW w:w="1380" w:type="dxa"/>
            <w:vAlign w:val="bottom"/>
            <w:shd w:val="clear" w:color="auto" w:fill="DAEBF8"/>
          </w:tcPr>
          <w:p>
            <w:pPr>
              <w:jc w:val="right"/>
              <w:ind w:right="68"/>
              <w:spacing w:after="0"/>
              <w:rPr>
                <w:sz w:val="20"/>
                <w:szCs w:val="20"/>
                <w:color w:val="auto"/>
              </w:rPr>
            </w:pPr>
            <w:r>
              <w:rPr>
                <w:rFonts w:ascii="Arial" w:cs="Arial" w:eastAsia="Arial" w:hAnsi="Arial"/>
                <w:sz w:val="14"/>
                <w:szCs w:val="14"/>
                <w:color w:val="auto"/>
              </w:rPr>
              <w:t>3,312,477</w:t>
            </w:r>
          </w:p>
        </w:tc>
        <w:tc>
          <w:tcPr>
            <w:tcW w:w="1220" w:type="dxa"/>
            <w:vAlign w:val="bottom"/>
            <w:shd w:val="clear" w:color="auto" w:fill="DAEBF8"/>
          </w:tcPr>
          <w:p>
            <w:pPr>
              <w:jc w:val="right"/>
              <w:ind w:right="88"/>
              <w:spacing w:after="0"/>
              <w:rPr>
                <w:sz w:val="20"/>
                <w:szCs w:val="20"/>
                <w:color w:val="auto"/>
              </w:rPr>
            </w:pPr>
            <w:r>
              <w:rPr>
                <w:rFonts w:ascii="Arial" w:cs="Arial" w:eastAsia="Arial" w:hAnsi="Arial"/>
                <w:sz w:val="14"/>
                <w:szCs w:val="14"/>
                <w:color w:val="auto"/>
              </w:rPr>
              <w:t>141,053</w:t>
            </w:r>
          </w:p>
        </w:tc>
        <w:tc>
          <w:tcPr>
            <w:tcW w:w="1320" w:type="dxa"/>
            <w:vAlign w:val="bottom"/>
            <w:shd w:val="clear" w:color="auto" w:fill="DAEBF8"/>
          </w:tcPr>
          <w:p>
            <w:pPr>
              <w:jc w:val="right"/>
              <w:ind w:right="68"/>
              <w:spacing w:after="0"/>
              <w:rPr>
                <w:sz w:val="20"/>
                <w:szCs w:val="20"/>
                <w:color w:val="auto"/>
              </w:rPr>
            </w:pPr>
            <w:r>
              <w:rPr>
                <w:rFonts w:ascii="Arial" w:cs="Arial" w:eastAsia="Arial" w:hAnsi="Arial"/>
                <w:sz w:val="14"/>
                <w:szCs w:val="14"/>
                <w:color w:val="auto"/>
              </w:rPr>
              <w:t>9,397,759</w:t>
            </w:r>
          </w:p>
        </w:tc>
        <w:tc>
          <w:tcPr>
            <w:tcW w:w="900" w:type="dxa"/>
            <w:vAlign w:val="bottom"/>
            <w:shd w:val="clear" w:color="auto" w:fill="DAEBF8"/>
          </w:tcPr>
          <w:p>
            <w:pPr>
              <w:jc w:val="center"/>
              <w:ind w:left="368"/>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12,851,289</w:t>
            </w:r>
          </w:p>
        </w:tc>
      </w:tr>
      <w:tr>
        <w:trPr>
          <w:trHeight w:val="216"/>
        </w:trPr>
        <w:tc>
          <w:tcPr>
            <w:tcW w:w="3000" w:type="dxa"/>
            <w:vAlign w:val="bottom"/>
            <w:tcBorders>
              <w:bottom w:val="single" w:sz="8" w:color="3B5AA4"/>
            </w:tcBorders>
          </w:tcPr>
          <w:p>
            <w:pPr>
              <w:ind w:left="80"/>
              <w:spacing w:after="0"/>
              <w:rPr>
                <w:sz w:val="20"/>
                <w:szCs w:val="20"/>
                <w:color w:val="auto"/>
              </w:rPr>
            </w:pPr>
            <w:r>
              <w:rPr>
                <w:rFonts w:ascii="Arial" w:cs="Arial" w:eastAsia="Arial" w:hAnsi="Arial"/>
                <w:sz w:val="14"/>
                <w:szCs w:val="14"/>
                <w:b w:val="1"/>
                <w:bCs w:val="1"/>
                <w:color w:val="auto"/>
              </w:rPr>
              <w:t>Joseph J. LaRosa</w:t>
            </w:r>
          </w:p>
        </w:tc>
        <w:tc>
          <w:tcPr>
            <w:tcW w:w="1380" w:type="dxa"/>
            <w:vAlign w:val="bottom"/>
            <w:tcBorders>
              <w:bottom w:val="single" w:sz="8" w:color="3B5AA4"/>
            </w:tcBorders>
          </w:tcPr>
          <w:p>
            <w:pPr>
              <w:jc w:val="right"/>
              <w:ind w:right="68"/>
              <w:spacing w:after="0"/>
              <w:rPr>
                <w:sz w:val="20"/>
                <w:szCs w:val="20"/>
                <w:color w:val="auto"/>
              </w:rPr>
            </w:pPr>
            <w:r>
              <w:rPr>
                <w:rFonts w:ascii="Arial" w:cs="Arial" w:eastAsia="Arial" w:hAnsi="Arial"/>
                <w:sz w:val="14"/>
                <w:szCs w:val="14"/>
                <w:color w:val="auto"/>
              </w:rPr>
              <w:t>3,687,789</w:t>
            </w:r>
          </w:p>
        </w:tc>
        <w:tc>
          <w:tcPr>
            <w:tcW w:w="1220" w:type="dxa"/>
            <w:vAlign w:val="bottom"/>
            <w:tcBorders>
              <w:bottom w:val="single" w:sz="8" w:color="3B5AA4"/>
            </w:tcBorders>
          </w:tcPr>
          <w:p>
            <w:pPr>
              <w:jc w:val="right"/>
              <w:ind w:right="88"/>
              <w:spacing w:after="0"/>
              <w:rPr>
                <w:sz w:val="20"/>
                <w:szCs w:val="20"/>
                <w:color w:val="auto"/>
              </w:rPr>
            </w:pPr>
            <w:r>
              <w:rPr>
                <w:rFonts w:ascii="Arial" w:cs="Arial" w:eastAsia="Arial" w:hAnsi="Arial"/>
                <w:sz w:val="14"/>
                <w:szCs w:val="14"/>
                <w:color w:val="auto"/>
              </w:rPr>
              <w:t>140,696</w:t>
            </w:r>
          </w:p>
        </w:tc>
        <w:tc>
          <w:tcPr>
            <w:tcW w:w="1320" w:type="dxa"/>
            <w:vAlign w:val="bottom"/>
            <w:tcBorders>
              <w:bottom w:val="single" w:sz="8" w:color="3B5AA4"/>
            </w:tcBorders>
          </w:tcPr>
          <w:p>
            <w:pPr>
              <w:jc w:val="right"/>
              <w:ind w:right="68"/>
              <w:spacing w:after="0"/>
              <w:rPr>
                <w:sz w:val="20"/>
                <w:szCs w:val="20"/>
                <w:color w:val="auto"/>
              </w:rPr>
            </w:pPr>
            <w:r>
              <w:rPr>
                <w:rFonts w:ascii="Arial" w:cs="Arial" w:eastAsia="Arial" w:hAnsi="Arial"/>
                <w:sz w:val="14"/>
                <w:szCs w:val="14"/>
                <w:color w:val="auto"/>
              </w:rPr>
              <w:t>6,264,128</w:t>
            </w:r>
          </w:p>
        </w:tc>
        <w:tc>
          <w:tcPr>
            <w:tcW w:w="900" w:type="dxa"/>
            <w:vAlign w:val="bottom"/>
            <w:tcBorders>
              <w:bottom w:val="single" w:sz="8" w:color="3B5AA4"/>
            </w:tcBorders>
          </w:tcPr>
          <w:p>
            <w:pPr>
              <w:jc w:val="center"/>
              <w:ind w:left="368"/>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3B5AA4"/>
            </w:tcBorders>
          </w:tcPr>
          <w:p>
            <w:pPr>
              <w:jc w:val="right"/>
              <w:spacing w:after="0"/>
              <w:rPr>
                <w:sz w:val="20"/>
                <w:szCs w:val="20"/>
                <w:color w:val="auto"/>
              </w:rPr>
            </w:pPr>
            <w:r>
              <w:rPr>
                <w:rFonts w:ascii="Arial" w:cs="Arial" w:eastAsia="Arial" w:hAnsi="Arial"/>
                <w:sz w:val="14"/>
                <w:szCs w:val="14"/>
                <w:color w:val="auto"/>
              </w:rPr>
              <w:t>10,092,613</w:t>
            </w:r>
          </w:p>
        </w:tc>
      </w:tr>
    </w:tbl>
    <w:p>
      <w:pPr>
        <w:spacing w:after="0" w:line="111" w:lineRule="exact"/>
        <w:rPr>
          <w:sz w:val="20"/>
          <w:szCs w:val="20"/>
          <w:color w:val="auto"/>
        </w:rPr>
      </w:pPr>
    </w:p>
    <w:p>
      <w:pPr>
        <w:ind w:left="320" w:hanging="190"/>
        <w:spacing w:after="0"/>
        <w:tabs>
          <w:tab w:leader="none" w:pos="320" w:val="left"/>
        </w:tabs>
        <w:numPr>
          <w:ilvl w:val="0"/>
          <w:numId w:val="185"/>
        </w:numPr>
        <w:rPr>
          <w:rFonts w:ascii="Arial" w:cs="Arial" w:eastAsia="Arial" w:hAnsi="Arial"/>
          <w:sz w:val="15"/>
          <w:szCs w:val="15"/>
          <w:color w:val="auto"/>
          <w:vertAlign w:val="superscript"/>
        </w:rPr>
      </w:pPr>
      <w:r>
        <w:rPr>
          <w:rFonts w:ascii="Arial" w:cs="Arial" w:eastAsia="Arial" w:hAnsi="Arial"/>
          <w:sz w:val="12"/>
          <w:szCs w:val="12"/>
          <w:color w:val="auto"/>
        </w:rPr>
        <w:t>Equal to two times the sum of (a) the NEO’s 2025 base salary and (b) the average annual cash incentives paid to the NEO over the prior three years.</w:t>
      </w:r>
    </w:p>
    <w:p>
      <w:pPr>
        <w:spacing w:after="0" w:line="34" w:lineRule="exact"/>
        <w:rPr>
          <w:sz w:val="20"/>
          <w:szCs w:val="20"/>
          <w:color w:val="auto"/>
        </w:rPr>
      </w:pPr>
    </w:p>
    <w:p>
      <w:pPr>
        <w:ind w:left="320" w:right="199" w:hanging="190"/>
        <w:spacing w:after="0" w:line="227" w:lineRule="auto"/>
        <w:tabs>
          <w:tab w:leader="none" w:pos="320" w:val="left"/>
        </w:tabs>
        <w:numPr>
          <w:ilvl w:val="0"/>
          <w:numId w:val="186"/>
        </w:numPr>
        <w:rPr>
          <w:rFonts w:ascii="Arial" w:cs="Arial" w:eastAsia="Arial" w:hAnsi="Arial"/>
          <w:sz w:val="16"/>
          <w:szCs w:val="16"/>
          <w:color w:val="auto"/>
          <w:vertAlign w:val="superscript"/>
        </w:rPr>
      </w:pPr>
      <w:r>
        <w:rPr>
          <w:rFonts w:ascii="Arial" w:cs="Arial" w:eastAsia="Arial" w:hAnsi="Arial"/>
          <w:sz w:val="13"/>
          <w:szCs w:val="13"/>
          <w:color w:val="auto"/>
        </w:rPr>
        <w:t>Equal to the estimated cost of providing each NEO and his dependents medical, dental, vision, disability, and life insurance coverage for 24 months, plus the estimated cost of providing each NEO tax and financial planning advisory services for 24 months.</w:t>
      </w:r>
    </w:p>
    <w:p>
      <w:pPr>
        <w:spacing w:after="0" w:line="38" w:lineRule="exact"/>
        <w:rPr>
          <w:sz w:val="20"/>
          <w:szCs w:val="20"/>
          <w:color w:val="auto"/>
        </w:rPr>
      </w:pPr>
    </w:p>
    <w:p>
      <w:pPr>
        <w:ind w:left="320" w:right="179" w:hanging="190"/>
        <w:spacing w:after="0" w:line="276" w:lineRule="auto"/>
        <w:tabs>
          <w:tab w:leader="none" w:pos="320" w:val="left"/>
        </w:tabs>
        <w:numPr>
          <w:ilvl w:val="0"/>
          <w:numId w:val="187"/>
        </w:numPr>
        <w:rPr>
          <w:rFonts w:ascii="Arial" w:cs="Arial" w:eastAsia="Arial" w:hAnsi="Arial"/>
          <w:sz w:val="15"/>
          <w:szCs w:val="15"/>
          <w:color w:val="auto"/>
          <w:vertAlign w:val="superscript"/>
        </w:rPr>
      </w:pPr>
      <w:r>
        <w:rPr>
          <w:rFonts w:ascii="Arial" w:cs="Arial" w:eastAsia="Arial" w:hAnsi="Arial"/>
          <w:sz w:val="12"/>
          <w:szCs w:val="12"/>
          <w:color w:val="auto"/>
        </w:rPr>
        <w:t>For stock options, equal to the aggregate amount of the differences between the exercise prices of each NEO’s accelerated “in-the-money” stock options and the closing sales price per share of the Company’s common stock on the Nasdaq Global Select Market on December 31, 2025, of $771.87. In the case of Messrs. Fenimore, Van Plew, and LaRosa and Dr. Murphy, the amounts also include the value as of December 31, 2025 of accelerated RSAs. There is no value ascribed to the 2020 PSUs held by Dr. Yancopoulos as they were fully vested as of December 31, 2025, but such PSUs remain subject to the Holding Period that will end early in the case of a change in control of the Company under the terms of the award agreement.</w:t>
      </w:r>
    </w:p>
    <w:p>
      <w:pPr>
        <w:spacing w:after="0" w:line="17" w:lineRule="exact"/>
        <w:rPr>
          <w:sz w:val="20"/>
          <w:szCs w:val="20"/>
          <w:color w:val="auto"/>
        </w:rPr>
      </w:pPr>
    </w:p>
    <w:p>
      <w:pPr>
        <w:ind w:left="320" w:right="519" w:hanging="190"/>
        <w:spacing w:after="0" w:line="236" w:lineRule="auto"/>
        <w:tabs>
          <w:tab w:leader="none" w:pos="320" w:val="left"/>
        </w:tabs>
        <w:numPr>
          <w:ilvl w:val="0"/>
          <w:numId w:val="188"/>
        </w:numPr>
        <w:rPr>
          <w:rFonts w:ascii="Arial" w:cs="Arial" w:eastAsia="Arial" w:hAnsi="Arial"/>
          <w:sz w:val="16"/>
          <w:szCs w:val="16"/>
          <w:color w:val="auto"/>
          <w:vertAlign w:val="superscript"/>
        </w:rPr>
      </w:pPr>
      <w:r>
        <w:rPr>
          <w:rFonts w:ascii="Arial" w:cs="Arial" w:eastAsia="Arial" w:hAnsi="Arial"/>
          <w:sz w:val="13"/>
          <w:szCs w:val="13"/>
          <w:color w:val="auto"/>
        </w:rPr>
        <w:t>We have determined (using the assumptions outlined in footnote 5) that none of the NEOs listed in the table above would have been subject to any cutbacks or excise taxes if terminated on December 31, 2025.</w:t>
      </w:r>
    </w:p>
    <w:p>
      <w:pPr>
        <w:spacing w:after="0" w:line="37" w:lineRule="exact"/>
        <w:rPr>
          <w:sz w:val="20"/>
          <w:szCs w:val="20"/>
          <w:color w:val="auto"/>
        </w:rPr>
      </w:pPr>
    </w:p>
    <w:p>
      <w:pPr>
        <w:ind w:left="320" w:right="219" w:hanging="190"/>
        <w:spacing w:after="0" w:line="273" w:lineRule="auto"/>
        <w:tabs>
          <w:tab w:leader="none" w:pos="320" w:val="left"/>
        </w:tabs>
        <w:numPr>
          <w:ilvl w:val="0"/>
          <w:numId w:val="189"/>
        </w:numPr>
        <w:rPr>
          <w:rFonts w:ascii="Arial" w:cs="Arial" w:eastAsia="Arial" w:hAnsi="Arial"/>
          <w:sz w:val="15"/>
          <w:szCs w:val="15"/>
          <w:color w:val="auto"/>
          <w:vertAlign w:val="superscript"/>
        </w:rPr>
      </w:pPr>
      <w:r>
        <w:rPr>
          <w:rFonts w:ascii="Arial" w:cs="Arial" w:eastAsia="Arial" w:hAnsi="Arial"/>
          <w:sz w:val="12"/>
          <w:szCs w:val="12"/>
          <w:color w:val="auto"/>
        </w:rPr>
        <w:t>For purposes of these calculations, (i) we used base salaries as of December 31, 2025, and annual cash incentives paid to the NEOs for performance in 2022, 2023, and 2024, respectively; (ii) we assumed that each NEO received his annual cash incentive that was earned in 2025 (described in the Summary Compensation Table above); (iii) we took into consideration, for purposes of determining whether each NEO was subject to a reduction under the terms of the change in control severance plan, the fact that each NEO’s unvested equity awards may vest in full or in part following a change in control (parachute payments for time vesting stock options and restricted stock were valued using Internal Revenue Code Treas. Reg. Section 1.28G-1 Q&amp;A 24(c)); (iv) we assumed a 9.0% annual increase in medical premiums, 4.5% annual increase in dental premiums, 3% annual increase in vision premiums, and no increase in disability or life insurance premiums or employer cost of tax and financial planning advisory services for 2026 and 2027;</w:t>
      </w:r>
    </w:p>
    <w:p>
      <w:pPr>
        <w:ind w:left="320" w:right="219"/>
        <w:spacing w:after="0" w:line="264" w:lineRule="auto"/>
        <w:rPr>
          <w:rFonts w:ascii="Arial" w:cs="Arial" w:eastAsia="Arial" w:hAnsi="Arial"/>
          <w:sz w:val="15"/>
          <w:szCs w:val="15"/>
          <w:color w:val="auto"/>
          <w:vertAlign w:val="superscript"/>
        </w:rPr>
      </w:pPr>
      <w:r>
        <w:rPr>
          <w:rFonts w:ascii="Arial" w:cs="Arial" w:eastAsia="Arial" w:hAnsi="Arial"/>
          <w:sz w:val="13"/>
          <w:szCs w:val="13"/>
          <w:color w:val="auto"/>
        </w:rPr>
        <w:t>(v) we assumed that the medical insurance benefits received in 2026 and 2027 would be taxable and that the NEOs would be eligible for a tax gross-up for these benefits under the terms of the change in control severance plan; (vi) although the change in control severance plan provides for restrictive covenants, including a one-year covenant prohibiting the solicitation of Company employees, no specific value has been ascribed to these covenants for purposes of assessing excise tax liabilities and potential cutbacks; and (vii) although certain payments to the NEOs would be subject to potential delays upon separation of service under Section 409A, we did not attempt to determine which, if any, payments would be delayed or revise the values to reflect any such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89</w:t>
            </w:r>
          </w:p>
        </w:tc>
      </w:tr>
    </w:tbl>
    <w:p>
      <w:pPr>
        <w:sectPr>
          <w:pgSz w:w="11900" w:h="16838" w:orient="portrait"/>
          <w:cols w:equalWidth="0" w:num="1">
            <w:col w:w="9019"/>
          </w:cols>
          <w:pgMar w:left="1440" w:top="657" w:right="1440" w:bottom="1440" w:gutter="0" w:footer="0" w:header="0"/>
        </w:sectPr>
      </w:pPr>
    </w:p>
    <w:bookmarkStart w:id="98" w:name="page99"/>
    <w:bookmarkEnd w:id="98"/>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65BAA"/>
        </w:rPr>
        <w:t>Additional Compensation Information</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Annual Cash Incentives</w:t>
      </w:r>
    </w:p>
    <w:p>
      <w:pPr>
        <w:spacing w:after="0" w:line="180" w:lineRule="exact"/>
        <w:rPr>
          <w:sz w:val="20"/>
          <w:szCs w:val="20"/>
          <w:color w:val="auto"/>
        </w:rPr>
      </w:pPr>
    </w:p>
    <w:p>
      <w:pPr>
        <w:ind w:left="140" w:right="139"/>
        <w:spacing w:after="0" w:line="283" w:lineRule="auto"/>
        <w:rPr>
          <w:sz w:val="20"/>
          <w:szCs w:val="20"/>
          <w:color w:val="auto"/>
        </w:rPr>
      </w:pPr>
      <w:r>
        <w:rPr>
          <w:rFonts w:ascii="Arial" w:cs="Arial" w:eastAsia="Arial" w:hAnsi="Arial"/>
          <w:sz w:val="16"/>
          <w:szCs w:val="16"/>
          <w:color w:val="auto"/>
        </w:rPr>
        <w:t>We originally adopted our Cash Incentive Bonus Plan for purposes of allowing our annual cash incentives to qualify as performance-based compensation under Section 162(m) of the Internal Revenue Code and permitting us to deduct cash incentive compensation that might otherwise not be deductible by reason of Section 162(m) (as in effect at the time of adoption). Although the performance-based compensation exception for compensation has since been eliminated, we have continued to use the Cash Incentive Bonus Plan for annual cash incentives because we believe it furthers our compensation philosophy and objectives regardless of tax treatment. In connection with the 2025 annual cash incentives for the NEOs and certain other senior executives, in March 2025 the Compensation Committee set up a cash incentive pool under the Cash Incentive Bonus Plan; specified maximum allocations of this pool to such executives; and established a R&amp;D-related performance goal consisting of (i) the submission of one or more Investigational New Drug Applications, Biologics License Applications, or supplemental Biologics License Applications with the FDA (or its equivalent outside the United States) or (ii) the approval of any regulatory filing of the type described in clause (i) by the FDA or the applicable regulatory authority outside the United States. In November 2025, the Compensation Committee determined that Regeneron’s performance in 2025 exceeded the established goal, thus enabling the funding of the cash incentive pool. The Compensation Committee then exercised “negative discretion” (as permitted under the Plan) to reduce the respective allocations of such pool for each NEO. In exercising negative discretion for the NEOs, the Compensation Committee determined that their annual cash incentives should be set consistent with the Company’s historical practice of using a formula that utilizes their respective cash incentive targets, a corporate performance component, and, if applicable, an individual performance component, as described below.</w:t>
      </w:r>
    </w:p>
    <w:p>
      <w:pPr>
        <w:spacing w:after="0" w:line="118" w:lineRule="exact"/>
        <w:rPr>
          <w:sz w:val="20"/>
          <w:szCs w:val="20"/>
          <w:color w:val="auto"/>
        </w:rPr>
      </w:pPr>
    </w:p>
    <w:p>
      <w:pPr>
        <w:ind w:left="140" w:right="299"/>
        <w:spacing w:after="0" w:line="295" w:lineRule="auto"/>
        <w:rPr>
          <w:sz w:val="20"/>
          <w:szCs w:val="20"/>
          <w:color w:val="auto"/>
        </w:rPr>
      </w:pPr>
      <w:r>
        <w:rPr>
          <w:rFonts w:ascii="Arial" w:cs="Arial" w:eastAsia="Arial" w:hAnsi="Arial"/>
          <w:sz w:val="16"/>
          <w:szCs w:val="16"/>
          <w:color w:val="auto"/>
        </w:rPr>
        <w:t>The targets for the 2025 annual cash incentives for the NEOs were unchanged year over year (with the exception of Mr. Fenimore in light of his promotion to Executive Vice President effective January 1, 2025) and set as percentages of their respective base salaries as follows: Drs. Schleifer and Yancopoulos—120%; and Messrs. Fenimore, Van Plew, and LaRosa and Dr. Murphy—65%.</w:t>
      </w:r>
    </w:p>
    <w:p>
      <w:pPr>
        <w:spacing w:after="0" w:line="94" w:lineRule="exact"/>
        <w:rPr>
          <w:sz w:val="20"/>
          <w:szCs w:val="20"/>
          <w:color w:val="auto"/>
        </w:rPr>
      </w:pPr>
    </w:p>
    <w:p>
      <w:pPr>
        <w:ind w:left="140" w:right="139"/>
        <w:spacing w:after="0" w:line="286" w:lineRule="auto"/>
        <w:rPr>
          <w:sz w:val="20"/>
          <w:szCs w:val="20"/>
          <w:color w:val="auto"/>
        </w:rPr>
      </w:pPr>
      <w:r>
        <w:rPr>
          <w:rFonts w:ascii="Arial" w:cs="Arial" w:eastAsia="Arial" w:hAnsi="Arial"/>
          <w:sz w:val="16"/>
          <w:szCs w:val="16"/>
          <w:color w:val="auto"/>
        </w:rPr>
        <w:t>For 2025, Dr. Schleifer’s cash incentive target amount represented approximately the median of the Peer Group. In determining the cash incentive target for Dr. Yancopoulos, the Compensation Committee took into consideration the importance of his scientific leadership as President &amp; CSO and the significant contributions he has made to the success of the Company and, specifically, to the discovery and development of the Company’s commercial products, its pipeline of internally developed product candidates, and its platform technologies. The Compensation Committee determined that there were no meaningful comparative data for Dr. Yancopoulos relating to similarly situated executives and that his cash incentive target for 2025 would be set to equal Dr. Schleifer’s. In determining the cash incentive targets for 2025 for Messrs. Fenimore, Van Plew, and LaRosa and Dr. Murphy, the Compensation Committee took into consideration the compensation of similarly situated executive officers at companies in the Peer Group.</w:t>
      </w:r>
    </w:p>
    <w:p>
      <w:pPr>
        <w:spacing w:after="0" w:line="119" w:lineRule="exact"/>
        <w:rPr>
          <w:sz w:val="20"/>
          <w:szCs w:val="20"/>
          <w:color w:val="auto"/>
        </w:rPr>
      </w:pPr>
    </w:p>
    <w:p>
      <w:pPr>
        <w:ind w:left="140" w:right="119"/>
        <w:spacing w:after="0" w:line="284" w:lineRule="auto"/>
        <w:rPr>
          <w:sz w:val="20"/>
          <w:szCs w:val="20"/>
          <w:color w:val="auto"/>
        </w:rPr>
      </w:pPr>
      <w:r>
        <w:rPr>
          <w:rFonts w:ascii="Arial" w:cs="Arial" w:eastAsia="Arial" w:hAnsi="Arial"/>
          <w:sz w:val="16"/>
          <w:szCs w:val="16"/>
          <w:color w:val="auto"/>
        </w:rPr>
        <w:t>Other than with respect to Drs. Schleifer and Yancopoulos as discussed below, the cash incentives were determined through the use of both an individual and a Company performance component with a range of 0 to 1.5 for the personal performance multiplier and a range of 0 to 2.0 for the Company performance multiplier, depending upon performance during the year. Both the personal performance multiplier (if applicable) and the Company performance multiplier were determined by the Compensation Committee for each NEO based on the Committee’s assessment of the Company’s performance in accordance with the framework described under the subsection “Compensation Discussion and Analysis— Components of Executive Pay: What We Pay and Why We Pay It—Annual Cash Incentives” and, in the case of each of Messrs. Fenimore, Van Plew, and LaRosa and Dr. Murphy, the NEO’s personal performance during the year.</w:t>
      </w:r>
    </w:p>
    <w:p>
      <w:pPr>
        <w:spacing w:after="0" w:line="121" w:lineRule="exact"/>
        <w:rPr>
          <w:sz w:val="20"/>
          <w:szCs w:val="20"/>
          <w:color w:val="auto"/>
        </w:rPr>
      </w:pPr>
    </w:p>
    <w:p>
      <w:pPr>
        <w:ind w:left="140" w:right="439"/>
        <w:spacing w:after="0" w:line="287" w:lineRule="auto"/>
        <w:rPr>
          <w:sz w:val="20"/>
          <w:szCs w:val="20"/>
          <w:color w:val="auto"/>
        </w:rPr>
      </w:pPr>
      <w:r>
        <w:rPr>
          <w:rFonts w:ascii="Arial" w:cs="Arial" w:eastAsia="Arial" w:hAnsi="Arial"/>
          <w:sz w:val="16"/>
          <w:szCs w:val="16"/>
          <w:color w:val="auto"/>
        </w:rPr>
        <w:t>With respect to 2025, the Compensation Committee approved a personal performance multiplier of 1.5 for Messrs. Fenimore and LaRosa and Dr. Murphy and 1.45 for Mr. Van Plew. The personal performance component remained unchanged and accounted for 40% of these NEOs’ cash incentives. The Company component reflected the 2025 Company performance multiplier determined based on the Company’s overall corporate performance (as described below) in 2025. This Company performance component also remained unchanged and accounted for 60% of the cash incentives awarded to Messrs. Fenimore, Van Plew, and LaRosa and Dr. Murphy. In the case of Drs. Schleifer and Yancopoulos, consistent with prior practice the Compensation Committee focused exclusively on overall Company performance in 2025 when determining their cash incentives and did not utilize a personal performance multiplier.</w:t>
      </w:r>
    </w:p>
    <w:p>
      <w:pPr>
        <w:spacing w:after="0" w:line="200" w:lineRule="exact"/>
        <w:rPr>
          <w:sz w:val="20"/>
          <w:szCs w:val="20"/>
          <w:color w:val="auto"/>
        </w:rPr>
      </w:pPr>
    </w:p>
    <w:p>
      <w:pPr>
        <w:spacing w:after="0" w:line="28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90</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99" w:name="page100"/>
    <w:bookmarkEnd w:id="99"/>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0" w:right="139"/>
        <w:spacing w:after="0" w:line="271" w:lineRule="auto"/>
        <w:rPr>
          <w:sz w:val="20"/>
          <w:szCs w:val="20"/>
          <w:color w:val="auto"/>
        </w:rPr>
      </w:pPr>
      <w:r>
        <w:rPr>
          <w:rFonts w:ascii="Arial" w:cs="Arial" w:eastAsia="Arial" w:hAnsi="Arial"/>
          <w:sz w:val="16"/>
          <w:szCs w:val="16"/>
          <w:color w:val="auto"/>
        </w:rPr>
        <w:t>In determining the annual cash incentive for Mr. Fenimore, the Compensation Committee gave special consideration to Mr. Fenimore’s leadership of and accomplishments in the Company’s accounting, finance, and tax functions and across his other responsibilities, including the successful execution of the Company’s capital allocation priorities in 2025 through investment in R&amp;D capabilities, funding of business development opportunities, and the return of cash to our shareholders through share buybacks and the Company’s newly initiated quarterly cash dividend program. In the case of Mr. Van Plew, the Compensation Committee focused primarily on Mr. Van Plew’s leadership of and accomplishments in the Company’s Industrial Operations and Product Supply organization, including preparations for new product launches and expanded manufacturing capabilities, while also taking into account the Company’s ongoing challenges with third-party manufacturing fillers. In the case of Dr. Murphy, the Compensation Committee considered the progress and continued expansion of the Company’s research and preclinical development pipeline, including several innovative research advances demonstrating potentially transformative first-in-class or best-in-class therapeutic approaches. In the case of Mr. LaRosa, the Compensation Committee focused primarily on Mr. LaRosa's leadership of and accomplishments in the Company's legal function, including his leadership of several significant favorable outcomes in legal proceedings related to intellectual property protection and other matters and contributions concerning key 2025 regulatory matters.</w:t>
      </w:r>
    </w:p>
    <w:p>
      <w:pPr>
        <w:spacing w:after="0" w:line="115" w:lineRule="exact"/>
        <w:rPr>
          <w:sz w:val="20"/>
          <w:szCs w:val="20"/>
          <w:color w:val="auto"/>
        </w:rPr>
      </w:pPr>
    </w:p>
    <w:p>
      <w:pPr>
        <w:ind w:left="140" w:right="179"/>
        <w:spacing w:after="0" w:line="274" w:lineRule="auto"/>
        <w:rPr>
          <w:sz w:val="20"/>
          <w:szCs w:val="20"/>
          <w:color w:val="auto"/>
        </w:rPr>
      </w:pPr>
      <w:r>
        <w:rPr>
          <w:rFonts w:ascii="Arial" w:cs="Arial" w:eastAsia="Arial" w:hAnsi="Arial"/>
          <w:sz w:val="16"/>
          <w:szCs w:val="16"/>
          <w:color w:val="auto"/>
        </w:rPr>
        <w:t>With respect to 2025, the Compensation Committee set the Company performance multiplier at 1.55. For a discussion of the framework that the Committee established and utilized in 2025 for its year-end assessment of Company performance and its determination of the Company performance multiplier, see the subsection “Compensation Discussion and Analysis —Components of Executive Pay: What We Pay and Why We Pay It—Annual Cash Incentives.” Under the framework, the Committee began its assessment with a review of performance across the entire organization to establish a baseline for the Company performance multiplier, taking into account the Company milestones for the year in review (discussed in the subsection “Compensation Discussion and Analysis—Components of Executive Pay: What We Pay and Why We Pay It— Annual Cash Incentives”) as well as the additional performance factors shown below.</w:t>
      </w:r>
    </w:p>
    <w:p>
      <w:pPr>
        <w:spacing w:after="0" w:line="221" w:lineRule="exact"/>
        <w:rPr>
          <w:sz w:val="20"/>
          <w:szCs w:val="20"/>
          <w:color w:val="auto"/>
        </w:rPr>
      </w:pPr>
    </w:p>
    <w:tbl>
      <w:tblPr>
        <w:tblLayout w:type="fixed"/>
        <w:tblInd w:w="420" w:type="dxa"/>
        <w:tblCellMar>
          <w:top w:w="0" w:type="dxa"/>
          <w:left w:w="0" w:type="dxa"/>
          <w:bottom w:w="0" w:type="dxa"/>
          <w:right w:w="0" w:type="dxa"/>
        </w:tblCellMar>
      </w:tblPr>
      <w:tr>
        <w:trPr>
          <w:trHeight w:val="285"/>
        </w:trPr>
        <w:tc>
          <w:tcPr>
            <w:tcW w:w="400" w:type="dxa"/>
            <w:vAlign w:val="bottom"/>
            <w:vMerge w:val="restart"/>
          </w:tcPr>
          <w:p>
            <w:pPr>
              <w:jc w:val="right"/>
              <w:spacing w:after="0"/>
              <w:rPr>
                <w:sz w:val="20"/>
                <w:szCs w:val="20"/>
                <w:color w:val="auto"/>
              </w:rPr>
            </w:pPr>
            <w:r>
              <w:rPr>
                <w:rFonts w:ascii="Arial" w:cs="Arial" w:eastAsia="Arial" w:hAnsi="Arial"/>
                <w:sz w:val="43"/>
                <w:szCs w:val="43"/>
                <w:b w:val="1"/>
                <w:bCs w:val="1"/>
                <w:color w:val="auto"/>
                <w:w w:val="91"/>
              </w:rPr>
              <w:t>1</w:t>
            </w:r>
          </w:p>
        </w:tc>
        <w:tc>
          <w:tcPr>
            <w:tcW w:w="780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Product Pipeline and Development (Primary Factors)</w:t>
            </w:r>
          </w:p>
        </w:tc>
        <w:tc>
          <w:tcPr>
            <w:tcW w:w="0" w:type="dxa"/>
            <w:vAlign w:val="bottom"/>
          </w:tcPr>
          <w:p>
            <w:pPr>
              <w:spacing w:after="0"/>
              <w:rPr>
                <w:sz w:val="1"/>
                <w:szCs w:val="1"/>
                <w:color w:val="auto"/>
              </w:rPr>
            </w:pPr>
          </w:p>
        </w:tc>
      </w:tr>
      <w:tr>
        <w:trPr>
          <w:trHeight w:val="271"/>
        </w:trPr>
        <w:tc>
          <w:tcPr>
            <w:tcW w:w="400" w:type="dxa"/>
            <w:vAlign w:val="bottom"/>
            <w:vMerge w:val="continue"/>
          </w:tcPr>
          <w:p>
            <w:pPr>
              <w:spacing w:after="0"/>
              <w:rPr>
                <w:sz w:val="23"/>
                <w:szCs w:val="23"/>
                <w:color w:val="auto"/>
              </w:rPr>
            </w:pPr>
          </w:p>
        </w:tc>
        <w:tc>
          <w:tcPr>
            <w:tcW w:w="4020" w:type="dxa"/>
            <w:vAlign w:val="bottom"/>
          </w:tcPr>
          <w:p>
            <w:pPr>
              <w:ind w:left="160"/>
              <w:spacing w:after="0"/>
              <w:rPr>
                <w:sz w:val="20"/>
                <w:szCs w:val="20"/>
                <w:color w:val="auto"/>
              </w:rPr>
            </w:pPr>
            <w:r>
              <w:rPr>
                <w:rFonts w:ascii="Arial" w:cs="Arial" w:eastAsia="Arial" w:hAnsi="Arial"/>
                <w:sz w:val="16"/>
                <w:szCs w:val="16"/>
                <w:b w:val="1"/>
                <w:bCs w:val="1"/>
                <w:color w:val="065BAA"/>
              </w:rPr>
              <w:t>Regulatory &amp; Clinical Milestones;</w:t>
            </w:r>
          </w:p>
        </w:tc>
        <w:tc>
          <w:tcPr>
            <w:tcW w:w="3780" w:type="dxa"/>
            <w:vAlign w:val="bottom"/>
          </w:tcPr>
          <w:p>
            <w:pPr>
              <w:ind w:left="80"/>
              <w:spacing w:after="0"/>
              <w:rPr>
                <w:sz w:val="20"/>
                <w:szCs w:val="20"/>
                <w:color w:val="auto"/>
              </w:rPr>
            </w:pPr>
            <w:r>
              <w:rPr>
                <w:rFonts w:ascii="Arial" w:cs="Arial" w:eastAsia="Arial" w:hAnsi="Arial"/>
                <w:sz w:val="16"/>
                <w:szCs w:val="16"/>
                <w:b w:val="1"/>
                <w:bCs w:val="1"/>
                <w:color w:val="065BAA"/>
              </w:rPr>
              <w:t>Progress in Earlier-Stage Clinical Programs;</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6"/>
                <w:szCs w:val="16"/>
                <w:b w:val="1"/>
                <w:bCs w:val="1"/>
                <w:color w:val="065BAA"/>
              </w:rPr>
              <w:t>Commercial Support</w:t>
            </w:r>
          </w:p>
        </w:tc>
        <w:tc>
          <w:tcPr>
            <w:tcW w:w="3780" w:type="dxa"/>
            <w:vAlign w:val="bottom"/>
          </w:tcPr>
          <w:p>
            <w:pPr>
              <w:ind w:left="80"/>
              <w:spacing w:after="0"/>
              <w:rPr>
                <w:sz w:val="20"/>
                <w:szCs w:val="20"/>
                <w:color w:val="auto"/>
              </w:rPr>
            </w:pPr>
            <w:r>
              <w:rPr>
                <w:rFonts w:ascii="Arial" w:cs="Arial" w:eastAsia="Arial" w:hAnsi="Arial"/>
                <w:sz w:val="16"/>
                <w:szCs w:val="16"/>
                <w:b w:val="1"/>
                <w:bCs w:val="1"/>
                <w:color w:val="065BAA"/>
              </w:rPr>
              <w:t>New Candidates Advanced into</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020" w:type="dxa"/>
            <w:vAlign w:val="bottom"/>
          </w:tcPr>
          <w:p>
            <w:pPr>
              <w:ind w:left="1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Approval of new products or indications by the</w:t>
            </w:r>
          </w:p>
        </w:tc>
        <w:tc>
          <w:tcPr>
            <w:tcW w:w="3780" w:type="dxa"/>
            <w:vAlign w:val="bottom"/>
          </w:tcPr>
          <w:p>
            <w:pPr>
              <w:ind w:left="80"/>
              <w:spacing w:after="0"/>
              <w:rPr>
                <w:sz w:val="20"/>
                <w:szCs w:val="20"/>
                <w:color w:val="auto"/>
              </w:rPr>
            </w:pPr>
            <w:r>
              <w:rPr>
                <w:rFonts w:ascii="Arial" w:cs="Arial" w:eastAsia="Arial" w:hAnsi="Arial"/>
                <w:sz w:val="16"/>
                <w:szCs w:val="16"/>
                <w:b w:val="1"/>
                <w:bCs w:val="1"/>
                <w:color w:val="065BAA"/>
              </w:rPr>
              <w:t>Clinical Development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020" w:type="dxa"/>
            <w:vAlign w:val="bottom"/>
          </w:tcPr>
          <w:p>
            <w:pPr>
              <w:ind w:left="360"/>
              <w:spacing w:after="0"/>
              <w:rPr>
                <w:sz w:val="20"/>
                <w:szCs w:val="20"/>
                <w:color w:val="auto"/>
              </w:rPr>
            </w:pPr>
            <w:r>
              <w:rPr>
                <w:rFonts w:ascii="Arial" w:cs="Arial" w:eastAsia="Arial" w:hAnsi="Arial"/>
                <w:sz w:val="16"/>
                <w:szCs w:val="16"/>
                <w:color w:val="auto"/>
              </w:rPr>
              <w:t>FDA or applicable regulatory authorities outside</w:t>
            </w:r>
          </w:p>
        </w:tc>
        <w:tc>
          <w:tcPr>
            <w:tcW w:w="3780" w:type="dxa"/>
            <w:vAlign w:val="bottom"/>
          </w:tcPr>
          <w:p>
            <w:pPr>
              <w:ind w:left="8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Data readouts and key publications from existing</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020" w:type="dxa"/>
            <w:vAlign w:val="bottom"/>
          </w:tcPr>
          <w:p>
            <w:pPr>
              <w:ind w:left="360"/>
              <w:spacing w:after="0"/>
              <w:rPr>
                <w:sz w:val="20"/>
                <w:szCs w:val="20"/>
                <w:color w:val="auto"/>
              </w:rPr>
            </w:pPr>
            <w:r>
              <w:rPr>
                <w:rFonts w:ascii="Arial" w:cs="Arial" w:eastAsia="Arial" w:hAnsi="Arial"/>
                <w:sz w:val="16"/>
                <w:szCs w:val="16"/>
                <w:color w:val="auto"/>
              </w:rPr>
              <w:t>the United States</w:t>
            </w:r>
          </w:p>
        </w:tc>
        <w:tc>
          <w:tcPr>
            <w:tcW w:w="3780" w:type="dxa"/>
            <w:vAlign w:val="bottom"/>
          </w:tcPr>
          <w:p>
            <w:pPr>
              <w:ind w:left="280"/>
              <w:spacing w:after="0"/>
              <w:rPr>
                <w:sz w:val="20"/>
                <w:szCs w:val="20"/>
                <w:color w:val="auto"/>
              </w:rPr>
            </w:pPr>
            <w:r>
              <w:rPr>
                <w:rFonts w:ascii="Arial" w:cs="Arial" w:eastAsia="Arial" w:hAnsi="Arial"/>
                <w:sz w:val="16"/>
                <w:szCs w:val="16"/>
                <w:color w:val="auto"/>
              </w:rPr>
              <w:t>Phase 1 studies</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Regulatory submissions for new products and</w:t>
            </w:r>
          </w:p>
        </w:tc>
        <w:tc>
          <w:tcPr>
            <w:tcW w:w="3780" w:type="dxa"/>
            <w:vAlign w:val="bottom"/>
          </w:tcPr>
          <w:p>
            <w:pPr>
              <w:ind w:left="8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Initiation of new Phase 1 studies</w:t>
            </w: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4020" w:type="dxa"/>
            <w:vAlign w:val="bottom"/>
          </w:tcPr>
          <w:p>
            <w:pPr>
              <w:ind w:left="360"/>
              <w:spacing w:after="0"/>
              <w:rPr>
                <w:sz w:val="20"/>
                <w:szCs w:val="20"/>
                <w:color w:val="auto"/>
              </w:rPr>
            </w:pPr>
            <w:r>
              <w:rPr>
                <w:rFonts w:ascii="Arial" w:cs="Arial" w:eastAsia="Arial" w:hAnsi="Arial"/>
                <w:sz w:val="16"/>
                <w:szCs w:val="16"/>
                <w:color w:val="auto"/>
              </w:rPr>
              <w:t>new indications</w:t>
            </w:r>
          </w:p>
        </w:tc>
        <w:tc>
          <w:tcPr>
            <w:tcW w:w="3780" w:type="dxa"/>
            <w:vAlign w:val="bottom"/>
          </w:tcPr>
          <w:p>
            <w:pPr>
              <w:ind w:left="8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Notable early research milestones</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020" w:type="dxa"/>
            <w:vAlign w:val="bottom"/>
          </w:tcPr>
          <w:p>
            <w:pPr>
              <w:ind w:left="1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Breakthrough Therapy or orphan drug</w:t>
            </w:r>
          </w:p>
        </w:tc>
        <w:tc>
          <w:tcPr>
            <w:tcW w:w="3780" w:type="dxa"/>
            <w:vAlign w:val="bottom"/>
          </w:tcPr>
          <w:p>
            <w:pPr>
              <w:ind w:left="280"/>
              <w:spacing w:after="0"/>
              <w:rPr>
                <w:sz w:val="20"/>
                <w:szCs w:val="20"/>
                <w:color w:val="auto"/>
              </w:rPr>
            </w:pPr>
            <w:r>
              <w:rPr>
                <w:rFonts w:ascii="Arial" w:cs="Arial" w:eastAsia="Arial" w:hAnsi="Arial"/>
                <w:sz w:val="16"/>
                <w:szCs w:val="16"/>
                <w:color w:val="auto"/>
              </w:rPr>
              <w:t>and collaborations</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020" w:type="dxa"/>
            <w:vAlign w:val="bottom"/>
          </w:tcPr>
          <w:p>
            <w:pPr>
              <w:ind w:left="360"/>
              <w:spacing w:after="0"/>
              <w:rPr>
                <w:sz w:val="20"/>
                <w:szCs w:val="20"/>
                <w:color w:val="auto"/>
              </w:rPr>
            </w:pPr>
            <w:r>
              <w:rPr>
                <w:rFonts w:ascii="Arial" w:cs="Arial" w:eastAsia="Arial" w:hAnsi="Arial"/>
                <w:sz w:val="16"/>
                <w:szCs w:val="16"/>
                <w:color w:val="auto"/>
              </w:rPr>
              <w:t>designations by the FDA (or its equivalent outside</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4020" w:type="dxa"/>
            <w:vAlign w:val="bottom"/>
          </w:tcPr>
          <w:p>
            <w:pPr>
              <w:ind w:left="360"/>
              <w:spacing w:after="0"/>
              <w:rPr>
                <w:sz w:val="20"/>
                <w:szCs w:val="20"/>
                <w:color w:val="auto"/>
              </w:rPr>
            </w:pPr>
            <w:r>
              <w:rPr>
                <w:rFonts w:ascii="Arial" w:cs="Arial" w:eastAsia="Arial" w:hAnsi="Arial"/>
                <w:sz w:val="16"/>
                <w:szCs w:val="16"/>
                <w:color w:val="auto"/>
              </w:rPr>
              <w:t>the United States)</w:t>
            </w: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4020" w:type="dxa"/>
            <w:vAlign w:val="bottom"/>
          </w:tcPr>
          <w:p>
            <w:pPr>
              <w:ind w:left="1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Data readouts and key publications from</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020" w:type="dxa"/>
            <w:vAlign w:val="bottom"/>
          </w:tcPr>
          <w:p>
            <w:pPr>
              <w:ind w:left="360"/>
              <w:spacing w:after="0"/>
              <w:rPr>
                <w:sz w:val="20"/>
                <w:szCs w:val="20"/>
                <w:color w:val="auto"/>
              </w:rPr>
            </w:pPr>
            <w:r>
              <w:rPr>
                <w:rFonts w:ascii="Arial" w:cs="Arial" w:eastAsia="Arial" w:hAnsi="Arial"/>
                <w:sz w:val="16"/>
                <w:szCs w:val="16"/>
                <w:color w:val="auto"/>
              </w:rPr>
              <w:t>potentially pivotal/ registrational studies</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Initiation of new Phase 3 or Phase 2 studies</w:t>
            </w: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tbl>
      <w:tblPr>
        <w:tblLayout w:type="fixed"/>
        <w:tblInd w:w="420" w:type="dxa"/>
        <w:tblCellMar>
          <w:top w:w="0" w:type="dxa"/>
          <w:left w:w="0" w:type="dxa"/>
          <w:bottom w:w="0" w:type="dxa"/>
          <w:right w:w="0" w:type="dxa"/>
        </w:tblCellMar>
      </w:tblPr>
      <w:tr>
        <w:trPr>
          <w:trHeight w:val="285"/>
        </w:trPr>
        <w:tc>
          <w:tcPr>
            <w:tcW w:w="400" w:type="dxa"/>
            <w:vAlign w:val="bottom"/>
            <w:vMerge w:val="restart"/>
          </w:tcPr>
          <w:p>
            <w:pPr>
              <w:jc w:val="right"/>
              <w:spacing w:after="0"/>
              <w:rPr>
                <w:sz w:val="20"/>
                <w:szCs w:val="20"/>
                <w:color w:val="auto"/>
              </w:rPr>
            </w:pPr>
            <w:r>
              <w:rPr>
                <w:rFonts w:ascii="Arial" w:cs="Arial" w:eastAsia="Arial" w:hAnsi="Arial"/>
                <w:sz w:val="43"/>
                <w:szCs w:val="43"/>
                <w:b w:val="1"/>
                <w:bCs w:val="1"/>
                <w:color w:val="auto"/>
                <w:w w:val="91"/>
              </w:rPr>
              <w:t>2</w:t>
            </w:r>
          </w:p>
        </w:tc>
        <w:tc>
          <w:tcPr>
            <w:tcW w:w="406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Finance and Operations (Secondary Factors)</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00" w:type="dxa"/>
            <w:vAlign w:val="bottom"/>
            <w:vMerge w:val="continue"/>
          </w:tcPr>
          <w:p>
            <w:pPr>
              <w:spacing w:after="0"/>
              <w:rPr>
                <w:sz w:val="24"/>
                <w:szCs w:val="24"/>
                <w:color w:val="auto"/>
              </w:rPr>
            </w:pPr>
          </w:p>
        </w:tc>
        <w:tc>
          <w:tcPr>
            <w:tcW w:w="4060" w:type="dxa"/>
            <w:vAlign w:val="bottom"/>
            <w:gridSpan w:val="2"/>
          </w:tcPr>
          <w:p>
            <w:pPr>
              <w:ind w:left="160"/>
              <w:spacing w:after="0"/>
              <w:rPr>
                <w:sz w:val="20"/>
                <w:szCs w:val="20"/>
                <w:color w:val="auto"/>
              </w:rPr>
            </w:pPr>
            <w:r>
              <w:rPr>
                <w:rFonts w:ascii="Arial" w:cs="Arial" w:eastAsia="Arial" w:hAnsi="Arial"/>
                <w:sz w:val="16"/>
                <w:szCs w:val="16"/>
                <w:b w:val="1"/>
                <w:bCs w:val="1"/>
                <w:color w:val="065BAA"/>
              </w:rPr>
              <w:t>Financial Metrics; Capital Structure</w:t>
            </w:r>
          </w:p>
        </w:tc>
        <w:tc>
          <w:tcPr>
            <w:tcW w:w="2960" w:type="dxa"/>
            <w:vAlign w:val="bottom"/>
          </w:tcPr>
          <w:p>
            <w:pPr>
              <w:ind w:left="40"/>
              <w:spacing w:after="0"/>
              <w:rPr>
                <w:sz w:val="20"/>
                <w:szCs w:val="20"/>
                <w:color w:val="auto"/>
              </w:rPr>
            </w:pPr>
            <w:r>
              <w:rPr>
                <w:rFonts w:ascii="Arial" w:cs="Arial" w:eastAsia="Arial" w:hAnsi="Arial"/>
                <w:sz w:val="16"/>
                <w:szCs w:val="16"/>
                <w:b w:val="1"/>
                <w:bCs w:val="1"/>
                <w:color w:val="065BAA"/>
              </w:rPr>
              <w:t>Operational &amp; Manufacturing</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4060" w:type="dxa"/>
            <w:vAlign w:val="bottom"/>
            <w:gridSpan w:val="2"/>
          </w:tcPr>
          <w:p>
            <w:pPr>
              <w:ind w:left="1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Growth in total revenues</w:t>
            </w:r>
          </w:p>
        </w:tc>
        <w:tc>
          <w:tcPr>
            <w:tcW w:w="2960" w:type="dxa"/>
            <w:vAlign w:val="bottom"/>
          </w:tcPr>
          <w:p>
            <w:pPr>
              <w:ind w:left="4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Marketing structure &amp; strategy</w:t>
            </w: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4060" w:type="dxa"/>
            <w:vAlign w:val="bottom"/>
            <w:gridSpan w:val="2"/>
          </w:tcPr>
          <w:p>
            <w:pPr>
              <w:ind w:left="1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Growth in net product sales for key</w:t>
            </w:r>
          </w:p>
        </w:tc>
        <w:tc>
          <w:tcPr>
            <w:tcW w:w="2960" w:type="dxa"/>
            <w:vAlign w:val="bottom"/>
          </w:tcPr>
          <w:p>
            <w:pPr>
              <w:ind w:left="4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Pricing, policy &amp; legal developments</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60" w:type="dxa"/>
            <w:vAlign w:val="bottom"/>
          </w:tcPr>
          <w:p>
            <w:pPr>
              <w:ind w:left="60"/>
              <w:spacing w:after="0"/>
              <w:rPr>
                <w:sz w:val="20"/>
                <w:szCs w:val="20"/>
                <w:color w:val="auto"/>
              </w:rPr>
            </w:pPr>
            <w:r>
              <w:rPr>
                <w:rFonts w:ascii="Arial" w:cs="Arial" w:eastAsia="Arial" w:hAnsi="Arial"/>
                <w:sz w:val="16"/>
                <w:szCs w:val="16"/>
                <w:color w:val="auto"/>
              </w:rPr>
              <w:t>marketed products</w:t>
            </w:r>
          </w:p>
        </w:tc>
        <w:tc>
          <w:tcPr>
            <w:tcW w:w="2960" w:type="dxa"/>
            <w:vAlign w:val="bottom"/>
          </w:tcPr>
          <w:p>
            <w:pPr>
              <w:ind w:left="4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Successful completion of audits</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060" w:type="dxa"/>
            <w:vAlign w:val="bottom"/>
            <w:gridSpan w:val="2"/>
          </w:tcPr>
          <w:p>
            <w:pPr>
              <w:ind w:left="16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Growth in profitability metrics</w:t>
            </w:r>
          </w:p>
        </w:tc>
        <w:tc>
          <w:tcPr>
            <w:tcW w:w="2960" w:type="dxa"/>
            <w:vAlign w:val="bottom"/>
          </w:tcPr>
          <w:p>
            <w:pPr>
              <w:ind w:left="4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Expansion of facilities</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300" w:type="dxa"/>
            <w:vAlign w:val="bottom"/>
          </w:tcPr>
          <w:p>
            <w:pPr>
              <w:ind w:left="160"/>
              <w:spacing w:after="0"/>
              <w:rPr>
                <w:sz w:val="20"/>
                <w:szCs w:val="20"/>
                <w:color w:val="auto"/>
              </w:rPr>
            </w:pPr>
            <w:r>
              <w:rPr>
                <w:rFonts w:ascii="Arial" w:cs="Arial" w:eastAsia="Arial" w:hAnsi="Arial"/>
                <w:sz w:val="16"/>
                <w:szCs w:val="16"/>
                <w:color w:val="065BAA"/>
              </w:rPr>
              <w:t>•</w:t>
            </w:r>
          </w:p>
        </w:tc>
        <w:tc>
          <w:tcPr>
            <w:tcW w:w="3760" w:type="dxa"/>
            <w:vAlign w:val="bottom"/>
          </w:tcPr>
          <w:p>
            <w:pPr>
              <w:ind w:left="60"/>
              <w:spacing w:after="0"/>
              <w:rPr>
                <w:sz w:val="20"/>
                <w:szCs w:val="20"/>
                <w:color w:val="auto"/>
              </w:rPr>
            </w:pPr>
            <w:r>
              <w:rPr>
                <w:rFonts w:ascii="Arial" w:cs="Arial" w:eastAsia="Arial" w:hAnsi="Arial"/>
                <w:sz w:val="16"/>
                <w:szCs w:val="16"/>
                <w:color w:val="auto"/>
              </w:rPr>
              <w:t>Collaboration agreements</w:t>
            </w:r>
          </w:p>
        </w:tc>
        <w:tc>
          <w:tcPr>
            <w:tcW w:w="2960" w:type="dxa"/>
            <w:vAlign w:val="bottom"/>
          </w:tcPr>
          <w:p>
            <w:pPr>
              <w:ind w:left="4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Increase in manufacturing capabilities</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00" w:type="dxa"/>
            <w:vAlign w:val="bottom"/>
          </w:tcPr>
          <w:p>
            <w:pPr>
              <w:ind w:left="160"/>
              <w:spacing w:after="0"/>
              <w:rPr>
                <w:sz w:val="20"/>
                <w:szCs w:val="20"/>
                <w:color w:val="auto"/>
              </w:rPr>
            </w:pPr>
            <w:r>
              <w:rPr>
                <w:rFonts w:ascii="Arial" w:cs="Arial" w:eastAsia="Arial" w:hAnsi="Arial"/>
                <w:sz w:val="16"/>
                <w:szCs w:val="16"/>
                <w:color w:val="065BAA"/>
              </w:rPr>
              <w:t>•</w:t>
            </w:r>
          </w:p>
        </w:tc>
        <w:tc>
          <w:tcPr>
            <w:tcW w:w="3760" w:type="dxa"/>
            <w:vAlign w:val="bottom"/>
          </w:tcPr>
          <w:p>
            <w:pPr>
              <w:ind w:left="60"/>
              <w:spacing w:after="0"/>
              <w:rPr>
                <w:sz w:val="20"/>
                <w:szCs w:val="20"/>
                <w:color w:val="auto"/>
              </w:rPr>
            </w:pPr>
            <w:r>
              <w:rPr>
                <w:rFonts w:ascii="Arial" w:cs="Arial" w:eastAsia="Arial" w:hAnsi="Arial"/>
                <w:sz w:val="16"/>
                <w:szCs w:val="16"/>
                <w:color w:val="auto"/>
              </w:rPr>
              <w:t>Finance projects</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980" w:hanging="565"/>
        <w:spacing w:after="0" w:line="182" w:lineRule="auto"/>
        <w:tabs>
          <w:tab w:leader="none" w:pos="980" w:val="left"/>
        </w:tabs>
        <w:numPr>
          <w:ilvl w:val="0"/>
          <w:numId w:val="190"/>
        </w:numPr>
        <w:rPr>
          <w:rFonts w:ascii="Arial" w:cs="Arial" w:eastAsia="Arial" w:hAnsi="Arial"/>
          <w:sz w:val="51"/>
          <w:szCs w:val="51"/>
          <w:b w:val="1"/>
          <w:bCs w:val="1"/>
          <w:color w:val="auto"/>
          <w:vertAlign w:val="subscript"/>
        </w:rPr>
      </w:pPr>
      <w:r>
        <w:rPr>
          <w:rFonts w:ascii="Arial" w:cs="Arial" w:eastAsia="Arial" w:hAnsi="Arial"/>
          <w:sz w:val="16"/>
          <w:szCs w:val="16"/>
          <w:b w:val="1"/>
          <w:bCs w:val="1"/>
          <w:color w:val="auto"/>
        </w:rPr>
        <w:t>Talent, Culture, and Corporate Responsibility (Secondary Factors)</w:t>
      </w:r>
    </w:p>
    <w:p>
      <w:pPr>
        <w:spacing w:after="0" w:line="85" w:lineRule="exact"/>
        <w:rPr>
          <w:rFonts w:ascii="Arial" w:cs="Arial" w:eastAsia="Arial" w:hAnsi="Arial"/>
          <w:sz w:val="51"/>
          <w:szCs w:val="51"/>
          <w:b w:val="1"/>
          <w:bCs w:val="1"/>
          <w:color w:val="auto"/>
          <w:vertAlign w:val="subscript"/>
        </w:rPr>
      </w:pPr>
    </w:p>
    <w:p>
      <w:pPr>
        <w:ind w:left="980"/>
        <w:spacing w:after="0"/>
        <w:rPr>
          <w:rFonts w:ascii="Arial" w:cs="Arial" w:eastAsia="Arial" w:hAnsi="Arial"/>
          <w:sz w:val="51"/>
          <w:szCs w:val="51"/>
          <w:b w:val="1"/>
          <w:bCs w:val="1"/>
          <w:color w:val="auto"/>
          <w:vertAlign w:val="subscript"/>
        </w:rPr>
      </w:pPr>
      <w:r>
        <w:rPr>
          <w:rFonts w:ascii="Arial" w:cs="Arial" w:eastAsia="Arial" w:hAnsi="Arial"/>
          <w:sz w:val="16"/>
          <w:szCs w:val="16"/>
          <w:b w:val="1"/>
          <w:bCs w:val="1"/>
          <w:color w:val="065BAA"/>
        </w:rPr>
        <w:t>Talent Management &amp; RetentionCorporate Responsibility</w:t>
      </w:r>
    </w:p>
    <w:p>
      <w:pPr>
        <w:spacing w:after="0" w:line="19" w:lineRule="exact"/>
        <w:rPr>
          <w:sz w:val="20"/>
          <w:szCs w:val="20"/>
          <w:color w:val="auto"/>
        </w:rPr>
      </w:pPr>
    </w:p>
    <w:tbl>
      <w:tblPr>
        <w:tblLayout w:type="fixed"/>
        <w:tblInd w:w="980" w:type="dxa"/>
        <w:tblCellMar>
          <w:top w:w="0" w:type="dxa"/>
          <w:left w:w="0" w:type="dxa"/>
          <w:bottom w:w="0" w:type="dxa"/>
          <w:right w:w="0" w:type="dxa"/>
        </w:tblCellMar>
      </w:tblPr>
      <w:tr>
        <w:trPr>
          <w:trHeight w:val="200"/>
        </w:trPr>
        <w:tc>
          <w:tcPr>
            <w:tcW w:w="140" w:type="dxa"/>
            <w:vAlign w:val="bottom"/>
          </w:tcPr>
          <w:p>
            <w:pPr>
              <w:spacing w:after="0"/>
              <w:rPr>
                <w:sz w:val="20"/>
                <w:szCs w:val="20"/>
                <w:color w:val="auto"/>
              </w:rPr>
            </w:pPr>
            <w:r>
              <w:rPr>
                <w:rFonts w:ascii="Arial" w:cs="Arial" w:eastAsia="Arial" w:hAnsi="Arial"/>
                <w:sz w:val="16"/>
                <w:szCs w:val="16"/>
                <w:color w:val="065BAA"/>
              </w:rPr>
              <w:t>•</w:t>
            </w:r>
          </w:p>
        </w:tc>
        <w:tc>
          <w:tcPr>
            <w:tcW w:w="3620" w:type="dxa"/>
            <w:vAlign w:val="bottom"/>
          </w:tcPr>
          <w:p>
            <w:pPr>
              <w:ind w:left="60"/>
              <w:spacing w:after="0"/>
              <w:rPr>
                <w:sz w:val="20"/>
                <w:szCs w:val="20"/>
                <w:color w:val="auto"/>
              </w:rPr>
            </w:pPr>
            <w:r>
              <w:rPr>
                <w:rFonts w:ascii="Arial" w:cs="Arial" w:eastAsia="Arial" w:hAnsi="Arial"/>
                <w:sz w:val="16"/>
                <w:szCs w:val="16"/>
                <w:color w:val="auto"/>
              </w:rPr>
              <w:t>Growth of global workforce to support our long-</w:t>
            </w:r>
          </w:p>
        </w:tc>
        <w:tc>
          <w:tcPr>
            <w:tcW w:w="3380" w:type="dxa"/>
            <w:vAlign w:val="bottom"/>
            <w:gridSpan w:val="2"/>
          </w:tcPr>
          <w:p>
            <w:pPr>
              <w:ind w:left="180"/>
              <w:spacing w:after="0"/>
              <w:rPr>
                <w:sz w:val="20"/>
                <w:szCs w:val="20"/>
                <w:color w:val="auto"/>
              </w:rPr>
            </w:pPr>
            <w:r>
              <w:rPr>
                <w:rFonts w:ascii="Arial" w:cs="Arial" w:eastAsia="Arial" w:hAnsi="Arial"/>
                <w:sz w:val="16"/>
                <w:szCs w:val="16"/>
                <w:color w:val="065BAA"/>
              </w:rPr>
              <w:t xml:space="preserve">•  </w:t>
            </w:r>
            <w:r>
              <w:rPr>
                <w:rFonts w:ascii="Arial" w:cs="Arial" w:eastAsia="Arial" w:hAnsi="Arial"/>
                <w:sz w:val="16"/>
                <w:szCs w:val="16"/>
                <w:color w:val="000000"/>
              </w:rPr>
              <w:t>Corporate responsibility and sustainability</w:t>
            </w:r>
          </w:p>
        </w:tc>
      </w:tr>
      <w:tr>
        <w:trPr>
          <w:trHeight w:val="203"/>
        </w:trPr>
        <w:tc>
          <w:tcPr>
            <w:tcW w:w="140" w:type="dxa"/>
            <w:vAlign w:val="bottom"/>
          </w:tcPr>
          <w:p>
            <w:pPr>
              <w:spacing w:after="0"/>
              <w:rPr>
                <w:sz w:val="17"/>
                <w:szCs w:val="17"/>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term strategic objectives</w:t>
            </w:r>
          </w:p>
        </w:tc>
        <w:tc>
          <w:tcPr>
            <w:tcW w:w="320" w:type="dxa"/>
            <w:vAlign w:val="bottom"/>
          </w:tcPr>
          <w:p>
            <w:pPr>
              <w:spacing w:after="0"/>
              <w:rPr>
                <w:sz w:val="17"/>
                <w:szCs w:val="17"/>
                <w:color w:val="auto"/>
              </w:rPr>
            </w:pPr>
          </w:p>
        </w:tc>
        <w:tc>
          <w:tcPr>
            <w:tcW w:w="3060" w:type="dxa"/>
            <w:vAlign w:val="bottom"/>
          </w:tcPr>
          <w:p>
            <w:pPr>
              <w:ind w:left="60"/>
              <w:spacing w:after="0"/>
              <w:rPr>
                <w:sz w:val="20"/>
                <w:szCs w:val="20"/>
                <w:color w:val="auto"/>
              </w:rPr>
            </w:pPr>
            <w:r>
              <w:rPr>
                <w:rFonts w:ascii="Arial" w:cs="Arial" w:eastAsia="Arial" w:hAnsi="Arial"/>
                <w:sz w:val="16"/>
                <w:szCs w:val="16"/>
                <w:color w:val="auto"/>
              </w:rPr>
              <w:t>activities, reporting, ratings, and rankings</w:t>
            </w:r>
          </w:p>
        </w:tc>
      </w:tr>
      <w:tr>
        <w:trPr>
          <w:trHeight w:val="203"/>
        </w:trPr>
        <w:tc>
          <w:tcPr>
            <w:tcW w:w="140" w:type="dxa"/>
            <w:vAlign w:val="bottom"/>
          </w:tcPr>
          <w:p>
            <w:pPr>
              <w:spacing w:after="0"/>
              <w:rPr>
                <w:sz w:val="20"/>
                <w:szCs w:val="20"/>
                <w:color w:val="auto"/>
              </w:rPr>
            </w:pPr>
            <w:r>
              <w:rPr>
                <w:rFonts w:ascii="Arial" w:cs="Arial" w:eastAsia="Arial" w:hAnsi="Arial"/>
                <w:sz w:val="16"/>
                <w:szCs w:val="16"/>
                <w:color w:val="065BAA"/>
              </w:rPr>
              <w:t>•</w:t>
            </w:r>
          </w:p>
        </w:tc>
        <w:tc>
          <w:tcPr>
            <w:tcW w:w="3620" w:type="dxa"/>
            <w:vAlign w:val="bottom"/>
          </w:tcPr>
          <w:p>
            <w:pPr>
              <w:ind w:left="60"/>
              <w:spacing w:after="0"/>
              <w:rPr>
                <w:sz w:val="20"/>
                <w:szCs w:val="20"/>
                <w:color w:val="auto"/>
              </w:rPr>
            </w:pPr>
            <w:r>
              <w:rPr>
                <w:rFonts w:ascii="Arial" w:cs="Arial" w:eastAsia="Arial" w:hAnsi="Arial"/>
                <w:sz w:val="16"/>
                <w:szCs w:val="16"/>
                <w:color w:val="auto"/>
              </w:rPr>
              <w:t>Employee retention and below-industry</w:t>
            </w:r>
          </w:p>
        </w:tc>
        <w:tc>
          <w:tcPr>
            <w:tcW w:w="320" w:type="dxa"/>
            <w:vAlign w:val="bottom"/>
          </w:tcPr>
          <w:p>
            <w:pPr>
              <w:ind w:left="180"/>
              <w:spacing w:after="0"/>
              <w:rPr>
                <w:sz w:val="20"/>
                <w:szCs w:val="20"/>
                <w:color w:val="auto"/>
              </w:rPr>
            </w:pPr>
            <w:r>
              <w:rPr>
                <w:rFonts w:ascii="Arial" w:cs="Arial" w:eastAsia="Arial" w:hAnsi="Arial"/>
                <w:sz w:val="16"/>
                <w:szCs w:val="16"/>
                <w:color w:val="065BAA"/>
              </w:rPr>
              <w:t>•</w:t>
            </w:r>
          </w:p>
        </w:tc>
        <w:tc>
          <w:tcPr>
            <w:tcW w:w="3060" w:type="dxa"/>
            <w:vAlign w:val="bottom"/>
          </w:tcPr>
          <w:p>
            <w:pPr>
              <w:ind w:left="60"/>
              <w:spacing w:after="0"/>
              <w:rPr>
                <w:sz w:val="20"/>
                <w:szCs w:val="20"/>
                <w:color w:val="auto"/>
              </w:rPr>
            </w:pPr>
            <w:r>
              <w:rPr>
                <w:rFonts w:ascii="Arial" w:cs="Arial" w:eastAsia="Arial" w:hAnsi="Arial"/>
                <w:sz w:val="16"/>
                <w:szCs w:val="16"/>
                <w:color w:val="auto"/>
              </w:rPr>
              <w:t>Corporate giving</w:t>
            </w:r>
          </w:p>
        </w:tc>
      </w:tr>
      <w:tr>
        <w:trPr>
          <w:trHeight w:val="215"/>
        </w:trPr>
        <w:tc>
          <w:tcPr>
            <w:tcW w:w="140" w:type="dxa"/>
            <w:vAlign w:val="bottom"/>
          </w:tcPr>
          <w:p>
            <w:pPr>
              <w:spacing w:after="0"/>
              <w:rPr>
                <w:sz w:val="18"/>
                <w:szCs w:val="18"/>
                <w:color w:val="auto"/>
              </w:rPr>
            </w:pPr>
          </w:p>
        </w:tc>
        <w:tc>
          <w:tcPr>
            <w:tcW w:w="3620" w:type="dxa"/>
            <w:vAlign w:val="bottom"/>
          </w:tcPr>
          <w:p>
            <w:pPr>
              <w:ind w:left="60"/>
              <w:spacing w:after="0"/>
              <w:rPr>
                <w:sz w:val="20"/>
                <w:szCs w:val="20"/>
                <w:color w:val="auto"/>
              </w:rPr>
            </w:pPr>
            <w:r>
              <w:rPr>
                <w:rFonts w:ascii="Arial" w:cs="Arial" w:eastAsia="Arial" w:hAnsi="Arial"/>
                <w:sz w:val="16"/>
                <w:szCs w:val="16"/>
                <w:color w:val="auto"/>
              </w:rPr>
              <w:t>attrition rate</w:t>
            </w:r>
          </w:p>
        </w:tc>
        <w:tc>
          <w:tcPr>
            <w:tcW w:w="320" w:type="dxa"/>
            <w:vAlign w:val="bottom"/>
          </w:tcPr>
          <w:p>
            <w:pPr>
              <w:ind w:left="180"/>
              <w:spacing w:after="0"/>
              <w:rPr>
                <w:sz w:val="20"/>
                <w:szCs w:val="20"/>
                <w:color w:val="auto"/>
              </w:rPr>
            </w:pPr>
            <w:r>
              <w:rPr>
                <w:rFonts w:ascii="Arial" w:cs="Arial" w:eastAsia="Arial" w:hAnsi="Arial"/>
                <w:sz w:val="16"/>
                <w:szCs w:val="16"/>
                <w:color w:val="065BAA"/>
              </w:rPr>
              <w:t>•</w:t>
            </w:r>
          </w:p>
        </w:tc>
        <w:tc>
          <w:tcPr>
            <w:tcW w:w="3060" w:type="dxa"/>
            <w:vAlign w:val="bottom"/>
          </w:tcPr>
          <w:p>
            <w:pPr>
              <w:ind w:left="60"/>
              <w:spacing w:after="0"/>
              <w:rPr>
                <w:sz w:val="20"/>
                <w:szCs w:val="20"/>
                <w:color w:val="auto"/>
              </w:rPr>
            </w:pPr>
            <w:r>
              <w:rPr>
                <w:rFonts w:ascii="Arial" w:cs="Arial" w:eastAsia="Arial" w:hAnsi="Arial"/>
                <w:sz w:val="16"/>
                <w:szCs w:val="16"/>
                <w:color w:val="auto"/>
              </w:rPr>
              <w:t>Philanthropic and citizenship programs</w:t>
            </w:r>
          </w:p>
        </w:tc>
      </w:tr>
    </w:tbl>
    <w:p>
      <w:pPr>
        <w:ind w:left="1180" w:hanging="193"/>
        <w:spacing w:after="0"/>
        <w:tabs>
          <w:tab w:leader="none" w:pos="1180" w:val="left"/>
        </w:tabs>
        <w:numPr>
          <w:ilvl w:val="0"/>
          <w:numId w:val="191"/>
        </w:numPr>
        <w:rPr>
          <w:rFonts w:ascii="Arial" w:cs="Arial" w:eastAsia="Arial" w:hAnsi="Arial"/>
          <w:sz w:val="16"/>
          <w:szCs w:val="16"/>
          <w:color w:val="065BAA"/>
        </w:rPr>
      </w:pPr>
      <w:r>
        <w:rPr>
          <w:rFonts w:ascii="Arial" w:cs="Arial" w:eastAsia="Arial" w:hAnsi="Arial"/>
          <w:sz w:val="16"/>
          <w:szCs w:val="16"/>
          <w:color w:val="auto"/>
        </w:rPr>
        <w:t>Outside recognition and employee feedback</w:t>
      </w:r>
    </w:p>
    <w:p>
      <w:pPr>
        <w:spacing w:after="0" w:line="39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91</w:t>
            </w:r>
          </w:p>
        </w:tc>
      </w:tr>
    </w:tbl>
    <w:p>
      <w:pPr>
        <w:sectPr>
          <w:pgSz w:w="11900" w:h="16838" w:orient="portrait"/>
          <w:cols w:equalWidth="0" w:num="1">
            <w:col w:w="9019"/>
          </w:cols>
          <w:pgMar w:left="1440" w:top="657" w:right="1440" w:bottom="1440" w:gutter="0" w:footer="0" w:header="0"/>
        </w:sectPr>
      </w:pPr>
    </w:p>
    <w:bookmarkStart w:id="100" w:name="page101"/>
    <w:bookmarkEnd w:id="100"/>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Perquisites and Personal Benefits</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All employees who participate in our 401(k) Savings Plan, including the NEOs, are eligible to receive certain matching</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contributions. In each plan year, we contribute to each participant’s account a matching contribution (in the form of shares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of our common stock) equal to a specified percentage of the participant’s compensation that the participant has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contributed to the plan, up to a maximum level established under the Internal Revenue Code. Each of our NEOs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participated in our 401(k) Savings Plan during 2025 and received matching contributions in the aggregate amount of</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$15,500 in the form of shares of our common stock. The contributions were paid quarterly up and until the maximum level</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was reached and are included in the compensation amounts reported for each of our NEOs in the Summary</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Compensation Table included in this proxy statement. As with all employees, the number of shares of common stock that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each NEO received in a particular quarter was determined using the average market price per share of our common stock</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during that quarter.</w:t>
      </w:r>
    </w:p>
    <w:p>
      <w:pPr>
        <w:spacing w:after="0" w:line="167" w:lineRule="exact"/>
        <w:rPr>
          <w:sz w:val="20"/>
          <w:szCs w:val="20"/>
          <w:color w:val="auto"/>
        </w:rPr>
      </w:pPr>
    </w:p>
    <w:p>
      <w:pPr>
        <w:ind w:left="140" w:right="179"/>
        <w:spacing w:after="0" w:line="288" w:lineRule="auto"/>
        <w:rPr>
          <w:sz w:val="20"/>
          <w:szCs w:val="20"/>
          <w:color w:val="auto"/>
        </w:rPr>
      </w:pPr>
      <w:r>
        <w:rPr>
          <w:rFonts w:ascii="Arial" w:cs="Arial" w:eastAsia="Arial" w:hAnsi="Arial"/>
          <w:sz w:val="16"/>
          <w:szCs w:val="16"/>
          <w:color w:val="auto"/>
        </w:rPr>
        <w:t>Subject to any existing contractual obligations, other Company policies, and applicable legal requirements, our NEOs are eligible to receive certain perquisites that, in the Compensation Committee’s judgment, serve a business purpose or are otherwise needed to further Regeneron’s business objectives. Any perquisites provided to our NEOs must be in compliance with a Compensation Committee-approved policy regarding senior officer perquisites and are periodically reviewed by the Committee. Certain of the perquisites provided to our NEOs in, or with respect to, 2025 are described below, and additional information is given in the applicable footnotes to the Summary Compensation Table included in this proxy statement.</w:t>
      </w:r>
    </w:p>
    <w:p>
      <w:pPr>
        <w:spacing w:after="0" w:line="115" w:lineRule="exact"/>
        <w:rPr>
          <w:sz w:val="20"/>
          <w:szCs w:val="20"/>
          <w:color w:val="auto"/>
        </w:rPr>
      </w:pPr>
    </w:p>
    <w:p>
      <w:pPr>
        <w:ind w:left="140" w:right="139"/>
        <w:spacing w:after="0" w:line="283" w:lineRule="auto"/>
        <w:rPr>
          <w:sz w:val="20"/>
          <w:szCs w:val="20"/>
          <w:color w:val="auto"/>
        </w:rPr>
      </w:pPr>
      <w:r>
        <w:rPr>
          <w:rFonts w:ascii="Arial" w:cs="Arial" w:eastAsia="Arial" w:hAnsi="Arial"/>
          <w:sz w:val="16"/>
          <w:szCs w:val="16"/>
          <w:color w:val="auto"/>
        </w:rPr>
        <w:t>To achieve increased efficiencies and a more secure traveling environment, the Company provides air transportation for certain executive and director travel in accordance with guidelines approved by our board of directors. Based on the recommendation of an independent, third-party security study, the guidelines and our security policy require Drs. Schleifer and Yancopoulos to use, as much as practicable, Company-provided aircraft for all business and personal air travel. Family members or other guests may accompany Drs. Schleifer and Yancopoulos during Company-provided air travel, space permitting, so long as, except as provided below, they cover any incremental cost related to such guests. Regeneron covers the cost of any such personal air travel for up to $300,000 in incremental cost (as described below) annually for each of Drs. Schleifer and Yancopoulos (as well as their permitted guests). Family members or other guests may also accompany our other NEOs and directors during Company-provided air business travel, space permitting, so long as they cover any incremental cost related to such guests. In addition, in limited circumstances personal use of Company-provided air travel by our other NEOs or directors may be permitted if authorized by either co-Chair of the Board and any incremental cost is paid by the lead passenger. Any required reimbursement or other payment of the incremental cost is made to the extent permitted by applicable Federal Aviation Administration rules.</w:t>
      </w:r>
    </w:p>
    <w:p>
      <w:pPr>
        <w:spacing w:after="0" w:line="123" w:lineRule="exact"/>
        <w:rPr>
          <w:sz w:val="20"/>
          <w:szCs w:val="20"/>
          <w:color w:val="auto"/>
        </w:rPr>
      </w:pPr>
    </w:p>
    <w:p>
      <w:pPr>
        <w:ind w:left="140" w:right="259"/>
        <w:spacing w:after="0" w:line="283" w:lineRule="auto"/>
        <w:rPr>
          <w:sz w:val="20"/>
          <w:szCs w:val="20"/>
          <w:color w:val="auto"/>
        </w:rPr>
      </w:pPr>
      <w:r>
        <w:rPr>
          <w:rFonts w:ascii="Arial" w:cs="Arial" w:eastAsia="Arial" w:hAnsi="Arial"/>
          <w:sz w:val="16"/>
          <w:szCs w:val="16"/>
          <w:color w:val="auto"/>
        </w:rPr>
        <w:t>We determine the incremental cost of any Company-provided personal or guest air travel based on the direct variable operating cost. Items included in the calculation include (as applicable) fuel costs; landing, non-home-base hangar or aircraft parking, and ground handling fees; in-flight catering; travel, lodging, and other expenses for flight crew; and other trip-related variable cost, including the use of our fractional jet interests. Because Company-provided air transportation is used primarily for business travel, incremental costs exclude fixed costs that generally do not change based on usage, such as (as applicable) flight crew salaries; aircraft purchase or lease costs; depreciation; insurance costs; certain maintenance fees based on minimum usage; and home-base hangar costs. When the aircraft is already flying to a destination for business purposes, only the direct variable costs associated with the guest (for example, catering), if any, are included in determining the aggregate incremental cost to Regeneron. If any aircraft flies empty before picking up or after dropping off a passenger for personal reasons, this “deadhead” segment would be included in the aggregate incremental cost based on the methodology described above. The amount of disallowed corporate tax deductions attributable to Company-provided personal and guest air travel is not included in the NEO incremental cost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92</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101" w:name="page102"/>
    <w:bookmarkEnd w:id="101"/>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0" w:right="159"/>
        <w:spacing w:after="0" w:line="285" w:lineRule="auto"/>
        <w:rPr>
          <w:sz w:val="20"/>
          <w:szCs w:val="20"/>
          <w:color w:val="auto"/>
        </w:rPr>
      </w:pPr>
      <w:r>
        <w:rPr>
          <w:rFonts w:ascii="Arial" w:cs="Arial" w:eastAsia="Arial" w:hAnsi="Arial"/>
          <w:sz w:val="16"/>
          <w:szCs w:val="16"/>
          <w:color w:val="auto"/>
        </w:rPr>
        <w:t>The security policy also covers other security services consisting of secure car transportation, on-site residential security at the primary residence for each of Drs. Schleifer and Yancopoulos, and 24/7 personal security services for Drs. Schleifer and Yancopoulos. Such services are rendered by third-party providers and/or full-time employees of the Company depending on availability and time of day. The incremental costs of such services are calculated based on the methodology described below and exclude costs that the Company would have incurred in any event, such as the ordinary wages, taxes, and benefits of drivers that are employed full-time by the Company for business travel and the costs of security services provided at the Company’s offices during normal business hours. We generally calculate the incremental costs of such services based on (a) an assumed fuel cost per mile (based on then applicable standard mileage rates published by the Internal Revenue Service) times total miles traveled in connection with secure car transportation for personal travel or security services outside of the office; (b) the amount paid by the Company to the third-party providers of such services or any overtime wages of, and out-of-pocket expenses incurred by, full-time employees of the Company attributed to such services; and (c) the costs of leasing or renting vehicles dedicated to the provision of such services.</w:t>
      </w:r>
    </w:p>
    <w:p>
      <w:pPr>
        <w:spacing w:after="0" w:line="321" w:lineRule="exact"/>
        <w:rPr>
          <w:sz w:val="20"/>
          <w:szCs w:val="20"/>
          <w:color w:val="auto"/>
        </w:rPr>
      </w:pPr>
    </w:p>
    <w:p>
      <w:pPr>
        <w:jc w:val="both"/>
        <w:ind w:left="140" w:right="199"/>
        <w:spacing w:after="0" w:line="301" w:lineRule="auto"/>
        <w:rPr>
          <w:sz w:val="20"/>
          <w:szCs w:val="20"/>
          <w:color w:val="auto"/>
        </w:rPr>
      </w:pPr>
      <w:r>
        <w:rPr>
          <w:rFonts w:ascii="Arial" w:cs="Arial" w:eastAsia="Arial" w:hAnsi="Arial"/>
          <w:sz w:val="16"/>
          <w:szCs w:val="16"/>
          <w:color w:val="auto"/>
        </w:rPr>
        <w:t>Amounts associated with personal or guest Company-provided air transportation and other security services are imputed as income to the NEOs to the extent required by applicable tax regulations. The NEOs do not receive a tax gross-up from us to cover their personal income tax obligations in respect of any such imputed income.</w:t>
      </w:r>
    </w:p>
    <w:p>
      <w:pPr>
        <w:spacing w:after="0" w:line="104" w:lineRule="exact"/>
        <w:rPr>
          <w:sz w:val="20"/>
          <w:szCs w:val="20"/>
          <w:color w:val="auto"/>
        </w:rPr>
      </w:pPr>
    </w:p>
    <w:p>
      <w:pPr>
        <w:ind w:left="140" w:right="279"/>
        <w:spacing w:after="0" w:line="295" w:lineRule="auto"/>
        <w:rPr>
          <w:sz w:val="20"/>
          <w:szCs w:val="20"/>
          <w:color w:val="auto"/>
        </w:rPr>
      </w:pPr>
      <w:r>
        <w:rPr>
          <w:rFonts w:ascii="Arial" w:cs="Arial" w:eastAsia="Arial" w:hAnsi="Arial"/>
          <w:sz w:val="16"/>
          <w:szCs w:val="16"/>
          <w:color w:val="auto"/>
        </w:rPr>
        <w:t>The amounts disclosed in the “All other compensation” column of the Summary Compensation Table relating to personal and guest use of Company-provided air transportation and other security services in accordance with our security policy attributable to Drs. Schleifer and Yancopoulos are based on the incremental cost resulting from such transportation/ services as described above.</w:t>
      </w:r>
    </w:p>
    <w:p>
      <w:pPr>
        <w:spacing w:after="0" w:line="94" w:lineRule="exact"/>
        <w:rPr>
          <w:sz w:val="20"/>
          <w:szCs w:val="20"/>
          <w:color w:val="auto"/>
        </w:rPr>
      </w:pPr>
    </w:p>
    <w:p>
      <w:pPr>
        <w:ind w:left="140" w:right="199"/>
        <w:spacing w:after="0" w:line="321" w:lineRule="auto"/>
        <w:rPr>
          <w:sz w:val="20"/>
          <w:szCs w:val="20"/>
          <w:color w:val="auto"/>
        </w:rPr>
      </w:pPr>
      <w:r>
        <w:rPr>
          <w:rFonts w:ascii="Arial" w:cs="Arial" w:eastAsia="Arial" w:hAnsi="Arial"/>
          <w:sz w:val="16"/>
          <w:szCs w:val="16"/>
          <w:color w:val="auto"/>
        </w:rPr>
        <w:t>The Corporate Governance and Compliance Committee monitors business and any personal or guest Company-provided air travel on a periodic basis.</w:t>
      </w:r>
    </w:p>
    <w:p>
      <w:pPr>
        <w:spacing w:after="0" w:line="201"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Potential Severance Payments</w:t>
      </w:r>
    </w:p>
    <w:p>
      <w:pPr>
        <w:spacing w:after="0" w:line="193" w:lineRule="exact"/>
        <w:rPr>
          <w:sz w:val="20"/>
          <w:szCs w:val="20"/>
          <w:color w:val="auto"/>
        </w:rPr>
      </w:pPr>
    </w:p>
    <w:p>
      <w:pPr>
        <w:jc w:val="both"/>
        <w:ind w:left="140" w:right="299"/>
        <w:spacing w:after="0" w:line="292" w:lineRule="auto"/>
        <w:rPr>
          <w:sz w:val="20"/>
          <w:szCs w:val="20"/>
          <w:color w:val="auto"/>
        </w:rPr>
      </w:pPr>
      <w:r>
        <w:rPr>
          <w:rFonts w:ascii="Arial" w:cs="Arial" w:eastAsia="Arial" w:hAnsi="Arial"/>
          <w:sz w:val="16"/>
          <w:szCs w:val="16"/>
          <w:color w:val="auto"/>
        </w:rPr>
        <w:t>The award agreements governing unvested equity awards for our NEOs and other employees include a “double trigger” provision for the acceleration of vesting of unvested awards upon a termination by the Company without cause or by the employee for good reason within two years following a change in control.</w:t>
      </w:r>
    </w:p>
    <w:p>
      <w:pPr>
        <w:spacing w:after="0" w:line="111" w:lineRule="exact"/>
        <w:rPr>
          <w:sz w:val="20"/>
          <w:szCs w:val="20"/>
          <w:color w:val="auto"/>
        </w:rPr>
      </w:pPr>
    </w:p>
    <w:p>
      <w:pPr>
        <w:ind w:left="140" w:right="199"/>
        <w:spacing w:after="0" w:line="281" w:lineRule="auto"/>
        <w:rPr>
          <w:sz w:val="20"/>
          <w:szCs w:val="20"/>
          <w:color w:val="auto"/>
        </w:rPr>
      </w:pPr>
      <w:r>
        <w:rPr>
          <w:rFonts w:ascii="Arial" w:cs="Arial" w:eastAsia="Arial" w:hAnsi="Arial"/>
          <w:sz w:val="16"/>
          <w:szCs w:val="16"/>
          <w:color w:val="auto"/>
        </w:rPr>
        <w:t>Our CEO has an employment agreement that provides for certain severance benefits following termination, including following death or disability, resignation following defined “good reason” events, or termination in connection with a change in control. The other NEOs are covered by a change in control severance plan, which provides certain benefits to them and other designated officers if they are terminated in connection with a change in control. In addition, in the case of our CSO, stock option, RSA, and PSU award agreements applicable to his awards provide that he would have a “good reason” for terminating his employment with Regeneron upon or within two years after the occurrence of a change in control if the employment of our CEO has ended due to our CEO’s involuntary termination (as defined in the CEO’s employment agreement). Information regarding applicable payments under this employment agreement and change</w:t>
      </w:r>
    </w:p>
    <w:p>
      <w:pPr>
        <w:spacing w:after="0" w:line="5" w:lineRule="exact"/>
        <w:rPr>
          <w:sz w:val="20"/>
          <w:szCs w:val="20"/>
          <w:color w:val="auto"/>
        </w:rPr>
      </w:pPr>
    </w:p>
    <w:p>
      <w:pPr>
        <w:ind w:left="140" w:right="739"/>
        <w:spacing w:after="0" w:line="321" w:lineRule="auto"/>
        <w:rPr>
          <w:sz w:val="20"/>
          <w:szCs w:val="20"/>
          <w:color w:val="auto"/>
        </w:rPr>
      </w:pPr>
      <w:r>
        <w:rPr>
          <w:rFonts w:ascii="Arial" w:cs="Arial" w:eastAsia="Arial" w:hAnsi="Arial"/>
          <w:sz w:val="16"/>
          <w:szCs w:val="16"/>
          <w:color w:val="auto"/>
        </w:rPr>
        <w:t>in control severance plan is provided in the subsection “2025 Executive Compensation Tables—Post-Employment Compensation.”</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Our NEOs will forfeit any unvested stock options or RSAs upon the termination of their employment for any reason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(including disability or retirement) other than death, except as provided in our change in control severance plan. In the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event of the death of an employee, any unvested stock options held by such employee become immediately exercisable,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and any shares subject to RSAs/RSUs will become fully vested. For information regarding the value of accelerated equity</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awards held by our CEO and other NEOs (as applicable) as of December 31, 2025, see the subsection “2025 Executive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Compensation Tables—Post-Employment Compensation” in the table entitled “Potential Severance Payments under</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Dr. Schleifer’s Employment Agreement” (for our CEO) and the table entitled “Potential Payments under Change in Control</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Severance Plan” (for other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93</w:t>
            </w:r>
          </w:p>
        </w:tc>
      </w:tr>
    </w:tbl>
    <w:p>
      <w:pPr>
        <w:sectPr>
          <w:pgSz w:w="11900" w:h="16838" w:orient="portrait"/>
          <w:cols w:equalWidth="0" w:num="1">
            <w:col w:w="9019"/>
          </w:cols>
          <w:pgMar w:left="1440" w:top="657" w:right="1440" w:bottom="1440" w:gutter="0" w:footer="0" w:header="0"/>
        </w:sectPr>
      </w:pPr>
    </w:p>
    <w:bookmarkStart w:id="102" w:name="page103"/>
    <w:bookmarkEnd w:id="102"/>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40" w:right="399"/>
        <w:spacing w:after="0" w:line="301" w:lineRule="auto"/>
        <w:rPr>
          <w:sz w:val="20"/>
          <w:szCs w:val="20"/>
          <w:color w:val="auto"/>
        </w:rPr>
      </w:pPr>
      <w:r>
        <w:rPr>
          <w:rFonts w:ascii="Arial" w:cs="Arial" w:eastAsia="Arial" w:hAnsi="Arial"/>
          <w:sz w:val="16"/>
          <w:szCs w:val="16"/>
          <w:color w:val="auto"/>
        </w:rPr>
        <w:t>When employees retire, they forfeit all unvested stock options and RSAs. An employee considered “retirement eligible” upon separation under our employee policies as in effect from time to time has the remaining life of the 10-year stock option term to exercise stock options that are vested as of the date of his or her retirement.</w:t>
      </w:r>
    </w:p>
    <w:p>
      <w:pPr>
        <w:spacing w:after="0" w:line="104" w:lineRule="exact"/>
        <w:rPr>
          <w:sz w:val="20"/>
          <w:szCs w:val="20"/>
          <w:color w:val="auto"/>
        </w:rPr>
      </w:pPr>
    </w:p>
    <w:p>
      <w:pPr>
        <w:ind w:left="140" w:right="199"/>
        <w:spacing w:after="0" w:line="287" w:lineRule="auto"/>
        <w:rPr>
          <w:sz w:val="20"/>
          <w:szCs w:val="20"/>
          <w:color w:val="auto"/>
        </w:rPr>
      </w:pPr>
      <w:r>
        <w:rPr>
          <w:rFonts w:ascii="Arial" w:cs="Arial" w:eastAsia="Arial" w:hAnsi="Arial"/>
          <w:sz w:val="16"/>
          <w:szCs w:val="16"/>
          <w:color w:val="auto"/>
        </w:rPr>
        <w:t>The change-in-control severance benefits provided to our NEOs are designed to promote stability and continuity of our senior management and are intended to preserve employee morale and productivity and encourage retention in the face of the disruptive impact of an actual, threatened, or rumored change in control of the Company. These severance benefits were established following a review of comparable practices at the Company’s peer companies and with the advice of the Compensation Committee’s consultant.</w:t>
      </w:r>
    </w:p>
    <w:p>
      <w:pPr>
        <w:spacing w:after="0" w:line="115" w:lineRule="exact"/>
        <w:rPr>
          <w:sz w:val="20"/>
          <w:szCs w:val="20"/>
          <w:color w:val="auto"/>
        </w:rPr>
      </w:pPr>
    </w:p>
    <w:p>
      <w:pPr>
        <w:jc w:val="both"/>
        <w:ind w:left="140" w:right="299"/>
        <w:spacing w:after="0" w:line="301" w:lineRule="auto"/>
        <w:rPr>
          <w:sz w:val="20"/>
          <w:szCs w:val="20"/>
          <w:color w:val="auto"/>
        </w:rPr>
      </w:pPr>
      <w:r>
        <w:rPr>
          <w:rFonts w:ascii="Arial" w:cs="Arial" w:eastAsia="Arial" w:hAnsi="Arial"/>
          <w:sz w:val="16"/>
          <w:szCs w:val="16"/>
          <w:color w:val="auto"/>
        </w:rPr>
        <w:t>We have no pension, deferred compensation, or retirement plans applicable to our NEOs, other than our 401(k) Savings Plan described above and except as described under “Nonqualified Deferred Compensation at 2025 Fiscal Year-End” in respect of certain vested PSUs that remain subject to a mandatory deferral and holding period.</w:t>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Pay Ratio</w:t>
      </w:r>
    </w:p>
    <w:p>
      <w:pPr>
        <w:spacing w:after="0" w:line="180" w:lineRule="exact"/>
        <w:rPr>
          <w:sz w:val="20"/>
          <w:szCs w:val="20"/>
          <w:color w:val="auto"/>
        </w:rPr>
      </w:pPr>
    </w:p>
    <w:p>
      <w:pPr>
        <w:ind w:left="140" w:right="199"/>
        <w:spacing w:after="0" w:line="295"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required to disclose the median of the annual total compensation of our employees (excluding our principal executive officer), the annual total compensation of our principal executive officer, Dr. Schleifer, and the ratio of these two amounts.</w:t>
      </w:r>
    </w:p>
    <w:p>
      <w:pPr>
        <w:spacing w:after="0" w:line="108" w:lineRule="exact"/>
        <w:rPr>
          <w:sz w:val="20"/>
          <w:szCs w:val="20"/>
          <w:color w:val="auto"/>
        </w:rPr>
      </w:pPr>
    </w:p>
    <w:p>
      <w:pPr>
        <w:jc w:val="both"/>
        <w:ind w:left="140" w:right="319"/>
        <w:spacing w:after="0" w:line="295" w:lineRule="auto"/>
        <w:rPr>
          <w:sz w:val="20"/>
          <w:szCs w:val="20"/>
          <w:color w:val="auto"/>
        </w:rPr>
      </w:pPr>
      <w:r>
        <w:rPr>
          <w:rFonts w:ascii="Arial" w:cs="Arial" w:eastAsia="Arial" w:hAnsi="Arial"/>
          <w:sz w:val="16"/>
          <w:szCs w:val="16"/>
          <w:color w:val="auto"/>
        </w:rPr>
        <w:t>We have determined the total compensation of our median employee (based on the 2025 annual total compensation of our employees, excluding Dr. Schleifer) to be $174,138. The total 2025 compensation of Dr. Schleifer, as reported in the Summary Compensation Table above, was $7,280,549. Accordingly, the ratio of the 2025 annual total compensation of Dr. Schleifer to the median of the 2025 annual total compensation of our employees was approximately 42 to 1.</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 2025, we identified the median employee as of December 31, 2025 by (i) aggregating for each applicable employee</w:t>
      </w:r>
    </w:p>
    <w:p>
      <w:pPr>
        <w:spacing w:after="0" w:line="32" w:lineRule="exact"/>
        <w:rPr>
          <w:sz w:val="20"/>
          <w:szCs w:val="20"/>
          <w:color w:val="auto"/>
        </w:rPr>
      </w:pPr>
    </w:p>
    <w:p>
      <w:pPr>
        <w:ind w:left="140" w:right="239" w:hanging="10"/>
        <w:spacing w:after="0" w:line="287" w:lineRule="auto"/>
        <w:tabs>
          <w:tab w:leader="none" w:pos="383"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annual base salary for salaried employees (or wages plus overtime, based on annual work schedule, for permanent hourly employees), (b) the target annual cash incentive, and (c) the grant date fair value of any equity awards granted during 2025, and (ii) ranking this compensation measure from lowest to highest. This calculation was performed for all employees, excluding Dr. Schleifer, whether employed on a full-time, part-time, or seasonal basis. For purposes of identifying the median employee, we converted amounts paid in foreign currencies to U.S. dollars based on the applicable 2025 average exchange rate. This process resulted in the identification of two employees whose 2025 compensation was significantly lower than that of adjacent employees. As a result, we substituted an alternate employee whose compensation was consistent with that of surrounding employees near the median, identified as discussed above.</w:t>
      </w:r>
    </w:p>
    <w:p>
      <w:pPr>
        <w:spacing w:after="0" w:line="116" w:lineRule="exact"/>
        <w:rPr>
          <w:sz w:val="20"/>
          <w:szCs w:val="20"/>
          <w:color w:val="auto"/>
        </w:rPr>
      </w:pPr>
    </w:p>
    <w:p>
      <w:pPr>
        <w:ind w:left="140" w:right="339"/>
        <w:spacing w:after="0" w:line="284" w:lineRule="auto"/>
        <w:rPr>
          <w:sz w:val="20"/>
          <w:szCs w:val="20"/>
          <w:color w:val="auto"/>
        </w:rPr>
      </w:pPr>
      <w:r>
        <w:rPr>
          <w:rFonts w:ascii="Arial" w:cs="Arial" w:eastAsia="Arial" w:hAnsi="Arial"/>
          <w:sz w:val="16"/>
          <w:szCs w:val="16"/>
          <w:color w:val="auto"/>
        </w:rPr>
        <w:t>We believe that 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94</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103" w:name="page104"/>
    <w:bookmarkEnd w:id="103"/>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Pay Versus Performance</w:t>
      </w:r>
    </w:p>
    <w:p>
      <w:pPr>
        <w:spacing w:after="0" w:line="180" w:lineRule="exact"/>
        <w:rPr>
          <w:sz w:val="20"/>
          <w:szCs w:val="20"/>
          <w:color w:val="auto"/>
        </w:rPr>
      </w:pPr>
    </w:p>
    <w:p>
      <w:pPr>
        <w:ind w:left="140" w:right="239"/>
        <w:spacing w:after="0" w:line="289" w:lineRule="auto"/>
        <w:rPr>
          <w:sz w:val="20"/>
          <w:szCs w:val="20"/>
          <w:color w:val="auto"/>
        </w:rPr>
      </w:pPr>
      <w:r>
        <w:rPr>
          <w:rFonts w:ascii="Arial" w:cs="Arial" w:eastAsia="Arial" w:hAnsi="Arial"/>
          <w:sz w:val="16"/>
          <w:szCs w:val="16"/>
          <w:color w:val="auto"/>
        </w:rPr>
        <w:t>As required by Item 402(v) of Regulation S-K, the following table and accompanying footnotes and discussion provide certain information regarding executive compensation of our principal executive officer (“PEO”) and non-PEO NEOs (“Non-PEO NEOs”) and measures of Company performance for the years presented. Except where expressly stated, the information presented below was not considered by the Compensation Committee in structuring our executive compensation program for the years presented, and the reader should instead refer to the section “Compensation Discussion and Analysis” for a description of the philosophy, objectives, and structure of our pay program.</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0" w:type="dxa"/>
            <w:vAlign w:val="bottom"/>
            <w:tcBorders>
              <w:bottom w:val="single" w:sz="8" w:color="065BAA"/>
            </w:tcBorders>
          </w:tcPr>
          <w:p>
            <w:pPr>
              <w:jc w:val="center"/>
              <w:spacing w:after="0"/>
              <w:rPr>
                <w:sz w:val="20"/>
                <w:szCs w:val="20"/>
                <w:color w:val="auto"/>
              </w:rPr>
            </w:pPr>
            <w:r>
              <w:rPr>
                <w:rFonts w:ascii="Arial" w:cs="Arial" w:eastAsia="Arial" w:hAnsi="Arial"/>
                <w:sz w:val="14"/>
                <w:szCs w:val="14"/>
                <w:b w:val="1"/>
                <w:bCs w:val="1"/>
                <w:color w:val="065BAA"/>
                <w:w w:val="98"/>
              </w:rPr>
              <w:t>A</w:t>
            </w:r>
          </w:p>
        </w:tc>
        <w:tc>
          <w:tcPr>
            <w:tcW w:w="1140" w:type="dxa"/>
            <w:vAlign w:val="bottom"/>
            <w:tcBorders>
              <w:bottom w:val="single" w:sz="8" w:color="065BAA"/>
            </w:tcBorders>
          </w:tcPr>
          <w:p>
            <w:pPr>
              <w:ind w:left="500"/>
              <w:spacing w:after="0"/>
              <w:rPr>
                <w:sz w:val="20"/>
                <w:szCs w:val="20"/>
                <w:color w:val="auto"/>
              </w:rPr>
            </w:pPr>
            <w:r>
              <w:rPr>
                <w:rFonts w:ascii="Arial" w:cs="Arial" w:eastAsia="Arial" w:hAnsi="Arial"/>
                <w:sz w:val="14"/>
                <w:szCs w:val="14"/>
                <w:b w:val="1"/>
                <w:bCs w:val="1"/>
                <w:color w:val="065BAA"/>
              </w:rPr>
              <w:t>B</w:t>
            </w:r>
          </w:p>
        </w:tc>
        <w:tc>
          <w:tcPr>
            <w:tcW w:w="1240" w:type="dxa"/>
            <w:vAlign w:val="bottom"/>
            <w:tcBorders>
              <w:bottom w:val="single" w:sz="8" w:color="065BAA"/>
            </w:tcBorders>
          </w:tcPr>
          <w:p>
            <w:pPr>
              <w:jc w:val="right"/>
              <w:ind w:right="548"/>
              <w:spacing w:after="0"/>
              <w:rPr>
                <w:sz w:val="20"/>
                <w:szCs w:val="20"/>
                <w:color w:val="auto"/>
              </w:rPr>
            </w:pPr>
            <w:r>
              <w:rPr>
                <w:rFonts w:ascii="Arial" w:cs="Arial" w:eastAsia="Arial" w:hAnsi="Arial"/>
                <w:sz w:val="14"/>
                <w:szCs w:val="14"/>
                <w:b w:val="1"/>
                <w:bCs w:val="1"/>
                <w:color w:val="065BAA"/>
              </w:rPr>
              <w:t>C</w:t>
            </w:r>
          </w:p>
        </w:tc>
        <w:tc>
          <w:tcPr>
            <w:tcW w:w="1400" w:type="dxa"/>
            <w:vAlign w:val="bottom"/>
            <w:tcBorders>
              <w:bottom w:val="single" w:sz="8" w:color="065BAA"/>
            </w:tcBorders>
          </w:tcPr>
          <w:p>
            <w:pPr>
              <w:jc w:val="right"/>
              <w:ind w:right="628"/>
              <w:spacing w:after="0"/>
              <w:rPr>
                <w:sz w:val="20"/>
                <w:szCs w:val="20"/>
                <w:color w:val="auto"/>
              </w:rPr>
            </w:pPr>
            <w:r>
              <w:rPr>
                <w:rFonts w:ascii="Arial" w:cs="Arial" w:eastAsia="Arial" w:hAnsi="Arial"/>
                <w:sz w:val="14"/>
                <w:szCs w:val="14"/>
                <w:b w:val="1"/>
                <w:bCs w:val="1"/>
                <w:color w:val="065BAA"/>
              </w:rPr>
              <w:t>D</w:t>
            </w:r>
          </w:p>
        </w:tc>
        <w:tc>
          <w:tcPr>
            <w:tcW w:w="1240" w:type="dxa"/>
            <w:vAlign w:val="bottom"/>
            <w:tcBorders>
              <w:bottom w:val="single" w:sz="8" w:color="065BAA"/>
            </w:tcBorders>
          </w:tcPr>
          <w:p>
            <w:pPr>
              <w:jc w:val="right"/>
              <w:ind w:right="531"/>
              <w:spacing w:after="0"/>
              <w:rPr>
                <w:sz w:val="20"/>
                <w:szCs w:val="20"/>
                <w:color w:val="auto"/>
              </w:rPr>
            </w:pPr>
            <w:r>
              <w:rPr>
                <w:rFonts w:ascii="Arial" w:cs="Arial" w:eastAsia="Arial" w:hAnsi="Arial"/>
                <w:sz w:val="14"/>
                <w:szCs w:val="14"/>
                <w:b w:val="1"/>
                <w:bCs w:val="1"/>
                <w:color w:val="065BAA"/>
              </w:rPr>
              <w:t>E</w:t>
            </w:r>
          </w:p>
        </w:tc>
        <w:tc>
          <w:tcPr>
            <w:tcW w:w="620" w:type="dxa"/>
            <w:vAlign w:val="bottom"/>
            <w:tcBorders>
              <w:bottom w:val="single" w:sz="8" w:color="065BAA"/>
            </w:tcBorders>
          </w:tcPr>
          <w:p>
            <w:pPr>
              <w:ind w:left="240"/>
              <w:spacing w:after="0"/>
              <w:rPr>
                <w:sz w:val="20"/>
                <w:szCs w:val="20"/>
                <w:color w:val="auto"/>
              </w:rPr>
            </w:pPr>
            <w:r>
              <w:rPr>
                <w:rFonts w:ascii="Arial" w:cs="Arial" w:eastAsia="Arial" w:hAnsi="Arial"/>
                <w:sz w:val="14"/>
                <w:szCs w:val="14"/>
                <w:b w:val="1"/>
                <w:bCs w:val="1"/>
                <w:color w:val="065BAA"/>
              </w:rPr>
              <w:t>F</w:t>
            </w:r>
          </w:p>
        </w:tc>
        <w:tc>
          <w:tcPr>
            <w:tcW w:w="940" w:type="dxa"/>
            <w:vAlign w:val="bottom"/>
            <w:tcBorders>
              <w:bottom w:val="single" w:sz="8" w:color="065BAA"/>
            </w:tcBorders>
          </w:tcPr>
          <w:p>
            <w:pPr>
              <w:ind w:left="380"/>
              <w:spacing w:after="0"/>
              <w:rPr>
                <w:sz w:val="20"/>
                <w:szCs w:val="20"/>
                <w:color w:val="auto"/>
              </w:rPr>
            </w:pPr>
            <w:r>
              <w:rPr>
                <w:rFonts w:ascii="Arial" w:cs="Arial" w:eastAsia="Arial" w:hAnsi="Arial"/>
                <w:sz w:val="14"/>
                <w:szCs w:val="14"/>
                <w:b w:val="1"/>
                <w:bCs w:val="1"/>
                <w:color w:val="065BAA"/>
              </w:rPr>
              <w:t>G</w:t>
            </w:r>
          </w:p>
        </w:tc>
        <w:tc>
          <w:tcPr>
            <w:tcW w:w="1140" w:type="dxa"/>
            <w:vAlign w:val="bottom"/>
            <w:tcBorders>
              <w:bottom w:val="single" w:sz="8" w:color="065BAA"/>
            </w:tcBorders>
          </w:tcPr>
          <w:p>
            <w:pPr>
              <w:jc w:val="right"/>
              <w:ind w:right="488"/>
              <w:spacing w:after="0"/>
              <w:rPr>
                <w:sz w:val="20"/>
                <w:szCs w:val="20"/>
                <w:color w:val="auto"/>
              </w:rPr>
            </w:pPr>
            <w:r>
              <w:rPr>
                <w:rFonts w:ascii="Arial" w:cs="Arial" w:eastAsia="Arial" w:hAnsi="Arial"/>
                <w:sz w:val="14"/>
                <w:szCs w:val="14"/>
                <w:b w:val="1"/>
                <w:bCs w:val="1"/>
                <w:color w:val="065BAA"/>
              </w:rPr>
              <w:t>H</w:t>
            </w:r>
          </w:p>
        </w:tc>
        <w:tc>
          <w:tcPr>
            <w:tcW w:w="580" w:type="dxa"/>
            <w:vAlign w:val="bottom"/>
            <w:tcBorders>
              <w:bottom w:val="single" w:sz="8" w:color="065BAA"/>
            </w:tcBorders>
          </w:tcPr>
          <w:p>
            <w:pPr>
              <w:jc w:val="right"/>
              <w:ind w:right="208"/>
              <w:spacing w:after="0"/>
              <w:rPr>
                <w:sz w:val="20"/>
                <w:szCs w:val="20"/>
                <w:color w:val="auto"/>
              </w:rPr>
            </w:pPr>
            <w:r>
              <w:rPr>
                <w:rFonts w:ascii="Arial" w:cs="Arial" w:eastAsia="Arial" w:hAnsi="Arial"/>
                <w:sz w:val="14"/>
                <w:szCs w:val="14"/>
                <w:b w:val="1"/>
                <w:bCs w:val="1"/>
                <w:color w:val="065BAA"/>
              </w:rPr>
              <w:t>I</w:t>
            </w:r>
          </w:p>
        </w:tc>
      </w:tr>
      <w:tr>
        <w:trPr>
          <w:trHeight w:val="214"/>
        </w:trPr>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065BAA"/>
              </w:rPr>
              <w:t>Value of Initial Fixed</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62"/>
        </w:trPr>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gridSpan w:val="2"/>
          </w:tcPr>
          <w:p>
            <w:pPr>
              <w:jc w:val="center"/>
              <w:ind w:right="8"/>
              <w:spacing w:after="0"/>
              <w:rPr>
                <w:sz w:val="20"/>
                <w:szCs w:val="20"/>
                <w:color w:val="auto"/>
              </w:rPr>
            </w:pPr>
            <w:r>
              <w:rPr>
                <w:rFonts w:ascii="Arial" w:cs="Arial" w:eastAsia="Arial" w:hAnsi="Arial"/>
                <w:sz w:val="14"/>
                <w:szCs w:val="14"/>
                <w:b w:val="1"/>
                <w:bCs w:val="1"/>
                <w:color w:val="065BAA"/>
              </w:rPr>
              <w:t>$100 Investment</w:t>
            </w: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5"/>
        </w:trPr>
        <w:tc>
          <w:tcPr>
            <w:tcW w:w="460" w:type="dxa"/>
            <w:vAlign w:val="bottom"/>
            <w:tcBorders>
              <w:bottom w:val="single" w:sz="8" w:color="065BAA"/>
            </w:tcBorders>
          </w:tcPr>
          <w:p>
            <w:pPr>
              <w:spacing w:after="0"/>
              <w:rPr>
                <w:sz w:val="16"/>
                <w:szCs w:val="16"/>
                <w:color w:val="auto"/>
              </w:rPr>
            </w:pPr>
          </w:p>
        </w:tc>
        <w:tc>
          <w:tcPr>
            <w:tcW w:w="1140" w:type="dxa"/>
            <w:vAlign w:val="bottom"/>
            <w:tcBorders>
              <w:bottom w:val="single" w:sz="8" w:color="065BAA"/>
            </w:tcBorders>
          </w:tcPr>
          <w:p>
            <w:pPr>
              <w:spacing w:after="0"/>
              <w:rPr>
                <w:sz w:val="16"/>
                <w:szCs w:val="16"/>
                <w:color w:val="auto"/>
              </w:rPr>
            </w:pPr>
          </w:p>
        </w:tc>
        <w:tc>
          <w:tcPr>
            <w:tcW w:w="1240" w:type="dxa"/>
            <w:vAlign w:val="bottom"/>
            <w:tcBorders>
              <w:bottom w:val="single" w:sz="8" w:color="065BAA"/>
            </w:tcBorders>
          </w:tcPr>
          <w:p>
            <w:pPr>
              <w:spacing w:after="0"/>
              <w:rPr>
                <w:sz w:val="16"/>
                <w:szCs w:val="16"/>
                <w:color w:val="auto"/>
              </w:rPr>
            </w:pPr>
          </w:p>
        </w:tc>
        <w:tc>
          <w:tcPr>
            <w:tcW w:w="1400" w:type="dxa"/>
            <w:vAlign w:val="bottom"/>
            <w:tcBorders>
              <w:bottom w:val="single" w:sz="8" w:color="065BAA"/>
            </w:tcBorders>
          </w:tcPr>
          <w:p>
            <w:pPr>
              <w:spacing w:after="0"/>
              <w:rPr>
                <w:sz w:val="16"/>
                <w:szCs w:val="16"/>
                <w:color w:val="auto"/>
              </w:rPr>
            </w:pPr>
          </w:p>
        </w:tc>
        <w:tc>
          <w:tcPr>
            <w:tcW w:w="1240" w:type="dxa"/>
            <w:vAlign w:val="bottom"/>
            <w:tcBorders>
              <w:bottom w:val="single" w:sz="8" w:color="065BAA"/>
            </w:tcBorders>
          </w:tcPr>
          <w:p>
            <w:pPr>
              <w:spacing w:after="0"/>
              <w:rPr>
                <w:sz w:val="16"/>
                <w:szCs w:val="16"/>
                <w:color w:val="auto"/>
              </w:rPr>
            </w:pPr>
          </w:p>
        </w:tc>
        <w:tc>
          <w:tcPr>
            <w:tcW w:w="1560" w:type="dxa"/>
            <w:vAlign w:val="bottom"/>
            <w:tcBorders>
              <w:bottom w:val="single" w:sz="8" w:color="065BAA"/>
            </w:tcBorders>
            <w:gridSpan w:val="2"/>
          </w:tcPr>
          <w:p>
            <w:pPr>
              <w:jc w:val="center"/>
              <w:ind w:right="8"/>
              <w:spacing w:after="0"/>
              <w:rPr>
                <w:sz w:val="20"/>
                <w:szCs w:val="20"/>
                <w:color w:val="auto"/>
              </w:rPr>
            </w:pPr>
            <w:r>
              <w:rPr>
                <w:rFonts w:ascii="Arial" w:cs="Arial" w:eastAsia="Arial" w:hAnsi="Arial"/>
                <w:sz w:val="14"/>
                <w:szCs w:val="14"/>
                <w:b w:val="1"/>
                <w:bCs w:val="1"/>
                <w:color w:val="065BAA"/>
              </w:rPr>
              <w:t>Based On:</w:t>
            </w:r>
          </w:p>
        </w:tc>
        <w:tc>
          <w:tcPr>
            <w:tcW w:w="1140" w:type="dxa"/>
            <w:vAlign w:val="bottom"/>
            <w:tcBorders>
              <w:bottom w:val="single" w:sz="8" w:color="065BAA"/>
            </w:tcBorders>
          </w:tcPr>
          <w:p>
            <w:pPr>
              <w:spacing w:after="0"/>
              <w:rPr>
                <w:sz w:val="16"/>
                <w:szCs w:val="16"/>
                <w:color w:val="auto"/>
              </w:rPr>
            </w:pPr>
          </w:p>
        </w:tc>
        <w:tc>
          <w:tcPr>
            <w:tcW w:w="580" w:type="dxa"/>
            <w:vAlign w:val="bottom"/>
            <w:tcBorders>
              <w:bottom w:val="single" w:sz="8" w:color="065BAA"/>
            </w:tcBorders>
          </w:tcPr>
          <w:p>
            <w:pPr>
              <w:spacing w:after="0"/>
              <w:rPr>
                <w:sz w:val="16"/>
                <w:szCs w:val="16"/>
                <w:color w:val="auto"/>
              </w:rPr>
            </w:pPr>
          </w:p>
        </w:tc>
      </w:tr>
      <w:tr>
        <w:trPr>
          <w:trHeight w:val="187"/>
        </w:trPr>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jc w:val="right"/>
              <w:ind w:right="31"/>
              <w:spacing w:after="0"/>
              <w:rPr>
                <w:sz w:val="20"/>
                <w:szCs w:val="20"/>
                <w:color w:val="auto"/>
              </w:rPr>
            </w:pPr>
            <w:r>
              <w:rPr>
                <w:rFonts w:ascii="Arial" w:cs="Arial" w:eastAsia="Arial" w:hAnsi="Arial"/>
                <w:sz w:val="14"/>
                <w:szCs w:val="14"/>
                <w:b w:val="1"/>
                <w:bCs w:val="1"/>
                <w:color w:val="065BAA"/>
              </w:rPr>
              <w:t>Average</w:t>
            </w: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76"/>
        </w:trPr>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b w:val="1"/>
                <w:bCs w:val="1"/>
                <w:color w:val="065BAA"/>
              </w:rPr>
              <w:t>Average Summary</w:t>
            </w:r>
          </w:p>
        </w:tc>
        <w:tc>
          <w:tcPr>
            <w:tcW w:w="1240" w:type="dxa"/>
            <w:vAlign w:val="bottom"/>
          </w:tcPr>
          <w:p>
            <w:pPr>
              <w:jc w:val="right"/>
              <w:ind w:right="11"/>
              <w:spacing w:after="0"/>
              <w:rPr>
                <w:sz w:val="20"/>
                <w:szCs w:val="20"/>
                <w:color w:val="auto"/>
              </w:rPr>
            </w:pPr>
            <w:r>
              <w:rPr>
                <w:rFonts w:ascii="Arial" w:cs="Arial" w:eastAsia="Arial" w:hAnsi="Arial"/>
                <w:sz w:val="14"/>
                <w:szCs w:val="14"/>
                <w:b w:val="1"/>
                <w:bCs w:val="1"/>
                <w:color w:val="065BAA"/>
              </w:rPr>
              <w:t>Compensation</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6"/>
        </w:trPr>
        <w:tc>
          <w:tcPr>
            <w:tcW w:w="460" w:type="dxa"/>
            <w:vAlign w:val="bottom"/>
          </w:tcPr>
          <w:p>
            <w:pPr>
              <w:spacing w:after="0"/>
              <w:rPr>
                <w:sz w:val="15"/>
                <w:szCs w:val="15"/>
                <w:color w:val="auto"/>
              </w:rPr>
            </w:pPr>
          </w:p>
        </w:tc>
        <w:tc>
          <w:tcPr>
            <w:tcW w:w="1140" w:type="dxa"/>
            <w:vAlign w:val="bottom"/>
          </w:tcPr>
          <w:p>
            <w:pPr>
              <w:ind w:left="420"/>
              <w:spacing w:after="0"/>
              <w:rPr>
                <w:sz w:val="20"/>
                <w:szCs w:val="20"/>
                <w:color w:val="auto"/>
              </w:rPr>
            </w:pPr>
            <w:r>
              <w:rPr>
                <w:rFonts w:ascii="Arial" w:cs="Arial" w:eastAsia="Arial" w:hAnsi="Arial"/>
                <w:sz w:val="14"/>
                <w:szCs w:val="14"/>
                <w:b w:val="1"/>
                <w:bCs w:val="1"/>
                <w:color w:val="065BAA"/>
              </w:rPr>
              <w:t>Summary</w:t>
            </w:r>
          </w:p>
        </w:tc>
        <w:tc>
          <w:tcPr>
            <w:tcW w:w="124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b w:val="1"/>
                <w:bCs w:val="1"/>
                <w:color w:val="065BAA"/>
              </w:rPr>
              <w:t>Compensation</w:t>
            </w:r>
          </w:p>
        </w:tc>
        <w:tc>
          <w:tcPr>
            <w:tcW w:w="1240" w:type="dxa"/>
            <w:vAlign w:val="bottom"/>
          </w:tcPr>
          <w:p>
            <w:pPr>
              <w:jc w:val="right"/>
              <w:ind w:right="11"/>
              <w:spacing w:after="0"/>
              <w:rPr>
                <w:sz w:val="20"/>
                <w:szCs w:val="20"/>
                <w:color w:val="auto"/>
              </w:rPr>
            </w:pPr>
            <w:r>
              <w:rPr>
                <w:rFonts w:ascii="Arial" w:cs="Arial" w:eastAsia="Arial" w:hAnsi="Arial"/>
                <w:sz w:val="14"/>
                <w:szCs w:val="14"/>
                <w:b w:val="1"/>
                <w:bCs w:val="1"/>
                <w:color w:val="065BAA"/>
              </w:rPr>
              <w:t>“Actually Paid”</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460" w:type="dxa"/>
            <w:vAlign w:val="bottom"/>
          </w:tcPr>
          <w:p>
            <w:pPr>
              <w:spacing w:after="0"/>
              <w:rPr>
                <w:sz w:val="15"/>
                <w:szCs w:val="15"/>
                <w:color w:val="auto"/>
              </w:rPr>
            </w:pPr>
          </w:p>
        </w:tc>
        <w:tc>
          <w:tcPr>
            <w:tcW w:w="1140" w:type="dxa"/>
            <w:vAlign w:val="bottom"/>
          </w:tcPr>
          <w:p>
            <w:pPr>
              <w:ind w:left="80"/>
              <w:spacing w:after="0"/>
              <w:rPr>
                <w:sz w:val="20"/>
                <w:szCs w:val="20"/>
                <w:color w:val="auto"/>
              </w:rPr>
            </w:pPr>
            <w:r>
              <w:rPr>
                <w:rFonts w:ascii="Arial" w:cs="Arial" w:eastAsia="Arial" w:hAnsi="Arial"/>
                <w:sz w:val="14"/>
                <w:szCs w:val="14"/>
                <w:b w:val="1"/>
                <w:bCs w:val="1"/>
                <w:color w:val="065BAA"/>
              </w:rPr>
              <w:t>Compensation</w:t>
            </w: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065BAA"/>
              </w:rPr>
              <w:t>Compensation</w:t>
            </w:r>
          </w:p>
        </w:tc>
        <w:tc>
          <w:tcPr>
            <w:tcW w:w="1400" w:type="dxa"/>
            <w:vAlign w:val="bottom"/>
          </w:tcPr>
          <w:p>
            <w:pPr>
              <w:jc w:val="right"/>
              <w:ind w:right="8"/>
              <w:spacing w:after="0"/>
              <w:rPr>
                <w:sz w:val="20"/>
                <w:szCs w:val="20"/>
                <w:color w:val="auto"/>
              </w:rPr>
            </w:pPr>
            <w:r>
              <w:rPr>
                <w:rFonts w:ascii="Arial" w:cs="Arial" w:eastAsia="Arial" w:hAnsi="Arial"/>
                <w:sz w:val="14"/>
                <w:szCs w:val="14"/>
                <w:b w:val="1"/>
                <w:bCs w:val="1"/>
                <w:color w:val="065BAA"/>
              </w:rPr>
              <w:t>Table</w:t>
            </w:r>
          </w:p>
        </w:tc>
        <w:tc>
          <w:tcPr>
            <w:tcW w:w="1240" w:type="dxa"/>
            <w:vAlign w:val="bottom"/>
          </w:tcPr>
          <w:p>
            <w:pPr>
              <w:jc w:val="right"/>
              <w:ind w:right="31"/>
              <w:spacing w:after="0"/>
              <w:rPr>
                <w:sz w:val="20"/>
                <w:szCs w:val="20"/>
                <w:color w:val="auto"/>
              </w:rPr>
            </w:pPr>
            <w:r>
              <w:rPr>
                <w:rFonts w:ascii="Arial" w:cs="Arial" w:eastAsia="Arial" w:hAnsi="Arial"/>
                <w:sz w:val="14"/>
                <w:szCs w:val="14"/>
                <w:b w:val="1"/>
                <w:bCs w:val="1"/>
                <w:color w:val="065BAA"/>
              </w:rPr>
              <w:t>to</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065BAA"/>
              </w:rPr>
              <w:t>Stock</w:t>
            </w:r>
          </w:p>
        </w:tc>
      </w:tr>
      <w:tr>
        <w:trPr>
          <w:trHeight w:val="160"/>
        </w:trPr>
        <w:tc>
          <w:tcPr>
            <w:tcW w:w="460" w:type="dxa"/>
            <w:vAlign w:val="bottom"/>
          </w:tcPr>
          <w:p>
            <w:pPr>
              <w:spacing w:after="0"/>
              <w:rPr>
                <w:sz w:val="13"/>
                <w:szCs w:val="13"/>
                <w:color w:val="auto"/>
              </w:rPr>
            </w:pPr>
          </w:p>
        </w:tc>
        <w:tc>
          <w:tcPr>
            <w:tcW w:w="1140" w:type="dxa"/>
            <w:vAlign w:val="bottom"/>
          </w:tcPr>
          <w:p>
            <w:pPr>
              <w:ind w:left="80"/>
              <w:spacing w:after="0" w:line="159" w:lineRule="exact"/>
              <w:rPr>
                <w:sz w:val="20"/>
                <w:szCs w:val="20"/>
                <w:color w:val="auto"/>
              </w:rPr>
            </w:pPr>
            <w:r>
              <w:rPr>
                <w:rFonts w:ascii="Arial" w:cs="Arial" w:eastAsia="Arial" w:hAnsi="Arial"/>
                <w:sz w:val="14"/>
                <w:szCs w:val="14"/>
                <w:b w:val="1"/>
                <w:bCs w:val="1"/>
                <w:color w:val="065BAA"/>
              </w:rPr>
              <w:t>Table Total for</w:t>
            </w:r>
          </w:p>
        </w:tc>
        <w:tc>
          <w:tcPr>
            <w:tcW w:w="1240" w:type="dxa"/>
            <w:vAlign w:val="bottom"/>
          </w:tcPr>
          <w:p>
            <w:pPr>
              <w:jc w:val="right"/>
              <w:ind w:right="28"/>
              <w:spacing w:after="0" w:line="159" w:lineRule="exact"/>
              <w:rPr>
                <w:sz w:val="20"/>
                <w:szCs w:val="20"/>
                <w:color w:val="auto"/>
              </w:rPr>
            </w:pPr>
            <w:r>
              <w:rPr>
                <w:rFonts w:ascii="Arial" w:cs="Arial" w:eastAsia="Arial" w:hAnsi="Arial"/>
                <w:sz w:val="14"/>
                <w:szCs w:val="14"/>
                <w:b w:val="1"/>
                <w:bCs w:val="1"/>
                <w:color w:val="065BAA"/>
              </w:rPr>
              <w:t>“Actually Paid”</w:t>
            </w:r>
          </w:p>
        </w:tc>
        <w:tc>
          <w:tcPr>
            <w:tcW w:w="1400" w:type="dxa"/>
            <w:vAlign w:val="bottom"/>
          </w:tcPr>
          <w:p>
            <w:pPr>
              <w:jc w:val="right"/>
              <w:ind w:right="8"/>
              <w:spacing w:after="0" w:line="159" w:lineRule="exact"/>
              <w:rPr>
                <w:sz w:val="20"/>
                <w:szCs w:val="20"/>
                <w:color w:val="auto"/>
              </w:rPr>
            </w:pPr>
            <w:r>
              <w:rPr>
                <w:rFonts w:ascii="Arial" w:cs="Arial" w:eastAsia="Arial" w:hAnsi="Arial"/>
                <w:sz w:val="14"/>
                <w:szCs w:val="14"/>
                <w:b w:val="1"/>
                <w:bCs w:val="1"/>
                <w:color w:val="065BAA"/>
              </w:rPr>
              <w:t>Total for Non-PEO</w:t>
            </w:r>
          </w:p>
        </w:tc>
        <w:tc>
          <w:tcPr>
            <w:tcW w:w="1240" w:type="dxa"/>
            <w:vAlign w:val="bottom"/>
          </w:tcPr>
          <w:p>
            <w:pPr>
              <w:jc w:val="right"/>
              <w:ind w:right="31"/>
              <w:spacing w:after="0" w:line="159" w:lineRule="exact"/>
              <w:rPr>
                <w:sz w:val="20"/>
                <w:szCs w:val="20"/>
                <w:color w:val="auto"/>
              </w:rPr>
            </w:pPr>
            <w:r>
              <w:rPr>
                <w:rFonts w:ascii="Arial" w:cs="Arial" w:eastAsia="Arial" w:hAnsi="Arial"/>
                <w:sz w:val="14"/>
                <w:szCs w:val="14"/>
                <w:b w:val="1"/>
                <w:bCs w:val="1"/>
                <w:color w:val="065BAA"/>
              </w:rPr>
              <w:t>Non-PEO NEOs</w:t>
            </w:r>
          </w:p>
        </w:tc>
        <w:tc>
          <w:tcPr>
            <w:tcW w:w="620" w:type="dxa"/>
            <w:vAlign w:val="bottom"/>
          </w:tcPr>
          <w:p>
            <w:pPr>
              <w:spacing w:after="0"/>
              <w:rPr>
                <w:sz w:val="13"/>
                <w:szCs w:val="13"/>
                <w:color w:val="auto"/>
              </w:rPr>
            </w:pPr>
          </w:p>
        </w:tc>
        <w:tc>
          <w:tcPr>
            <w:tcW w:w="940" w:type="dxa"/>
            <w:vAlign w:val="bottom"/>
          </w:tcPr>
          <w:p>
            <w:pPr>
              <w:jc w:val="right"/>
              <w:ind w:right="8"/>
              <w:spacing w:after="0" w:line="159" w:lineRule="exact"/>
              <w:rPr>
                <w:sz w:val="20"/>
                <w:szCs w:val="20"/>
                <w:color w:val="auto"/>
              </w:rPr>
            </w:pPr>
            <w:r>
              <w:rPr>
                <w:rFonts w:ascii="Arial" w:cs="Arial" w:eastAsia="Arial" w:hAnsi="Arial"/>
                <w:sz w:val="14"/>
                <w:szCs w:val="14"/>
                <w:b w:val="1"/>
                <w:bCs w:val="1"/>
                <w:color w:val="065BAA"/>
              </w:rPr>
              <w:t>Peer Group</w:t>
            </w:r>
          </w:p>
        </w:tc>
        <w:tc>
          <w:tcPr>
            <w:tcW w:w="1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b w:val="1"/>
                <w:bCs w:val="1"/>
                <w:color w:val="065BAA"/>
              </w:rPr>
              <w:t>Price</w:t>
            </w:r>
          </w:p>
        </w:tc>
      </w:tr>
      <w:tr>
        <w:trPr>
          <w:trHeight w:val="187"/>
        </w:trPr>
        <w:tc>
          <w:tcPr>
            <w:tcW w:w="460" w:type="dxa"/>
            <w:vAlign w:val="bottom"/>
            <w:tcBorders>
              <w:bottom w:val="single" w:sz="8" w:color="065BAA"/>
            </w:tcBorders>
          </w:tcPr>
          <w:p>
            <w:pPr>
              <w:jc w:val="center"/>
              <w:spacing w:after="0"/>
              <w:rPr>
                <w:sz w:val="20"/>
                <w:szCs w:val="20"/>
                <w:color w:val="auto"/>
              </w:rPr>
            </w:pPr>
            <w:r>
              <w:rPr>
                <w:rFonts w:ascii="Arial" w:cs="Arial" w:eastAsia="Arial" w:hAnsi="Arial"/>
                <w:sz w:val="14"/>
                <w:szCs w:val="14"/>
                <w:b w:val="1"/>
                <w:bCs w:val="1"/>
                <w:color w:val="065BAA"/>
                <w:w w:val="98"/>
              </w:rPr>
              <w:t>Year</w:t>
            </w:r>
          </w:p>
        </w:tc>
        <w:tc>
          <w:tcPr>
            <w:tcW w:w="1140" w:type="dxa"/>
            <w:vAlign w:val="bottom"/>
            <w:tcBorders>
              <w:bottom w:val="single" w:sz="8" w:color="065BAA"/>
            </w:tcBorders>
          </w:tcPr>
          <w:p>
            <w:pPr>
              <w:ind w:left="500"/>
              <w:spacing w:after="0" w:line="188" w:lineRule="exact"/>
              <w:rPr>
                <w:sz w:val="20"/>
                <w:szCs w:val="20"/>
                <w:color w:val="auto"/>
              </w:rPr>
            </w:pPr>
            <w:r>
              <w:rPr>
                <w:rFonts w:ascii="Arial" w:cs="Arial" w:eastAsia="Arial" w:hAnsi="Arial"/>
                <w:sz w:val="14"/>
                <w:szCs w:val="14"/>
                <w:b w:val="1"/>
                <w:bCs w:val="1"/>
                <w:color w:val="065BAA"/>
              </w:rPr>
              <w:t>PEO ($)</w:t>
            </w:r>
            <w:r>
              <w:rPr>
                <w:rFonts w:ascii="Arial" w:cs="Arial" w:eastAsia="Arial" w:hAnsi="Arial"/>
                <w:sz w:val="18"/>
                <w:szCs w:val="18"/>
                <w:b w:val="1"/>
                <w:bCs w:val="1"/>
                <w:color w:val="065BAA"/>
                <w:vertAlign w:val="superscript"/>
              </w:rPr>
              <w:t>1</w:t>
            </w:r>
          </w:p>
        </w:tc>
        <w:tc>
          <w:tcPr>
            <w:tcW w:w="1240" w:type="dxa"/>
            <w:vAlign w:val="bottom"/>
            <w:tcBorders>
              <w:bottom w:val="single" w:sz="8" w:color="065BAA"/>
            </w:tcBorders>
          </w:tcPr>
          <w:p>
            <w:pPr>
              <w:jc w:val="right"/>
              <w:ind w:right="28"/>
              <w:spacing w:after="0" w:line="188" w:lineRule="exact"/>
              <w:rPr>
                <w:sz w:val="20"/>
                <w:szCs w:val="20"/>
                <w:color w:val="auto"/>
              </w:rPr>
            </w:pPr>
            <w:r>
              <w:rPr>
                <w:rFonts w:ascii="Arial" w:cs="Arial" w:eastAsia="Arial" w:hAnsi="Arial"/>
                <w:sz w:val="14"/>
                <w:szCs w:val="14"/>
                <w:b w:val="1"/>
                <w:bCs w:val="1"/>
                <w:color w:val="065BAA"/>
              </w:rPr>
              <w:t>to PEO ($)</w:t>
            </w:r>
            <w:r>
              <w:rPr>
                <w:rFonts w:ascii="Arial" w:cs="Arial" w:eastAsia="Arial" w:hAnsi="Arial"/>
                <w:sz w:val="18"/>
                <w:szCs w:val="18"/>
                <w:b w:val="1"/>
                <w:bCs w:val="1"/>
                <w:color w:val="065BAA"/>
                <w:vertAlign w:val="superscript"/>
              </w:rPr>
              <w:t>1,2,3</w:t>
            </w:r>
          </w:p>
        </w:tc>
        <w:tc>
          <w:tcPr>
            <w:tcW w:w="1400" w:type="dxa"/>
            <w:vAlign w:val="bottom"/>
            <w:tcBorders>
              <w:bottom w:val="single" w:sz="8" w:color="065BAA"/>
            </w:tcBorders>
          </w:tcPr>
          <w:p>
            <w:pPr>
              <w:jc w:val="right"/>
              <w:ind w:right="8"/>
              <w:spacing w:after="0" w:line="188" w:lineRule="exact"/>
              <w:rPr>
                <w:sz w:val="20"/>
                <w:szCs w:val="20"/>
                <w:color w:val="auto"/>
              </w:rPr>
            </w:pPr>
            <w:r>
              <w:rPr>
                <w:rFonts w:ascii="Arial" w:cs="Arial" w:eastAsia="Arial" w:hAnsi="Arial"/>
                <w:sz w:val="14"/>
                <w:szCs w:val="14"/>
                <w:b w:val="1"/>
                <w:bCs w:val="1"/>
                <w:color w:val="065BAA"/>
              </w:rPr>
              <w:t>NEOs ($)</w:t>
            </w:r>
            <w:r>
              <w:rPr>
                <w:rFonts w:ascii="Arial" w:cs="Arial" w:eastAsia="Arial" w:hAnsi="Arial"/>
                <w:sz w:val="18"/>
                <w:szCs w:val="18"/>
                <w:b w:val="1"/>
                <w:bCs w:val="1"/>
                <w:color w:val="065BAA"/>
                <w:vertAlign w:val="superscript"/>
              </w:rPr>
              <w:t>1</w:t>
            </w:r>
          </w:p>
        </w:tc>
        <w:tc>
          <w:tcPr>
            <w:tcW w:w="1240" w:type="dxa"/>
            <w:vAlign w:val="bottom"/>
            <w:tcBorders>
              <w:bottom w:val="single" w:sz="8" w:color="065BAA"/>
            </w:tcBorders>
          </w:tcPr>
          <w:p>
            <w:pPr>
              <w:jc w:val="right"/>
              <w:ind w:right="31"/>
              <w:spacing w:after="0" w:line="188" w:lineRule="exact"/>
              <w:rPr>
                <w:sz w:val="20"/>
                <w:szCs w:val="20"/>
                <w:color w:val="auto"/>
              </w:rPr>
            </w:pPr>
            <w:r>
              <w:rPr>
                <w:rFonts w:ascii="Arial" w:cs="Arial" w:eastAsia="Arial" w:hAnsi="Arial"/>
                <w:sz w:val="21"/>
                <w:szCs w:val="21"/>
                <w:b w:val="1"/>
                <w:bCs w:val="1"/>
                <w:color w:val="065BAA"/>
                <w:vertAlign w:val="subscript"/>
              </w:rPr>
              <w:t>($)</w:t>
            </w:r>
            <w:r>
              <w:rPr>
                <w:rFonts w:ascii="Arial" w:cs="Arial" w:eastAsia="Arial" w:hAnsi="Arial"/>
                <w:sz w:val="8"/>
                <w:szCs w:val="8"/>
                <w:b w:val="1"/>
                <w:bCs w:val="1"/>
                <w:color w:val="065BAA"/>
              </w:rPr>
              <w:t>1,2,3</w:t>
            </w:r>
          </w:p>
        </w:tc>
        <w:tc>
          <w:tcPr>
            <w:tcW w:w="620" w:type="dxa"/>
            <w:vAlign w:val="bottom"/>
            <w:tcBorders>
              <w:bottom w:val="single" w:sz="8" w:color="065BAA"/>
            </w:tcBorders>
          </w:tcPr>
          <w:p>
            <w:pPr>
              <w:jc w:val="center"/>
              <w:spacing w:after="0"/>
              <w:rPr>
                <w:sz w:val="20"/>
                <w:szCs w:val="20"/>
                <w:color w:val="auto"/>
              </w:rPr>
            </w:pPr>
            <w:r>
              <w:rPr>
                <w:rFonts w:ascii="Arial" w:cs="Arial" w:eastAsia="Arial" w:hAnsi="Arial"/>
                <w:sz w:val="14"/>
                <w:szCs w:val="14"/>
                <w:b w:val="1"/>
                <w:bCs w:val="1"/>
                <w:color w:val="065BAA"/>
              </w:rPr>
              <w:t>TSR ($)</w:t>
            </w:r>
          </w:p>
        </w:tc>
        <w:tc>
          <w:tcPr>
            <w:tcW w:w="940" w:type="dxa"/>
            <w:vAlign w:val="bottom"/>
            <w:tcBorders>
              <w:bottom w:val="single" w:sz="8" w:color="065BAA"/>
            </w:tcBorders>
          </w:tcPr>
          <w:p>
            <w:pPr>
              <w:jc w:val="right"/>
              <w:ind w:right="8"/>
              <w:spacing w:after="0" w:line="188" w:lineRule="exact"/>
              <w:rPr>
                <w:sz w:val="20"/>
                <w:szCs w:val="20"/>
                <w:color w:val="auto"/>
              </w:rPr>
            </w:pPr>
            <w:r>
              <w:rPr>
                <w:rFonts w:ascii="Arial" w:cs="Arial" w:eastAsia="Arial" w:hAnsi="Arial"/>
                <w:sz w:val="14"/>
                <w:szCs w:val="14"/>
                <w:b w:val="1"/>
                <w:bCs w:val="1"/>
                <w:color w:val="065BAA"/>
              </w:rPr>
              <w:t>TSR ($)</w:t>
            </w:r>
            <w:r>
              <w:rPr>
                <w:rFonts w:ascii="Arial" w:cs="Arial" w:eastAsia="Arial" w:hAnsi="Arial"/>
                <w:sz w:val="18"/>
                <w:szCs w:val="18"/>
                <w:b w:val="1"/>
                <w:bCs w:val="1"/>
                <w:color w:val="065BAA"/>
                <w:vertAlign w:val="superscript"/>
              </w:rPr>
              <w:t>4</w:t>
            </w:r>
          </w:p>
        </w:tc>
        <w:tc>
          <w:tcPr>
            <w:tcW w:w="1140" w:type="dxa"/>
            <w:vAlign w:val="bottom"/>
            <w:tcBorders>
              <w:bottom w:val="single" w:sz="8" w:color="065BAA"/>
            </w:tcBorders>
          </w:tcPr>
          <w:p>
            <w:pPr>
              <w:jc w:val="right"/>
              <w:ind w:right="8"/>
              <w:spacing w:after="0"/>
              <w:rPr>
                <w:sz w:val="20"/>
                <w:szCs w:val="20"/>
                <w:color w:val="auto"/>
              </w:rPr>
            </w:pPr>
            <w:r>
              <w:rPr>
                <w:rFonts w:ascii="Arial" w:cs="Arial" w:eastAsia="Arial" w:hAnsi="Arial"/>
                <w:sz w:val="14"/>
                <w:szCs w:val="14"/>
                <w:b w:val="1"/>
                <w:bCs w:val="1"/>
                <w:color w:val="065BAA"/>
              </w:rPr>
              <w:t>Net Income ($)</w:t>
            </w:r>
          </w:p>
        </w:tc>
        <w:tc>
          <w:tcPr>
            <w:tcW w:w="580" w:type="dxa"/>
            <w:vAlign w:val="bottom"/>
            <w:tcBorders>
              <w:bottom w:val="single" w:sz="8" w:color="065BAA"/>
            </w:tcBorders>
          </w:tcPr>
          <w:p>
            <w:pPr>
              <w:jc w:val="right"/>
              <w:spacing w:after="0" w:line="188" w:lineRule="exact"/>
              <w:rPr>
                <w:sz w:val="20"/>
                <w:szCs w:val="20"/>
                <w:color w:val="auto"/>
              </w:rPr>
            </w:pPr>
            <w:r>
              <w:rPr>
                <w:rFonts w:ascii="Arial" w:cs="Arial" w:eastAsia="Arial" w:hAnsi="Arial"/>
                <w:sz w:val="14"/>
                <w:szCs w:val="14"/>
                <w:b w:val="1"/>
                <w:bCs w:val="1"/>
                <w:color w:val="065BAA"/>
              </w:rPr>
              <w:t>($)</w:t>
            </w:r>
            <w:r>
              <w:rPr>
                <w:rFonts w:ascii="Arial" w:cs="Arial" w:eastAsia="Arial" w:hAnsi="Arial"/>
                <w:sz w:val="18"/>
                <w:szCs w:val="18"/>
                <w:b w:val="1"/>
                <w:bCs w:val="1"/>
                <w:color w:val="065BAA"/>
                <w:vertAlign w:val="superscript"/>
              </w:rPr>
              <w:t>5</w:t>
            </w:r>
          </w:p>
        </w:tc>
      </w:tr>
      <w:tr>
        <w:trPr>
          <w:trHeight w:val="196"/>
        </w:trPr>
        <w:tc>
          <w:tcPr>
            <w:tcW w:w="460" w:type="dxa"/>
            <w:vAlign w:val="bottom"/>
          </w:tcPr>
          <w:p>
            <w:pPr>
              <w:jc w:val="center"/>
              <w:spacing w:after="0"/>
              <w:rPr>
                <w:sz w:val="20"/>
                <w:szCs w:val="20"/>
                <w:color w:val="auto"/>
              </w:rPr>
            </w:pPr>
            <w:r>
              <w:rPr>
                <w:rFonts w:ascii="Arial" w:cs="Arial" w:eastAsia="Arial" w:hAnsi="Arial"/>
                <w:sz w:val="14"/>
                <w:szCs w:val="14"/>
                <w:color w:val="auto"/>
              </w:rPr>
              <w:t>2025</w:t>
            </w:r>
          </w:p>
        </w:tc>
        <w:tc>
          <w:tcPr>
            <w:tcW w:w="1140" w:type="dxa"/>
            <w:vAlign w:val="bottom"/>
          </w:tcPr>
          <w:p>
            <w:pPr>
              <w:ind w:left="420"/>
              <w:spacing w:after="0"/>
              <w:rPr>
                <w:sz w:val="20"/>
                <w:szCs w:val="20"/>
                <w:color w:val="auto"/>
              </w:rPr>
            </w:pPr>
            <w:r>
              <w:rPr>
                <w:rFonts w:ascii="Arial" w:cs="Arial" w:eastAsia="Arial" w:hAnsi="Arial"/>
                <w:sz w:val="14"/>
                <w:szCs w:val="14"/>
                <w:color w:val="auto"/>
              </w:rPr>
              <w:t>7,280,549</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38,950,031</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7,730,237</w:t>
            </w:r>
          </w:p>
        </w:tc>
        <w:tc>
          <w:tcPr>
            <w:tcW w:w="1240" w:type="dxa"/>
            <w:vAlign w:val="bottom"/>
          </w:tcPr>
          <w:p>
            <w:pPr>
              <w:jc w:val="right"/>
              <w:ind w:right="31"/>
              <w:spacing w:after="0"/>
              <w:rPr>
                <w:sz w:val="20"/>
                <w:szCs w:val="20"/>
                <w:color w:val="auto"/>
              </w:rPr>
            </w:pPr>
            <w:r>
              <w:rPr>
                <w:rFonts w:ascii="Arial" w:cs="Arial" w:eastAsia="Arial" w:hAnsi="Arial"/>
                <w:sz w:val="14"/>
                <w:szCs w:val="14"/>
                <w:color w:val="auto"/>
              </w:rPr>
              <w:t>14,697,023</w:t>
            </w:r>
          </w:p>
        </w:tc>
        <w:tc>
          <w:tcPr>
            <w:tcW w:w="620" w:type="dxa"/>
            <w:vAlign w:val="bottom"/>
          </w:tcPr>
          <w:p>
            <w:pPr>
              <w:jc w:val="center"/>
              <w:spacing w:after="0"/>
              <w:rPr>
                <w:sz w:val="20"/>
                <w:szCs w:val="20"/>
                <w:color w:val="auto"/>
              </w:rPr>
            </w:pPr>
            <w:r>
              <w:rPr>
                <w:rFonts w:ascii="Arial" w:cs="Arial" w:eastAsia="Arial" w:hAnsi="Arial"/>
                <w:sz w:val="14"/>
                <w:szCs w:val="14"/>
                <w:color w:val="auto"/>
              </w:rPr>
              <w:t>159.77</w:t>
            </w:r>
          </w:p>
        </w:tc>
        <w:tc>
          <w:tcPr>
            <w:tcW w:w="940" w:type="dxa"/>
            <w:vAlign w:val="bottom"/>
          </w:tcPr>
          <w:p>
            <w:pPr>
              <w:ind w:left="400"/>
              <w:spacing w:after="0"/>
              <w:rPr>
                <w:sz w:val="20"/>
                <w:szCs w:val="20"/>
                <w:color w:val="auto"/>
              </w:rPr>
            </w:pPr>
            <w:r>
              <w:rPr>
                <w:rFonts w:ascii="Arial" w:cs="Arial" w:eastAsia="Arial" w:hAnsi="Arial"/>
                <w:sz w:val="14"/>
                <w:szCs w:val="14"/>
                <w:color w:val="auto"/>
              </w:rPr>
              <w:t>200.89</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4,504,900,000</w:t>
            </w:r>
          </w:p>
        </w:tc>
        <w:tc>
          <w:tcPr>
            <w:tcW w:w="580" w:type="dxa"/>
            <w:vAlign w:val="bottom"/>
          </w:tcPr>
          <w:p>
            <w:pPr>
              <w:jc w:val="right"/>
              <w:spacing w:after="0"/>
              <w:rPr>
                <w:sz w:val="20"/>
                <w:szCs w:val="20"/>
                <w:color w:val="auto"/>
              </w:rPr>
            </w:pPr>
            <w:r>
              <w:rPr>
                <w:rFonts w:ascii="Arial" w:cs="Arial" w:eastAsia="Arial" w:hAnsi="Arial"/>
                <w:sz w:val="14"/>
                <w:szCs w:val="14"/>
                <w:color w:val="auto"/>
              </w:rPr>
              <w:t>771.87</w:t>
            </w:r>
          </w:p>
        </w:tc>
      </w:tr>
      <w:tr>
        <w:trPr>
          <w:trHeight w:val="216"/>
        </w:trPr>
        <w:tc>
          <w:tcPr>
            <w:tcW w:w="460" w:type="dxa"/>
            <w:vAlign w:val="bottom"/>
            <w:shd w:val="clear" w:color="auto" w:fill="DAEBF8"/>
          </w:tcPr>
          <w:p>
            <w:pPr>
              <w:jc w:val="center"/>
              <w:spacing w:after="0"/>
              <w:rPr>
                <w:sz w:val="20"/>
                <w:szCs w:val="20"/>
                <w:color w:val="auto"/>
              </w:rPr>
            </w:pPr>
            <w:r>
              <w:rPr>
                <w:rFonts w:ascii="Arial" w:cs="Arial" w:eastAsia="Arial" w:hAnsi="Arial"/>
                <w:sz w:val="14"/>
                <w:szCs w:val="14"/>
                <w:color w:val="auto"/>
              </w:rPr>
              <w:t>2024</w:t>
            </w:r>
          </w:p>
        </w:tc>
        <w:tc>
          <w:tcPr>
            <w:tcW w:w="1140" w:type="dxa"/>
            <w:vAlign w:val="bottom"/>
            <w:shd w:val="clear" w:color="auto" w:fill="DAEBF8"/>
          </w:tcPr>
          <w:p>
            <w:pPr>
              <w:ind w:left="420"/>
              <w:spacing w:after="0"/>
              <w:rPr>
                <w:sz w:val="20"/>
                <w:szCs w:val="20"/>
                <w:color w:val="auto"/>
              </w:rPr>
            </w:pPr>
            <w:r>
              <w:rPr>
                <w:rFonts w:ascii="Arial" w:cs="Arial" w:eastAsia="Arial" w:hAnsi="Arial"/>
                <w:sz w:val="14"/>
                <w:szCs w:val="14"/>
                <w:color w:val="auto"/>
              </w:rPr>
              <w:t>6,823,034</w:t>
            </w:r>
          </w:p>
        </w:tc>
        <w:tc>
          <w:tcPr>
            <w:tcW w:w="1240" w:type="dxa"/>
            <w:vAlign w:val="bottom"/>
            <w:shd w:val="clear" w:color="auto" w:fill="DAEBF8"/>
          </w:tcPr>
          <w:p>
            <w:pPr>
              <w:jc w:val="right"/>
              <w:ind w:right="8"/>
              <w:spacing w:after="0"/>
              <w:rPr>
                <w:sz w:val="20"/>
                <w:szCs w:val="20"/>
                <w:color w:val="auto"/>
              </w:rPr>
            </w:pPr>
            <w:r>
              <w:rPr>
                <w:rFonts w:ascii="Arial" w:cs="Arial" w:eastAsia="Arial" w:hAnsi="Arial"/>
                <w:sz w:val="14"/>
                <w:szCs w:val="14"/>
                <w:color w:val="auto"/>
              </w:rPr>
              <w:t>(37,696,190)</w:t>
            </w:r>
          </w:p>
        </w:tc>
        <w:tc>
          <w:tcPr>
            <w:tcW w:w="1400" w:type="dxa"/>
            <w:vAlign w:val="bottom"/>
            <w:shd w:val="clear" w:color="auto" w:fill="DAEBF8"/>
          </w:tcPr>
          <w:p>
            <w:pPr>
              <w:jc w:val="right"/>
              <w:ind w:right="28"/>
              <w:spacing w:after="0"/>
              <w:rPr>
                <w:sz w:val="20"/>
                <w:szCs w:val="20"/>
                <w:color w:val="auto"/>
              </w:rPr>
            </w:pPr>
            <w:r>
              <w:rPr>
                <w:rFonts w:ascii="Arial" w:cs="Arial" w:eastAsia="Arial" w:hAnsi="Arial"/>
                <w:sz w:val="14"/>
                <w:szCs w:val="14"/>
                <w:color w:val="auto"/>
              </w:rPr>
              <w:t>6,073,090</w:t>
            </w:r>
          </w:p>
        </w:tc>
        <w:tc>
          <w:tcPr>
            <w:tcW w:w="12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(9,153,791)</w:t>
            </w:r>
          </w:p>
        </w:tc>
        <w:tc>
          <w:tcPr>
            <w:tcW w:w="620" w:type="dxa"/>
            <w:vAlign w:val="bottom"/>
            <w:shd w:val="clear" w:color="auto" w:fill="DAEBF8"/>
          </w:tcPr>
          <w:p>
            <w:pPr>
              <w:jc w:val="center"/>
              <w:spacing w:after="0"/>
              <w:rPr>
                <w:sz w:val="20"/>
                <w:szCs w:val="20"/>
                <w:color w:val="auto"/>
              </w:rPr>
            </w:pPr>
            <w:r>
              <w:rPr>
                <w:rFonts w:ascii="Arial" w:cs="Arial" w:eastAsia="Arial" w:hAnsi="Arial"/>
                <w:sz w:val="14"/>
                <w:szCs w:val="14"/>
                <w:color w:val="auto"/>
              </w:rPr>
              <w:t>147.45</w:t>
            </w:r>
          </w:p>
        </w:tc>
        <w:tc>
          <w:tcPr>
            <w:tcW w:w="940" w:type="dxa"/>
            <w:vAlign w:val="bottom"/>
            <w:shd w:val="clear" w:color="auto" w:fill="DAEBF8"/>
          </w:tcPr>
          <w:p>
            <w:pPr>
              <w:ind w:left="400"/>
              <w:spacing w:after="0"/>
              <w:rPr>
                <w:sz w:val="20"/>
                <w:szCs w:val="20"/>
                <w:color w:val="auto"/>
              </w:rPr>
            </w:pPr>
            <w:r>
              <w:rPr>
                <w:rFonts w:ascii="Arial" w:cs="Arial" w:eastAsia="Arial" w:hAnsi="Arial"/>
                <w:sz w:val="14"/>
                <w:szCs w:val="14"/>
                <w:color w:val="auto"/>
              </w:rPr>
              <w:t>156.19</w:t>
            </w:r>
          </w:p>
        </w:tc>
        <w:tc>
          <w:tcPr>
            <w:tcW w:w="1140" w:type="dxa"/>
            <w:vAlign w:val="bottom"/>
            <w:shd w:val="clear" w:color="auto" w:fill="DAEBF8"/>
          </w:tcPr>
          <w:p>
            <w:pPr>
              <w:jc w:val="right"/>
              <w:ind w:right="28"/>
              <w:spacing w:after="0"/>
              <w:rPr>
                <w:sz w:val="20"/>
                <w:szCs w:val="20"/>
                <w:color w:val="auto"/>
              </w:rPr>
            </w:pPr>
            <w:r>
              <w:rPr>
                <w:rFonts w:ascii="Arial" w:cs="Arial" w:eastAsia="Arial" w:hAnsi="Arial"/>
                <w:sz w:val="14"/>
                <w:szCs w:val="14"/>
                <w:color w:val="auto"/>
              </w:rPr>
              <w:t>4,412,600,000</w:t>
            </w:r>
          </w:p>
        </w:tc>
        <w:tc>
          <w:tcPr>
            <w:tcW w:w="5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712.33</w:t>
            </w:r>
          </w:p>
        </w:tc>
      </w:tr>
      <w:tr>
        <w:trPr>
          <w:trHeight w:val="216"/>
        </w:trPr>
        <w:tc>
          <w:tcPr>
            <w:tcW w:w="460" w:type="dxa"/>
            <w:vAlign w:val="bottom"/>
          </w:tcPr>
          <w:p>
            <w:pPr>
              <w:jc w:val="center"/>
              <w:spacing w:after="0"/>
              <w:rPr>
                <w:sz w:val="20"/>
                <w:szCs w:val="20"/>
                <w:color w:val="auto"/>
              </w:rPr>
            </w:pPr>
            <w:r>
              <w:rPr>
                <w:rFonts w:ascii="Arial" w:cs="Arial" w:eastAsia="Arial" w:hAnsi="Arial"/>
                <w:sz w:val="14"/>
                <w:szCs w:val="14"/>
                <w:color w:val="auto"/>
              </w:rPr>
              <w:t>2023</w:t>
            </w:r>
          </w:p>
        </w:tc>
        <w:tc>
          <w:tcPr>
            <w:tcW w:w="1140" w:type="dxa"/>
            <w:vAlign w:val="bottom"/>
          </w:tcPr>
          <w:p>
            <w:pPr>
              <w:ind w:left="420"/>
              <w:spacing w:after="0"/>
              <w:rPr>
                <w:sz w:val="20"/>
                <w:szCs w:val="20"/>
                <w:color w:val="auto"/>
              </w:rPr>
            </w:pPr>
            <w:r>
              <w:rPr>
                <w:rFonts w:ascii="Arial" w:cs="Arial" w:eastAsia="Arial" w:hAnsi="Arial"/>
                <w:sz w:val="14"/>
                <w:szCs w:val="14"/>
                <w:color w:val="auto"/>
              </w:rPr>
              <w:t>8,184,338</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141,071,193</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6,713,442</w:t>
            </w:r>
          </w:p>
        </w:tc>
        <w:tc>
          <w:tcPr>
            <w:tcW w:w="1240" w:type="dxa"/>
            <w:vAlign w:val="bottom"/>
          </w:tcPr>
          <w:p>
            <w:pPr>
              <w:jc w:val="right"/>
              <w:ind w:right="31"/>
              <w:spacing w:after="0"/>
              <w:rPr>
                <w:sz w:val="20"/>
                <w:szCs w:val="20"/>
                <w:color w:val="auto"/>
              </w:rPr>
            </w:pPr>
            <w:r>
              <w:rPr>
                <w:rFonts w:ascii="Arial" w:cs="Arial" w:eastAsia="Arial" w:hAnsi="Arial"/>
                <w:sz w:val="14"/>
                <w:szCs w:val="14"/>
                <w:color w:val="auto"/>
              </w:rPr>
              <w:t>46,896,425</w:t>
            </w:r>
          </w:p>
        </w:tc>
        <w:tc>
          <w:tcPr>
            <w:tcW w:w="620" w:type="dxa"/>
            <w:vAlign w:val="bottom"/>
          </w:tcPr>
          <w:p>
            <w:pPr>
              <w:jc w:val="center"/>
              <w:spacing w:after="0"/>
              <w:rPr>
                <w:sz w:val="20"/>
                <w:szCs w:val="20"/>
                <w:color w:val="auto"/>
              </w:rPr>
            </w:pPr>
            <w:r>
              <w:rPr>
                <w:rFonts w:ascii="Arial" w:cs="Arial" w:eastAsia="Arial" w:hAnsi="Arial"/>
                <w:sz w:val="14"/>
                <w:szCs w:val="14"/>
                <w:color w:val="auto"/>
              </w:rPr>
              <w:t>181.80</w:t>
            </w:r>
          </w:p>
        </w:tc>
        <w:tc>
          <w:tcPr>
            <w:tcW w:w="940" w:type="dxa"/>
            <w:vAlign w:val="bottom"/>
          </w:tcPr>
          <w:p>
            <w:pPr>
              <w:ind w:left="400"/>
              <w:spacing w:after="0"/>
              <w:rPr>
                <w:sz w:val="20"/>
                <w:szCs w:val="20"/>
                <w:color w:val="auto"/>
              </w:rPr>
            </w:pPr>
            <w:r>
              <w:rPr>
                <w:rFonts w:ascii="Arial" w:cs="Arial" w:eastAsia="Arial" w:hAnsi="Arial"/>
                <w:sz w:val="14"/>
                <w:szCs w:val="14"/>
                <w:color w:val="auto"/>
              </w:rPr>
              <w:t>143.88</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3,953,600,000</w:t>
            </w:r>
          </w:p>
        </w:tc>
        <w:tc>
          <w:tcPr>
            <w:tcW w:w="580" w:type="dxa"/>
            <w:vAlign w:val="bottom"/>
          </w:tcPr>
          <w:p>
            <w:pPr>
              <w:jc w:val="right"/>
              <w:spacing w:after="0"/>
              <w:rPr>
                <w:sz w:val="20"/>
                <w:szCs w:val="20"/>
                <w:color w:val="auto"/>
              </w:rPr>
            </w:pPr>
            <w:r>
              <w:rPr>
                <w:rFonts w:ascii="Arial" w:cs="Arial" w:eastAsia="Arial" w:hAnsi="Arial"/>
                <w:sz w:val="14"/>
                <w:szCs w:val="14"/>
                <w:color w:val="auto"/>
              </w:rPr>
              <w:t>878.29</w:t>
            </w:r>
          </w:p>
        </w:tc>
      </w:tr>
      <w:tr>
        <w:trPr>
          <w:trHeight w:val="216"/>
        </w:trPr>
        <w:tc>
          <w:tcPr>
            <w:tcW w:w="460" w:type="dxa"/>
            <w:vAlign w:val="bottom"/>
            <w:shd w:val="clear" w:color="auto" w:fill="DAEBF8"/>
          </w:tcPr>
          <w:p>
            <w:pPr>
              <w:jc w:val="center"/>
              <w:spacing w:after="0"/>
              <w:rPr>
                <w:sz w:val="20"/>
                <w:szCs w:val="20"/>
                <w:color w:val="auto"/>
              </w:rPr>
            </w:pPr>
            <w:r>
              <w:rPr>
                <w:rFonts w:ascii="Arial" w:cs="Arial" w:eastAsia="Arial" w:hAnsi="Arial"/>
                <w:sz w:val="14"/>
                <w:szCs w:val="14"/>
                <w:color w:val="auto"/>
              </w:rPr>
              <w:t>2022</w:t>
            </w:r>
          </w:p>
        </w:tc>
        <w:tc>
          <w:tcPr>
            <w:tcW w:w="1140" w:type="dxa"/>
            <w:vAlign w:val="bottom"/>
            <w:shd w:val="clear" w:color="auto" w:fill="DAEBF8"/>
          </w:tcPr>
          <w:p>
            <w:pPr>
              <w:ind w:left="420"/>
              <w:spacing w:after="0"/>
              <w:rPr>
                <w:sz w:val="20"/>
                <w:szCs w:val="20"/>
                <w:color w:val="auto"/>
              </w:rPr>
            </w:pPr>
            <w:r>
              <w:rPr>
                <w:rFonts w:ascii="Arial" w:cs="Arial" w:eastAsia="Arial" w:hAnsi="Arial"/>
                <w:sz w:val="14"/>
                <w:szCs w:val="14"/>
                <w:color w:val="auto"/>
              </w:rPr>
              <w:t>7,004,069</w:t>
            </w:r>
          </w:p>
        </w:tc>
        <w:tc>
          <w:tcPr>
            <w:tcW w:w="1240" w:type="dxa"/>
            <w:vAlign w:val="bottom"/>
            <w:shd w:val="clear" w:color="auto" w:fill="DAEBF8"/>
          </w:tcPr>
          <w:p>
            <w:pPr>
              <w:jc w:val="right"/>
              <w:ind w:right="48"/>
              <w:spacing w:after="0"/>
              <w:rPr>
                <w:sz w:val="20"/>
                <w:szCs w:val="20"/>
                <w:color w:val="auto"/>
              </w:rPr>
            </w:pPr>
            <w:r>
              <w:rPr>
                <w:rFonts w:ascii="Arial" w:cs="Arial" w:eastAsia="Arial" w:hAnsi="Arial"/>
                <w:sz w:val="14"/>
                <w:szCs w:val="14"/>
                <w:color w:val="auto"/>
              </w:rPr>
              <w:t>98,786,583</w:t>
            </w:r>
          </w:p>
        </w:tc>
        <w:tc>
          <w:tcPr>
            <w:tcW w:w="1400" w:type="dxa"/>
            <w:vAlign w:val="bottom"/>
            <w:shd w:val="clear" w:color="auto" w:fill="DAEBF8"/>
          </w:tcPr>
          <w:p>
            <w:pPr>
              <w:jc w:val="right"/>
              <w:ind w:right="28"/>
              <w:spacing w:after="0"/>
              <w:rPr>
                <w:sz w:val="20"/>
                <w:szCs w:val="20"/>
                <w:color w:val="auto"/>
              </w:rPr>
            </w:pPr>
            <w:r>
              <w:rPr>
                <w:rFonts w:ascii="Arial" w:cs="Arial" w:eastAsia="Arial" w:hAnsi="Arial"/>
                <w:sz w:val="14"/>
                <w:szCs w:val="14"/>
                <w:color w:val="auto"/>
              </w:rPr>
              <w:t>8,061,639</w:t>
            </w:r>
          </w:p>
        </w:tc>
        <w:tc>
          <w:tcPr>
            <w:tcW w:w="1240" w:type="dxa"/>
            <w:vAlign w:val="bottom"/>
            <w:shd w:val="clear" w:color="auto" w:fill="DAEBF8"/>
          </w:tcPr>
          <w:p>
            <w:pPr>
              <w:jc w:val="right"/>
              <w:ind w:right="31"/>
              <w:spacing w:after="0"/>
              <w:rPr>
                <w:sz w:val="20"/>
                <w:szCs w:val="20"/>
                <w:color w:val="auto"/>
              </w:rPr>
            </w:pPr>
            <w:r>
              <w:rPr>
                <w:rFonts w:ascii="Arial" w:cs="Arial" w:eastAsia="Arial" w:hAnsi="Arial"/>
                <w:sz w:val="14"/>
                <w:szCs w:val="14"/>
                <w:color w:val="auto"/>
              </w:rPr>
              <w:t>32,174,465</w:t>
            </w:r>
          </w:p>
        </w:tc>
        <w:tc>
          <w:tcPr>
            <w:tcW w:w="620" w:type="dxa"/>
            <w:vAlign w:val="bottom"/>
            <w:shd w:val="clear" w:color="auto" w:fill="DAEBF8"/>
          </w:tcPr>
          <w:p>
            <w:pPr>
              <w:jc w:val="center"/>
              <w:spacing w:after="0"/>
              <w:rPr>
                <w:sz w:val="20"/>
                <w:szCs w:val="20"/>
                <w:color w:val="auto"/>
              </w:rPr>
            </w:pPr>
            <w:r>
              <w:rPr>
                <w:rFonts w:ascii="Arial" w:cs="Arial" w:eastAsia="Arial" w:hAnsi="Arial"/>
                <w:sz w:val="14"/>
                <w:szCs w:val="14"/>
                <w:color w:val="auto"/>
              </w:rPr>
              <w:t>149.34</w:t>
            </w:r>
          </w:p>
        </w:tc>
        <w:tc>
          <w:tcPr>
            <w:tcW w:w="940" w:type="dxa"/>
            <w:vAlign w:val="bottom"/>
            <w:shd w:val="clear" w:color="auto" w:fill="DAEBF8"/>
          </w:tcPr>
          <w:p>
            <w:pPr>
              <w:ind w:left="400"/>
              <w:spacing w:after="0"/>
              <w:rPr>
                <w:sz w:val="20"/>
                <w:szCs w:val="20"/>
                <w:color w:val="auto"/>
              </w:rPr>
            </w:pPr>
            <w:r>
              <w:rPr>
                <w:rFonts w:ascii="Arial" w:cs="Arial" w:eastAsia="Arial" w:hAnsi="Arial"/>
                <w:sz w:val="14"/>
                <w:szCs w:val="14"/>
                <w:color w:val="auto"/>
              </w:rPr>
              <w:t>138.51</w:t>
            </w:r>
          </w:p>
        </w:tc>
        <w:tc>
          <w:tcPr>
            <w:tcW w:w="1140" w:type="dxa"/>
            <w:vAlign w:val="bottom"/>
            <w:shd w:val="clear" w:color="auto" w:fill="DAEBF8"/>
          </w:tcPr>
          <w:p>
            <w:pPr>
              <w:jc w:val="right"/>
              <w:ind w:right="28"/>
              <w:spacing w:after="0"/>
              <w:rPr>
                <w:sz w:val="20"/>
                <w:szCs w:val="20"/>
                <w:color w:val="auto"/>
              </w:rPr>
            </w:pPr>
            <w:r>
              <w:rPr>
                <w:rFonts w:ascii="Arial" w:cs="Arial" w:eastAsia="Arial" w:hAnsi="Arial"/>
                <w:sz w:val="14"/>
                <w:szCs w:val="14"/>
                <w:color w:val="auto"/>
              </w:rPr>
              <w:t>4,338,400,000</w:t>
            </w:r>
          </w:p>
        </w:tc>
        <w:tc>
          <w:tcPr>
            <w:tcW w:w="5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721.49</w:t>
            </w:r>
          </w:p>
        </w:tc>
      </w:tr>
      <w:tr>
        <w:trPr>
          <w:trHeight w:val="216"/>
        </w:trPr>
        <w:tc>
          <w:tcPr>
            <w:tcW w:w="460" w:type="dxa"/>
            <w:vAlign w:val="bottom"/>
            <w:tcBorders>
              <w:bottom w:val="single" w:sz="8" w:color="065BAA"/>
            </w:tcBorders>
          </w:tcPr>
          <w:p>
            <w:pPr>
              <w:jc w:val="center"/>
              <w:spacing w:after="0"/>
              <w:rPr>
                <w:sz w:val="20"/>
                <w:szCs w:val="20"/>
                <w:color w:val="auto"/>
              </w:rPr>
            </w:pPr>
            <w:r>
              <w:rPr>
                <w:rFonts w:ascii="Arial" w:cs="Arial" w:eastAsia="Arial" w:hAnsi="Arial"/>
                <w:sz w:val="14"/>
                <w:szCs w:val="14"/>
                <w:color w:val="auto"/>
              </w:rPr>
              <w:t>2021</w:t>
            </w:r>
          </w:p>
        </w:tc>
        <w:tc>
          <w:tcPr>
            <w:tcW w:w="1140" w:type="dxa"/>
            <w:vAlign w:val="bottom"/>
            <w:tcBorders>
              <w:bottom w:val="single" w:sz="8" w:color="065BAA"/>
            </w:tcBorders>
          </w:tcPr>
          <w:p>
            <w:pPr>
              <w:ind w:left="420"/>
              <w:spacing w:after="0"/>
              <w:rPr>
                <w:sz w:val="20"/>
                <w:szCs w:val="20"/>
                <w:color w:val="auto"/>
              </w:rPr>
            </w:pPr>
            <w:r>
              <w:rPr>
                <w:rFonts w:ascii="Arial" w:cs="Arial" w:eastAsia="Arial" w:hAnsi="Arial"/>
                <w:sz w:val="14"/>
                <w:szCs w:val="14"/>
                <w:color w:val="auto"/>
              </w:rPr>
              <w:t>6,470,514</w:t>
            </w:r>
          </w:p>
        </w:tc>
        <w:tc>
          <w:tcPr>
            <w:tcW w:w="1240" w:type="dxa"/>
            <w:vAlign w:val="bottom"/>
            <w:tcBorders>
              <w:bottom w:val="single" w:sz="8" w:color="065BAA"/>
            </w:tcBorders>
          </w:tcPr>
          <w:p>
            <w:pPr>
              <w:jc w:val="right"/>
              <w:ind w:right="48"/>
              <w:spacing w:after="0"/>
              <w:rPr>
                <w:sz w:val="20"/>
                <w:szCs w:val="20"/>
                <w:color w:val="auto"/>
              </w:rPr>
            </w:pPr>
            <w:r>
              <w:rPr>
                <w:rFonts w:ascii="Arial" w:cs="Arial" w:eastAsia="Arial" w:hAnsi="Arial"/>
                <w:sz w:val="14"/>
                <w:szCs w:val="14"/>
                <w:color w:val="auto"/>
              </w:rPr>
              <w:t>123,744,652</w:t>
            </w:r>
          </w:p>
        </w:tc>
        <w:tc>
          <w:tcPr>
            <w:tcW w:w="1400" w:type="dxa"/>
            <w:vAlign w:val="bottom"/>
            <w:tcBorders>
              <w:bottom w:val="single" w:sz="8" w:color="065BAA"/>
            </w:tcBorders>
          </w:tcPr>
          <w:p>
            <w:pPr>
              <w:jc w:val="right"/>
              <w:ind w:right="28"/>
              <w:spacing w:after="0"/>
              <w:rPr>
                <w:sz w:val="20"/>
                <w:szCs w:val="20"/>
                <w:color w:val="auto"/>
              </w:rPr>
            </w:pPr>
            <w:r>
              <w:rPr>
                <w:rFonts w:ascii="Arial" w:cs="Arial" w:eastAsia="Arial" w:hAnsi="Arial"/>
                <w:sz w:val="14"/>
                <w:szCs w:val="14"/>
                <w:color w:val="auto"/>
              </w:rPr>
              <w:t>7,548,928</w:t>
            </w:r>
          </w:p>
        </w:tc>
        <w:tc>
          <w:tcPr>
            <w:tcW w:w="1240" w:type="dxa"/>
            <w:vAlign w:val="bottom"/>
            <w:tcBorders>
              <w:bottom w:val="single" w:sz="8" w:color="065BAA"/>
            </w:tcBorders>
          </w:tcPr>
          <w:p>
            <w:pPr>
              <w:jc w:val="right"/>
              <w:ind w:right="31"/>
              <w:spacing w:after="0"/>
              <w:rPr>
                <w:sz w:val="20"/>
                <w:szCs w:val="20"/>
                <w:color w:val="auto"/>
              </w:rPr>
            </w:pPr>
            <w:r>
              <w:rPr>
                <w:rFonts w:ascii="Arial" w:cs="Arial" w:eastAsia="Arial" w:hAnsi="Arial"/>
                <w:sz w:val="14"/>
                <w:szCs w:val="14"/>
                <w:color w:val="auto"/>
              </w:rPr>
              <w:t>40,168,860</w:t>
            </w:r>
          </w:p>
        </w:tc>
        <w:tc>
          <w:tcPr>
            <w:tcW w:w="620" w:type="dxa"/>
            <w:vAlign w:val="bottom"/>
            <w:tcBorders>
              <w:bottom w:val="single" w:sz="8" w:color="065BAA"/>
            </w:tcBorders>
          </w:tcPr>
          <w:p>
            <w:pPr>
              <w:jc w:val="center"/>
              <w:spacing w:after="0"/>
              <w:rPr>
                <w:sz w:val="20"/>
                <w:szCs w:val="20"/>
                <w:color w:val="auto"/>
              </w:rPr>
            </w:pPr>
            <w:r>
              <w:rPr>
                <w:rFonts w:ascii="Arial" w:cs="Arial" w:eastAsia="Arial" w:hAnsi="Arial"/>
                <w:sz w:val="14"/>
                <w:szCs w:val="14"/>
                <w:color w:val="auto"/>
              </w:rPr>
              <w:t>130.72</w:t>
            </w:r>
          </w:p>
        </w:tc>
        <w:tc>
          <w:tcPr>
            <w:tcW w:w="940" w:type="dxa"/>
            <w:vAlign w:val="bottom"/>
            <w:tcBorders>
              <w:bottom w:val="single" w:sz="8" w:color="065BAA"/>
            </w:tcBorders>
          </w:tcPr>
          <w:p>
            <w:pPr>
              <w:ind w:left="400"/>
              <w:spacing w:after="0"/>
              <w:rPr>
                <w:sz w:val="20"/>
                <w:szCs w:val="20"/>
                <w:color w:val="auto"/>
              </w:rPr>
            </w:pPr>
            <w:r>
              <w:rPr>
                <w:rFonts w:ascii="Arial" w:cs="Arial" w:eastAsia="Arial" w:hAnsi="Arial"/>
                <w:sz w:val="14"/>
                <w:szCs w:val="14"/>
                <w:color w:val="auto"/>
              </w:rPr>
              <w:t>124.39</w:t>
            </w:r>
          </w:p>
        </w:tc>
        <w:tc>
          <w:tcPr>
            <w:tcW w:w="1140" w:type="dxa"/>
            <w:vAlign w:val="bottom"/>
            <w:tcBorders>
              <w:bottom w:val="single" w:sz="8" w:color="065BAA"/>
            </w:tcBorders>
          </w:tcPr>
          <w:p>
            <w:pPr>
              <w:jc w:val="right"/>
              <w:ind w:right="28"/>
              <w:spacing w:after="0"/>
              <w:rPr>
                <w:sz w:val="20"/>
                <w:szCs w:val="20"/>
                <w:color w:val="auto"/>
              </w:rPr>
            </w:pPr>
            <w:r>
              <w:rPr>
                <w:rFonts w:ascii="Arial" w:cs="Arial" w:eastAsia="Arial" w:hAnsi="Arial"/>
                <w:sz w:val="14"/>
                <w:szCs w:val="14"/>
                <w:color w:val="auto"/>
              </w:rPr>
              <w:t>8,075,300,000</w:t>
            </w:r>
          </w:p>
        </w:tc>
        <w:tc>
          <w:tcPr>
            <w:tcW w:w="580" w:type="dxa"/>
            <w:vAlign w:val="bottom"/>
            <w:tcBorders>
              <w:bottom w:val="single" w:sz="8" w:color="065BAA"/>
            </w:tcBorders>
          </w:tcPr>
          <w:p>
            <w:pPr>
              <w:jc w:val="right"/>
              <w:spacing w:after="0"/>
              <w:rPr>
                <w:sz w:val="20"/>
                <w:szCs w:val="20"/>
                <w:color w:val="auto"/>
              </w:rPr>
            </w:pPr>
            <w:r>
              <w:rPr>
                <w:rFonts w:ascii="Arial" w:cs="Arial" w:eastAsia="Arial" w:hAnsi="Arial"/>
                <w:sz w:val="14"/>
                <w:szCs w:val="14"/>
                <w:color w:val="auto"/>
              </w:rPr>
              <w:t>631.52</w:t>
            </w:r>
          </w:p>
        </w:tc>
      </w:tr>
    </w:tbl>
    <w:p>
      <w:pPr>
        <w:spacing w:after="0" w:line="117" w:lineRule="exact"/>
        <w:rPr>
          <w:sz w:val="20"/>
          <w:szCs w:val="20"/>
          <w:color w:val="auto"/>
        </w:rPr>
      </w:pPr>
    </w:p>
    <w:p>
      <w:pPr>
        <w:jc w:val="both"/>
        <w:ind w:left="320" w:right="1159" w:hanging="190"/>
        <w:spacing w:after="0" w:line="254" w:lineRule="auto"/>
        <w:tabs>
          <w:tab w:leader="none" w:pos="320" w:val="left"/>
        </w:tabs>
        <w:numPr>
          <w:ilvl w:val="0"/>
          <w:numId w:val="193"/>
        </w:numPr>
        <w:rPr>
          <w:rFonts w:ascii="Arial" w:cs="Arial" w:eastAsia="Arial" w:hAnsi="Arial"/>
          <w:sz w:val="16"/>
          <w:szCs w:val="16"/>
          <w:color w:val="auto"/>
          <w:vertAlign w:val="superscript"/>
        </w:rPr>
      </w:pPr>
      <w:r>
        <w:rPr>
          <w:rFonts w:ascii="Arial" w:cs="Arial" w:eastAsia="Arial" w:hAnsi="Arial"/>
          <w:sz w:val="13"/>
          <w:szCs w:val="13"/>
          <w:color w:val="auto"/>
        </w:rPr>
        <w:t>Leonard S. Schleifer, M.D., Ph.D. was our PEO for each year presented. George D. Yancopoulos, M.D., Ph.D., Daniel P. Van Plew, and Andrew J. Murphy, Ph.D. were among the Non-PEO NEOs for each year presented along with Robert E. Landry for 2021 through 2024, Joseph J. LaRosa for 2021 and 2025, Marion McCourt for 2022, and Christopher Fenimore for 2024 and 2025.</w:t>
      </w:r>
    </w:p>
    <w:p>
      <w:pPr>
        <w:spacing w:after="0" w:line="15" w:lineRule="exact"/>
        <w:rPr>
          <w:sz w:val="20"/>
          <w:szCs w:val="20"/>
          <w:color w:val="auto"/>
        </w:rPr>
      </w:pPr>
    </w:p>
    <w:p>
      <w:pPr>
        <w:ind w:left="320" w:right="419" w:hanging="190"/>
        <w:spacing w:after="0" w:line="245" w:lineRule="auto"/>
        <w:tabs>
          <w:tab w:leader="none" w:pos="320" w:val="left"/>
        </w:tabs>
        <w:numPr>
          <w:ilvl w:val="0"/>
          <w:numId w:val="194"/>
        </w:numPr>
        <w:rPr>
          <w:rFonts w:ascii="Arial" w:cs="Arial" w:eastAsia="Arial" w:hAnsi="Arial"/>
          <w:sz w:val="16"/>
          <w:szCs w:val="16"/>
          <w:color w:val="auto"/>
          <w:vertAlign w:val="superscript"/>
        </w:rPr>
      </w:pPr>
      <w:r>
        <w:rPr>
          <w:rFonts w:ascii="Arial" w:cs="Arial" w:eastAsia="Arial" w:hAnsi="Arial"/>
          <w:sz w:val="13"/>
          <w:szCs w:val="13"/>
          <w:color w:val="auto"/>
        </w:rPr>
        <w:t>The amounts shown for “Compensation “Actually Paid”” have been calculated in accordance with Item 402(v) of Regulation S-K and do not reflect compensation actually earned, realized, or received by the Company’s NEOs. These amounts reflect total compensation as reported in the Summary Compensation Table with certain adjustments as described in footnote 3 below.</w:t>
      </w:r>
    </w:p>
    <w:p>
      <w:pPr>
        <w:spacing w:after="0" w:line="33" w:lineRule="exact"/>
        <w:rPr>
          <w:sz w:val="20"/>
          <w:szCs w:val="20"/>
          <w:color w:val="auto"/>
        </w:rPr>
      </w:pPr>
    </w:p>
    <w:p>
      <w:pPr>
        <w:ind w:left="320" w:right="279" w:hanging="190"/>
        <w:spacing w:after="0" w:line="272" w:lineRule="auto"/>
        <w:tabs>
          <w:tab w:leader="none" w:pos="320" w:val="left"/>
        </w:tabs>
        <w:numPr>
          <w:ilvl w:val="0"/>
          <w:numId w:val="195"/>
        </w:numPr>
        <w:rPr>
          <w:rFonts w:ascii="Arial" w:cs="Arial" w:eastAsia="Arial" w:hAnsi="Arial"/>
          <w:sz w:val="15"/>
          <w:szCs w:val="15"/>
          <w:color w:val="auto"/>
          <w:vertAlign w:val="superscript"/>
        </w:rPr>
      </w:pPr>
      <w:r>
        <w:rPr>
          <w:rFonts w:ascii="Arial" w:cs="Arial" w:eastAsia="Arial" w:hAnsi="Arial"/>
          <w:sz w:val="12"/>
          <w:szCs w:val="12"/>
          <w:color w:val="auto"/>
        </w:rPr>
        <w:t>“Compensation “Actually Paid”” reflects the exclusions and inclusions of equity awards for the PEO and the Non-PEO NEOs as set forth below and calculated in accordance with FASB ASC Topic 718 using the valuation methodologies and assumptions set forth in the calculation of the grant date fair value of these awards as disclosed in the Company’s audited financial statements for the fiscal year in which the equity awards were granted.</w:t>
      </w:r>
    </w:p>
    <w:p>
      <w:pPr>
        <w:spacing w:after="0" w:line="18" w:lineRule="exact"/>
        <w:rPr>
          <w:rFonts w:ascii="Arial" w:cs="Arial" w:eastAsia="Arial" w:hAnsi="Arial"/>
          <w:sz w:val="15"/>
          <w:szCs w:val="15"/>
          <w:color w:val="auto"/>
          <w:vertAlign w:val="superscript"/>
        </w:rPr>
      </w:pPr>
    </w:p>
    <w:p>
      <w:pPr>
        <w:ind w:left="320" w:right="439"/>
        <w:spacing w:after="0" w:line="286" w:lineRule="auto"/>
        <w:rPr>
          <w:rFonts w:ascii="Arial" w:cs="Arial" w:eastAsia="Arial" w:hAnsi="Arial"/>
          <w:sz w:val="15"/>
          <w:szCs w:val="15"/>
          <w:color w:val="auto"/>
          <w:vertAlign w:val="superscript"/>
        </w:rPr>
      </w:pPr>
      <w:r>
        <w:rPr>
          <w:rFonts w:ascii="Arial" w:cs="Arial" w:eastAsia="Arial" w:hAnsi="Arial"/>
          <w:sz w:val="13"/>
          <w:szCs w:val="13"/>
          <w:color w:val="auto"/>
        </w:rPr>
        <w:t>The “Exclusion of Stock Awards and Option Awards from Summary Compensation Table” columns in the tables below reflect the aggregate amounts reported in the Summary Compensation Table for the applicable year in the “Stock Awards” and “Option Awards” columns.</w:t>
      </w:r>
    </w:p>
    <w:p>
      <w:pPr>
        <w:spacing w:after="0" w:line="169"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0" w:type="dxa"/>
            <w:vAlign w:val="bottom"/>
          </w:tcPr>
          <w:p>
            <w:pPr>
              <w:jc w:val="right"/>
              <w:ind w:right="115"/>
              <w:spacing w:after="0"/>
              <w:rPr>
                <w:sz w:val="20"/>
                <w:szCs w:val="20"/>
                <w:color w:val="auto"/>
              </w:rPr>
            </w:pPr>
            <w:r>
              <w:rPr>
                <w:rFonts w:ascii="Arial" w:cs="Arial" w:eastAsia="Arial" w:hAnsi="Arial"/>
                <w:sz w:val="13"/>
                <w:szCs w:val="13"/>
                <w:b w:val="1"/>
                <w:bCs w:val="1"/>
                <w:color w:val="065BAA"/>
              </w:rPr>
              <w:t>Exclusion of Stock Awards</w:t>
            </w:r>
          </w:p>
        </w:tc>
        <w:tc>
          <w:tcPr>
            <w:tcW w:w="178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62"/>
        </w:trPr>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0" w:type="dxa"/>
            <w:vAlign w:val="bottom"/>
          </w:tcPr>
          <w:p>
            <w:pPr>
              <w:jc w:val="right"/>
              <w:ind w:right="115"/>
              <w:spacing w:after="0"/>
              <w:rPr>
                <w:sz w:val="20"/>
                <w:szCs w:val="20"/>
                <w:color w:val="auto"/>
              </w:rPr>
            </w:pPr>
            <w:r>
              <w:rPr>
                <w:rFonts w:ascii="Arial" w:cs="Arial" w:eastAsia="Arial" w:hAnsi="Arial"/>
                <w:sz w:val="13"/>
                <w:szCs w:val="13"/>
                <w:b w:val="1"/>
                <w:bCs w:val="1"/>
                <w:color w:val="065BAA"/>
              </w:rPr>
              <w:t>and Option Awards from</w:t>
            </w:r>
          </w:p>
        </w:tc>
        <w:tc>
          <w:tcPr>
            <w:tcW w:w="1780" w:type="dxa"/>
            <w:vAlign w:val="bottom"/>
          </w:tcPr>
          <w:p>
            <w:pPr>
              <w:jc w:val="right"/>
              <w:ind w:right="115"/>
              <w:spacing w:after="0"/>
              <w:rPr>
                <w:sz w:val="20"/>
                <w:szCs w:val="20"/>
                <w:color w:val="auto"/>
              </w:rPr>
            </w:pPr>
            <w:r>
              <w:rPr>
                <w:rFonts w:ascii="Arial" w:cs="Arial" w:eastAsia="Arial" w:hAnsi="Arial"/>
                <w:sz w:val="13"/>
                <w:szCs w:val="13"/>
                <w:b w:val="1"/>
                <w:bCs w:val="1"/>
                <w:color w:val="065BAA"/>
              </w:rPr>
              <w:t>Inclusion of Item 402(v)</w:t>
            </w:r>
          </w:p>
        </w:tc>
        <w:tc>
          <w:tcPr>
            <w:tcW w:w="1660" w:type="dxa"/>
            <w:vAlign w:val="bottom"/>
          </w:tcPr>
          <w:p>
            <w:pPr>
              <w:spacing w:after="0"/>
              <w:rPr>
                <w:sz w:val="14"/>
                <w:szCs w:val="14"/>
                <w:color w:val="auto"/>
              </w:rPr>
            </w:pPr>
          </w:p>
        </w:tc>
      </w:tr>
      <w:tr>
        <w:trPr>
          <w:trHeight w:val="148"/>
        </w:trPr>
        <w:tc>
          <w:tcPr>
            <w:tcW w:w="780" w:type="dxa"/>
            <w:vAlign w:val="bottom"/>
          </w:tcPr>
          <w:p>
            <w:pPr>
              <w:spacing w:after="0"/>
              <w:rPr>
                <w:sz w:val="12"/>
                <w:szCs w:val="12"/>
                <w:color w:val="auto"/>
              </w:rPr>
            </w:pPr>
          </w:p>
        </w:tc>
        <w:tc>
          <w:tcPr>
            <w:tcW w:w="2320" w:type="dxa"/>
            <w:vAlign w:val="bottom"/>
          </w:tcPr>
          <w:p>
            <w:pPr>
              <w:jc w:val="right"/>
              <w:ind w:right="74"/>
              <w:spacing w:after="0"/>
              <w:rPr>
                <w:sz w:val="20"/>
                <w:szCs w:val="20"/>
                <w:color w:val="auto"/>
              </w:rPr>
            </w:pPr>
            <w:r>
              <w:rPr>
                <w:rFonts w:ascii="Arial" w:cs="Arial" w:eastAsia="Arial" w:hAnsi="Arial"/>
                <w:sz w:val="13"/>
                <w:szCs w:val="13"/>
                <w:b w:val="1"/>
                <w:bCs w:val="1"/>
                <w:color w:val="065BAA"/>
              </w:rPr>
              <w:t>Summary Compensation</w:t>
            </w:r>
          </w:p>
        </w:tc>
        <w:tc>
          <w:tcPr>
            <w:tcW w:w="2000" w:type="dxa"/>
            <w:vAlign w:val="bottom"/>
          </w:tcPr>
          <w:p>
            <w:pPr>
              <w:jc w:val="right"/>
              <w:ind w:right="115"/>
              <w:spacing w:after="0"/>
              <w:rPr>
                <w:sz w:val="20"/>
                <w:szCs w:val="20"/>
                <w:color w:val="auto"/>
              </w:rPr>
            </w:pPr>
            <w:r>
              <w:rPr>
                <w:rFonts w:ascii="Arial" w:cs="Arial" w:eastAsia="Arial" w:hAnsi="Arial"/>
                <w:sz w:val="13"/>
                <w:szCs w:val="13"/>
                <w:b w:val="1"/>
                <w:bCs w:val="1"/>
                <w:color w:val="065BAA"/>
              </w:rPr>
              <w:t>Summary Compensation</w:t>
            </w:r>
          </w:p>
        </w:tc>
        <w:tc>
          <w:tcPr>
            <w:tcW w:w="1780" w:type="dxa"/>
            <w:vAlign w:val="bottom"/>
          </w:tcPr>
          <w:p>
            <w:pPr>
              <w:jc w:val="right"/>
              <w:ind w:right="115"/>
              <w:spacing w:after="0"/>
              <w:rPr>
                <w:sz w:val="20"/>
                <w:szCs w:val="20"/>
                <w:color w:val="auto"/>
              </w:rPr>
            </w:pPr>
            <w:r>
              <w:rPr>
                <w:rFonts w:ascii="Arial" w:cs="Arial" w:eastAsia="Arial" w:hAnsi="Arial"/>
                <w:sz w:val="13"/>
                <w:szCs w:val="13"/>
                <w:b w:val="1"/>
                <w:bCs w:val="1"/>
                <w:color w:val="065BAA"/>
              </w:rPr>
              <w:t>Equity Award Values for</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065BAA"/>
              </w:rPr>
              <w:t>Compensation “Actually</w:t>
            </w:r>
          </w:p>
        </w:tc>
      </w:tr>
      <w:tr>
        <w:trPr>
          <w:trHeight w:val="166"/>
        </w:trPr>
        <w:tc>
          <w:tcPr>
            <w:tcW w:w="780" w:type="dxa"/>
            <w:vAlign w:val="bottom"/>
            <w:tcBorders>
              <w:bottom w:val="single" w:sz="8" w:color="065BAA"/>
            </w:tcBorders>
          </w:tcPr>
          <w:p>
            <w:pPr>
              <w:ind w:left="60"/>
              <w:spacing w:after="0"/>
              <w:rPr>
                <w:sz w:val="20"/>
                <w:szCs w:val="20"/>
                <w:color w:val="auto"/>
              </w:rPr>
            </w:pPr>
            <w:r>
              <w:rPr>
                <w:rFonts w:ascii="Arial" w:cs="Arial" w:eastAsia="Arial" w:hAnsi="Arial"/>
                <w:sz w:val="13"/>
                <w:szCs w:val="13"/>
                <w:b w:val="1"/>
                <w:bCs w:val="1"/>
                <w:color w:val="065BAA"/>
              </w:rPr>
              <w:t>Year</w:t>
            </w:r>
          </w:p>
        </w:tc>
        <w:tc>
          <w:tcPr>
            <w:tcW w:w="2320" w:type="dxa"/>
            <w:vAlign w:val="bottom"/>
            <w:tcBorders>
              <w:bottom w:val="single" w:sz="8" w:color="065BAA"/>
            </w:tcBorders>
          </w:tcPr>
          <w:p>
            <w:pPr>
              <w:jc w:val="right"/>
              <w:ind w:right="94"/>
              <w:spacing w:after="0"/>
              <w:rPr>
                <w:sz w:val="20"/>
                <w:szCs w:val="20"/>
                <w:color w:val="auto"/>
              </w:rPr>
            </w:pPr>
            <w:r>
              <w:rPr>
                <w:rFonts w:ascii="Arial" w:cs="Arial" w:eastAsia="Arial" w:hAnsi="Arial"/>
                <w:sz w:val="13"/>
                <w:szCs w:val="13"/>
                <w:b w:val="1"/>
                <w:bCs w:val="1"/>
                <w:color w:val="065BAA"/>
              </w:rPr>
              <w:t>Table Total for PEO ($)</w:t>
            </w:r>
          </w:p>
        </w:tc>
        <w:tc>
          <w:tcPr>
            <w:tcW w:w="2000" w:type="dxa"/>
            <w:vAlign w:val="bottom"/>
            <w:tcBorders>
              <w:bottom w:val="single" w:sz="8" w:color="065BAA"/>
            </w:tcBorders>
          </w:tcPr>
          <w:p>
            <w:pPr>
              <w:jc w:val="right"/>
              <w:ind w:right="135"/>
              <w:spacing w:after="0"/>
              <w:rPr>
                <w:sz w:val="20"/>
                <w:szCs w:val="20"/>
                <w:color w:val="auto"/>
              </w:rPr>
            </w:pPr>
            <w:r>
              <w:rPr>
                <w:rFonts w:ascii="Arial" w:cs="Arial" w:eastAsia="Arial" w:hAnsi="Arial"/>
                <w:sz w:val="13"/>
                <w:szCs w:val="13"/>
                <w:b w:val="1"/>
                <w:bCs w:val="1"/>
                <w:color w:val="065BAA"/>
              </w:rPr>
              <w:t>Table for PEO ($)</w:t>
            </w:r>
          </w:p>
        </w:tc>
        <w:tc>
          <w:tcPr>
            <w:tcW w:w="1780" w:type="dxa"/>
            <w:vAlign w:val="bottom"/>
            <w:tcBorders>
              <w:bottom w:val="single" w:sz="8" w:color="065BAA"/>
            </w:tcBorders>
          </w:tcPr>
          <w:p>
            <w:pPr>
              <w:jc w:val="right"/>
              <w:ind w:right="115"/>
              <w:spacing w:after="0"/>
              <w:rPr>
                <w:sz w:val="20"/>
                <w:szCs w:val="20"/>
                <w:color w:val="auto"/>
              </w:rPr>
            </w:pPr>
            <w:r>
              <w:rPr>
                <w:rFonts w:ascii="Arial" w:cs="Arial" w:eastAsia="Arial" w:hAnsi="Arial"/>
                <w:sz w:val="13"/>
                <w:szCs w:val="13"/>
                <w:b w:val="1"/>
                <w:bCs w:val="1"/>
                <w:color w:val="065BAA"/>
              </w:rPr>
              <w:t>PEO ($)</w:t>
            </w:r>
          </w:p>
        </w:tc>
        <w:tc>
          <w:tcPr>
            <w:tcW w:w="1660" w:type="dxa"/>
            <w:vAlign w:val="bottom"/>
            <w:tcBorders>
              <w:bottom w:val="single" w:sz="8" w:color="065BAA"/>
            </w:tcBorders>
          </w:tcPr>
          <w:p>
            <w:pPr>
              <w:jc w:val="right"/>
              <w:spacing w:after="0"/>
              <w:rPr>
                <w:sz w:val="20"/>
                <w:szCs w:val="20"/>
                <w:color w:val="auto"/>
              </w:rPr>
            </w:pPr>
            <w:r>
              <w:rPr>
                <w:rFonts w:ascii="Arial" w:cs="Arial" w:eastAsia="Arial" w:hAnsi="Arial"/>
                <w:sz w:val="13"/>
                <w:szCs w:val="13"/>
                <w:b w:val="1"/>
                <w:bCs w:val="1"/>
                <w:color w:val="065BAA"/>
              </w:rPr>
              <w:t>Paid” to PEO ($)</w:t>
            </w:r>
          </w:p>
        </w:tc>
      </w:tr>
      <w:tr>
        <w:trPr>
          <w:trHeight w:val="192"/>
        </w:trPr>
        <w:tc>
          <w:tcPr>
            <w:tcW w:w="780" w:type="dxa"/>
            <w:vAlign w:val="bottom"/>
            <w:tcBorders>
              <w:bottom w:val="single" w:sz="8" w:color="065BAA"/>
            </w:tcBorders>
          </w:tcPr>
          <w:p>
            <w:pPr>
              <w:ind w:left="60"/>
              <w:spacing w:after="0"/>
              <w:rPr>
                <w:sz w:val="20"/>
                <w:szCs w:val="20"/>
                <w:color w:val="auto"/>
              </w:rPr>
            </w:pPr>
            <w:r>
              <w:rPr>
                <w:rFonts w:ascii="Arial" w:cs="Arial" w:eastAsia="Arial" w:hAnsi="Arial"/>
                <w:sz w:val="14"/>
                <w:szCs w:val="14"/>
                <w:color w:val="auto"/>
              </w:rPr>
              <w:t>2025</w:t>
            </w:r>
          </w:p>
        </w:tc>
        <w:tc>
          <w:tcPr>
            <w:tcW w:w="2320" w:type="dxa"/>
            <w:vAlign w:val="bottom"/>
            <w:tcBorders>
              <w:bottom w:val="single" w:sz="8" w:color="065BAA"/>
            </w:tcBorders>
          </w:tcPr>
          <w:p>
            <w:pPr>
              <w:jc w:val="right"/>
              <w:ind w:right="74"/>
              <w:spacing w:after="0"/>
              <w:rPr>
                <w:sz w:val="20"/>
                <w:szCs w:val="20"/>
                <w:color w:val="auto"/>
              </w:rPr>
            </w:pPr>
            <w:r>
              <w:rPr>
                <w:rFonts w:ascii="Arial" w:cs="Arial" w:eastAsia="Arial" w:hAnsi="Arial"/>
                <w:sz w:val="14"/>
                <w:szCs w:val="14"/>
                <w:color w:val="auto"/>
              </w:rPr>
              <w:t>7,280,549</w:t>
            </w:r>
          </w:p>
        </w:tc>
        <w:tc>
          <w:tcPr>
            <w:tcW w:w="2000" w:type="dxa"/>
            <w:vAlign w:val="bottom"/>
            <w:tcBorders>
              <w:bottom w:val="single" w:sz="8" w:color="065BAA"/>
            </w:tcBorders>
          </w:tcPr>
          <w:p>
            <w:pPr>
              <w:jc w:val="right"/>
              <w:ind w:right="115"/>
              <w:spacing w:after="0"/>
              <w:rPr>
                <w:sz w:val="20"/>
                <w:szCs w:val="20"/>
                <w:color w:val="auto"/>
              </w:rPr>
            </w:pPr>
            <w:r>
              <w:rPr>
                <w:rFonts w:ascii="Arial" w:cs="Arial" w:eastAsia="Arial" w:hAnsi="Arial"/>
                <w:sz w:val="14"/>
                <w:szCs w:val="14"/>
                <w:color w:val="auto"/>
              </w:rPr>
              <w:t>0</w:t>
            </w:r>
          </w:p>
        </w:tc>
        <w:tc>
          <w:tcPr>
            <w:tcW w:w="1780" w:type="dxa"/>
            <w:vAlign w:val="bottom"/>
            <w:tcBorders>
              <w:bottom w:val="single" w:sz="8" w:color="065BAA"/>
            </w:tcBorders>
          </w:tcPr>
          <w:p>
            <w:pPr>
              <w:ind w:left="880"/>
              <w:spacing w:after="0"/>
              <w:rPr>
                <w:sz w:val="20"/>
                <w:szCs w:val="20"/>
                <w:color w:val="auto"/>
              </w:rPr>
            </w:pPr>
            <w:r>
              <w:rPr>
                <w:rFonts w:ascii="Arial" w:cs="Arial" w:eastAsia="Arial" w:hAnsi="Arial"/>
                <w:sz w:val="14"/>
                <w:szCs w:val="14"/>
                <w:color w:val="auto"/>
              </w:rPr>
              <w:t>31,669,482</w:t>
            </w:r>
          </w:p>
        </w:tc>
        <w:tc>
          <w:tcPr>
            <w:tcW w:w="1660" w:type="dxa"/>
            <w:vAlign w:val="bottom"/>
            <w:tcBorders>
              <w:bottom w:val="single" w:sz="8" w:color="065BAA"/>
            </w:tcBorders>
          </w:tcPr>
          <w:p>
            <w:pPr>
              <w:jc w:val="right"/>
              <w:spacing w:after="0"/>
              <w:rPr>
                <w:sz w:val="20"/>
                <w:szCs w:val="20"/>
                <w:color w:val="auto"/>
              </w:rPr>
            </w:pPr>
            <w:r>
              <w:rPr>
                <w:rFonts w:ascii="Arial" w:cs="Arial" w:eastAsia="Arial" w:hAnsi="Arial"/>
                <w:sz w:val="14"/>
                <w:szCs w:val="14"/>
                <w:color w:val="auto"/>
              </w:rPr>
              <w:t>38,950,031</w:t>
            </w:r>
          </w:p>
        </w:tc>
      </w:tr>
      <w:tr>
        <w:trPr>
          <w:trHeight w:val="466"/>
        </w:trPr>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0" w:type="dxa"/>
            <w:vAlign w:val="bottom"/>
          </w:tcPr>
          <w:p>
            <w:pPr>
              <w:jc w:val="right"/>
              <w:ind w:right="115"/>
              <w:spacing w:after="0"/>
              <w:rPr>
                <w:sz w:val="20"/>
                <w:szCs w:val="20"/>
                <w:color w:val="auto"/>
              </w:rPr>
            </w:pPr>
            <w:r>
              <w:rPr>
                <w:rFonts w:ascii="Arial" w:cs="Arial" w:eastAsia="Arial" w:hAnsi="Arial"/>
                <w:sz w:val="13"/>
                <w:szCs w:val="13"/>
                <w:b w:val="1"/>
                <w:bCs w:val="1"/>
                <w:color w:val="065BAA"/>
              </w:rPr>
              <w:t>Exclusion of Stock Awards</w:t>
            </w: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48"/>
        </w:trPr>
        <w:tc>
          <w:tcPr>
            <w:tcW w:w="780" w:type="dxa"/>
            <w:vAlign w:val="bottom"/>
          </w:tcPr>
          <w:p>
            <w:pPr>
              <w:spacing w:after="0"/>
              <w:rPr>
                <w:sz w:val="12"/>
                <w:szCs w:val="12"/>
                <w:color w:val="auto"/>
              </w:rPr>
            </w:pPr>
          </w:p>
        </w:tc>
        <w:tc>
          <w:tcPr>
            <w:tcW w:w="2320" w:type="dxa"/>
            <w:vAlign w:val="bottom"/>
          </w:tcPr>
          <w:p>
            <w:pPr>
              <w:jc w:val="right"/>
              <w:ind w:right="74"/>
              <w:spacing w:after="0"/>
              <w:rPr>
                <w:sz w:val="20"/>
                <w:szCs w:val="20"/>
                <w:color w:val="auto"/>
              </w:rPr>
            </w:pPr>
            <w:r>
              <w:rPr>
                <w:rFonts w:ascii="Arial" w:cs="Arial" w:eastAsia="Arial" w:hAnsi="Arial"/>
                <w:sz w:val="13"/>
                <w:szCs w:val="13"/>
                <w:b w:val="1"/>
                <w:bCs w:val="1"/>
                <w:color w:val="065BAA"/>
              </w:rPr>
              <w:t>Average Summary</w:t>
            </w:r>
          </w:p>
        </w:tc>
        <w:tc>
          <w:tcPr>
            <w:tcW w:w="2000" w:type="dxa"/>
            <w:vAlign w:val="bottom"/>
          </w:tcPr>
          <w:p>
            <w:pPr>
              <w:jc w:val="right"/>
              <w:ind w:right="115"/>
              <w:spacing w:after="0"/>
              <w:rPr>
                <w:sz w:val="20"/>
                <w:szCs w:val="20"/>
                <w:color w:val="auto"/>
              </w:rPr>
            </w:pPr>
            <w:r>
              <w:rPr>
                <w:rFonts w:ascii="Arial" w:cs="Arial" w:eastAsia="Arial" w:hAnsi="Arial"/>
                <w:sz w:val="13"/>
                <w:szCs w:val="13"/>
                <w:b w:val="1"/>
                <w:bCs w:val="1"/>
                <w:color w:val="065BAA"/>
              </w:rPr>
              <w:t>and Option Awards from</w:t>
            </w:r>
          </w:p>
        </w:tc>
        <w:tc>
          <w:tcPr>
            <w:tcW w:w="1780" w:type="dxa"/>
            <w:vAlign w:val="bottom"/>
          </w:tcPr>
          <w:p>
            <w:pPr>
              <w:jc w:val="right"/>
              <w:ind w:right="115"/>
              <w:spacing w:after="0"/>
              <w:rPr>
                <w:sz w:val="20"/>
                <w:szCs w:val="20"/>
                <w:color w:val="auto"/>
              </w:rPr>
            </w:pPr>
            <w:r>
              <w:rPr>
                <w:rFonts w:ascii="Arial" w:cs="Arial" w:eastAsia="Arial" w:hAnsi="Arial"/>
                <w:sz w:val="13"/>
                <w:szCs w:val="13"/>
                <w:b w:val="1"/>
                <w:bCs w:val="1"/>
                <w:color w:val="065BAA"/>
              </w:rPr>
              <w:t>Inclusion of Item 402(v)</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065BAA"/>
              </w:rPr>
              <w:t>Average Compensation</w:t>
            </w:r>
          </w:p>
        </w:tc>
      </w:tr>
      <w:tr>
        <w:trPr>
          <w:trHeight w:val="162"/>
        </w:trPr>
        <w:tc>
          <w:tcPr>
            <w:tcW w:w="780" w:type="dxa"/>
            <w:vAlign w:val="bottom"/>
          </w:tcPr>
          <w:p>
            <w:pPr>
              <w:spacing w:after="0"/>
              <w:rPr>
                <w:sz w:val="14"/>
                <w:szCs w:val="14"/>
                <w:color w:val="auto"/>
              </w:rPr>
            </w:pPr>
          </w:p>
        </w:tc>
        <w:tc>
          <w:tcPr>
            <w:tcW w:w="2320" w:type="dxa"/>
            <w:vAlign w:val="bottom"/>
          </w:tcPr>
          <w:p>
            <w:pPr>
              <w:jc w:val="right"/>
              <w:ind w:right="94"/>
              <w:spacing w:after="0"/>
              <w:rPr>
                <w:sz w:val="20"/>
                <w:szCs w:val="20"/>
                <w:color w:val="auto"/>
              </w:rPr>
            </w:pPr>
            <w:r>
              <w:rPr>
                <w:rFonts w:ascii="Arial" w:cs="Arial" w:eastAsia="Arial" w:hAnsi="Arial"/>
                <w:sz w:val="13"/>
                <w:szCs w:val="13"/>
                <w:b w:val="1"/>
                <w:bCs w:val="1"/>
                <w:color w:val="065BAA"/>
              </w:rPr>
              <w:t>Compensation Table Total for</w:t>
            </w:r>
          </w:p>
        </w:tc>
        <w:tc>
          <w:tcPr>
            <w:tcW w:w="2000" w:type="dxa"/>
            <w:vAlign w:val="bottom"/>
          </w:tcPr>
          <w:p>
            <w:pPr>
              <w:jc w:val="right"/>
              <w:ind w:right="115"/>
              <w:spacing w:after="0"/>
              <w:rPr>
                <w:sz w:val="20"/>
                <w:szCs w:val="20"/>
                <w:color w:val="auto"/>
              </w:rPr>
            </w:pPr>
            <w:r>
              <w:rPr>
                <w:rFonts w:ascii="Arial" w:cs="Arial" w:eastAsia="Arial" w:hAnsi="Arial"/>
                <w:sz w:val="13"/>
                <w:szCs w:val="13"/>
                <w:b w:val="1"/>
                <w:bCs w:val="1"/>
                <w:color w:val="065BAA"/>
              </w:rPr>
              <w:t>Summary Compensation</w:t>
            </w:r>
          </w:p>
        </w:tc>
        <w:tc>
          <w:tcPr>
            <w:tcW w:w="1780" w:type="dxa"/>
            <w:vAlign w:val="bottom"/>
          </w:tcPr>
          <w:p>
            <w:pPr>
              <w:jc w:val="right"/>
              <w:ind w:right="115"/>
              <w:spacing w:after="0"/>
              <w:rPr>
                <w:sz w:val="20"/>
                <w:szCs w:val="20"/>
                <w:color w:val="auto"/>
              </w:rPr>
            </w:pPr>
            <w:r>
              <w:rPr>
                <w:rFonts w:ascii="Arial" w:cs="Arial" w:eastAsia="Arial" w:hAnsi="Arial"/>
                <w:sz w:val="13"/>
                <w:szCs w:val="13"/>
                <w:b w:val="1"/>
                <w:bCs w:val="1"/>
                <w:color w:val="065BAA"/>
              </w:rPr>
              <w:t>Equity Award Values for</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065BAA"/>
              </w:rPr>
              <w:t>“Actually Paid” to</w:t>
            </w:r>
          </w:p>
        </w:tc>
      </w:tr>
      <w:tr>
        <w:trPr>
          <w:trHeight w:val="153"/>
        </w:trPr>
        <w:tc>
          <w:tcPr>
            <w:tcW w:w="780" w:type="dxa"/>
            <w:vAlign w:val="bottom"/>
            <w:tcBorders>
              <w:bottom w:val="single" w:sz="8" w:color="065BAA"/>
            </w:tcBorders>
          </w:tcPr>
          <w:p>
            <w:pPr>
              <w:ind w:left="60"/>
              <w:spacing w:after="0"/>
              <w:rPr>
                <w:sz w:val="20"/>
                <w:szCs w:val="20"/>
                <w:color w:val="auto"/>
              </w:rPr>
            </w:pPr>
            <w:r>
              <w:rPr>
                <w:rFonts w:ascii="Arial" w:cs="Arial" w:eastAsia="Arial" w:hAnsi="Arial"/>
                <w:sz w:val="13"/>
                <w:szCs w:val="13"/>
                <w:b w:val="1"/>
                <w:bCs w:val="1"/>
                <w:color w:val="065BAA"/>
              </w:rPr>
              <w:t>Year</w:t>
            </w:r>
          </w:p>
        </w:tc>
        <w:tc>
          <w:tcPr>
            <w:tcW w:w="2320" w:type="dxa"/>
            <w:vAlign w:val="bottom"/>
            <w:tcBorders>
              <w:bottom w:val="single" w:sz="8" w:color="065BAA"/>
            </w:tcBorders>
          </w:tcPr>
          <w:p>
            <w:pPr>
              <w:jc w:val="right"/>
              <w:ind w:right="74"/>
              <w:spacing w:after="0"/>
              <w:rPr>
                <w:sz w:val="20"/>
                <w:szCs w:val="20"/>
                <w:color w:val="auto"/>
              </w:rPr>
            </w:pPr>
            <w:r>
              <w:rPr>
                <w:rFonts w:ascii="Arial" w:cs="Arial" w:eastAsia="Arial" w:hAnsi="Arial"/>
                <w:sz w:val="13"/>
                <w:szCs w:val="13"/>
                <w:b w:val="1"/>
                <w:bCs w:val="1"/>
                <w:color w:val="065BAA"/>
              </w:rPr>
              <w:t>Non-PEO NEOs ($)</w:t>
            </w:r>
          </w:p>
        </w:tc>
        <w:tc>
          <w:tcPr>
            <w:tcW w:w="2000" w:type="dxa"/>
            <w:vAlign w:val="bottom"/>
            <w:tcBorders>
              <w:bottom w:val="single" w:sz="8" w:color="065BAA"/>
            </w:tcBorders>
          </w:tcPr>
          <w:p>
            <w:pPr>
              <w:jc w:val="right"/>
              <w:ind w:right="135"/>
              <w:spacing w:after="0"/>
              <w:rPr>
                <w:sz w:val="20"/>
                <w:szCs w:val="20"/>
                <w:color w:val="auto"/>
              </w:rPr>
            </w:pPr>
            <w:r>
              <w:rPr>
                <w:rFonts w:ascii="Arial" w:cs="Arial" w:eastAsia="Arial" w:hAnsi="Arial"/>
                <w:sz w:val="13"/>
                <w:szCs w:val="13"/>
                <w:b w:val="1"/>
                <w:bCs w:val="1"/>
                <w:color w:val="065BAA"/>
              </w:rPr>
              <w:t>Table for Non-PEO NEOs ($)</w:t>
            </w:r>
          </w:p>
        </w:tc>
        <w:tc>
          <w:tcPr>
            <w:tcW w:w="1780" w:type="dxa"/>
            <w:vAlign w:val="bottom"/>
            <w:tcBorders>
              <w:bottom w:val="single" w:sz="8" w:color="065BAA"/>
            </w:tcBorders>
          </w:tcPr>
          <w:p>
            <w:pPr>
              <w:jc w:val="right"/>
              <w:ind w:right="115"/>
              <w:spacing w:after="0"/>
              <w:rPr>
                <w:sz w:val="20"/>
                <w:szCs w:val="20"/>
                <w:color w:val="auto"/>
              </w:rPr>
            </w:pPr>
            <w:r>
              <w:rPr>
                <w:rFonts w:ascii="Arial" w:cs="Arial" w:eastAsia="Arial" w:hAnsi="Arial"/>
                <w:sz w:val="13"/>
                <w:szCs w:val="13"/>
                <w:b w:val="1"/>
                <w:bCs w:val="1"/>
                <w:color w:val="065BAA"/>
              </w:rPr>
              <w:t>Non-PEO NEOs ($)</w:t>
            </w:r>
          </w:p>
        </w:tc>
        <w:tc>
          <w:tcPr>
            <w:tcW w:w="1660" w:type="dxa"/>
            <w:vAlign w:val="bottom"/>
            <w:tcBorders>
              <w:bottom w:val="single" w:sz="8" w:color="065BAA"/>
            </w:tcBorders>
          </w:tcPr>
          <w:p>
            <w:pPr>
              <w:jc w:val="right"/>
              <w:spacing w:after="0"/>
              <w:rPr>
                <w:sz w:val="20"/>
                <w:szCs w:val="20"/>
                <w:color w:val="auto"/>
              </w:rPr>
            </w:pPr>
            <w:r>
              <w:rPr>
                <w:rFonts w:ascii="Arial" w:cs="Arial" w:eastAsia="Arial" w:hAnsi="Arial"/>
                <w:sz w:val="13"/>
                <w:szCs w:val="13"/>
                <w:b w:val="1"/>
                <w:bCs w:val="1"/>
                <w:color w:val="065BAA"/>
              </w:rPr>
              <w:t>Non-PEO NEOs ($)</w:t>
            </w:r>
          </w:p>
        </w:tc>
      </w:tr>
      <w:tr>
        <w:trPr>
          <w:trHeight w:val="196"/>
        </w:trPr>
        <w:tc>
          <w:tcPr>
            <w:tcW w:w="780" w:type="dxa"/>
            <w:vAlign w:val="bottom"/>
            <w:tcBorders>
              <w:bottom w:val="single" w:sz="8" w:color="065BAA"/>
            </w:tcBorders>
          </w:tcPr>
          <w:p>
            <w:pPr>
              <w:ind w:left="60"/>
              <w:spacing w:after="0"/>
              <w:rPr>
                <w:sz w:val="20"/>
                <w:szCs w:val="20"/>
                <w:color w:val="auto"/>
              </w:rPr>
            </w:pPr>
            <w:r>
              <w:rPr>
                <w:rFonts w:ascii="Arial" w:cs="Arial" w:eastAsia="Arial" w:hAnsi="Arial"/>
                <w:sz w:val="14"/>
                <w:szCs w:val="14"/>
                <w:color w:val="auto"/>
              </w:rPr>
              <w:t>2025</w:t>
            </w:r>
          </w:p>
        </w:tc>
        <w:tc>
          <w:tcPr>
            <w:tcW w:w="2320" w:type="dxa"/>
            <w:vAlign w:val="bottom"/>
            <w:tcBorders>
              <w:bottom w:val="single" w:sz="8" w:color="065BAA"/>
            </w:tcBorders>
          </w:tcPr>
          <w:p>
            <w:pPr>
              <w:jc w:val="right"/>
              <w:ind w:right="74"/>
              <w:spacing w:after="0"/>
              <w:rPr>
                <w:sz w:val="20"/>
                <w:szCs w:val="20"/>
                <w:color w:val="auto"/>
              </w:rPr>
            </w:pPr>
            <w:r>
              <w:rPr>
                <w:rFonts w:ascii="Arial" w:cs="Arial" w:eastAsia="Arial" w:hAnsi="Arial"/>
                <w:sz w:val="14"/>
                <w:szCs w:val="14"/>
                <w:color w:val="auto"/>
              </w:rPr>
              <w:t>7,730,237</w:t>
            </w:r>
          </w:p>
        </w:tc>
        <w:tc>
          <w:tcPr>
            <w:tcW w:w="2000" w:type="dxa"/>
            <w:vAlign w:val="bottom"/>
            <w:tcBorders>
              <w:bottom w:val="single" w:sz="8" w:color="065BAA"/>
            </w:tcBorders>
          </w:tcPr>
          <w:p>
            <w:pPr>
              <w:jc w:val="right"/>
              <w:ind w:right="95"/>
              <w:spacing w:after="0"/>
              <w:rPr>
                <w:sz w:val="20"/>
                <w:szCs w:val="20"/>
                <w:color w:val="auto"/>
              </w:rPr>
            </w:pPr>
            <w:r>
              <w:rPr>
                <w:rFonts w:ascii="Arial" w:cs="Arial" w:eastAsia="Arial" w:hAnsi="Arial"/>
                <w:sz w:val="14"/>
                <w:szCs w:val="14"/>
                <w:color w:val="auto"/>
              </w:rPr>
              <w:t>(4,699,568)</w:t>
            </w:r>
          </w:p>
        </w:tc>
        <w:tc>
          <w:tcPr>
            <w:tcW w:w="1780" w:type="dxa"/>
            <w:vAlign w:val="bottom"/>
            <w:tcBorders>
              <w:bottom w:val="single" w:sz="8" w:color="065BAA"/>
            </w:tcBorders>
          </w:tcPr>
          <w:p>
            <w:pPr>
              <w:ind w:left="880"/>
              <w:spacing w:after="0"/>
              <w:rPr>
                <w:sz w:val="20"/>
                <w:szCs w:val="20"/>
                <w:color w:val="auto"/>
              </w:rPr>
            </w:pPr>
            <w:r>
              <w:rPr>
                <w:rFonts w:ascii="Arial" w:cs="Arial" w:eastAsia="Arial" w:hAnsi="Arial"/>
                <w:sz w:val="14"/>
                <w:szCs w:val="14"/>
                <w:color w:val="auto"/>
              </w:rPr>
              <w:t>11,666,354</w:t>
            </w:r>
          </w:p>
        </w:tc>
        <w:tc>
          <w:tcPr>
            <w:tcW w:w="1660" w:type="dxa"/>
            <w:vAlign w:val="bottom"/>
            <w:tcBorders>
              <w:bottom w:val="single" w:sz="8" w:color="065BAA"/>
            </w:tcBorders>
          </w:tcPr>
          <w:p>
            <w:pPr>
              <w:jc w:val="right"/>
              <w:spacing w:after="0"/>
              <w:rPr>
                <w:sz w:val="20"/>
                <w:szCs w:val="20"/>
                <w:color w:val="auto"/>
              </w:rPr>
            </w:pPr>
            <w:r>
              <w:rPr>
                <w:rFonts w:ascii="Arial" w:cs="Arial" w:eastAsia="Arial" w:hAnsi="Arial"/>
                <w:sz w:val="14"/>
                <w:szCs w:val="14"/>
                <w:color w:val="auto"/>
              </w:rPr>
              <w:t>14,697,023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95</w:t>
            </w:r>
          </w:p>
        </w:tc>
      </w:tr>
    </w:tbl>
    <w:p>
      <w:pPr>
        <w:sectPr>
          <w:pgSz w:w="11900" w:h="16838" w:orient="portrait"/>
          <w:cols w:equalWidth="0" w:num="1">
            <w:col w:w="9019"/>
          </w:cols>
          <w:pgMar w:left="1440" w:top="657" w:right="1440" w:bottom="1440" w:gutter="0" w:footer="0" w:header="0"/>
        </w:sectPr>
      </w:pPr>
    </w:p>
    <w:bookmarkStart w:id="104" w:name="page105"/>
    <w:bookmarkEnd w:id="104"/>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“Inclusion of Item 402(v) Equity Award Values” columns in the tables above are derived from the dollar values set forth in the following tables:</w:t>
      </w: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jc w:val="right"/>
              <w:ind w:right="76"/>
              <w:spacing w:after="0"/>
              <w:rPr>
                <w:sz w:val="20"/>
                <w:szCs w:val="20"/>
                <w:color w:val="auto"/>
              </w:rPr>
            </w:pPr>
            <w:r>
              <w:rPr>
                <w:rFonts w:ascii="Arial" w:cs="Arial" w:eastAsia="Arial" w:hAnsi="Arial"/>
                <w:sz w:val="13"/>
                <w:szCs w:val="13"/>
                <w:b w:val="1"/>
                <w:bCs w:val="1"/>
                <w:color w:val="065BAA"/>
              </w:rPr>
              <w:t>Change in</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480" w:type="dxa"/>
            <w:vAlign w:val="bottom"/>
          </w:tcPr>
          <w:p>
            <w:pPr>
              <w:spacing w:after="0"/>
              <w:rPr>
                <w:sz w:val="12"/>
                <w:szCs w:val="12"/>
                <w:color w:val="auto"/>
              </w:rPr>
            </w:pPr>
          </w:p>
        </w:tc>
        <w:tc>
          <w:tcPr>
            <w:tcW w:w="1200" w:type="dxa"/>
            <w:vAlign w:val="bottom"/>
          </w:tcPr>
          <w:p>
            <w:pPr>
              <w:jc w:val="right"/>
              <w:ind w:right="76"/>
              <w:spacing w:after="0"/>
              <w:rPr>
                <w:sz w:val="20"/>
                <w:szCs w:val="20"/>
                <w:color w:val="auto"/>
              </w:rPr>
            </w:pPr>
            <w:r>
              <w:rPr>
                <w:rFonts w:ascii="Arial" w:cs="Arial" w:eastAsia="Arial" w:hAnsi="Arial"/>
                <w:sz w:val="13"/>
                <w:szCs w:val="13"/>
                <w:b w:val="1"/>
                <w:bCs w:val="1"/>
                <w:color w:val="065BAA"/>
              </w:rPr>
              <w:t>Year-End Fair</w:t>
            </w:r>
          </w:p>
        </w:tc>
        <w:tc>
          <w:tcPr>
            <w:tcW w:w="1180" w:type="dxa"/>
            <w:vAlign w:val="bottom"/>
          </w:tcPr>
          <w:p>
            <w:pPr>
              <w:jc w:val="right"/>
              <w:ind w:right="76"/>
              <w:spacing w:after="0"/>
              <w:rPr>
                <w:sz w:val="20"/>
                <w:szCs w:val="20"/>
                <w:color w:val="auto"/>
              </w:rPr>
            </w:pPr>
            <w:r>
              <w:rPr>
                <w:rFonts w:ascii="Arial" w:cs="Arial" w:eastAsia="Arial" w:hAnsi="Arial"/>
                <w:sz w:val="13"/>
                <w:szCs w:val="13"/>
                <w:b w:val="1"/>
                <w:bCs w:val="1"/>
                <w:color w:val="065BAA"/>
              </w:rPr>
              <w:t>Change in</w:t>
            </w:r>
          </w:p>
        </w:tc>
        <w:tc>
          <w:tcPr>
            <w:tcW w:w="1180" w:type="dxa"/>
            <w:vAlign w:val="bottom"/>
          </w:tcPr>
          <w:p>
            <w:pPr>
              <w:spacing w:after="0"/>
              <w:rPr>
                <w:sz w:val="12"/>
                <w:szCs w:val="12"/>
                <w:color w:val="auto"/>
              </w:rPr>
            </w:pPr>
          </w:p>
        </w:tc>
        <w:tc>
          <w:tcPr>
            <w:tcW w:w="1180" w:type="dxa"/>
            <w:vAlign w:val="bottom"/>
          </w:tcPr>
          <w:p>
            <w:pPr>
              <w:jc w:val="right"/>
              <w:ind w:right="96"/>
              <w:spacing w:after="0"/>
              <w:rPr>
                <w:sz w:val="20"/>
                <w:szCs w:val="20"/>
                <w:color w:val="auto"/>
              </w:rPr>
            </w:pPr>
            <w:r>
              <w:rPr>
                <w:rFonts w:ascii="Arial" w:cs="Arial" w:eastAsia="Arial" w:hAnsi="Arial"/>
                <w:sz w:val="13"/>
                <w:szCs w:val="13"/>
                <w:b w:val="1"/>
                <w:bCs w:val="1"/>
                <w:color w:val="065BAA"/>
              </w:rPr>
              <w:t>Fair Value from</w:t>
            </w: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065BAA"/>
              </w:rPr>
              <w:t>Fair Value</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480" w:type="dxa"/>
            <w:vAlign w:val="bottom"/>
          </w:tcPr>
          <w:p>
            <w:pPr>
              <w:spacing w:after="0"/>
              <w:rPr>
                <w:sz w:val="12"/>
                <w:szCs w:val="12"/>
                <w:color w:val="auto"/>
              </w:rPr>
            </w:pPr>
          </w:p>
        </w:tc>
        <w:tc>
          <w:tcPr>
            <w:tcW w:w="1200" w:type="dxa"/>
            <w:vAlign w:val="bottom"/>
          </w:tcPr>
          <w:p>
            <w:pPr>
              <w:jc w:val="right"/>
              <w:ind w:right="76"/>
              <w:spacing w:after="0"/>
              <w:rPr>
                <w:sz w:val="20"/>
                <w:szCs w:val="20"/>
                <w:color w:val="auto"/>
              </w:rPr>
            </w:pPr>
            <w:r>
              <w:rPr>
                <w:rFonts w:ascii="Arial" w:cs="Arial" w:eastAsia="Arial" w:hAnsi="Arial"/>
                <w:sz w:val="13"/>
                <w:szCs w:val="13"/>
                <w:b w:val="1"/>
                <w:bCs w:val="1"/>
                <w:color w:val="065BAA"/>
              </w:rPr>
              <w:t>Value of Equity</w:t>
            </w:r>
          </w:p>
        </w:tc>
        <w:tc>
          <w:tcPr>
            <w:tcW w:w="1180" w:type="dxa"/>
            <w:vAlign w:val="bottom"/>
          </w:tcPr>
          <w:p>
            <w:pPr>
              <w:jc w:val="right"/>
              <w:ind w:right="76"/>
              <w:spacing w:after="0"/>
              <w:rPr>
                <w:sz w:val="20"/>
                <w:szCs w:val="20"/>
                <w:color w:val="auto"/>
              </w:rPr>
            </w:pPr>
            <w:r>
              <w:rPr>
                <w:rFonts w:ascii="Arial" w:cs="Arial" w:eastAsia="Arial" w:hAnsi="Arial"/>
                <w:sz w:val="13"/>
                <w:szCs w:val="13"/>
                <w:b w:val="1"/>
                <w:bCs w:val="1"/>
                <w:color w:val="065BAA"/>
              </w:rPr>
              <w:t>Fair Value from</w:t>
            </w:r>
          </w:p>
        </w:tc>
        <w:tc>
          <w:tcPr>
            <w:tcW w:w="1180" w:type="dxa"/>
            <w:vAlign w:val="bottom"/>
          </w:tcPr>
          <w:p>
            <w:pPr>
              <w:jc w:val="right"/>
              <w:ind w:right="116"/>
              <w:spacing w:after="0"/>
              <w:rPr>
                <w:sz w:val="20"/>
                <w:szCs w:val="20"/>
                <w:color w:val="auto"/>
              </w:rPr>
            </w:pPr>
            <w:r>
              <w:rPr>
                <w:rFonts w:ascii="Arial" w:cs="Arial" w:eastAsia="Arial" w:hAnsi="Arial"/>
                <w:sz w:val="13"/>
                <w:szCs w:val="13"/>
                <w:b w:val="1"/>
                <w:bCs w:val="1"/>
                <w:color w:val="065BAA"/>
              </w:rPr>
              <w:t>Vesting-Date</w:t>
            </w:r>
          </w:p>
        </w:tc>
        <w:tc>
          <w:tcPr>
            <w:tcW w:w="1180" w:type="dxa"/>
            <w:vAlign w:val="bottom"/>
          </w:tcPr>
          <w:p>
            <w:pPr>
              <w:jc w:val="right"/>
              <w:ind w:right="76"/>
              <w:spacing w:after="0"/>
              <w:rPr>
                <w:sz w:val="20"/>
                <w:szCs w:val="20"/>
                <w:color w:val="auto"/>
              </w:rPr>
            </w:pPr>
            <w:r>
              <w:rPr>
                <w:rFonts w:ascii="Arial" w:cs="Arial" w:eastAsia="Arial" w:hAnsi="Arial"/>
                <w:sz w:val="13"/>
                <w:szCs w:val="13"/>
                <w:b w:val="1"/>
                <w:bCs w:val="1"/>
                <w:color w:val="065BAA"/>
              </w:rPr>
              <w:t>Last Day of</w:t>
            </w:r>
          </w:p>
        </w:tc>
        <w:tc>
          <w:tcPr>
            <w:tcW w:w="900" w:type="dxa"/>
            <w:vAlign w:val="bottom"/>
          </w:tcPr>
          <w:p>
            <w:pPr>
              <w:jc w:val="right"/>
              <w:ind w:right="17"/>
              <w:spacing w:after="0"/>
              <w:rPr>
                <w:sz w:val="20"/>
                <w:szCs w:val="20"/>
                <w:color w:val="auto"/>
              </w:rPr>
            </w:pPr>
            <w:r>
              <w:rPr>
                <w:rFonts w:ascii="Arial" w:cs="Arial" w:eastAsia="Arial" w:hAnsi="Arial"/>
                <w:sz w:val="13"/>
                <w:szCs w:val="13"/>
                <w:b w:val="1"/>
                <w:bCs w:val="1"/>
                <w:color w:val="065BAA"/>
              </w:rPr>
              <w:t>at Last Day</w:t>
            </w:r>
          </w:p>
        </w:tc>
        <w:tc>
          <w:tcPr>
            <w:tcW w:w="13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065BAA"/>
              </w:rPr>
              <w:t>Value of Dividends</w:t>
            </w:r>
          </w:p>
        </w:tc>
        <w:tc>
          <w:tcPr>
            <w:tcW w:w="1100" w:type="dxa"/>
            <w:vAlign w:val="bottom"/>
          </w:tcPr>
          <w:p>
            <w:pPr>
              <w:spacing w:after="0"/>
              <w:rPr>
                <w:sz w:val="12"/>
                <w:szCs w:val="12"/>
                <w:color w:val="auto"/>
              </w:rPr>
            </w:pPr>
          </w:p>
        </w:tc>
      </w:tr>
      <w:tr>
        <w:trPr>
          <w:trHeight w:val="148"/>
        </w:trPr>
        <w:tc>
          <w:tcPr>
            <w:tcW w:w="480" w:type="dxa"/>
            <w:vAlign w:val="bottom"/>
          </w:tcPr>
          <w:p>
            <w:pPr>
              <w:spacing w:after="0"/>
              <w:rPr>
                <w:sz w:val="12"/>
                <w:szCs w:val="12"/>
                <w:color w:val="auto"/>
              </w:rPr>
            </w:pPr>
          </w:p>
        </w:tc>
        <w:tc>
          <w:tcPr>
            <w:tcW w:w="1200" w:type="dxa"/>
            <w:vAlign w:val="bottom"/>
          </w:tcPr>
          <w:p>
            <w:pPr>
              <w:jc w:val="right"/>
              <w:ind w:right="76"/>
              <w:spacing w:after="0"/>
              <w:rPr>
                <w:sz w:val="20"/>
                <w:szCs w:val="20"/>
                <w:color w:val="auto"/>
              </w:rPr>
            </w:pPr>
            <w:r>
              <w:rPr>
                <w:rFonts w:ascii="Arial" w:cs="Arial" w:eastAsia="Arial" w:hAnsi="Arial"/>
                <w:sz w:val="13"/>
                <w:szCs w:val="13"/>
                <w:b w:val="1"/>
                <w:bCs w:val="1"/>
                <w:color w:val="065BAA"/>
              </w:rPr>
              <w:t>Awards Granted</w:t>
            </w:r>
          </w:p>
        </w:tc>
        <w:tc>
          <w:tcPr>
            <w:tcW w:w="1180" w:type="dxa"/>
            <w:vAlign w:val="bottom"/>
          </w:tcPr>
          <w:p>
            <w:pPr>
              <w:jc w:val="right"/>
              <w:ind w:right="76"/>
              <w:spacing w:after="0"/>
              <w:rPr>
                <w:sz w:val="20"/>
                <w:szCs w:val="20"/>
                <w:color w:val="auto"/>
              </w:rPr>
            </w:pPr>
            <w:r>
              <w:rPr>
                <w:rFonts w:ascii="Arial" w:cs="Arial" w:eastAsia="Arial" w:hAnsi="Arial"/>
                <w:sz w:val="13"/>
                <w:szCs w:val="13"/>
                <w:b w:val="1"/>
                <w:bCs w:val="1"/>
                <w:color w:val="065BAA"/>
              </w:rPr>
              <w:t>Last Day of</w:t>
            </w:r>
          </w:p>
        </w:tc>
        <w:tc>
          <w:tcPr>
            <w:tcW w:w="1180" w:type="dxa"/>
            <w:vAlign w:val="bottom"/>
          </w:tcPr>
          <w:p>
            <w:pPr>
              <w:jc w:val="right"/>
              <w:ind w:right="116"/>
              <w:spacing w:after="0"/>
              <w:rPr>
                <w:sz w:val="20"/>
                <w:szCs w:val="20"/>
                <w:color w:val="auto"/>
              </w:rPr>
            </w:pPr>
            <w:r>
              <w:rPr>
                <w:rFonts w:ascii="Arial" w:cs="Arial" w:eastAsia="Arial" w:hAnsi="Arial"/>
                <w:sz w:val="13"/>
                <w:szCs w:val="13"/>
                <w:b w:val="1"/>
                <w:bCs w:val="1"/>
                <w:color w:val="065BAA"/>
              </w:rPr>
              <w:t>Fair Value of</w:t>
            </w:r>
          </w:p>
        </w:tc>
        <w:tc>
          <w:tcPr>
            <w:tcW w:w="1180" w:type="dxa"/>
            <w:vAlign w:val="bottom"/>
          </w:tcPr>
          <w:p>
            <w:pPr>
              <w:jc w:val="right"/>
              <w:ind w:right="96"/>
              <w:spacing w:after="0"/>
              <w:rPr>
                <w:sz w:val="20"/>
                <w:szCs w:val="20"/>
                <w:color w:val="auto"/>
              </w:rPr>
            </w:pPr>
            <w:r>
              <w:rPr>
                <w:rFonts w:ascii="Arial" w:cs="Arial" w:eastAsia="Arial" w:hAnsi="Arial"/>
                <w:sz w:val="13"/>
                <w:szCs w:val="13"/>
                <w:b w:val="1"/>
                <w:bCs w:val="1"/>
                <w:color w:val="065BAA"/>
              </w:rPr>
              <w:t>Prior Year to</w:t>
            </w: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065BAA"/>
                <w:w w:val="99"/>
              </w:rPr>
              <w:t>of Prior Year</w:t>
            </w:r>
          </w:p>
        </w:tc>
        <w:tc>
          <w:tcPr>
            <w:tcW w:w="13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065BAA"/>
              </w:rPr>
              <w:t>or Other Earnings</w:t>
            </w:r>
          </w:p>
        </w:tc>
        <w:tc>
          <w:tcPr>
            <w:tcW w:w="1100" w:type="dxa"/>
            <w:vAlign w:val="bottom"/>
          </w:tcPr>
          <w:p>
            <w:pPr>
              <w:spacing w:after="0"/>
              <w:rPr>
                <w:sz w:val="12"/>
                <w:szCs w:val="12"/>
                <w:color w:val="auto"/>
              </w:rPr>
            </w:pPr>
          </w:p>
        </w:tc>
      </w:tr>
      <w:tr>
        <w:trPr>
          <w:trHeight w:val="148"/>
        </w:trPr>
        <w:tc>
          <w:tcPr>
            <w:tcW w:w="480" w:type="dxa"/>
            <w:vAlign w:val="bottom"/>
          </w:tcPr>
          <w:p>
            <w:pPr>
              <w:spacing w:after="0"/>
              <w:rPr>
                <w:sz w:val="12"/>
                <w:szCs w:val="12"/>
                <w:color w:val="auto"/>
              </w:rPr>
            </w:pPr>
          </w:p>
        </w:tc>
        <w:tc>
          <w:tcPr>
            <w:tcW w:w="1200" w:type="dxa"/>
            <w:vAlign w:val="bottom"/>
          </w:tcPr>
          <w:p>
            <w:pPr>
              <w:jc w:val="right"/>
              <w:ind w:right="76"/>
              <w:spacing w:after="0"/>
              <w:rPr>
                <w:sz w:val="20"/>
                <w:szCs w:val="20"/>
                <w:color w:val="auto"/>
              </w:rPr>
            </w:pPr>
            <w:r>
              <w:rPr>
                <w:rFonts w:ascii="Arial" w:cs="Arial" w:eastAsia="Arial" w:hAnsi="Arial"/>
                <w:sz w:val="13"/>
                <w:szCs w:val="13"/>
                <w:b w:val="1"/>
                <w:bCs w:val="1"/>
                <w:color w:val="065BAA"/>
              </w:rPr>
              <w:t>During Year</w:t>
            </w:r>
          </w:p>
        </w:tc>
        <w:tc>
          <w:tcPr>
            <w:tcW w:w="1180" w:type="dxa"/>
            <w:vAlign w:val="bottom"/>
          </w:tcPr>
          <w:p>
            <w:pPr>
              <w:jc w:val="right"/>
              <w:ind w:right="76"/>
              <w:spacing w:after="0"/>
              <w:rPr>
                <w:sz w:val="20"/>
                <w:szCs w:val="20"/>
                <w:color w:val="auto"/>
              </w:rPr>
            </w:pPr>
            <w:r>
              <w:rPr>
                <w:rFonts w:ascii="Arial" w:cs="Arial" w:eastAsia="Arial" w:hAnsi="Arial"/>
                <w:sz w:val="13"/>
                <w:szCs w:val="13"/>
                <w:b w:val="1"/>
                <w:bCs w:val="1"/>
                <w:color w:val="065BAA"/>
              </w:rPr>
              <w:t>Prior Year to</w:t>
            </w:r>
          </w:p>
        </w:tc>
        <w:tc>
          <w:tcPr>
            <w:tcW w:w="1180" w:type="dxa"/>
            <w:vAlign w:val="bottom"/>
          </w:tcPr>
          <w:p>
            <w:pPr>
              <w:jc w:val="right"/>
              <w:ind w:right="96"/>
              <w:spacing w:after="0"/>
              <w:rPr>
                <w:sz w:val="20"/>
                <w:szCs w:val="20"/>
                <w:color w:val="auto"/>
              </w:rPr>
            </w:pPr>
            <w:r>
              <w:rPr>
                <w:rFonts w:ascii="Arial" w:cs="Arial" w:eastAsia="Arial" w:hAnsi="Arial"/>
                <w:sz w:val="13"/>
                <w:szCs w:val="13"/>
                <w:b w:val="1"/>
                <w:bCs w:val="1"/>
                <w:color w:val="065BAA"/>
              </w:rPr>
              <w:t>Equity Awards</w:t>
            </w:r>
          </w:p>
        </w:tc>
        <w:tc>
          <w:tcPr>
            <w:tcW w:w="1180" w:type="dxa"/>
            <w:vAlign w:val="bottom"/>
          </w:tcPr>
          <w:p>
            <w:pPr>
              <w:jc w:val="right"/>
              <w:ind w:right="96"/>
              <w:spacing w:after="0"/>
              <w:rPr>
                <w:sz w:val="20"/>
                <w:szCs w:val="20"/>
                <w:color w:val="auto"/>
              </w:rPr>
            </w:pPr>
            <w:r>
              <w:rPr>
                <w:rFonts w:ascii="Arial" w:cs="Arial" w:eastAsia="Arial" w:hAnsi="Arial"/>
                <w:sz w:val="13"/>
                <w:szCs w:val="13"/>
                <w:b w:val="1"/>
                <w:bCs w:val="1"/>
                <w:color w:val="065BAA"/>
              </w:rPr>
              <w:t>Vesting Date of</w:t>
            </w:r>
          </w:p>
        </w:tc>
        <w:tc>
          <w:tcPr>
            <w:tcW w:w="900" w:type="dxa"/>
            <w:vAlign w:val="bottom"/>
          </w:tcPr>
          <w:p>
            <w:pPr>
              <w:jc w:val="right"/>
              <w:ind w:right="17"/>
              <w:spacing w:after="0"/>
              <w:rPr>
                <w:sz w:val="20"/>
                <w:szCs w:val="20"/>
                <w:color w:val="auto"/>
              </w:rPr>
            </w:pPr>
            <w:r>
              <w:rPr>
                <w:rFonts w:ascii="Arial" w:cs="Arial" w:eastAsia="Arial" w:hAnsi="Arial"/>
                <w:sz w:val="13"/>
                <w:szCs w:val="13"/>
                <w:b w:val="1"/>
                <w:bCs w:val="1"/>
                <w:color w:val="065BAA"/>
              </w:rPr>
              <w:t>of Equity</w:t>
            </w:r>
          </w:p>
        </w:tc>
        <w:tc>
          <w:tcPr>
            <w:tcW w:w="220" w:type="dxa"/>
            <w:vAlign w:val="bottom"/>
          </w:tcPr>
          <w:p>
            <w:pPr>
              <w:spacing w:after="0"/>
              <w:rPr>
                <w:sz w:val="12"/>
                <w:szCs w:val="12"/>
                <w:color w:val="auto"/>
              </w:rPr>
            </w:pPr>
          </w:p>
        </w:tc>
        <w:tc>
          <w:tcPr>
            <w:tcW w:w="1100" w:type="dxa"/>
            <w:vAlign w:val="bottom"/>
          </w:tcPr>
          <w:p>
            <w:pPr>
              <w:jc w:val="right"/>
              <w:ind w:right="16"/>
              <w:spacing w:after="0"/>
              <w:rPr>
                <w:sz w:val="20"/>
                <w:szCs w:val="20"/>
                <w:color w:val="auto"/>
              </w:rPr>
            </w:pPr>
            <w:r>
              <w:rPr>
                <w:rFonts w:ascii="Arial" w:cs="Arial" w:eastAsia="Arial" w:hAnsi="Arial"/>
                <w:sz w:val="13"/>
                <w:szCs w:val="13"/>
                <w:b w:val="1"/>
                <w:bCs w:val="1"/>
                <w:color w:val="065BAA"/>
                <w:w w:val="97"/>
              </w:rPr>
              <w:t>Paid on Stock or</w:t>
            </w:r>
          </w:p>
        </w:tc>
        <w:tc>
          <w:tcPr>
            <w:tcW w:w="1100" w:type="dxa"/>
            <w:vAlign w:val="bottom"/>
          </w:tcPr>
          <w:p>
            <w:pPr>
              <w:spacing w:after="0"/>
              <w:rPr>
                <w:sz w:val="12"/>
                <w:szCs w:val="12"/>
                <w:color w:val="auto"/>
              </w:rPr>
            </w:pPr>
          </w:p>
        </w:tc>
      </w:tr>
      <w:tr>
        <w:trPr>
          <w:trHeight w:val="162"/>
        </w:trPr>
        <w:tc>
          <w:tcPr>
            <w:tcW w:w="480" w:type="dxa"/>
            <w:vAlign w:val="bottom"/>
          </w:tcPr>
          <w:p>
            <w:pPr>
              <w:spacing w:after="0"/>
              <w:rPr>
                <w:sz w:val="14"/>
                <w:szCs w:val="14"/>
                <w:color w:val="auto"/>
              </w:rPr>
            </w:pPr>
          </w:p>
        </w:tc>
        <w:tc>
          <w:tcPr>
            <w:tcW w:w="1200" w:type="dxa"/>
            <w:vAlign w:val="bottom"/>
          </w:tcPr>
          <w:p>
            <w:pPr>
              <w:jc w:val="right"/>
              <w:ind w:right="56"/>
              <w:spacing w:after="0"/>
              <w:rPr>
                <w:sz w:val="20"/>
                <w:szCs w:val="20"/>
                <w:color w:val="auto"/>
              </w:rPr>
            </w:pPr>
            <w:r>
              <w:rPr>
                <w:rFonts w:ascii="Arial" w:cs="Arial" w:eastAsia="Arial" w:hAnsi="Arial"/>
                <w:sz w:val="13"/>
                <w:szCs w:val="13"/>
                <w:b w:val="1"/>
                <w:bCs w:val="1"/>
                <w:color w:val="065BAA"/>
              </w:rPr>
              <w:t>That Remained</w:t>
            </w:r>
          </w:p>
        </w:tc>
        <w:tc>
          <w:tcPr>
            <w:tcW w:w="1180" w:type="dxa"/>
            <w:vAlign w:val="bottom"/>
          </w:tcPr>
          <w:p>
            <w:pPr>
              <w:jc w:val="right"/>
              <w:ind w:right="76"/>
              <w:spacing w:after="0"/>
              <w:rPr>
                <w:sz w:val="20"/>
                <w:szCs w:val="20"/>
                <w:color w:val="auto"/>
              </w:rPr>
            </w:pPr>
            <w:r>
              <w:rPr>
                <w:rFonts w:ascii="Arial" w:cs="Arial" w:eastAsia="Arial" w:hAnsi="Arial"/>
                <w:sz w:val="13"/>
                <w:szCs w:val="13"/>
                <w:b w:val="1"/>
                <w:bCs w:val="1"/>
                <w:color w:val="065BAA"/>
              </w:rPr>
              <w:t>Last Day of Year</w:t>
            </w:r>
          </w:p>
        </w:tc>
        <w:tc>
          <w:tcPr>
            <w:tcW w:w="1180" w:type="dxa"/>
            <w:vAlign w:val="bottom"/>
          </w:tcPr>
          <w:p>
            <w:pPr>
              <w:jc w:val="right"/>
              <w:ind w:right="96"/>
              <w:spacing w:after="0"/>
              <w:rPr>
                <w:sz w:val="20"/>
                <w:szCs w:val="20"/>
                <w:color w:val="auto"/>
              </w:rPr>
            </w:pPr>
            <w:r>
              <w:rPr>
                <w:rFonts w:ascii="Arial" w:cs="Arial" w:eastAsia="Arial" w:hAnsi="Arial"/>
                <w:sz w:val="13"/>
                <w:szCs w:val="13"/>
                <w:b w:val="1"/>
                <w:bCs w:val="1"/>
                <w:color w:val="065BAA"/>
              </w:rPr>
              <w:t>Granted During</w:t>
            </w:r>
          </w:p>
        </w:tc>
        <w:tc>
          <w:tcPr>
            <w:tcW w:w="1180" w:type="dxa"/>
            <w:vAlign w:val="bottom"/>
          </w:tcPr>
          <w:p>
            <w:pPr>
              <w:jc w:val="right"/>
              <w:ind w:right="76"/>
              <w:spacing w:after="0"/>
              <w:rPr>
                <w:sz w:val="20"/>
                <w:szCs w:val="20"/>
                <w:color w:val="auto"/>
              </w:rPr>
            </w:pPr>
            <w:r>
              <w:rPr>
                <w:rFonts w:ascii="Arial" w:cs="Arial" w:eastAsia="Arial" w:hAnsi="Arial"/>
                <w:sz w:val="13"/>
                <w:szCs w:val="13"/>
                <w:b w:val="1"/>
                <w:bCs w:val="1"/>
                <w:color w:val="065BAA"/>
              </w:rPr>
              <w:t>Unvested Equity</w:t>
            </w: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065BAA"/>
              </w:rPr>
              <w:t>Awards</w:t>
            </w:r>
          </w:p>
        </w:tc>
        <w:tc>
          <w:tcPr>
            <w:tcW w:w="220" w:type="dxa"/>
            <w:vAlign w:val="bottom"/>
          </w:tcPr>
          <w:p>
            <w:pPr>
              <w:spacing w:after="0"/>
              <w:rPr>
                <w:sz w:val="14"/>
                <w:szCs w:val="14"/>
                <w:color w:val="auto"/>
              </w:rPr>
            </w:pPr>
          </w:p>
        </w:tc>
        <w:tc>
          <w:tcPr>
            <w:tcW w:w="1100" w:type="dxa"/>
            <w:vAlign w:val="bottom"/>
          </w:tcPr>
          <w:p>
            <w:pPr>
              <w:jc w:val="right"/>
              <w:ind w:right="16"/>
              <w:spacing w:after="0"/>
              <w:rPr>
                <w:sz w:val="20"/>
                <w:szCs w:val="20"/>
                <w:color w:val="auto"/>
              </w:rPr>
            </w:pPr>
            <w:r>
              <w:rPr>
                <w:rFonts w:ascii="Arial" w:cs="Arial" w:eastAsia="Arial" w:hAnsi="Arial"/>
                <w:sz w:val="13"/>
                <w:szCs w:val="13"/>
                <w:b w:val="1"/>
                <w:bCs w:val="1"/>
                <w:color w:val="065BAA"/>
              </w:rPr>
              <w:t>Option Awards</w:t>
            </w:r>
          </w:p>
        </w:tc>
        <w:tc>
          <w:tcPr>
            <w:tcW w:w="1100" w:type="dxa"/>
            <w:vAlign w:val="bottom"/>
          </w:tcPr>
          <w:p>
            <w:pPr>
              <w:spacing w:after="0"/>
              <w:rPr>
                <w:sz w:val="14"/>
                <w:szCs w:val="14"/>
                <w:color w:val="auto"/>
              </w:rPr>
            </w:pPr>
          </w:p>
        </w:tc>
      </w:tr>
      <w:tr>
        <w:trPr>
          <w:trHeight w:val="148"/>
        </w:trPr>
        <w:tc>
          <w:tcPr>
            <w:tcW w:w="480" w:type="dxa"/>
            <w:vAlign w:val="bottom"/>
          </w:tcPr>
          <w:p>
            <w:pPr>
              <w:spacing w:after="0"/>
              <w:rPr>
                <w:sz w:val="12"/>
                <w:szCs w:val="12"/>
                <w:color w:val="auto"/>
              </w:rPr>
            </w:pPr>
          </w:p>
        </w:tc>
        <w:tc>
          <w:tcPr>
            <w:tcW w:w="1200" w:type="dxa"/>
            <w:vAlign w:val="bottom"/>
          </w:tcPr>
          <w:p>
            <w:pPr>
              <w:jc w:val="right"/>
              <w:ind w:right="56"/>
              <w:spacing w:after="0"/>
              <w:rPr>
                <w:sz w:val="20"/>
                <w:szCs w:val="20"/>
                <w:color w:val="auto"/>
              </w:rPr>
            </w:pPr>
            <w:r>
              <w:rPr>
                <w:rFonts w:ascii="Arial" w:cs="Arial" w:eastAsia="Arial" w:hAnsi="Arial"/>
                <w:sz w:val="13"/>
                <w:szCs w:val="13"/>
                <w:b w:val="1"/>
                <w:bCs w:val="1"/>
                <w:color w:val="065BAA"/>
              </w:rPr>
              <w:t>Unvested as of</w:t>
            </w:r>
          </w:p>
        </w:tc>
        <w:tc>
          <w:tcPr>
            <w:tcW w:w="1180" w:type="dxa"/>
            <w:vAlign w:val="bottom"/>
          </w:tcPr>
          <w:p>
            <w:pPr>
              <w:jc w:val="right"/>
              <w:ind w:right="76"/>
              <w:spacing w:after="0"/>
              <w:rPr>
                <w:sz w:val="20"/>
                <w:szCs w:val="20"/>
                <w:color w:val="auto"/>
              </w:rPr>
            </w:pPr>
            <w:r>
              <w:rPr>
                <w:rFonts w:ascii="Arial" w:cs="Arial" w:eastAsia="Arial" w:hAnsi="Arial"/>
                <w:sz w:val="13"/>
                <w:szCs w:val="13"/>
                <w:b w:val="1"/>
                <w:bCs w:val="1"/>
                <w:color w:val="065BAA"/>
              </w:rPr>
              <w:t>of Unvested</w:t>
            </w:r>
          </w:p>
        </w:tc>
        <w:tc>
          <w:tcPr>
            <w:tcW w:w="1180" w:type="dxa"/>
            <w:vAlign w:val="bottom"/>
          </w:tcPr>
          <w:p>
            <w:pPr>
              <w:jc w:val="right"/>
              <w:ind w:right="116"/>
              <w:spacing w:after="0"/>
              <w:rPr>
                <w:sz w:val="20"/>
                <w:szCs w:val="20"/>
                <w:color w:val="auto"/>
              </w:rPr>
            </w:pPr>
            <w:r>
              <w:rPr>
                <w:rFonts w:ascii="Arial" w:cs="Arial" w:eastAsia="Arial" w:hAnsi="Arial"/>
                <w:sz w:val="13"/>
                <w:szCs w:val="13"/>
                <w:b w:val="1"/>
                <w:bCs w:val="1"/>
                <w:color w:val="065BAA"/>
              </w:rPr>
              <w:t>Year that</w:t>
            </w:r>
          </w:p>
        </w:tc>
        <w:tc>
          <w:tcPr>
            <w:tcW w:w="1180" w:type="dxa"/>
            <w:vAlign w:val="bottom"/>
          </w:tcPr>
          <w:p>
            <w:pPr>
              <w:jc w:val="right"/>
              <w:ind w:right="76"/>
              <w:spacing w:after="0"/>
              <w:rPr>
                <w:sz w:val="20"/>
                <w:szCs w:val="20"/>
                <w:color w:val="auto"/>
              </w:rPr>
            </w:pPr>
            <w:r>
              <w:rPr>
                <w:rFonts w:ascii="Arial" w:cs="Arial" w:eastAsia="Arial" w:hAnsi="Arial"/>
                <w:sz w:val="13"/>
                <w:szCs w:val="13"/>
                <w:b w:val="1"/>
                <w:bCs w:val="1"/>
                <w:color w:val="065BAA"/>
              </w:rPr>
              <w:t>Awards that</w:t>
            </w:r>
          </w:p>
        </w:tc>
        <w:tc>
          <w:tcPr>
            <w:tcW w:w="900" w:type="dxa"/>
            <w:vAlign w:val="bottom"/>
          </w:tcPr>
          <w:p>
            <w:pPr>
              <w:jc w:val="right"/>
              <w:ind w:right="17"/>
              <w:spacing w:after="0"/>
              <w:rPr>
                <w:sz w:val="20"/>
                <w:szCs w:val="20"/>
                <w:color w:val="auto"/>
              </w:rPr>
            </w:pPr>
            <w:r>
              <w:rPr>
                <w:rFonts w:ascii="Arial" w:cs="Arial" w:eastAsia="Arial" w:hAnsi="Arial"/>
                <w:sz w:val="13"/>
                <w:szCs w:val="13"/>
                <w:b w:val="1"/>
                <w:bCs w:val="1"/>
                <w:color w:val="065BAA"/>
              </w:rPr>
              <w:t>Forfeited</w:t>
            </w:r>
          </w:p>
        </w:tc>
        <w:tc>
          <w:tcPr>
            <w:tcW w:w="220" w:type="dxa"/>
            <w:vAlign w:val="bottom"/>
          </w:tcPr>
          <w:p>
            <w:pPr>
              <w:spacing w:after="0"/>
              <w:rPr>
                <w:sz w:val="12"/>
                <w:szCs w:val="12"/>
                <w:color w:val="auto"/>
              </w:rPr>
            </w:pPr>
          </w:p>
        </w:tc>
        <w:tc>
          <w:tcPr>
            <w:tcW w:w="1100" w:type="dxa"/>
            <w:vAlign w:val="bottom"/>
          </w:tcPr>
          <w:p>
            <w:pPr>
              <w:jc w:val="right"/>
              <w:ind w:right="16"/>
              <w:spacing w:after="0"/>
              <w:rPr>
                <w:sz w:val="20"/>
                <w:szCs w:val="20"/>
                <w:color w:val="auto"/>
              </w:rPr>
            </w:pPr>
            <w:r>
              <w:rPr>
                <w:rFonts w:ascii="Arial" w:cs="Arial" w:eastAsia="Arial" w:hAnsi="Arial"/>
                <w:sz w:val="13"/>
                <w:szCs w:val="13"/>
                <w:b w:val="1"/>
                <w:bCs w:val="1"/>
                <w:color w:val="065BAA"/>
              </w:rPr>
              <w:t>Not Otherwise</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065BAA"/>
              </w:rPr>
              <w:t>Total—Inclusion</w:t>
            </w:r>
          </w:p>
        </w:tc>
      </w:tr>
      <w:tr>
        <w:trPr>
          <w:trHeight w:val="148"/>
        </w:trPr>
        <w:tc>
          <w:tcPr>
            <w:tcW w:w="480" w:type="dxa"/>
            <w:vAlign w:val="bottom"/>
          </w:tcPr>
          <w:p>
            <w:pPr>
              <w:spacing w:after="0"/>
              <w:rPr>
                <w:sz w:val="12"/>
                <w:szCs w:val="12"/>
                <w:color w:val="auto"/>
              </w:rPr>
            </w:pPr>
          </w:p>
        </w:tc>
        <w:tc>
          <w:tcPr>
            <w:tcW w:w="1200" w:type="dxa"/>
            <w:vAlign w:val="bottom"/>
          </w:tcPr>
          <w:p>
            <w:pPr>
              <w:jc w:val="right"/>
              <w:ind w:right="76"/>
              <w:spacing w:after="0"/>
              <w:rPr>
                <w:sz w:val="20"/>
                <w:szCs w:val="20"/>
                <w:color w:val="auto"/>
              </w:rPr>
            </w:pPr>
            <w:r>
              <w:rPr>
                <w:rFonts w:ascii="Arial" w:cs="Arial" w:eastAsia="Arial" w:hAnsi="Arial"/>
                <w:sz w:val="13"/>
                <w:szCs w:val="13"/>
                <w:b w:val="1"/>
                <w:bCs w:val="1"/>
                <w:color w:val="065BAA"/>
              </w:rPr>
              <w:t>Last Day of Year</w:t>
            </w:r>
          </w:p>
        </w:tc>
        <w:tc>
          <w:tcPr>
            <w:tcW w:w="1180" w:type="dxa"/>
            <w:vAlign w:val="bottom"/>
          </w:tcPr>
          <w:p>
            <w:pPr>
              <w:jc w:val="right"/>
              <w:ind w:right="76"/>
              <w:spacing w:after="0"/>
              <w:rPr>
                <w:sz w:val="20"/>
                <w:szCs w:val="20"/>
                <w:color w:val="auto"/>
              </w:rPr>
            </w:pPr>
            <w:r>
              <w:rPr>
                <w:rFonts w:ascii="Arial" w:cs="Arial" w:eastAsia="Arial" w:hAnsi="Arial"/>
                <w:sz w:val="13"/>
                <w:szCs w:val="13"/>
                <w:b w:val="1"/>
                <w:bCs w:val="1"/>
                <w:color w:val="065BAA"/>
              </w:rPr>
              <w:t>Equity Awards</w:t>
            </w:r>
          </w:p>
        </w:tc>
        <w:tc>
          <w:tcPr>
            <w:tcW w:w="1180" w:type="dxa"/>
            <w:vAlign w:val="bottom"/>
          </w:tcPr>
          <w:p>
            <w:pPr>
              <w:jc w:val="right"/>
              <w:ind w:right="116"/>
              <w:spacing w:after="0"/>
              <w:rPr>
                <w:sz w:val="20"/>
                <w:szCs w:val="20"/>
                <w:color w:val="auto"/>
              </w:rPr>
            </w:pPr>
            <w:r>
              <w:rPr>
                <w:rFonts w:ascii="Arial" w:cs="Arial" w:eastAsia="Arial" w:hAnsi="Arial"/>
                <w:sz w:val="13"/>
                <w:szCs w:val="13"/>
                <w:b w:val="1"/>
                <w:bCs w:val="1"/>
                <w:color w:val="065BAA"/>
              </w:rPr>
              <w:t>Vested During</w:t>
            </w:r>
          </w:p>
        </w:tc>
        <w:tc>
          <w:tcPr>
            <w:tcW w:w="1180" w:type="dxa"/>
            <w:vAlign w:val="bottom"/>
          </w:tcPr>
          <w:p>
            <w:pPr>
              <w:jc w:val="right"/>
              <w:ind w:right="96"/>
              <w:spacing w:after="0"/>
              <w:rPr>
                <w:sz w:val="20"/>
                <w:szCs w:val="20"/>
                <w:color w:val="auto"/>
              </w:rPr>
            </w:pPr>
            <w:r>
              <w:rPr>
                <w:rFonts w:ascii="Arial" w:cs="Arial" w:eastAsia="Arial" w:hAnsi="Arial"/>
                <w:sz w:val="13"/>
                <w:szCs w:val="13"/>
                <w:b w:val="1"/>
                <w:bCs w:val="1"/>
                <w:color w:val="065BAA"/>
              </w:rPr>
              <w:t>Vested During</w:t>
            </w: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065BAA"/>
              </w:rPr>
              <w:t>During Year</w:t>
            </w:r>
          </w:p>
        </w:tc>
        <w:tc>
          <w:tcPr>
            <w:tcW w:w="220" w:type="dxa"/>
            <w:vAlign w:val="bottom"/>
          </w:tcPr>
          <w:p>
            <w:pPr>
              <w:spacing w:after="0"/>
              <w:rPr>
                <w:sz w:val="12"/>
                <w:szCs w:val="12"/>
                <w:color w:val="auto"/>
              </w:rPr>
            </w:pPr>
          </w:p>
        </w:tc>
        <w:tc>
          <w:tcPr>
            <w:tcW w:w="1100" w:type="dxa"/>
            <w:vAlign w:val="bottom"/>
          </w:tcPr>
          <w:p>
            <w:pPr>
              <w:jc w:val="right"/>
              <w:ind w:right="16"/>
              <w:spacing w:after="0"/>
              <w:rPr>
                <w:sz w:val="20"/>
                <w:szCs w:val="20"/>
                <w:color w:val="auto"/>
              </w:rPr>
            </w:pPr>
            <w:r>
              <w:rPr>
                <w:rFonts w:ascii="Arial" w:cs="Arial" w:eastAsia="Arial" w:hAnsi="Arial"/>
                <w:sz w:val="13"/>
                <w:szCs w:val="13"/>
                <w:b w:val="1"/>
                <w:bCs w:val="1"/>
                <w:color w:val="065BAA"/>
              </w:rPr>
              <w:t>Included</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065BAA"/>
              </w:rPr>
              <w:t>of Equity Values</w:t>
            </w:r>
          </w:p>
        </w:tc>
      </w:tr>
      <w:tr>
        <w:trPr>
          <w:trHeight w:val="166"/>
        </w:trPr>
        <w:tc>
          <w:tcPr>
            <w:tcW w:w="480" w:type="dxa"/>
            <w:vAlign w:val="bottom"/>
            <w:tcBorders>
              <w:bottom w:val="single" w:sz="8" w:color="065BAA"/>
            </w:tcBorders>
          </w:tcPr>
          <w:p>
            <w:pPr>
              <w:ind w:left="60"/>
              <w:spacing w:after="0"/>
              <w:rPr>
                <w:sz w:val="20"/>
                <w:szCs w:val="20"/>
                <w:color w:val="auto"/>
              </w:rPr>
            </w:pPr>
            <w:r>
              <w:rPr>
                <w:rFonts w:ascii="Arial" w:cs="Arial" w:eastAsia="Arial" w:hAnsi="Arial"/>
                <w:sz w:val="13"/>
                <w:szCs w:val="13"/>
                <w:b w:val="1"/>
                <w:bCs w:val="1"/>
                <w:color w:val="065BAA"/>
              </w:rPr>
              <w:t>Year</w:t>
            </w:r>
          </w:p>
        </w:tc>
        <w:tc>
          <w:tcPr>
            <w:tcW w:w="1200" w:type="dxa"/>
            <w:vAlign w:val="bottom"/>
            <w:tcBorders>
              <w:bottom w:val="single" w:sz="8" w:color="065BAA"/>
            </w:tcBorders>
          </w:tcPr>
          <w:p>
            <w:pPr>
              <w:jc w:val="right"/>
              <w:ind w:right="56"/>
              <w:spacing w:after="0"/>
              <w:rPr>
                <w:sz w:val="20"/>
                <w:szCs w:val="20"/>
                <w:color w:val="auto"/>
              </w:rPr>
            </w:pPr>
            <w:r>
              <w:rPr>
                <w:rFonts w:ascii="Arial" w:cs="Arial" w:eastAsia="Arial" w:hAnsi="Arial"/>
                <w:sz w:val="13"/>
                <w:szCs w:val="13"/>
                <w:b w:val="1"/>
                <w:bCs w:val="1"/>
                <w:color w:val="065BAA"/>
              </w:rPr>
              <w:t>for PEO ($)</w:t>
            </w:r>
          </w:p>
        </w:tc>
        <w:tc>
          <w:tcPr>
            <w:tcW w:w="1180" w:type="dxa"/>
            <w:vAlign w:val="bottom"/>
            <w:tcBorders>
              <w:bottom w:val="single" w:sz="8" w:color="065BAA"/>
            </w:tcBorders>
          </w:tcPr>
          <w:p>
            <w:pPr>
              <w:jc w:val="right"/>
              <w:ind w:right="76"/>
              <w:spacing w:after="0"/>
              <w:rPr>
                <w:sz w:val="20"/>
                <w:szCs w:val="20"/>
                <w:color w:val="auto"/>
              </w:rPr>
            </w:pPr>
            <w:r>
              <w:rPr>
                <w:rFonts w:ascii="Arial" w:cs="Arial" w:eastAsia="Arial" w:hAnsi="Arial"/>
                <w:sz w:val="13"/>
                <w:szCs w:val="13"/>
                <w:b w:val="1"/>
                <w:bCs w:val="1"/>
                <w:color w:val="065BAA"/>
              </w:rPr>
              <w:t>for PEO ($)</w:t>
            </w:r>
          </w:p>
        </w:tc>
        <w:tc>
          <w:tcPr>
            <w:tcW w:w="1180" w:type="dxa"/>
            <w:vAlign w:val="bottom"/>
            <w:tcBorders>
              <w:bottom w:val="single" w:sz="8" w:color="065BAA"/>
            </w:tcBorders>
          </w:tcPr>
          <w:p>
            <w:pPr>
              <w:jc w:val="right"/>
              <w:ind w:right="116"/>
              <w:spacing w:after="0"/>
              <w:rPr>
                <w:sz w:val="20"/>
                <w:szCs w:val="20"/>
                <w:color w:val="auto"/>
              </w:rPr>
            </w:pPr>
            <w:r>
              <w:rPr>
                <w:rFonts w:ascii="Arial" w:cs="Arial" w:eastAsia="Arial" w:hAnsi="Arial"/>
                <w:sz w:val="13"/>
                <w:szCs w:val="13"/>
                <w:b w:val="1"/>
                <w:bCs w:val="1"/>
                <w:color w:val="065BAA"/>
                <w:w w:val="98"/>
              </w:rPr>
              <w:t>Year for PEO ($)</w:t>
            </w:r>
          </w:p>
        </w:tc>
        <w:tc>
          <w:tcPr>
            <w:tcW w:w="1180" w:type="dxa"/>
            <w:vAlign w:val="bottom"/>
            <w:tcBorders>
              <w:bottom w:val="single" w:sz="8" w:color="065BAA"/>
            </w:tcBorders>
          </w:tcPr>
          <w:p>
            <w:pPr>
              <w:jc w:val="right"/>
              <w:ind w:right="96"/>
              <w:spacing w:after="0"/>
              <w:rPr>
                <w:sz w:val="20"/>
                <w:szCs w:val="20"/>
                <w:color w:val="auto"/>
              </w:rPr>
            </w:pPr>
            <w:r>
              <w:rPr>
                <w:rFonts w:ascii="Arial" w:cs="Arial" w:eastAsia="Arial" w:hAnsi="Arial"/>
                <w:sz w:val="13"/>
                <w:szCs w:val="13"/>
                <w:b w:val="1"/>
                <w:bCs w:val="1"/>
                <w:color w:val="065BAA"/>
              </w:rPr>
              <w:t>Year for PEO ($)</w:t>
            </w:r>
          </w:p>
        </w:tc>
        <w:tc>
          <w:tcPr>
            <w:tcW w:w="900" w:type="dxa"/>
            <w:vAlign w:val="bottom"/>
            <w:tcBorders>
              <w:bottom w:val="single" w:sz="8" w:color="065BAA"/>
            </w:tcBorders>
          </w:tcPr>
          <w:p>
            <w:pPr>
              <w:jc w:val="right"/>
              <w:ind w:right="17"/>
              <w:spacing w:after="0"/>
              <w:rPr>
                <w:sz w:val="20"/>
                <w:szCs w:val="20"/>
                <w:color w:val="auto"/>
              </w:rPr>
            </w:pPr>
            <w:r>
              <w:rPr>
                <w:rFonts w:ascii="Arial" w:cs="Arial" w:eastAsia="Arial" w:hAnsi="Arial"/>
                <w:sz w:val="13"/>
                <w:szCs w:val="13"/>
                <w:b w:val="1"/>
                <w:bCs w:val="1"/>
                <w:color w:val="065BAA"/>
              </w:rPr>
              <w:t>for PEO ($)</w:t>
            </w:r>
          </w:p>
        </w:tc>
        <w:tc>
          <w:tcPr>
            <w:tcW w:w="220" w:type="dxa"/>
            <w:vAlign w:val="bottom"/>
            <w:tcBorders>
              <w:bottom w:val="single" w:sz="8" w:color="065BAA"/>
            </w:tcBorders>
          </w:tcPr>
          <w:p>
            <w:pPr>
              <w:spacing w:after="0"/>
              <w:rPr>
                <w:sz w:val="14"/>
                <w:szCs w:val="14"/>
                <w:color w:val="auto"/>
              </w:rPr>
            </w:pPr>
          </w:p>
        </w:tc>
        <w:tc>
          <w:tcPr>
            <w:tcW w:w="1100" w:type="dxa"/>
            <w:vAlign w:val="bottom"/>
            <w:tcBorders>
              <w:bottom w:val="single" w:sz="8" w:color="065BAA"/>
            </w:tcBorders>
          </w:tcPr>
          <w:p>
            <w:pPr>
              <w:jc w:val="right"/>
              <w:ind w:right="16"/>
              <w:spacing w:after="0"/>
              <w:rPr>
                <w:sz w:val="20"/>
                <w:szCs w:val="20"/>
                <w:color w:val="auto"/>
              </w:rPr>
            </w:pPr>
            <w:r>
              <w:rPr>
                <w:rFonts w:ascii="Arial" w:cs="Arial" w:eastAsia="Arial" w:hAnsi="Arial"/>
                <w:sz w:val="13"/>
                <w:szCs w:val="13"/>
                <w:b w:val="1"/>
                <w:bCs w:val="1"/>
                <w:color w:val="065BAA"/>
              </w:rPr>
              <w:t>for PEO ($)</w:t>
            </w:r>
          </w:p>
        </w:tc>
        <w:tc>
          <w:tcPr>
            <w:tcW w:w="1100" w:type="dxa"/>
            <w:vAlign w:val="bottom"/>
            <w:tcBorders>
              <w:bottom w:val="single" w:sz="8" w:color="065BAA"/>
            </w:tcBorders>
          </w:tcPr>
          <w:p>
            <w:pPr>
              <w:jc w:val="right"/>
              <w:spacing w:after="0"/>
              <w:rPr>
                <w:sz w:val="20"/>
                <w:szCs w:val="20"/>
                <w:color w:val="auto"/>
              </w:rPr>
            </w:pPr>
            <w:r>
              <w:rPr>
                <w:rFonts w:ascii="Arial" w:cs="Arial" w:eastAsia="Arial" w:hAnsi="Arial"/>
                <w:sz w:val="13"/>
                <w:szCs w:val="13"/>
                <w:b w:val="1"/>
                <w:bCs w:val="1"/>
                <w:color w:val="065BAA"/>
              </w:rPr>
              <w:t>for PEO ($)</w:t>
            </w:r>
          </w:p>
        </w:tc>
      </w:tr>
      <w:tr>
        <w:trPr>
          <w:trHeight w:val="192"/>
        </w:trPr>
        <w:tc>
          <w:tcPr>
            <w:tcW w:w="480" w:type="dxa"/>
            <w:vAlign w:val="bottom"/>
            <w:tcBorders>
              <w:bottom w:val="single" w:sz="8" w:color="065BAA"/>
            </w:tcBorders>
          </w:tcPr>
          <w:p>
            <w:pPr>
              <w:ind w:left="60"/>
              <w:spacing w:after="0"/>
              <w:rPr>
                <w:sz w:val="20"/>
                <w:szCs w:val="20"/>
                <w:color w:val="auto"/>
              </w:rPr>
            </w:pPr>
            <w:r>
              <w:rPr>
                <w:rFonts w:ascii="Arial" w:cs="Arial" w:eastAsia="Arial" w:hAnsi="Arial"/>
                <w:sz w:val="14"/>
                <w:szCs w:val="14"/>
                <w:color w:val="auto"/>
              </w:rPr>
              <w:t>2025</w:t>
            </w:r>
          </w:p>
        </w:tc>
        <w:tc>
          <w:tcPr>
            <w:tcW w:w="1200" w:type="dxa"/>
            <w:vAlign w:val="bottom"/>
            <w:tcBorders>
              <w:bottom w:val="single" w:sz="8" w:color="065BAA"/>
            </w:tcBorders>
          </w:tcPr>
          <w:p>
            <w:pPr>
              <w:jc w:val="right"/>
              <w:ind w:right="76"/>
              <w:spacing w:after="0"/>
              <w:rPr>
                <w:sz w:val="20"/>
                <w:szCs w:val="20"/>
                <w:color w:val="auto"/>
              </w:rPr>
            </w:pPr>
            <w:r>
              <w:rPr>
                <w:rFonts w:ascii="Arial" w:cs="Arial" w:eastAsia="Arial" w:hAnsi="Arial"/>
                <w:sz w:val="14"/>
                <w:szCs w:val="14"/>
                <w:color w:val="auto"/>
              </w:rPr>
              <w:t>0</w:t>
            </w:r>
          </w:p>
        </w:tc>
        <w:tc>
          <w:tcPr>
            <w:tcW w:w="1180" w:type="dxa"/>
            <w:vAlign w:val="bottom"/>
            <w:tcBorders>
              <w:bottom w:val="single" w:sz="8" w:color="065BAA"/>
            </w:tcBorders>
          </w:tcPr>
          <w:p>
            <w:pPr>
              <w:jc w:val="right"/>
              <w:ind w:right="76"/>
              <w:spacing w:after="0"/>
              <w:rPr>
                <w:sz w:val="20"/>
                <w:szCs w:val="20"/>
                <w:color w:val="auto"/>
              </w:rPr>
            </w:pPr>
            <w:r>
              <w:rPr>
                <w:rFonts w:ascii="Arial" w:cs="Arial" w:eastAsia="Arial" w:hAnsi="Arial"/>
                <w:sz w:val="14"/>
                <w:szCs w:val="14"/>
                <w:color w:val="auto"/>
              </w:rPr>
              <w:t>0</w:t>
            </w:r>
          </w:p>
        </w:tc>
        <w:tc>
          <w:tcPr>
            <w:tcW w:w="1180" w:type="dxa"/>
            <w:vAlign w:val="bottom"/>
            <w:tcBorders>
              <w:bottom w:val="single" w:sz="8" w:color="065BAA"/>
            </w:tcBorders>
          </w:tcPr>
          <w:p>
            <w:pPr>
              <w:jc w:val="right"/>
              <w:ind w:right="96"/>
              <w:spacing w:after="0"/>
              <w:rPr>
                <w:sz w:val="20"/>
                <w:szCs w:val="20"/>
                <w:color w:val="auto"/>
              </w:rPr>
            </w:pPr>
            <w:r>
              <w:rPr>
                <w:rFonts w:ascii="Arial" w:cs="Arial" w:eastAsia="Arial" w:hAnsi="Arial"/>
                <w:sz w:val="14"/>
                <w:szCs w:val="14"/>
                <w:color w:val="auto"/>
              </w:rPr>
              <w:t>0</w:t>
            </w:r>
          </w:p>
        </w:tc>
        <w:tc>
          <w:tcPr>
            <w:tcW w:w="1180" w:type="dxa"/>
            <w:vAlign w:val="bottom"/>
            <w:tcBorders>
              <w:bottom w:val="single" w:sz="8" w:color="065BAA"/>
            </w:tcBorders>
          </w:tcPr>
          <w:p>
            <w:pPr>
              <w:jc w:val="right"/>
              <w:ind w:right="96"/>
              <w:spacing w:after="0"/>
              <w:rPr>
                <w:sz w:val="20"/>
                <w:szCs w:val="20"/>
                <w:color w:val="auto"/>
              </w:rPr>
            </w:pPr>
            <w:r>
              <w:rPr>
                <w:rFonts w:ascii="Arial" w:cs="Arial" w:eastAsia="Arial" w:hAnsi="Arial"/>
                <w:sz w:val="14"/>
                <w:szCs w:val="14"/>
                <w:color w:val="auto"/>
              </w:rPr>
              <w:t>31,669,482</w:t>
            </w:r>
          </w:p>
        </w:tc>
        <w:tc>
          <w:tcPr>
            <w:tcW w:w="900" w:type="dxa"/>
            <w:vAlign w:val="bottom"/>
            <w:tcBorders>
              <w:bottom w:val="single" w:sz="8" w:color="065BAA"/>
            </w:tcBorders>
          </w:tcPr>
          <w:p>
            <w:pPr>
              <w:jc w:val="right"/>
              <w:ind w:right="17"/>
              <w:spacing w:after="0"/>
              <w:rPr>
                <w:sz w:val="20"/>
                <w:szCs w:val="20"/>
                <w:color w:val="auto"/>
              </w:rPr>
            </w:pPr>
            <w:r>
              <w:rPr>
                <w:rFonts w:ascii="Arial" w:cs="Arial" w:eastAsia="Arial" w:hAnsi="Arial"/>
                <w:sz w:val="14"/>
                <w:szCs w:val="14"/>
                <w:color w:val="auto"/>
              </w:rPr>
              <w:t>0</w:t>
            </w:r>
          </w:p>
        </w:tc>
        <w:tc>
          <w:tcPr>
            <w:tcW w:w="220" w:type="dxa"/>
            <w:vAlign w:val="bottom"/>
            <w:tcBorders>
              <w:bottom w:val="single" w:sz="8" w:color="065BAA"/>
            </w:tcBorders>
          </w:tcPr>
          <w:p>
            <w:pPr>
              <w:spacing w:after="0"/>
              <w:rPr>
                <w:sz w:val="16"/>
                <w:szCs w:val="16"/>
                <w:color w:val="auto"/>
              </w:rPr>
            </w:pPr>
          </w:p>
        </w:tc>
        <w:tc>
          <w:tcPr>
            <w:tcW w:w="1100" w:type="dxa"/>
            <w:vAlign w:val="bottom"/>
            <w:tcBorders>
              <w:bottom w:val="single" w:sz="8" w:color="065BAA"/>
            </w:tcBorders>
          </w:tcPr>
          <w:p>
            <w:pPr>
              <w:jc w:val="right"/>
              <w:ind w:right="16"/>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065BAA"/>
            </w:tcBorders>
          </w:tcPr>
          <w:p>
            <w:pPr>
              <w:ind w:left="320"/>
              <w:spacing w:after="0"/>
              <w:rPr>
                <w:sz w:val="20"/>
                <w:szCs w:val="20"/>
                <w:color w:val="auto"/>
              </w:rPr>
            </w:pPr>
            <w:r>
              <w:rPr>
                <w:rFonts w:ascii="Arial" w:cs="Arial" w:eastAsia="Arial" w:hAnsi="Arial"/>
                <w:sz w:val="14"/>
                <w:szCs w:val="14"/>
                <w:color w:val="auto"/>
              </w:rPr>
              <w:t>31,669,482</w:t>
            </w:r>
          </w:p>
        </w:tc>
      </w:tr>
      <w:tr>
        <w:trPr>
          <w:trHeight w:val="412"/>
        </w:trPr>
        <w:tc>
          <w:tcPr>
            <w:tcW w:w="480" w:type="dxa"/>
            <w:vAlign w:val="bottom"/>
          </w:tcPr>
          <w:p>
            <w:pPr>
              <w:spacing w:after="0"/>
              <w:rPr>
                <w:sz w:val="24"/>
                <w:szCs w:val="24"/>
                <w:color w:val="auto"/>
              </w:rPr>
            </w:pPr>
          </w:p>
        </w:tc>
        <w:tc>
          <w:tcPr>
            <w:tcW w:w="1200" w:type="dxa"/>
            <w:vAlign w:val="bottom"/>
          </w:tcPr>
          <w:p>
            <w:pPr>
              <w:jc w:val="right"/>
              <w:ind w:right="16"/>
              <w:spacing w:after="0"/>
              <w:rPr>
                <w:sz w:val="20"/>
                <w:szCs w:val="20"/>
                <w:color w:val="auto"/>
              </w:rPr>
            </w:pPr>
            <w:r>
              <w:rPr>
                <w:rFonts w:ascii="Arial" w:cs="Arial" w:eastAsia="Arial" w:hAnsi="Arial"/>
                <w:sz w:val="13"/>
                <w:szCs w:val="13"/>
                <w:b w:val="1"/>
                <w:bCs w:val="1"/>
                <w:color w:val="065BAA"/>
              </w:rPr>
              <w:t>Average</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48"/>
        </w:trPr>
        <w:tc>
          <w:tcPr>
            <w:tcW w:w="480" w:type="dxa"/>
            <w:vAlign w:val="bottom"/>
          </w:tcPr>
          <w:p>
            <w:pPr>
              <w:spacing w:after="0"/>
              <w:rPr>
                <w:sz w:val="12"/>
                <w:szCs w:val="12"/>
                <w:color w:val="auto"/>
              </w:rPr>
            </w:pPr>
          </w:p>
        </w:tc>
        <w:tc>
          <w:tcPr>
            <w:tcW w:w="1200" w:type="dxa"/>
            <w:vAlign w:val="bottom"/>
          </w:tcPr>
          <w:p>
            <w:pPr>
              <w:jc w:val="right"/>
              <w:ind w:right="16"/>
              <w:spacing w:after="0"/>
              <w:rPr>
                <w:sz w:val="20"/>
                <w:szCs w:val="20"/>
                <w:color w:val="auto"/>
              </w:rPr>
            </w:pPr>
            <w:r>
              <w:rPr>
                <w:rFonts w:ascii="Arial" w:cs="Arial" w:eastAsia="Arial" w:hAnsi="Arial"/>
                <w:sz w:val="13"/>
                <w:szCs w:val="13"/>
                <w:b w:val="1"/>
                <w:bCs w:val="1"/>
                <w:color w:val="065BAA"/>
              </w:rPr>
              <w:t>Year-End</w:t>
            </w: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Average Change</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2"/>
        </w:trPr>
        <w:tc>
          <w:tcPr>
            <w:tcW w:w="480" w:type="dxa"/>
            <w:vAlign w:val="bottom"/>
          </w:tcPr>
          <w:p>
            <w:pPr>
              <w:spacing w:after="0"/>
              <w:rPr>
                <w:sz w:val="14"/>
                <w:szCs w:val="14"/>
                <w:color w:val="auto"/>
              </w:rPr>
            </w:pPr>
          </w:p>
        </w:tc>
        <w:tc>
          <w:tcPr>
            <w:tcW w:w="1200" w:type="dxa"/>
            <w:vAlign w:val="bottom"/>
          </w:tcPr>
          <w:p>
            <w:pPr>
              <w:jc w:val="right"/>
              <w:ind w:right="16"/>
              <w:spacing w:after="0"/>
              <w:rPr>
                <w:sz w:val="20"/>
                <w:szCs w:val="20"/>
                <w:color w:val="auto"/>
              </w:rPr>
            </w:pPr>
            <w:r>
              <w:rPr>
                <w:rFonts w:ascii="Arial" w:cs="Arial" w:eastAsia="Arial" w:hAnsi="Arial"/>
                <w:sz w:val="13"/>
                <w:szCs w:val="13"/>
                <w:b w:val="1"/>
                <w:bCs w:val="1"/>
                <w:color w:val="065BAA"/>
              </w:rPr>
              <w:t>Fair Value of</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Average Change</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Average</w:t>
            </w:r>
          </w:p>
        </w:tc>
        <w:tc>
          <w:tcPr>
            <w:tcW w:w="1180" w:type="dxa"/>
            <w:vAlign w:val="bottom"/>
          </w:tcPr>
          <w:p>
            <w:pPr>
              <w:jc w:val="right"/>
              <w:ind w:right="16"/>
              <w:spacing w:after="0"/>
              <w:rPr>
                <w:sz w:val="20"/>
                <w:szCs w:val="20"/>
                <w:color w:val="auto"/>
              </w:rPr>
            </w:pPr>
            <w:r>
              <w:rPr>
                <w:rFonts w:ascii="Arial" w:cs="Arial" w:eastAsia="Arial" w:hAnsi="Arial"/>
                <w:sz w:val="13"/>
                <w:szCs w:val="13"/>
                <w:b w:val="1"/>
                <w:bCs w:val="1"/>
                <w:color w:val="065BAA"/>
              </w:rPr>
              <w:t>in Fair Value</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6"/>
              <w:spacing w:after="0"/>
              <w:rPr>
                <w:sz w:val="20"/>
                <w:szCs w:val="20"/>
                <w:color w:val="auto"/>
              </w:rPr>
            </w:pPr>
            <w:r>
              <w:rPr>
                <w:rFonts w:ascii="Arial" w:cs="Arial" w:eastAsia="Arial" w:hAnsi="Arial"/>
                <w:sz w:val="13"/>
                <w:szCs w:val="13"/>
                <w:b w:val="1"/>
                <w:bCs w:val="1"/>
                <w:color w:val="065BAA"/>
              </w:rPr>
              <w:t>Average Value</w:t>
            </w:r>
          </w:p>
        </w:tc>
        <w:tc>
          <w:tcPr>
            <w:tcW w:w="1100" w:type="dxa"/>
            <w:vAlign w:val="bottom"/>
          </w:tcPr>
          <w:p>
            <w:pPr>
              <w:spacing w:after="0"/>
              <w:rPr>
                <w:sz w:val="14"/>
                <w:szCs w:val="14"/>
                <w:color w:val="auto"/>
              </w:rPr>
            </w:pPr>
          </w:p>
        </w:tc>
      </w:tr>
      <w:tr>
        <w:trPr>
          <w:trHeight w:val="149"/>
        </w:trPr>
        <w:tc>
          <w:tcPr>
            <w:tcW w:w="480" w:type="dxa"/>
            <w:vAlign w:val="bottom"/>
          </w:tcPr>
          <w:p>
            <w:pPr>
              <w:spacing w:after="0"/>
              <w:rPr>
                <w:sz w:val="12"/>
                <w:szCs w:val="12"/>
                <w:color w:val="auto"/>
              </w:rPr>
            </w:pPr>
          </w:p>
        </w:tc>
        <w:tc>
          <w:tcPr>
            <w:tcW w:w="1200" w:type="dxa"/>
            <w:vAlign w:val="bottom"/>
          </w:tcPr>
          <w:p>
            <w:pPr>
              <w:jc w:val="right"/>
              <w:ind w:right="16"/>
              <w:spacing w:after="0"/>
              <w:rPr>
                <w:sz w:val="20"/>
                <w:szCs w:val="20"/>
                <w:color w:val="auto"/>
              </w:rPr>
            </w:pPr>
            <w:r>
              <w:rPr>
                <w:rFonts w:ascii="Arial" w:cs="Arial" w:eastAsia="Arial" w:hAnsi="Arial"/>
                <w:sz w:val="13"/>
                <w:szCs w:val="13"/>
                <w:b w:val="1"/>
                <w:bCs w:val="1"/>
                <w:color w:val="065BAA"/>
              </w:rPr>
              <w:t>Equity Awards</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in Fair Value</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Vesting-Date</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from Last Day</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065BAA"/>
              </w:rPr>
              <w:t>Average Fair</w:t>
            </w:r>
          </w:p>
        </w:tc>
        <w:tc>
          <w:tcPr>
            <w:tcW w:w="1100" w:type="dxa"/>
            <w:vAlign w:val="bottom"/>
          </w:tcPr>
          <w:p>
            <w:pPr>
              <w:jc w:val="right"/>
              <w:ind w:right="16"/>
              <w:spacing w:after="0"/>
              <w:rPr>
                <w:sz w:val="20"/>
                <w:szCs w:val="20"/>
                <w:color w:val="auto"/>
              </w:rPr>
            </w:pPr>
            <w:r>
              <w:rPr>
                <w:rFonts w:ascii="Arial" w:cs="Arial" w:eastAsia="Arial" w:hAnsi="Arial"/>
                <w:sz w:val="13"/>
                <w:szCs w:val="13"/>
                <w:b w:val="1"/>
                <w:bCs w:val="1"/>
                <w:color w:val="065BAA"/>
              </w:rPr>
              <w:t>of Dividends</w:t>
            </w:r>
          </w:p>
        </w:tc>
        <w:tc>
          <w:tcPr>
            <w:tcW w:w="1100" w:type="dxa"/>
            <w:vAlign w:val="bottom"/>
          </w:tcPr>
          <w:p>
            <w:pPr>
              <w:spacing w:after="0"/>
              <w:rPr>
                <w:sz w:val="12"/>
                <w:szCs w:val="12"/>
                <w:color w:val="auto"/>
              </w:rPr>
            </w:pPr>
          </w:p>
        </w:tc>
      </w:tr>
      <w:tr>
        <w:trPr>
          <w:trHeight w:val="148"/>
        </w:trPr>
        <w:tc>
          <w:tcPr>
            <w:tcW w:w="480" w:type="dxa"/>
            <w:vAlign w:val="bottom"/>
          </w:tcPr>
          <w:p>
            <w:pPr>
              <w:spacing w:after="0"/>
              <w:rPr>
                <w:sz w:val="12"/>
                <w:szCs w:val="12"/>
                <w:color w:val="auto"/>
              </w:rPr>
            </w:pPr>
          </w:p>
        </w:tc>
        <w:tc>
          <w:tcPr>
            <w:tcW w:w="1200" w:type="dxa"/>
            <w:vAlign w:val="bottom"/>
          </w:tcPr>
          <w:p>
            <w:pPr>
              <w:jc w:val="right"/>
              <w:ind w:right="16"/>
              <w:spacing w:after="0"/>
              <w:rPr>
                <w:sz w:val="20"/>
                <w:szCs w:val="20"/>
                <w:color w:val="auto"/>
              </w:rPr>
            </w:pPr>
            <w:r>
              <w:rPr>
                <w:rFonts w:ascii="Arial" w:cs="Arial" w:eastAsia="Arial" w:hAnsi="Arial"/>
                <w:sz w:val="13"/>
                <w:szCs w:val="13"/>
                <w:b w:val="1"/>
                <w:bCs w:val="1"/>
                <w:color w:val="065BAA"/>
              </w:rPr>
              <w:t>Granted During</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from Last Day</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Fair Value</w:t>
            </w:r>
          </w:p>
        </w:tc>
        <w:tc>
          <w:tcPr>
            <w:tcW w:w="1180" w:type="dxa"/>
            <w:vAlign w:val="bottom"/>
          </w:tcPr>
          <w:p>
            <w:pPr>
              <w:jc w:val="right"/>
              <w:ind w:right="16"/>
              <w:spacing w:after="0"/>
              <w:rPr>
                <w:sz w:val="20"/>
                <w:szCs w:val="20"/>
                <w:color w:val="auto"/>
              </w:rPr>
            </w:pPr>
            <w:r>
              <w:rPr>
                <w:rFonts w:ascii="Arial" w:cs="Arial" w:eastAsia="Arial" w:hAnsi="Arial"/>
                <w:sz w:val="13"/>
                <w:szCs w:val="13"/>
                <w:b w:val="1"/>
                <w:bCs w:val="1"/>
                <w:color w:val="065BAA"/>
              </w:rPr>
              <w:t>of Prior Year</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065BAA"/>
              </w:rPr>
              <w:t>Value at</w:t>
            </w:r>
          </w:p>
        </w:tc>
        <w:tc>
          <w:tcPr>
            <w:tcW w:w="1100" w:type="dxa"/>
            <w:vAlign w:val="bottom"/>
          </w:tcPr>
          <w:p>
            <w:pPr>
              <w:jc w:val="right"/>
              <w:ind w:right="16"/>
              <w:spacing w:after="0"/>
              <w:rPr>
                <w:sz w:val="20"/>
                <w:szCs w:val="20"/>
                <w:color w:val="auto"/>
              </w:rPr>
            </w:pPr>
            <w:r>
              <w:rPr>
                <w:rFonts w:ascii="Arial" w:cs="Arial" w:eastAsia="Arial" w:hAnsi="Arial"/>
                <w:sz w:val="13"/>
                <w:szCs w:val="13"/>
                <w:b w:val="1"/>
                <w:bCs w:val="1"/>
                <w:color w:val="065BAA"/>
              </w:rPr>
              <w:t>or Other</w:t>
            </w:r>
          </w:p>
        </w:tc>
        <w:tc>
          <w:tcPr>
            <w:tcW w:w="1100" w:type="dxa"/>
            <w:vAlign w:val="bottom"/>
          </w:tcPr>
          <w:p>
            <w:pPr>
              <w:spacing w:after="0"/>
              <w:rPr>
                <w:sz w:val="12"/>
                <w:szCs w:val="12"/>
                <w:color w:val="auto"/>
              </w:rPr>
            </w:pPr>
          </w:p>
        </w:tc>
      </w:tr>
      <w:tr>
        <w:trPr>
          <w:trHeight w:val="148"/>
        </w:trPr>
        <w:tc>
          <w:tcPr>
            <w:tcW w:w="480" w:type="dxa"/>
            <w:vAlign w:val="bottom"/>
          </w:tcPr>
          <w:p>
            <w:pPr>
              <w:spacing w:after="0"/>
              <w:rPr>
                <w:sz w:val="12"/>
                <w:szCs w:val="12"/>
                <w:color w:val="auto"/>
              </w:rPr>
            </w:pPr>
          </w:p>
        </w:tc>
        <w:tc>
          <w:tcPr>
            <w:tcW w:w="1200" w:type="dxa"/>
            <w:vAlign w:val="bottom"/>
          </w:tcPr>
          <w:p>
            <w:pPr>
              <w:jc w:val="right"/>
              <w:ind w:right="16"/>
              <w:spacing w:after="0"/>
              <w:rPr>
                <w:sz w:val="20"/>
                <w:szCs w:val="20"/>
                <w:color w:val="auto"/>
              </w:rPr>
            </w:pPr>
            <w:r>
              <w:rPr>
                <w:rFonts w:ascii="Arial" w:cs="Arial" w:eastAsia="Arial" w:hAnsi="Arial"/>
                <w:sz w:val="13"/>
                <w:szCs w:val="13"/>
                <w:b w:val="1"/>
                <w:bCs w:val="1"/>
                <w:color w:val="065BAA"/>
              </w:rPr>
              <w:t>Year That</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of Prior Year to</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of Equity</w:t>
            </w:r>
          </w:p>
        </w:tc>
        <w:tc>
          <w:tcPr>
            <w:tcW w:w="1180" w:type="dxa"/>
            <w:vAlign w:val="bottom"/>
          </w:tcPr>
          <w:p>
            <w:pPr>
              <w:jc w:val="right"/>
              <w:ind w:right="16"/>
              <w:spacing w:after="0"/>
              <w:rPr>
                <w:sz w:val="20"/>
                <w:szCs w:val="20"/>
                <w:color w:val="auto"/>
              </w:rPr>
            </w:pPr>
            <w:r>
              <w:rPr>
                <w:rFonts w:ascii="Arial" w:cs="Arial" w:eastAsia="Arial" w:hAnsi="Arial"/>
                <w:sz w:val="13"/>
                <w:szCs w:val="13"/>
                <w:b w:val="1"/>
                <w:bCs w:val="1"/>
                <w:color w:val="065BAA"/>
              </w:rPr>
              <w:t>to Vesting Date</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065BAA"/>
              </w:rPr>
              <w:t>Last Day of</w:t>
            </w:r>
          </w:p>
        </w:tc>
        <w:tc>
          <w:tcPr>
            <w:tcW w:w="1100" w:type="dxa"/>
            <w:vAlign w:val="bottom"/>
          </w:tcPr>
          <w:p>
            <w:pPr>
              <w:jc w:val="right"/>
              <w:ind w:right="16"/>
              <w:spacing w:after="0"/>
              <w:rPr>
                <w:sz w:val="20"/>
                <w:szCs w:val="20"/>
                <w:color w:val="auto"/>
              </w:rPr>
            </w:pPr>
            <w:r>
              <w:rPr>
                <w:rFonts w:ascii="Arial" w:cs="Arial" w:eastAsia="Arial" w:hAnsi="Arial"/>
                <w:sz w:val="13"/>
                <w:szCs w:val="13"/>
                <w:b w:val="1"/>
                <w:bCs w:val="1"/>
                <w:color w:val="065BAA"/>
              </w:rPr>
              <w:t>Earnings Paid</w:t>
            </w:r>
          </w:p>
        </w:tc>
        <w:tc>
          <w:tcPr>
            <w:tcW w:w="1100" w:type="dxa"/>
            <w:vAlign w:val="bottom"/>
          </w:tcPr>
          <w:p>
            <w:pPr>
              <w:spacing w:after="0"/>
              <w:rPr>
                <w:sz w:val="12"/>
                <w:szCs w:val="12"/>
                <w:color w:val="auto"/>
              </w:rPr>
            </w:pPr>
          </w:p>
        </w:tc>
      </w:tr>
      <w:tr>
        <w:trPr>
          <w:trHeight w:val="148"/>
        </w:trPr>
        <w:tc>
          <w:tcPr>
            <w:tcW w:w="480" w:type="dxa"/>
            <w:vAlign w:val="bottom"/>
          </w:tcPr>
          <w:p>
            <w:pPr>
              <w:spacing w:after="0"/>
              <w:rPr>
                <w:sz w:val="12"/>
                <w:szCs w:val="12"/>
                <w:color w:val="auto"/>
              </w:rPr>
            </w:pPr>
          </w:p>
        </w:tc>
        <w:tc>
          <w:tcPr>
            <w:tcW w:w="1200" w:type="dxa"/>
            <w:vAlign w:val="bottom"/>
          </w:tcPr>
          <w:p>
            <w:pPr>
              <w:jc w:val="right"/>
              <w:ind w:right="16"/>
              <w:spacing w:after="0"/>
              <w:rPr>
                <w:sz w:val="20"/>
                <w:szCs w:val="20"/>
                <w:color w:val="auto"/>
              </w:rPr>
            </w:pPr>
            <w:r>
              <w:rPr>
                <w:rFonts w:ascii="Arial" w:cs="Arial" w:eastAsia="Arial" w:hAnsi="Arial"/>
                <w:sz w:val="13"/>
                <w:szCs w:val="13"/>
                <w:b w:val="1"/>
                <w:bCs w:val="1"/>
                <w:color w:val="065BAA"/>
              </w:rPr>
              <w:t>Remained</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Last Day of</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Awards Granted</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of Unvested</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065BAA"/>
              </w:rPr>
              <w:t>Prior Year of</w:t>
            </w:r>
          </w:p>
        </w:tc>
        <w:tc>
          <w:tcPr>
            <w:tcW w:w="1100" w:type="dxa"/>
            <w:vAlign w:val="bottom"/>
          </w:tcPr>
          <w:p>
            <w:pPr>
              <w:jc w:val="right"/>
              <w:ind w:right="16"/>
              <w:spacing w:after="0"/>
              <w:rPr>
                <w:sz w:val="20"/>
                <w:szCs w:val="20"/>
                <w:color w:val="auto"/>
              </w:rPr>
            </w:pPr>
            <w:r>
              <w:rPr>
                <w:rFonts w:ascii="Arial" w:cs="Arial" w:eastAsia="Arial" w:hAnsi="Arial"/>
                <w:sz w:val="13"/>
                <w:szCs w:val="13"/>
                <w:b w:val="1"/>
                <w:bCs w:val="1"/>
                <w:color w:val="065BAA"/>
              </w:rPr>
              <w:t>on Stock or</w:t>
            </w:r>
          </w:p>
        </w:tc>
        <w:tc>
          <w:tcPr>
            <w:tcW w:w="1100" w:type="dxa"/>
            <w:vAlign w:val="bottom"/>
          </w:tcPr>
          <w:p>
            <w:pPr>
              <w:spacing w:after="0"/>
              <w:rPr>
                <w:sz w:val="12"/>
                <w:szCs w:val="12"/>
                <w:color w:val="auto"/>
              </w:rPr>
            </w:pPr>
          </w:p>
        </w:tc>
      </w:tr>
      <w:tr>
        <w:trPr>
          <w:trHeight w:val="162"/>
        </w:trPr>
        <w:tc>
          <w:tcPr>
            <w:tcW w:w="480" w:type="dxa"/>
            <w:vAlign w:val="bottom"/>
          </w:tcPr>
          <w:p>
            <w:pPr>
              <w:spacing w:after="0"/>
              <w:rPr>
                <w:sz w:val="14"/>
                <w:szCs w:val="14"/>
                <w:color w:val="auto"/>
              </w:rPr>
            </w:pPr>
          </w:p>
        </w:tc>
        <w:tc>
          <w:tcPr>
            <w:tcW w:w="1200" w:type="dxa"/>
            <w:vAlign w:val="bottom"/>
          </w:tcPr>
          <w:p>
            <w:pPr>
              <w:jc w:val="right"/>
              <w:ind w:right="16"/>
              <w:spacing w:after="0"/>
              <w:rPr>
                <w:sz w:val="20"/>
                <w:szCs w:val="20"/>
                <w:color w:val="auto"/>
              </w:rPr>
            </w:pPr>
            <w:r>
              <w:rPr>
                <w:rFonts w:ascii="Arial" w:cs="Arial" w:eastAsia="Arial" w:hAnsi="Arial"/>
                <w:sz w:val="13"/>
                <w:szCs w:val="13"/>
                <w:b w:val="1"/>
                <w:bCs w:val="1"/>
                <w:color w:val="065BAA"/>
              </w:rPr>
              <w:t>Unvested</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Year of</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During Year</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Equity Awards</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065BAA"/>
              </w:rPr>
              <w:t>Equity Awards</w:t>
            </w:r>
          </w:p>
        </w:tc>
        <w:tc>
          <w:tcPr>
            <w:tcW w:w="1100" w:type="dxa"/>
            <w:vAlign w:val="bottom"/>
          </w:tcPr>
          <w:p>
            <w:pPr>
              <w:jc w:val="right"/>
              <w:ind w:right="16"/>
              <w:spacing w:after="0"/>
              <w:rPr>
                <w:sz w:val="20"/>
                <w:szCs w:val="20"/>
                <w:color w:val="auto"/>
              </w:rPr>
            </w:pPr>
            <w:r>
              <w:rPr>
                <w:rFonts w:ascii="Arial" w:cs="Arial" w:eastAsia="Arial" w:hAnsi="Arial"/>
                <w:sz w:val="13"/>
                <w:szCs w:val="13"/>
                <w:b w:val="1"/>
                <w:bCs w:val="1"/>
                <w:color w:val="065BAA"/>
              </w:rPr>
              <w:t>Option Awards</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065BAA"/>
              </w:rPr>
              <w:t>Total—Average</w:t>
            </w:r>
          </w:p>
        </w:tc>
      </w:tr>
      <w:tr>
        <w:trPr>
          <w:trHeight w:val="148"/>
        </w:trPr>
        <w:tc>
          <w:tcPr>
            <w:tcW w:w="480" w:type="dxa"/>
            <w:vAlign w:val="bottom"/>
          </w:tcPr>
          <w:p>
            <w:pPr>
              <w:spacing w:after="0"/>
              <w:rPr>
                <w:sz w:val="12"/>
                <w:szCs w:val="12"/>
                <w:color w:val="auto"/>
              </w:rPr>
            </w:pPr>
          </w:p>
        </w:tc>
        <w:tc>
          <w:tcPr>
            <w:tcW w:w="1200" w:type="dxa"/>
            <w:vAlign w:val="bottom"/>
          </w:tcPr>
          <w:p>
            <w:pPr>
              <w:jc w:val="right"/>
              <w:ind w:right="16"/>
              <w:spacing w:after="0"/>
              <w:rPr>
                <w:sz w:val="20"/>
                <w:szCs w:val="20"/>
                <w:color w:val="auto"/>
              </w:rPr>
            </w:pPr>
            <w:r>
              <w:rPr>
                <w:rFonts w:ascii="Arial" w:cs="Arial" w:eastAsia="Arial" w:hAnsi="Arial"/>
                <w:sz w:val="13"/>
                <w:szCs w:val="13"/>
                <w:b w:val="1"/>
                <w:bCs w:val="1"/>
                <w:color w:val="065BAA"/>
              </w:rPr>
              <w:t>as of Last</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Unvested</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that Vested</w:t>
            </w:r>
          </w:p>
        </w:tc>
        <w:tc>
          <w:tcPr>
            <w:tcW w:w="1180" w:type="dxa"/>
            <w:vAlign w:val="bottom"/>
          </w:tcPr>
          <w:p>
            <w:pPr>
              <w:jc w:val="right"/>
              <w:ind w:right="16"/>
              <w:spacing w:after="0"/>
              <w:rPr>
                <w:sz w:val="20"/>
                <w:szCs w:val="20"/>
                <w:color w:val="auto"/>
              </w:rPr>
            </w:pPr>
            <w:r>
              <w:rPr>
                <w:rFonts w:ascii="Arial" w:cs="Arial" w:eastAsia="Arial" w:hAnsi="Arial"/>
                <w:sz w:val="13"/>
                <w:szCs w:val="13"/>
                <w:b w:val="1"/>
                <w:bCs w:val="1"/>
                <w:color w:val="065BAA"/>
              </w:rPr>
              <w:t>that Vested</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065BAA"/>
              </w:rPr>
              <w:t>Forfeited During</w:t>
            </w:r>
          </w:p>
        </w:tc>
        <w:tc>
          <w:tcPr>
            <w:tcW w:w="1100" w:type="dxa"/>
            <w:vAlign w:val="bottom"/>
          </w:tcPr>
          <w:p>
            <w:pPr>
              <w:jc w:val="right"/>
              <w:ind w:right="16"/>
              <w:spacing w:after="0"/>
              <w:rPr>
                <w:sz w:val="20"/>
                <w:szCs w:val="20"/>
                <w:color w:val="auto"/>
              </w:rPr>
            </w:pPr>
            <w:r>
              <w:rPr>
                <w:rFonts w:ascii="Arial" w:cs="Arial" w:eastAsia="Arial" w:hAnsi="Arial"/>
                <w:sz w:val="13"/>
                <w:szCs w:val="13"/>
                <w:b w:val="1"/>
                <w:bCs w:val="1"/>
                <w:color w:val="065BAA"/>
              </w:rPr>
              <w:t>Not Otherwise</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065BAA"/>
              </w:rPr>
              <w:t>Inclusion of</w:t>
            </w:r>
          </w:p>
        </w:tc>
      </w:tr>
      <w:tr>
        <w:trPr>
          <w:trHeight w:val="148"/>
        </w:trPr>
        <w:tc>
          <w:tcPr>
            <w:tcW w:w="480" w:type="dxa"/>
            <w:vAlign w:val="bottom"/>
          </w:tcPr>
          <w:p>
            <w:pPr>
              <w:spacing w:after="0"/>
              <w:rPr>
                <w:sz w:val="12"/>
                <w:szCs w:val="12"/>
                <w:color w:val="auto"/>
              </w:rPr>
            </w:pPr>
          </w:p>
        </w:tc>
        <w:tc>
          <w:tcPr>
            <w:tcW w:w="1200" w:type="dxa"/>
            <w:vAlign w:val="bottom"/>
          </w:tcPr>
          <w:p>
            <w:pPr>
              <w:jc w:val="right"/>
              <w:ind w:right="16"/>
              <w:spacing w:after="0"/>
              <w:rPr>
                <w:sz w:val="20"/>
                <w:szCs w:val="20"/>
                <w:color w:val="auto"/>
              </w:rPr>
            </w:pPr>
            <w:r>
              <w:rPr>
                <w:rFonts w:ascii="Arial" w:cs="Arial" w:eastAsia="Arial" w:hAnsi="Arial"/>
                <w:sz w:val="13"/>
                <w:szCs w:val="13"/>
                <w:b w:val="1"/>
                <w:bCs w:val="1"/>
                <w:color w:val="065BAA"/>
              </w:rPr>
              <w:t>Day of Year</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Equity Awards</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During Year</w:t>
            </w:r>
          </w:p>
        </w:tc>
        <w:tc>
          <w:tcPr>
            <w:tcW w:w="1180" w:type="dxa"/>
            <w:vAlign w:val="bottom"/>
          </w:tcPr>
          <w:p>
            <w:pPr>
              <w:jc w:val="right"/>
              <w:ind w:right="16"/>
              <w:spacing w:after="0"/>
              <w:rPr>
                <w:sz w:val="20"/>
                <w:szCs w:val="20"/>
                <w:color w:val="auto"/>
              </w:rPr>
            </w:pPr>
            <w:r>
              <w:rPr>
                <w:rFonts w:ascii="Arial" w:cs="Arial" w:eastAsia="Arial" w:hAnsi="Arial"/>
                <w:sz w:val="13"/>
                <w:szCs w:val="13"/>
                <w:b w:val="1"/>
                <w:bCs w:val="1"/>
                <w:color w:val="065BAA"/>
              </w:rPr>
              <w:t>During Year for</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065BAA"/>
              </w:rPr>
              <w:t>Year for</w:t>
            </w:r>
          </w:p>
        </w:tc>
        <w:tc>
          <w:tcPr>
            <w:tcW w:w="1100" w:type="dxa"/>
            <w:vAlign w:val="bottom"/>
          </w:tcPr>
          <w:p>
            <w:pPr>
              <w:jc w:val="right"/>
              <w:ind w:right="16"/>
              <w:spacing w:after="0"/>
              <w:rPr>
                <w:sz w:val="20"/>
                <w:szCs w:val="20"/>
                <w:color w:val="auto"/>
              </w:rPr>
            </w:pPr>
            <w:r>
              <w:rPr>
                <w:rFonts w:ascii="Arial" w:cs="Arial" w:eastAsia="Arial" w:hAnsi="Arial"/>
                <w:sz w:val="13"/>
                <w:szCs w:val="13"/>
                <w:b w:val="1"/>
                <w:bCs w:val="1"/>
                <w:color w:val="065BAA"/>
              </w:rPr>
              <w:t>Included</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065BAA"/>
              </w:rPr>
              <w:t>Equity Values</w:t>
            </w:r>
          </w:p>
        </w:tc>
      </w:tr>
      <w:tr>
        <w:trPr>
          <w:trHeight w:val="148"/>
        </w:trPr>
        <w:tc>
          <w:tcPr>
            <w:tcW w:w="480" w:type="dxa"/>
            <w:vAlign w:val="bottom"/>
          </w:tcPr>
          <w:p>
            <w:pPr>
              <w:spacing w:after="0"/>
              <w:rPr>
                <w:sz w:val="12"/>
                <w:szCs w:val="12"/>
                <w:color w:val="auto"/>
              </w:rPr>
            </w:pPr>
          </w:p>
        </w:tc>
        <w:tc>
          <w:tcPr>
            <w:tcW w:w="1200" w:type="dxa"/>
            <w:vAlign w:val="bottom"/>
          </w:tcPr>
          <w:p>
            <w:pPr>
              <w:jc w:val="right"/>
              <w:ind w:right="16"/>
              <w:spacing w:after="0"/>
              <w:rPr>
                <w:sz w:val="20"/>
                <w:szCs w:val="20"/>
                <w:color w:val="auto"/>
              </w:rPr>
            </w:pPr>
            <w:r>
              <w:rPr>
                <w:rFonts w:ascii="Arial" w:cs="Arial" w:eastAsia="Arial" w:hAnsi="Arial"/>
                <w:sz w:val="13"/>
                <w:szCs w:val="13"/>
                <w:b w:val="1"/>
                <w:bCs w:val="1"/>
                <w:color w:val="065BAA"/>
              </w:rPr>
              <w:t>for Non-PEO</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for Non-PEO</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for Non-PEO</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065BAA"/>
              </w:rPr>
              <w:t>Non-PEO</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065BAA"/>
              </w:rPr>
              <w:t>Non-PEO</w:t>
            </w:r>
          </w:p>
        </w:tc>
        <w:tc>
          <w:tcPr>
            <w:tcW w:w="1100" w:type="dxa"/>
            <w:vAlign w:val="bottom"/>
          </w:tcPr>
          <w:p>
            <w:pPr>
              <w:jc w:val="right"/>
              <w:ind w:right="16"/>
              <w:spacing w:after="0"/>
              <w:rPr>
                <w:sz w:val="20"/>
                <w:szCs w:val="20"/>
                <w:color w:val="auto"/>
              </w:rPr>
            </w:pPr>
            <w:r>
              <w:rPr>
                <w:rFonts w:ascii="Arial" w:cs="Arial" w:eastAsia="Arial" w:hAnsi="Arial"/>
                <w:sz w:val="13"/>
                <w:szCs w:val="13"/>
                <w:b w:val="1"/>
                <w:bCs w:val="1"/>
                <w:color w:val="065BAA"/>
              </w:rPr>
              <w:t>for Non- PEO</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065BAA"/>
              </w:rPr>
              <w:t>for Non-PEO</w:t>
            </w:r>
          </w:p>
        </w:tc>
      </w:tr>
      <w:tr>
        <w:trPr>
          <w:trHeight w:val="166"/>
        </w:trPr>
        <w:tc>
          <w:tcPr>
            <w:tcW w:w="480" w:type="dxa"/>
            <w:vAlign w:val="bottom"/>
            <w:tcBorders>
              <w:bottom w:val="single" w:sz="8" w:color="3B5AA4"/>
            </w:tcBorders>
          </w:tcPr>
          <w:p>
            <w:pPr>
              <w:ind w:left="60"/>
              <w:spacing w:after="0"/>
              <w:rPr>
                <w:sz w:val="20"/>
                <w:szCs w:val="20"/>
                <w:color w:val="auto"/>
              </w:rPr>
            </w:pPr>
            <w:r>
              <w:rPr>
                <w:rFonts w:ascii="Arial" w:cs="Arial" w:eastAsia="Arial" w:hAnsi="Arial"/>
                <w:sz w:val="13"/>
                <w:szCs w:val="13"/>
                <w:b w:val="1"/>
                <w:bCs w:val="1"/>
                <w:color w:val="065BAA"/>
              </w:rPr>
              <w:t>Year</w:t>
            </w:r>
          </w:p>
        </w:tc>
        <w:tc>
          <w:tcPr>
            <w:tcW w:w="1200" w:type="dxa"/>
            <w:vAlign w:val="bottom"/>
            <w:tcBorders>
              <w:bottom w:val="single" w:sz="8" w:color="3B5AA4"/>
            </w:tcBorders>
          </w:tcPr>
          <w:p>
            <w:pPr>
              <w:jc w:val="right"/>
              <w:ind w:right="16"/>
              <w:spacing w:after="0"/>
              <w:rPr>
                <w:sz w:val="20"/>
                <w:szCs w:val="20"/>
                <w:color w:val="auto"/>
              </w:rPr>
            </w:pPr>
            <w:r>
              <w:rPr>
                <w:rFonts w:ascii="Arial" w:cs="Arial" w:eastAsia="Arial" w:hAnsi="Arial"/>
                <w:sz w:val="13"/>
                <w:szCs w:val="13"/>
                <w:b w:val="1"/>
                <w:bCs w:val="1"/>
                <w:color w:val="065BAA"/>
              </w:rPr>
              <w:t>NEOs ($)</w:t>
            </w:r>
          </w:p>
        </w:tc>
        <w:tc>
          <w:tcPr>
            <w:tcW w:w="1180" w:type="dxa"/>
            <w:vAlign w:val="bottom"/>
            <w:tcBorders>
              <w:bottom w:val="single" w:sz="8" w:color="3B5AA4"/>
            </w:tcBorders>
          </w:tcPr>
          <w:p>
            <w:pPr>
              <w:jc w:val="right"/>
              <w:spacing w:after="0"/>
              <w:rPr>
                <w:sz w:val="20"/>
                <w:szCs w:val="20"/>
                <w:color w:val="auto"/>
              </w:rPr>
            </w:pPr>
            <w:r>
              <w:rPr>
                <w:rFonts w:ascii="Arial" w:cs="Arial" w:eastAsia="Arial" w:hAnsi="Arial"/>
                <w:sz w:val="13"/>
                <w:szCs w:val="13"/>
                <w:b w:val="1"/>
                <w:bCs w:val="1"/>
                <w:color w:val="065BAA"/>
              </w:rPr>
              <w:t>NEOs ($)</w:t>
            </w:r>
          </w:p>
        </w:tc>
        <w:tc>
          <w:tcPr>
            <w:tcW w:w="1180" w:type="dxa"/>
            <w:vAlign w:val="bottom"/>
            <w:tcBorders>
              <w:bottom w:val="single" w:sz="8" w:color="3B5AA4"/>
            </w:tcBorders>
          </w:tcPr>
          <w:p>
            <w:pPr>
              <w:jc w:val="right"/>
              <w:spacing w:after="0"/>
              <w:rPr>
                <w:sz w:val="20"/>
                <w:szCs w:val="20"/>
                <w:color w:val="auto"/>
              </w:rPr>
            </w:pPr>
            <w:r>
              <w:rPr>
                <w:rFonts w:ascii="Arial" w:cs="Arial" w:eastAsia="Arial" w:hAnsi="Arial"/>
                <w:sz w:val="13"/>
                <w:szCs w:val="13"/>
                <w:b w:val="1"/>
                <w:bCs w:val="1"/>
                <w:color w:val="065BAA"/>
              </w:rPr>
              <w:t>NEOs ($)</w:t>
            </w:r>
          </w:p>
        </w:tc>
        <w:tc>
          <w:tcPr>
            <w:tcW w:w="1180" w:type="dxa"/>
            <w:vAlign w:val="bottom"/>
            <w:tcBorders>
              <w:bottom w:val="single" w:sz="8" w:color="3B5AA4"/>
            </w:tcBorders>
          </w:tcPr>
          <w:p>
            <w:pPr>
              <w:jc w:val="right"/>
              <w:spacing w:after="0"/>
              <w:rPr>
                <w:sz w:val="20"/>
                <w:szCs w:val="20"/>
                <w:color w:val="auto"/>
              </w:rPr>
            </w:pPr>
            <w:r>
              <w:rPr>
                <w:rFonts w:ascii="Arial" w:cs="Arial" w:eastAsia="Arial" w:hAnsi="Arial"/>
                <w:sz w:val="13"/>
                <w:szCs w:val="13"/>
                <w:b w:val="1"/>
                <w:bCs w:val="1"/>
                <w:color w:val="065BAA"/>
              </w:rPr>
              <w:t>NEOs ($)</w:t>
            </w:r>
          </w:p>
        </w:tc>
        <w:tc>
          <w:tcPr>
            <w:tcW w:w="1120" w:type="dxa"/>
            <w:vAlign w:val="bottom"/>
            <w:tcBorders>
              <w:bottom w:val="single" w:sz="8" w:color="3B5AA4"/>
            </w:tcBorders>
            <w:gridSpan w:val="2"/>
          </w:tcPr>
          <w:p>
            <w:pPr>
              <w:jc w:val="right"/>
              <w:spacing w:after="0"/>
              <w:rPr>
                <w:sz w:val="20"/>
                <w:szCs w:val="20"/>
                <w:color w:val="auto"/>
              </w:rPr>
            </w:pPr>
            <w:r>
              <w:rPr>
                <w:rFonts w:ascii="Arial" w:cs="Arial" w:eastAsia="Arial" w:hAnsi="Arial"/>
                <w:sz w:val="13"/>
                <w:szCs w:val="13"/>
                <w:b w:val="1"/>
                <w:bCs w:val="1"/>
                <w:color w:val="065BAA"/>
              </w:rPr>
              <w:t>NEOs ($)</w:t>
            </w:r>
          </w:p>
        </w:tc>
        <w:tc>
          <w:tcPr>
            <w:tcW w:w="1100" w:type="dxa"/>
            <w:vAlign w:val="bottom"/>
            <w:tcBorders>
              <w:bottom w:val="single" w:sz="8" w:color="3B5AA4"/>
            </w:tcBorders>
          </w:tcPr>
          <w:p>
            <w:pPr>
              <w:jc w:val="right"/>
              <w:ind w:right="16"/>
              <w:spacing w:after="0"/>
              <w:rPr>
                <w:sz w:val="20"/>
                <w:szCs w:val="20"/>
                <w:color w:val="auto"/>
              </w:rPr>
            </w:pPr>
            <w:r>
              <w:rPr>
                <w:rFonts w:ascii="Arial" w:cs="Arial" w:eastAsia="Arial" w:hAnsi="Arial"/>
                <w:sz w:val="13"/>
                <w:szCs w:val="13"/>
                <w:b w:val="1"/>
                <w:bCs w:val="1"/>
                <w:color w:val="065BAA"/>
              </w:rPr>
              <w:t>NEOs ($)</w:t>
            </w:r>
          </w:p>
        </w:tc>
        <w:tc>
          <w:tcPr>
            <w:tcW w:w="1100" w:type="dxa"/>
            <w:vAlign w:val="bottom"/>
            <w:tcBorders>
              <w:bottom w:val="single" w:sz="8" w:color="3B5AA4"/>
            </w:tcBorders>
          </w:tcPr>
          <w:p>
            <w:pPr>
              <w:jc w:val="right"/>
              <w:spacing w:after="0"/>
              <w:rPr>
                <w:sz w:val="20"/>
                <w:szCs w:val="20"/>
                <w:color w:val="auto"/>
              </w:rPr>
            </w:pPr>
            <w:r>
              <w:rPr>
                <w:rFonts w:ascii="Arial" w:cs="Arial" w:eastAsia="Arial" w:hAnsi="Arial"/>
                <w:sz w:val="13"/>
                <w:szCs w:val="13"/>
                <w:b w:val="1"/>
                <w:bCs w:val="1"/>
                <w:color w:val="065BAA"/>
              </w:rPr>
              <w:t>NEOs ($)</w:t>
            </w:r>
          </w:p>
        </w:tc>
      </w:tr>
      <w:tr>
        <w:trPr>
          <w:trHeight w:val="196"/>
        </w:trPr>
        <w:tc>
          <w:tcPr>
            <w:tcW w:w="480" w:type="dxa"/>
            <w:vAlign w:val="bottom"/>
            <w:tcBorders>
              <w:bottom w:val="single" w:sz="8" w:color="3B5AA4"/>
            </w:tcBorders>
          </w:tcPr>
          <w:p>
            <w:pPr>
              <w:ind w:left="60"/>
              <w:spacing w:after="0"/>
              <w:rPr>
                <w:sz w:val="20"/>
                <w:szCs w:val="20"/>
                <w:color w:val="auto"/>
              </w:rPr>
            </w:pPr>
            <w:r>
              <w:rPr>
                <w:rFonts w:ascii="Arial" w:cs="Arial" w:eastAsia="Arial" w:hAnsi="Arial"/>
                <w:sz w:val="14"/>
                <w:szCs w:val="14"/>
                <w:color w:val="auto"/>
              </w:rPr>
              <w:t>2025</w:t>
            </w:r>
          </w:p>
        </w:tc>
        <w:tc>
          <w:tcPr>
            <w:tcW w:w="1200" w:type="dxa"/>
            <w:vAlign w:val="bottom"/>
            <w:tcBorders>
              <w:bottom w:val="single" w:sz="8" w:color="3B5AA4"/>
            </w:tcBorders>
          </w:tcPr>
          <w:p>
            <w:pPr>
              <w:jc w:val="right"/>
              <w:ind w:right="16"/>
              <w:spacing w:after="0"/>
              <w:rPr>
                <w:sz w:val="20"/>
                <w:szCs w:val="20"/>
                <w:color w:val="auto"/>
              </w:rPr>
            </w:pPr>
            <w:r>
              <w:rPr>
                <w:rFonts w:ascii="Arial" w:cs="Arial" w:eastAsia="Arial" w:hAnsi="Arial"/>
                <w:sz w:val="14"/>
                <w:szCs w:val="14"/>
                <w:color w:val="auto"/>
              </w:rPr>
              <w:t>5,237,392</w:t>
            </w:r>
          </w:p>
        </w:tc>
        <w:tc>
          <w:tcPr>
            <w:tcW w:w="1180" w:type="dxa"/>
            <w:vAlign w:val="bottom"/>
            <w:tcBorders>
              <w:bottom w:val="single" w:sz="8" w:color="3B5AA4"/>
            </w:tcBorders>
          </w:tcPr>
          <w:p>
            <w:pPr>
              <w:jc w:val="right"/>
              <w:spacing w:after="0"/>
              <w:rPr>
                <w:sz w:val="20"/>
                <w:szCs w:val="20"/>
                <w:color w:val="auto"/>
              </w:rPr>
            </w:pPr>
            <w:r>
              <w:rPr>
                <w:rFonts w:ascii="Arial" w:cs="Arial" w:eastAsia="Arial" w:hAnsi="Arial"/>
                <w:sz w:val="14"/>
                <w:szCs w:val="14"/>
                <w:color w:val="auto"/>
              </w:rPr>
              <w:t>356,324</w:t>
            </w:r>
          </w:p>
        </w:tc>
        <w:tc>
          <w:tcPr>
            <w:tcW w:w="1180" w:type="dxa"/>
            <w:vAlign w:val="bottom"/>
            <w:tcBorders>
              <w:bottom w:val="single" w:sz="8" w:color="3B5AA4"/>
            </w:tcBorders>
          </w:tcPr>
          <w:p>
            <w:pPr>
              <w:jc w:val="right"/>
              <w:spacing w:after="0"/>
              <w:rPr>
                <w:sz w:val="20"/>
                <w:szCs w:val="20"/>
                <w:color w:val="auto"/>
              </w:rPr>
            </w:pPr>
            <w:r>
              <w:rPr>
                <w:rFonts w:ascii="Arial" w:cs="Arial" w:eastAsia="Arial" w:hAnsi="Arial"/>
                <w:sz w:val="14"/>
                <w:szCs w:val="14"/>
                <w:color w:val="auto"/>
              </w:rPr>
              <w:t>0</w:t>
            </w:r>
          </w:p>
        </w:tc>
        <w:tc>
          <w:tcPr>
            <w:tcW w:w="1180" w:type="dxa"/>
            <w:vAlign w:val="bottom"/>
            <w:tcBorders>
              <w:bottom w:val="single" w:sz="8" w:color="3B5AA4"/>
            </w:tcBorders>
          </w:tcPr>
          <w:p>
            <w:pPr>
              <w:jc w:val="right"/>
              <w:ind w:right="16"/>
              <w:spacing w:after="0"/>
              <w:rPr>
                <w:sz w:val="20"/>
                <w:szCs w:val="20"/>
                <w:color w:val="auto"/>
              </w:rPr>
            </w:pPr>
            <w:r>
              <w:rPr>
                <w:rFonts w:ascii="Arial" w:cs="Arial" w:eastAsia="Arial" w:hAnsi="Arial"/>
                <w:sz w:val="14"/>
                <w:szCs w:val="14"/>
                <w:color w:val="auto"/>
              </w:rPr>
              <w:t>6,072,638</w:t>
            </w:r>
          </w:p>
        </w:tc>
        <w:tc>
          <w:tcPr>
            <w:tcW w:w="900" w:type="dxa"/>
            <w:vAlign w:val="bottom"/>
            <w:tcBorders>
              <w:bottom w:val="single" w:sz="8" w:color="3B5AA4"/>
            </w:tcBorders>
          </w:tcPr>
          <w:p>
            <w:pPr>
              <w:spacing w:after="0"/>
              <w:rPr>
                <w:sz w:val="17"/>
                <w:szCs w:val="17"/>
                <w:color w:val="auto"/>
              </w:rPr>
            </w:pPr>
          </w:p>
        </w:tc>
        <w:tc>
          <w:tcPr>
            <w:tcW w:w="220" w:type="dxa"/>
            <w:vAlign w:val="bottom"/>
            <w:tcBorders>
              <w:bottom w:val="single" w:sz="8" w:color="3B5AA4"/>
            </w:tcBorders>
          </w:tcPr>
          <w:p>
            <w:pPr>
              <w:jc w:val="right"/>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3B5AA4"/>
            </w:tcBorders>
          </w:tcPr>
          <w:p>
            <w:pPr>
              <w:jc w:val="right"/>
              <w:ind w:right="16"/>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3B5AA4"/>
            </w:tcBorders>
          </w:tcPr>
          <w:p>
            <w:pPr>
              <w:ind w:left="320"/>
              <w:spacing w:after="0"/>
              <w:rPr>
                <w:sz w:val="20"/>
                <w:szCs w:val="20"/>
                <w:color w:val="auto"/>
              </w:rPr>
            </w:pPr>
            <w:r>
              <w:rPr>
                <w:rFonts w:ascii="Arial" w:cs="Arial" w:eastAsia="Arial" w:hAnsi="Arial"/>
                <w:sz w:val="14"/>
                <w:szCs w:val="14"/>
                <w:color w:val="auto"/>
              </w:rPr>
              <w:t>11,666,354</w:t>
            </w:r>
          </w:p>
        </w:tc>
      </w:tr>
    </w:tbl>
    <w:p>
      <w:pPr>
        <w:spacing w:after="0" w:line="117" w:lineRule="exact"/>
        <w:rPr>
          <w:sz w:val="20"/>
          <w:szCs w:val="20"/>
          <w:color w:val="auto"/>
        </w:rPr>
      </w:pPr>
    </w:p>
    <w:p>
      <w:pPr>
        <w:ind w:left="320" w:right="219" w:hanging="190"/>
        <w:spacing w:after="0" w:line="253" w:lineRule="auto"/>
        <w:tabs>
          <w:tab w:leader="none" w:pos="320" w:val="left"/>
        </w:tabs>
        <w:numPr>
          <w:ilvl w:val="0"/>
          <w:numId w:val="196"/>
        </w:numPr>
        <w:rPr>
          <w:rFonts w:ascii="Arial" w:cs="Arial" w:eastAsia="Arial" w:hAnsi="Arial"/>
          <w:sz w:val="16"/>
          <w:szCs w:val="16"/>
          <w:color w:val="auto"/>
          <w:vertAlign w:val="superscript"/>
        </w:rPr>
      </w:pPr>
      <w:r>
        <w:rPr>
          <w:rFonts w:ascii="Arial" w:cs="Arial" w:eastAsia="Arial" w:hAnsi="Arial"/>
          <w:sz w:val="13"/>
          <w:szCs w:val="13"/>
          <w:color w:val="auto"/>
        </w:rPr>
        <w:t>The Peer Group TSR shown in this table utilizes the NASDAQ US Benchmark Pharmaceuticals Total Return Index (“NQ US Pharma Index”), which we also utilized in the stock performance graph required by Item 201(e) of Regulation S-K included in our Annual Reports on Form 10-K for the years reflected in the table above. The comparison assumes $100 was invested for the period starting December 31, 2020 through December 31 of the applicable fiscal year in each of the Company’s common stock and the NQ US Pharma Index. All dollar values assume reinvestment of the pre-tax value of dividends paid by companies included in the NQ US Pharma Index. The historical stock price performance of our common stock shown is not necessarily indicative of future stock price performance.</w:t>
      </w:r>
    </w:p>
    <w:p>
      <w:pPr>
        <w:spacing w:after="0" w:line="31" w:lineRule="exact"/>
        <w:rPr>
          <w:sz w:val="20"/>
          <w:szCs w:val="20"/>
          <w:color w:val="auto"/>
        </w:rPr>
      </w:pPr>
    </w:p>
    <w:p>
      <w:pPr>
        <w:ind w:left="320" w:right="199" w:hanging="190"/>
        <w:spacing w:after="0" w:line="249" w:lineRule="auto"/>
        <w:tabs>
          <w:tab w:leader="none" w:pos="320" w:val="left"/>
        </w:tabs>
        <w:numPr>
          <w:ilvl w:val="0"/>
          <w:numId w:val="197"/>
        </w:numPr>
        <w:rPr>
          <w:rFonts w:ascii="Arial" w:cs="Arial" w:eastAsia="Arial" w:hAnsi="Arial"/>
          <w:sz w:val="16"/>
          <w:szCs w:val="16"/>
          <w:color w:val="auto"/>
          <w:vertAlign w:val="superscript"/>
        </w:rPr>
      </w:pPr>
      <w:r>
        <w:rPr>
          <w:rFonts w:ascii="Arial" w:cs="Arial" w:eastAsia="Arial" w:hAnsi="Arial"/>
          <w:sz w:val="13"/>
          <w:szCs w:val="13"/>
          <w:color w:val="auto"/>
        </w:rPr>
        <w:t>Pursuant to Item 402(v) of Regulation S-K, we determined our stock price to be the most important financial performance measure used to link Company performance to Compensation “Actually Paid” to our NEOs in 2025. This performance measure may not have been the most important financial performance measure for prior years and we may determine a different financial performance measure to be the most important such measure in future years.</w:t>
      </w:r>
    </w:p>
    <w:p>
      <w:pPr>
        <w:spacing w:after="0" w:line="199" w:lineRule="exact"/>
        <w:rPr>
          <w:sz w:val="20"/>
          <w:szCs w:val="20"/>
          <w:color w:val="auto"/>
        </w:rPr>
      </w:pPr>
    </w:p>
    <w:p>
      <w:pPr>
        <w:ind w:left="140" w:right="1039"/>
        <w:spacing w:after="0" w:line="272" w:lineRule="auto"/>
        <w:rPr>
          <w:sz w:val="20"/>
          <w:szCs w:val="20"/>
          <w:color w:val="auto"/>
        </w:rPr>
      </w:pPr>
      <w:r>
        <w:rPr>
          <w:rFonts w:ascii="Arial" w:cs="Arial" w:eastAsia="Arial" w:hAnsi="Arial"/>
          <w:sz w:val="22"/>
          <w:szCs w:val="22"/>
          <w:color w:val="065BAA"/>
        </w:rPr>
        <w:t>Description of Relationship Between NEO Compensation “Actually Paid” and Total Shareholder Return</w:t>
      </w:r>
    </w:p>
    <w:p>
      <w:pPr>
        <w:spacing w:after="0" w:line="33" w:lineRule="exact"/>
        <w:rPr>
          <w:sz w:val="20"/>
          <w:szCs w:val="20"/>
          <w:color w:val="auto"/>
        </w:rPr>
      </w:pPr>
    </w:p>
    <w:p>
      <w:pPr>
        <w:ind w:left="140" w:right="139"/>
        <w:spacing w:after="0" w:line="295" w:lineRule="auto"/>
        <w:rPr>
          <w:sz w:val="20"/>
          <w:szCs w:val="20"/>
          <w:color w:val="auto"/>
        </w:rPr>
      </w:pPr>
      <w:r>
        <w:rPr>
          <w:rFonts w:ascii="Arial" w:cs="Arial" w:eastAsia="Arial" w:hAnsi="Arial"/>
          <w:sz w:val="16"/>
          <w:szCs w:val="16"/>
          <w:color w:val="auto"/>
        </w:rPr>
        <w:t>The following chart sets forth the relationship between Compensation “Actually Paid” to our PEO, the average of Compensation “Actually Paid” to our Non-PEO NEOs, each as set forth in the Table above, and the Company’s cumulative TSR over the five-year period from 2021 through 2025. The following chart also compares the Company’s cumulative TSR over the five-year period from 2021 through 2025 to that of the NQ US Pharma Index over the same time period.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65BAA"/>
        </w:rPr>
        <w:t>PEO and Average Non-PEO NEO Compensation “Actually Paid” Versus Regeneron TSR and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65BAA"/>
        </w:rPr>
        <w:t>Peer Group TSR, 2021-2025</w:t>
      </w:r>
    </w:p>
    <w:p>
      <w:pPr>
        <w:spacing w:after="0" w:line="200" w:lineRule="exact"/>
        <w:rPr>
          <w:sz w:val="20"/>
          <w:szCs w:val="20"/>
          <w:color w:val="auto"/>
        </w:rPr>
      </w:pPr>
    </w:p>
    <w:p>
      <w:pPr>
        <w:spacing w:after="0" w:line="393"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$200.9</w:t>
      </w:r>
    </w:p>
    <w:p>
      <w:pPr>
        <w:spacing w:after="0" w:line="161" w:lineRule="exact"/>
        <w:rPr>
          <w:sz w:val="20"/>
          <w:szCs w:val="20"/>
          <w:color w:val="auto"/>
        </w:rPr>
      </w:pPr>
    </w:p>
    <w:p>
      <w:pPr>
        <w:ind w:left="2620"/>
        <w:spacing w:after="0"/>
        <w:tabs>
          <w:tab w:leader="none" w:pos="6560" w:val="left"/>
        </w:tabs>
        <w:rPr>
          <w:sz w:val="20"/>
          <w:szCs w:val="20"/>
          <w:color w:val="auto"/>
        </w:rPr>
      </w:pPr>
      <w:r>
        <w:rPr>
          <w:rFonts w:ascii="Arial" w:cs="Arial" w:eastAsia="Arial" w:hAnsi="Arial"/>
          <w:sz w:val="13"/>
          <w:szCs w:val="13"/>
          <w:color w:val="auto"/>
        </w:rPr>
        <w:t>$130.7</w:t>
      </w:r>
      <w:r>
        <w:rPr>
          <w:sz w:val="20"/>
          <w:szCs w:val="20"/>
          <w:color w:val="auto"/>
        </w:rPr>
        <w:tab/>
      </w:r>
      <w:r>
        <w:rPr>
          <w:rFonts w:ascii="Arial" w:cs="Arial" w:eastAsia="Arial" w:hAnsi="Arial"/>
          <w:sz w:val="12"/>
          <w:szCs w:val="12"/>
          <w:color w:val="auto"/>
        </w:rPr>
        <w:t>$159.8</w:t>
      </w:r>
    </w:p>
    <w:p>
      <w:pPr>
        <w:sectPr>
          <w:pgSz w:w="11900" w:h="16838" w:orient="portrait"/>
          <w:cols w:equalWidth="0" w:num="1">
            <w:col w:w="9019"/>
          </w:cols>
          <w:pgMar w:left="1440" w:top="657" w:right="1440" w:bottom="1440" w:gutter="0" w:footer="0" w:header="0"/>
        </w:sectPr>
      </w:pPr>
    </w:p>
    <w:p>
      <w:pPr>
        <w:spacing w:after="0" w:line="269" w:lineRule="exact"/>
        <w:rPr>
          <w:sz w:val="20"/>
          <w:szCs w:val="20"/>
          <w:color w:val="auto"/>
        </w:rPr>
      </w:pPr>
    </w:p>
    <w:p>
      <w:pPr>
        <w:ind w:left="2640"/>
        <w:spacing w:after="0"/>
        <w:rPr>
          <w:sz w:val="20"/>
          <w:szCs w:val="20"/>
          <w:color w:val="auto"/>
        </w:rPr>
      </w:pPr>
      <w:r>
        <w:rPr>
          <w:rFonts w:ascii="Arial" w:cs="Arial" w:eastAsia="Arial" w:hAnsi="Arial"/>
          <w:sz w:val="12"/>
          <w:szCs w:val="12"/>
          <w:color w:val="auto"/>
        </w:rPr>
        <w:t>$124.4</w:t>
      </w:r>
    </w:p>
    <w:p>
      <w:pPr>
        <w:spacing w:after="0" w:line="20" w:lineRule="exact"/>
        <w:rPr>
          <w:sz w:val="20"/>
          <w:szCs w:val="20"/>
          <w:color w:val="auto"/>
        </w:rPr>
      </w:pPr>
      <w:r>
        <w:rPr>
          <w:sz w:val="20"/>
          <w:szCs w:val="20"/>
          <w:color w:val="auto"/>
        </w:rPr>
        <w:br w:type="column"/>
      </w:r>
    </w:p>
    <w:p>
      <w:pPr>
        <w:spacing w:after="0"/>
        <w:tabs>
          <w:tab w:leader="none" w:pos="980" w:val="left"/>
        </w:tabs>
        <w:rPr>
          <w:sz w:val="20"/>
          <w:szCs w:val="20"/>
          <w:color w:val="auto"/>
        </w:rPr>
      </w:pPr>
      <w:r>
        <w:rPr>
          <w:rFonts w:ascii="Arial" w:cs="Arial" w:eastAsia="Arial" w:hAnsi="Arial"/>
          <w:sz w:val="25"/>
          <w:szCs w:val="25"/>
          <w:color w:val="auto"/>
          <w:vertAlign w:val="subscript"/>
        </w:rPr>
        <w:t>$138.5</w:t>
      </w:r>
      <w:r>
        <w:rPr>
          <w:sz w:val="20"/>
          <w:szCs w:val="20"/>
          <w:color w:val="auto"/>
        </w:rPr>
        <w:tab/>
      </w:r>
      <w:r>
        <w:rPr>
          <w:rFonts w:ascii="Arial" w:cs="Arial" w:eastAsia="Arial" w:hAnsi="Arial"/>
          <w:sz w:val="12"/>
          <w:szCs w:val="12"/>
          <w:color w:val="auto"/>
        </w:rPr>
        <w:t>$143.9</w:t>
      </w:r>
    </w:p>
    <w:p>
      <w:pPr>
        <w:spacing w:after="0" w:line="303" w:lineRule="exact"/>
        <w:rPr>
          <w:sz w:val="20"/>
          <w:szCs w:val="20"/>
          <w:color w:val="auto"/>
        </w:rPr>
      </w:pPr>
    </w:p>
    <w:p>
      <w:pPr>
        <w:sectPr>
          <w:pgSz w:w="11900" w:h="16838" w:orient="portrait"/>
          <w:cols w:equalWidth="0" w:num="2">
            <w:col w:w="3020" w:space="620"/>
            <w:col w:w="537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Fiscal Year</w:t>
      </w:r>
    </w:p>
    <w:p>
      <w:pPr>
        <w:spacing w:after="0" w:line="80" w:lineRule="exact"/>
        <w:rPr>
          <w:sz w:val="20"/>
          <w:szCs w:val="20"/>
          <w:color w:val="auto"/>
        </w:rPr>
      </w:pPr>
    </w:p>
    <w:p>
      <w:pPr>
        <w:ind w:left="1760"/>
        <w:spacing w:after="0"/>
        <w:rPr>
          <w:sz w:val="20"/>
          <w:szCs w:val="20"/>
          <w:color w:val="auto"/>
        </w:rPr>
      </w:pPr>
      <w:r>
        <w:rPr>
          <w:rFonts w:ascii="Arial" w:cs="Arial" w:eastAsia="Arial" w:hAnsi="Arial"/>
          <w:sz w:val="13"/>
          <w:szCs w:val="13"/>
          <w:b w:val="1"/>
          <w:bCs w:val="1"/>
          <w:color w:val="auto"/>
        </w:rPr>
        <w:t xml:space="preserve">PEO Compensation “Actually Paid”  </w:t>
      </w:r>
      <w:r>
        <w:rPr>
          <w:sz w:val="1"/>
          <w:szCs w:val="1"/>
          <w:color w:val="auto"/>
        </w:rPr>
        <w:drawing>
          <wp:inline distT="0" distB="0" distL="0" distR="0">
            <wp:extent cx="163195" cy="4318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3195" cy="43180"/>
                    </a:xfrm>
                    <a:prstGeom prst="rect">
                      <a:avLst/>
                    </a:prstGeom>
                    <a:noFill/>
                    <a:ln>
                      <a:noFill/>
                    </a:ln>
                  </pic:spPr>
                </pic:pic>
              </a:graphicData>
            </a:graphic>
          </wp:inline>
        </w:drawing>
      </w:r>
      <w:r>
        <w:rPr>
          <w:rFonts w:ascii="Arial" w:cs="Arial" w:eastAsia="Arial" w:hAnsi="Arial"/>
          <w:sz w:val="13"/>
          <w:szCs w:val="13"/>
          <w:b w:val="1"/>
          <w:bCs w:val="1"/>
          <w:color w:val="auto"/>
        </w:rPr>
        <w:t xml:space="preserve">  Average Non-PEO NEO Compensation “Actually Paid”</w:t>
      </w:r>
    </w:p>
    <w:p>
      <w:pPr>
        <w:spacing w:after="0" w:line="40" w:lineRule="exact"/>
        <w:rPr>
          <w:sz w:val="20"/>
          <w:szCs w:val="20"/>
          <w:color w:val="auto"/>
        </w:rPr>
      </w:pPr>
    </w:p>
    <w:p>
      <w:pPr>
        <w:ind w:left="1760"/>
        <w:spacing w:after="0"/>
        <w:rPr>
          <w:sz w:val="20"/>
          <w:szCs w:val="20"/>
          <w:color w:val="auto"/>
        </w:rPr>
      </w:pPr>
      <w:r>
        <w:rPr>
          <w:rFonts w:ascii="Arial" w:cs="Arial" w:eastAsia="Arial" w:hAnsi="Arial"/>
          <w:sz w:val="13"/>
          <w:szCs w:val="13"/>
          <w:b w:val="1"/>
          <w:bCs w:val="1"/>
          <w:color w:val="auto"/>
        </w:rPr>
        <w:t xml:space="preserve">REGN TSR                      </w:t>
      </w:r>
      <w:r>
        <w:rPr>
          <w:sz w:val="1"/>
          <w:szCs w:val="1"/>
          <w:color w:val="auto"/>
        </w:rPr>
        <w:drawing>
          <wp:inline distT="0" distB="0" distL="0" distR="0">
            <wp:extent cx="163195" cy="2540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63195" cy="25400"/>
                    </a:xfrm>
                    <a:prstGeom prst="rect">
                      <a:avLst/>
                    </a:prstGeom>
                    <a:noFill/>
                    <a:ln>
                      <a:noFill/>
                    </a:ln>
                  </pic:spPr>
                </pic:pic>
              </a:graphicData>
            </a:graphic>
          </wp:inline>
        </w:drawing>
      </w:r>
      <w:r>
        <w:rPr>
          <w:rFonts w:ascii="Arial" w:cs="Arial" w:eastAsia="Arial" w:hAnsi="Arial"/>
          <w:sz w:val="13"/>
          <w:szCs w:val="13"/>
          <w:b w:val="1"/>
          <w:bCs w:val="1"/>
          <w:color w:val="auto"/>
        </w:rPr>
        <w:t xml:space="preserve">  NQ US Pharma Total Return Index TSR</w:t>
      </w:r>
    </w:p>
    <w:p>
      <w:pPr>
        <w:spacing w:after="0" w:line="36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96</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105" w:name="page106"/>
    <w:bookmarkEnd w:id="105"/>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Description of Relationship Between NEO Compensation “Actually Paid” and Net Income</w:t>
      </w:r>
    </w:p>
    <w:p>
      <w:pPr>
        <w:spacing w:after="0" w:line="97" w:lineRule="exact"/>
        <w:rPr>
          <w:sz w:val="20"/>
          <w:szCs w:val="20"/>
          <w:color w:val="auto"/>
        </w:rPr>
      </w:pPr>
    </w:p>
    <w:p>
      <w:pPr>
        <w:ind w:left="140" w:right="599"/>
        <w:spacing w:after="0" w:line="292" w:lineRule="auto"/>
        <w:rPr>
          <w:sz w:val="20"/>
          <w:szCs w:val="20"/>
          <w:color w:val="auto"/>
        </w:rPr>
      </w:pPr>
      <w:r>
        <w:rPr>
          <w:rFonts w:ascii="Arial" w:cs="Arial" w:eastAsia="Arial" w:hAnsi="Arial"/>
          <w:sz w:val="16"/>
          <w:szCs w:val="16"/>
          <w:color w:val="auto"/>
        </w:rPr>
        <w:t>The following chart sets forth the relationship between Compensation “Actually Paid” to our PEO, the average of Compensation “Actually Paid” to our Non-PEO NEOs, and our net income during years 2021 through 2025, each as set forth in the table above.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65BAA"/>
        </w:rPr>
        <w:t>PEO and Average NEO Compensation “Actually Paid” Versus Regeneron Net Income, 2021-2025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500"/>
        <w:spacing w:after="0"/>
        <w:tabs>
          <w:tab w:leader="none" w:pos="4460" w:val="left"/>
        </w:tabs>
        <w:rPr>
          <w:sz w:val="20"/>
          <w:szCs w:val="20"/>
          <w:color w:val="auto"/>
        </w:rPr>
      </w:pPr>
      <w:r>
        <w:rPr>
          <w:rFonts w:ascii="Arial" w:cs="Arial" w:eastAsia="Arial" w:hAnsi="Arial"/>
          <w:sz w:val="13"/>
          <w:szCs w:val="13"/>
          <w:color w:val="auto"/>
        </w:rPr>
        <w:t>$4,338.4</w:t>
      </w:r>
      <w:r>
        <w:rPr>
          <w:sz w:val="20"/>
          <w:szCs w:val="20"/>
          <w:color w:val="auto"/>
        </w:rPr>
        <w:tab/>
      </w:r>
      <w:r>
        <w:rPr>
          <w:rFonts w:ascii="Arial" w:cs="Arial" w:eastAsia="Arial" w:hAnsi="Arial"/>
          <w:sz w:val="19"/>
          <w:szCs w:val="19"/>
          <w:color w:val="auto"/>
          <w:vertAlign w:val="superscript"/>
        </w:rPr>
        <w:t>$3,953.6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Fiscal Year</w:t>
      </w:r>
    </w:p>
    <w:p>
      <w:pPr>
        <w:spacing w:after="0" w:line="80" w:lineRule="exact"/>
        <w:rPr>
          <w:sz w:val="20"/>
          <w:szCs w:val="20"/>
          <w:color w:val="auto"/>
        </w:rPr>
      </w:pPr>
    </w:p>
    <w:p>
      <w:pPr>
        <w:ind w:left="1760"/>
        <w:spacing w:after="0"/>
        <w:rPr>
          <w:sz w:val="20"/>
          <w:szCs w:val="20"/>
          <w:color w:val="auto"/>
        </w:rPr>
      </w:pPr>
      <w:r>
        <w:rPr>
          <w:rFonts w:ascii="Arial" w:cs="Arial" w:eastAsia="Arial" w:hAnsi="Arial"/>
          <w:sz w:val="13"/>
          <w:szCs w:val="13"/>
          <w:b w:val="1"/>
          <w:bCs w:val="1"/>
          <w:color w:val="auto"/>
        </w:rPr>
        <w:t xml:space="preserve">PEO Compensation “Actually Paid”  </w:t>
      </w:r>
      <w:r>
        <w:rPr>
          <w:sz w:val="1"/>
          <w:szCs w:val="1"/>
          <w:color w:val="auto"/>
        </w:rPr>
        <w:drawing>
          <wp:inline distT="0" distB="0" distL="0" distR="0">
            <wp:extent cx="163195" cy="5143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63195" cy="51435"/>
                    </a:xfrm>
                    <a:prstGeom prst="rect">
                      <a:avLst/>
                    </a:prstGeom>
                    <a:noFill/>
                    <a:ln>
                      <a:noFill/>
                    </a:ln>
                  </pic:spPr>
                </pic:pic>
              </a:graphicData>
            </a:graphic>
          </wp:inline>
        </w:drawing>
      </w:r>
      <w:r>
        <w:rPr>
          <w:rFonts w:ascii="Arial" w:cs="Arial" w:eastAsia="Arial" w:hAnsi="Arial"/>
          <w:sz w:val="13"/>
          <w:szCs w:val="13"/>
          <w:b w:val="1"/>
          <w:bCs w:val="1"/>
          <w:color w:val="auto"/>
        </w:rPr>
        <w:t xml:space="preserve">  Average Non-PEO NEO Compensation “Actually Paid”</w:t>
      </w:r>
    </w:p>
    <w:p>
      <w:pPr>
        <w:spacing w:after="0" w:line="40" w:lineRule="exact"/>
        <w:rPr>
          <w:sz w:val="20"/>
          <w:szCs w:val="20"/>
          <w:color w:val="auto"/>
        </w:rPr>
      </w:pPr>
    </w:p>
    <w:p>
      <w:pPr>
        <w:ind w:left="1760"/>
        <w:spacing w:after="0"/>
        <w:rPr>
          <w:sz w:val="20"/>
          <w:szCs w:val="20"/>
          <w:color w:val="auto"/>
        </w:rPr>
      </w:pPr>
      <w:r>
        <w:rPr>
          <w:rFonts w:ascii="Arial" w:cs="Arial" w:eastAsia="Arial" w:hAnsi="Arial"/>
          <w:sz w:val="13"/>
          <w:szCs w:val="13"/>
          <w:b w:val="1"/>
          <w:bCs w:val="1"/>
          <w:color w:val="auto"/>
        </w:rPr>
        <w:t>REGN Net Income</w:t>
      </w:r>
    </w:p>
    <w:p>
      <w:pPr>
        <w:spacing w:after="0" w:line="301"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Description of Relationship Between NEO Compensation “Actually Paid” and Stock Price</w:t>
      </w:r>
    </w:p>
    <w:p>
      <w:pPr>
        <w:spacing w:after="0" w:line="83" w:lineRule="exact"/>
        <w:rPr>
          <w:sz w:val="20"/>
          <w:szCs w:val="20"/>
          <w:color w:val="auto"/>
        </w:rPr>
      </w:pPr>
    </w:p>
    <w:p>
      <w:pPr>
        <w:ind w:left="140" w:right="139"/>
        <w:spacing w:after="0" w:line="301" w:lineRule="auto"/>
        <w:rPr>
          <w:sz w:val="20"/>
          <w:szCs w:val="20"/>
          <w:color w:val="auto"/>
        </w:rPr>
      </w:pPr>
      <w:r>
        <w:rPr>
          <w:rFonts w:ascii="Arial" w:cs="Arial" w:eastAsia="Arial" w:hAnsi="Arial"/>
          <w:sz w:val="16"/>
          <w:szCs w:val="16"/>
          <w:color w:val="auto"/>
        </w:rPr>
        <w:t>The following chart sets forth the relationship between Compensation “Actually Paid” to our PEO, the average of Compensation “Actually Paid” to our Non-PEO NEOs, and the closing price of our common stock on the last trading day of years 2021 through 2025, each as set forth in the table above.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65BAA"/>
        </w:rPr>
        <w:t>PEO and Average Non-PEO NEO Compensation “Actually Paid” Versus Regeneron Stock Price, 2021-2025</w:t>
      </w:r>
    </w:p>
    <w:p>
      <w:pPr>
        <w:spacing w:after="0" w:line="200" w:lineRule="exact"/>
        <w:rPr>
          <w:sz w:val="20"/>
          <w:szCs w:val="20"/>
          <w:color w:val="auto"/>
        </w:rPr>
      </w:pPr>
    </w:p>
    <w:p>
      <w:pPr>
        <w:spacing w:after="0" w:line="341" w:lineRule="exact"/>
        <w:rPr>
          <w:sz w:val="20"/>
          <w:szCs w:val="20"/>
          <w:color w:val="auto"/>
        </w:rPr>
      </w:pPr>
    </w:p>
    <w:p>
      <w:pPr>
        <w:ind w:left="2620"/>
        <w:spacing w:after="0"/>
        <w:rPr>
          <w:sz w:val="20"/>
          <w:szCs w:val="20"/>
          <w:color w:val="auto"/>
        </w:rPr>
      </w:pPr>
      <w:r>
        <w:rPr>
          <w:rFonts w:ascii="Arial" w:cs="Arial" w:eastAsia="Arial" w:hAnsi="Arial"/>
          <w:sz w:val="13"/>
          <w:szCs w:val="13"/>
          <w:color w:val="auto"/>
        </w:rPr>
        <w:t>$631.52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Fiscal Year</w:t>
      </w:r>
    </w:p>
    <w:p>
      <w:pPr>
        <w:spacing w:after="0" w:line="80" w:lineRule="exact"/>
        <w:rPr>
          <w:sz w:val="20"/>
          <w:szCs w:val="20"/>
          <w:color w:val="auto"/>
        </w:rPr>
      </w:pPr>
    </w:p>
    <w:p>
      <w:pPr>
        <w:ind w:left="1760"/>
        <w:spacing w:after="0"/>
        <w:rPr>
          <w:sz w:val="20"/>
          <w:szCs w:val="20"/>
          <w:color w:val="auto"/>
        </w:rPr>
      </w:pPr>
      <w:r>
        <w:rPr>
          <w:rFonts w:ascii="Arial" w:cs="Arial" w:eastAsia="Arial" w:hAnsi="Arial"/>
          <w:sz w:val="13"/>
          <w:szCs w:val="13"/>
          <w:b w:val="1"/>
          <w:bCs w:val="1"/>
          <w:color w:val="auto"/>
        </w:rPr>
        <w:t xml:space="preserve">PEO Compensation “Actually Paid”  </w:t>
      </w:r>
      <w:r>
        <w:rPr>
          <w:sz w:val="1"/>
          <w:szCs w:val="1"/>
          <w:color w:val="auto"/>
        </w:rPr>
        <w:drawing>
          <wp:inline distT="0" distB="0" distL="0" distR="0">
            <wp:extent cx="163195" cy="4318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63195" cy="43180"/>
                    </a:xfrm>
                    <a:prstGeom prst="rect">
                      <a:avLst/>
                    </a:prstGeom>
                    <a:noFill/>
                    <a:ln>
                      <a:noFill/>
                    </a:ln>
                  </pic:spPr>
                </pic:pic>
              </a:graphicData>
            </a:graphic>
          </wp:inline>
        </w:drawing>
      </w:r>
      <w:r>
        <w:rPr>
          <w:rFonts w:ascii="Arial" w:cs="Arial" w:eastAsia="Arial" w:hAnsi="Arial"/>
          <w:sz w:val="13"/>
          <w:szCs w:val="13"/>
          <w:b w:val="1"/>
          <w:bCs w:val="1"/>
          <w:color w:val="auto"/>
        </w:rPr>
        <w:t xml:space="preserve">  Average Non-PEO NEO Compensation “Actually Paid”</w:t>
      </w:r>
    </w:p>
    <w:p>
      <w:pPr>
        <w:spacing w:after="0" w:line="40" w:lineRule="exact"/>
        <w:rPr>
          <w:sz w:val="20"/>
          <w:szCs w:val="20"/>
          <w:color w:val="auto"/>
        </w:rPr>
      </w:pPr>
    </w:p>
    <w:p>
      <w:pPr>
        <w:ind w:left="1760"/>
        <w:spacing w:after="0"/>
        <w:rPr>
          <w:sz w:val="20"/>
          <w:szCs w:val="20"/>
          <w:color w:val="auto"/>
        </w:rPr>
      </w:pPr>
      <w:r>
        <w:rPr>
          <w:rFonts w:ascii="Arial" w:cs="Arial" w:eastAsia="Arial" w:hAnsi="Arial"/>
          <w:sz w:val="13"/>
          <w:szCs w:val="13"/>
          <w:b w:val="1"/>
          <w:bCs w:val="1"/>
          <w:color w:val="auto"/>
        </w:rPr>
        <w:t>REGN Stock Price</w:t>
      </w:r>
    </w:p>
    <w:p>
      <w:pPr>
        <w:spacing w:after="0" w:line="301"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2025 Tabular List of Most Important Financial and Non-Financial Performance Measures</w:t>
      </w:r>
    </w:p>
    <w:p>
      <w:pPr>
        <w:spacing w:after="0" w:line="83" w:lineRule="exact"/>
        <w:rPr>
          <w:sz w:val="20"/>
          <w:szCs w:val="20"/>
          <w:color w:val="auto"/>
        </w:rPr>
      </w:pPr>
    </w:p>
    <w:p>
      <w:pPr>
        <w:ind w:left="140" w:right="139"/>
        <w:spacing w:after="0" w:line="301" w:lineRule="auto"/>
        <w:rPr>
          <w:sz w:val="20"/>
          <w:szCs w:val="20"/>
          <w:color w:val="auto"/>
        </w:rPr>
      </w:pPr>
      <w:r>
        <w:rPr>
          <w:rFonts w:ascii="Arial" w:cs="Arial" w:eastAsia="Arial" w:hAnsi="Arial"/>
          <w:sz w:val="16"/>
          <w:szCs w:val="16"/>
          <w:color w:val="auto"/>
        </w:rPr>
        <w:t>The following table presents the financial and non-financial performance measures that the Company considers to have been the most important in linking Compensation “Actually Paid” to our PEO and our Non-PEO NEOs in 2025 to Company performance. The measures in this table are not ranked.</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80" w:type="dxa"/>
            <w:vAlign w:val="bottom"/>
          </w:tcPr>
          <w:p>
            <w:pPr>
              <w:ind w:left="80"/>
              <w:spacing w:after="0"/>
              <w:rPr>
                <w:sz w:val="20"/>
                <w:szCs w:val="20"/>
                <w:color w:val="auto"/>
              </w:rPr>
            </w:pPr>
            <w:r>
              <w:rPr>
                <w:rFonts w:ascii="Arial" w:cs="Arial" w:eastAsia="Arial" w:hAnsi="Arial"/>
                <w:sz w:val="14"/>
                <w:szCs w:val="14"/>
                <w:color w:val="auto"/>
              </w:rPr>
              <w:t>Stock Price</w:t>
            </w:r>
          </w:p>
        </w:tc>
        <w:tc>
          <w:tcPr>
            <w:tcW w:w="5020" w:type="dxa"/>
            <w:vAlign w:val="bottom"/>
          </w:tcPr>
          <w:p>
            <w:pPr>
              <w:ind w:left="740"/>
              <w:spacing w:after="0"/>
              <w:rPr>
                <w:sz w:val="20"/>
                <w:szCs w:val="20"/>
                <w:color w:val="auto"/>
              </w:rPr>
            </w:pPr>
            <w:r>
              <w:rPr>
                <w:rFonts w:ascii="Arial" w:cs="Arial" w:eastAsia="Arial" w:hAnsi="Arial"/>
                <w:sz w:val="14"/>
                <w:szCs w:val="14"/>
                <w:color w:val="auto"/>
              </w:rPr>
              <w:t>Regulatory submissions for new products or indications</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DAEBF8"/>
          </w:tcPr>
          <w:p>
            <w:pPr>
              <w:ind w:left="80"/>
              <w:spacing w:after="0"/>
              <w:rPr>
                <w:sz w:val="20"/>
                <w:szCs w:val="20"/>
                <w:color w:val="auto"/>
              </w:rPr>
            </w:pPr>
            <w:r>
              <w:rPr>
                <w:rFonts w:ascii="Arial" w:cs="Arial" w:eastAsia="Arial" w:hAnsi="Arial"/>
                <w:sz w:val="14"/>
                <w:szCs w:val="14"/>
                <w:color w:val="auto"/>
              </w:rPr>
              <w:t>TSR</w:t>
            </w:r>
          </w:p>
        </w:tc>
        <w:tc>
          <w:tcPr>
            <w:tcW w:w="5020" w:type="dxa"/>
            <w:vAlign w:val="bottom"/>
            <w:shd w:val="clear" w:color="auto" w:fill="DAEBF8"/>
          </w:tcPr>
          <w:p>
            <w:pPr>
              <w:ind w:left="740"/>
              <w:spacing w:after="0"/>
              <w:rPr>
                <w:sz w:val="20"/>
                <w:szCs w:val="20"/>
                <w:color w:val="auto"/>
              </w:rPr>
            </w:pPr>
            <w:r>
              <w:rPr>
                <w:rFonts w:ascii="Arial" w:cs="Arial" w:eastAsia="Arial" w:hAnsi="Arial"/>
                <w:sz w:val="14"/>
                <w:szCs w:val="14"/>
                <w:color w:val="auto"/>
              </w:rPr>
              <w:t>Positive data readouts</w:t>
            </w:r>
          </w:p>
        </w:tc>
        <w:tc>
          <w:tcPr>
            <w:tcW w:w="20" w:type="dxa"/>
            <w:vAlign w:val="bottom"/>
            <w:shd w:val="clear" w:color="auto" w:fill="DAEBF8"/>
          </w:tcPr>
          <w:p>
            <w:pPr>
              <w:spacing w:after="0"/>
              <w:rPr>
                <w:sz w:val="18"/>
                <w:szCs w:val="18"/>
                <w:color w:val="auto"/>
              </w:rPr>
            </w:pPr>
          </w:p>
        </w:tc>
        <w:tc>
          <w:tcPr>
            <w:tcW w:w="340" w:type="dxa"/>
            <w:vAlign w:val="bottom"/>
            <w:shd w:val="clear" w:color="auto" w:fill="DAEBF8"/>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80" w:type="dxa"/>
            <w:vAlign w:val="bottom"/>
          </w:tcPr>
          <w:p>
            <w:pPr>
              <w:ind w:left="80"/>
              <w:spacing w:after="0"/>
              <w:rPr>
                <w:sz w:val="20"/>
                <w:szCs w:val="20"/>
                <w:color w:val="auto"/>
              </w:rPr>
            </w:pPr>
            <w:r>
              <w:rPr>
                <w:rFonts w:ascii="Arial" w:cs="Arial" w:eastAsia="Arial" w:hAnsi="Arial"/>
                <w:sz w:val="14"/>
                <w:szCs w:val="14"/>
                <w:color w:val="auto"/>
              </w:rPr>
              <w:t>Non-GAAP diluted EPS</w:t>
            </w:r>
          </w:p>
        </w:tc>
        <w:tc>
          <w:tcPr>
            <w:tcW w:w="5020" w:type="dxa"/>
            <w:vAlign w:val="bottom"/>
          </w:tcPr>
          <w:p>
            <w:pPr>
              <w:ind w:left="740"/>
              <w:spacing w:after="0"/>
              <w:rPr>
                <w:sz w:val="20"/>
                <w:szCs w:val="20"/>
                <w:color w:val="auto"/>
              </w:rPr>
            </w:pPr>
            <w:r>
              <w:rPr>
                <w:rFonts w:ascii="Arial" w:cs="Arial" w:eastAsia="Arial" w:hAnsi="Arial"/>
                <w:sz w:val="14"/>
                <w:szCs w:val="14"/>
                <w:color w:val="auto"/>
              </w:rPr>
              <w:t>New Investigational New Drug Applications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065BAA"/>
            </w:tcBorders>
            <w:shd w:val="clear" w:color="auto" w:fill="DAEBF8"/>
          </w:tcPr>
          <w:p>
            <w:pPr>
              <w:ind w:left="80"/>
              <w:spacing w:after="0"/>
              <w:rPr>
                <w:sz w:val="20"/>
                <w:szCs w:val="20"/>
                <w:color w:val="auto"/>
              </w:rPr>
            </w:pPr>
            <w:r>
              <w:rPr>
                <w:rFonts w:ascii="Arial" w:cs="Arial" w:eastAsia="Arial" w:hAnsi="Arial"/>
                <w:sz w:val="14"/>
                <w:szCs w:val="14"/>
                <w:color w:val="auto"/>
              </w:rPr>
              <w:t>Approvals of new products or indications</w:t>
            </w:r>
          </w:p>
        </w:tc>
        <w:tc>
          <w:tcPr>
            <w:tcW w:w="5020" w:type="dxa"/>
            <w:vAlign w:val="bottom"/>
            <w:tcBorders>
              <w:bottom w:val="single" w:sz="8" w:color="065BAA"/>
            </w:tcBorders>
            <w:shd w:val="clear" w:color="auto" w:fill="DAEBF8"/>
          </w:tcPr>
          <w:p>
            <w:pPr>
              <w:spacing w:after="0"/>
              <w:rPr>
                <w:sz w:val="18"/>
                <w:szCs w:val="18"/>
                <w:color w:val="auto"/>
              </w:rPr>
            </w:pPr>
          </w:p>
        </w:tc>
        <w:tc>
          <w:tcPr>
            <w:tcW w:w="20" w:type="dxa"/>
            <w:vAlign w:val="bottom"/>
            <w:tcBorders>
              <w:bottom w:val="single" w:sz="8" w:color="065BAA"/>
            </w:tcBorders>
            <w:shd w:val="clear" w:color="auto" w:fill="DAEBF8"/>
          </w:tcPr>
          <w:p>
            <w:pPr>
              <w:spacing w:after="0"/>
              <w:rPr>
                <w:sz w:val="18"/>
                <w:szCs w:val="18"/>
                <w:color w:val="auto"/>
              </w:rPr>
            </w:pPr>
          </w:p>
        </w:tc>
        <w:tc>
          <w:tcPr>
            <w:tcW w:w="340" w:type="dxa"/>
            <w:vAlign w:val="bottom"/>
            <w:tcBorders>
              <w:bottom w:val="single" w:sz="8" w:color="065BAA"/>
            </w:tcBorders>
            <w:shd w:val="clear" w:color="auto" w:fill="DAEBF8"/>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8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20" w:type="dxa"/>
            <w:vAlign w:val="bottom"/>
          </w:tcPr>
          <w:p>
            <w:pPr>
              <w:spacing w:after="0"/>
              <w:rPr>
                <w:sz w:val="24"/>
                <w:szCs w:val="24"/>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065BAA"/>
              </w:rPr>
              <w:t>97</w:t>
            </w:r>
          </w:p>
        </w:tc>
        <w:tc>
          <w:tcPr>
            <w:tcW w:w="0" w:type="dxa"/>
            <w:vAlign w:val="bottom"/>
          </w:tcPr>
          <w:p>
            <w:pPr>
              <w:spacing w:after="0"/>
              <w:rPr>
                <w:sz w:val="1"/>
                <w:szCs w:val="1"/>
                <w:color w:val="auto"/>
              </w:rPr>
            </w:pPr>
          </w:p>
        </w:tc>
      </w:tr>
      <w:tr>
        <w:trPr>
          <w:trHeight w:val="216"/>
        </w:trPr>
        <w:tc>
          <w:tcPr>
            <w:tcW w:w="8400" w:type="dxa"/>
            <w:vAlign w:val="bottom"/>
            <w:gridSpan w:val="2"/>
            <w:vMerge w:val="continue"/>
          </w:tcPr>
          <w:p>
            <w:pPr>
              <w:spacing w:after="0"/>
              <w:rPr>
                <w:sz w:val="18"/>
                <w:szCs w:val="18"/>
                <w:color w:val="auto"/>
              </w:rPr>
            </w:pPr>
          </w:p>
        </w:tc>
        <w:tc>
          <w:tcPr>
            <w:tcW w:w="20" w:type="dxa"/>
            <w:vAlign w:val="bottom"/>
            <w:shd w:val="clear" w:color="auto" w:fill="CCCCCC"/>
          </w:tcPr>
          <w:p>
            <w:pPr>
              <w:spacing w:after="0"/>
              <w:rPr>
                <w:sz w:val="18"/>
                <w:szCs w:val="18"/>
                <w:color w:val="auto"/>
              </w:rPr>
            </w:pPr>
          </w:p>
        </w:tc>
        <w:tc>
          <w:tcPr>
            <w:tcW w:w="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57" w:right="1440" w:bottom="1440" w:gutter="0" w:footer="0" w:header="0"/>
        </w:sectPr>
      </w:pPr>
    </w:p>
    <w:bookmarkStart w:id="106" w:name="page107"/>
    <w:bookmarkEnd w:id="106"/>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Equity Compensation Information</w:t>
      </w:r>
    </w:p>
    <w:p>
      <w:pPr>
        <w:spacing w:after="0" w:line="168" w:lineRule="exact"/>
        <w:rPr>
          <w:sz w:val="20"/>
          <w:szCs w:val="20"/>
          <w:color w:val="auto"/>
        </w:rPr>
      </w:pPr>
    </w:p>
    <w:p>
      <w:pPr>
        <w:ind w:left="140" w:right="1019"/>
        <w:spacing w:after="0" w:line="272" w:lineRule="auto"/>
        <w:rPr>
          <w:sz w:val="20"/>
          <w:szCs w:val="20"/>
          <w:color w:val="auto"/>
        </w:rPr>
      </w:pPr>
      <w:r>
        <w:rPr>
          <w:rFonts w:ascii="Arial" w:cs="Arial" w:eastAsia="Arial" w:hAnsi="Arial"/>
          <w:sz w:val="22"/>
          <w:szCs w:val="22"/>
          <w:color w:val="065BAA"/>
        </w:rPr>
        <w:t>Corporate Governance Aspects of the Second Amended and Restated Regeneron Pharmaceuticals, Inc. 2014 Long-Term Incentive Plan</w:t>
      </w:r>
    </w:p>
    <w:p>
      <w:pPr>
        <w:spacing w:after="0" w:line="33" w:lineRule="exact"/>
        <w:rPr>
          <w:sz w:val="20"/>
          <w:szCs w:val="20"/>
          <w:color w:val="auto"/>
        </w:rPr>
      </w:pPr>
    </w:p>
    <w:p>
      <w:pPr>
        <w:ind w:left="140" w:right="219"/>
        <w:spacing w:after="0" w:line="291" w:lineRule="auto"/>
        <w:rPr>
          <w:sz w:val="20"/>
          <w:szCs w:val="20"/>
          <w:color w:val="auto"/>
        </w:rPr>
      </w:pPr>
      <w:r>
        <w:rPr>
          <w:rFonts w:ascii="Arial" w:cs="Arial" w:eastAsia="Arial" w:hAnsi="Arial"/>
          <w:sz w:val="16"/>
          <w:szCs w:val="16"/>
          <w:color w:val="auto"/>
        </w:rPr>
        <w:t>The Second Amended and Restated Regeneron Pharmaceuticals, Inc. 2014 Long-Term Incentive Plan (referred to in this subsection as the “Plan”) is the only plan currently used by the Company to grant equity awards. The Plan was approved by shareholders and is designed to promote best practices by reinforcing the alignment between equity compensation arrangements for employees and non-employee directors and the interests of shareholders. The provisions that promote such best practices include:</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60" w:type="dxa"/>
            <w:vAlign w:val="bottom"/>
            <w:tcBorders>
              <w:bottom w:val="single" w:sz="8" w:color="065BAA"/>
            </w:tcBorders>
          </w:tcPr>
          <w:p>
            <w:pPr>
              <w:ind w:left="1040"/>
              <w:spacing w:after="0"/>
              <w:rPr>
                <w:sz w:val="20"/>
                <w:szCs w:val="20"/>
                <w:color w:val="auto"/>
              </w:rPr>
            </w:pPr>
            <w:r>
              <w:rPr>
                <w:rFonts w:ascii="Arial" w:cs="Arial" w:eastAsia="Arial" w:hAnsi="Arial"/>
                <w:sz w:val="14"/>
                <w:szCs w:val="14"/>
                <w:b w:val="1"/>
                <w:bCs w:val="1"/>
                <w:color w:val="065BAA"/>
              </w:rPr>
              <w:t>Provision</w:t>
            </w:r>
          </w:p>
        </w:tc>
        <w:tc>
          <w:tcPr>
            <w:tcW w:w="6100" w:type="dxa"/>
            <w:vAlign w:val="bottom"/>
            <w:tcBorders>
              <w:bottom w:val="single" w:sz="8" w:color="065BAA"/>
            </w:tcBorders>
          </w:tcPr>
          <w:p>
            <w:pPr>
              <w:ind w:left="2680"/>
              <w:spacing w:after="0"/>
              <w:rPr>
                <w:sz w:val="20"/>
                <w:szCs w:val="20"/>
                <w:color w:val="auto"/>
              </w:rPr>
            </w:pPr>
            <w:r>
              <w:rPr>
                <w:rFonts w:ascii="Arial" w:cs="Arial" w:eastAsia="Arial" w:hAnsi="Arial"/>
                <w:sz w:val="14"/>
                <w:szCs w:val="14"/>
                <w:b w:val="1"/>
                <w:bCs w:val="1"/>
                <w:color w:val="065BAA"/>
              </w:rPr>
              <w:t>Description</w:t>
            </w:r>
          </w:p>
        </w:tc>
      </w:tr>
      <w:tr>
        <w:trPr>
          <w:trHeight w:val="195"/>
        </w:trPr>
        <w:tc>
          <w:tcPr>
            <w:tcW w:w="2660" w:type="dxa"/>
            <w:vAlign w:val="bottom"/>
          </w:tcPr>
          <w:p>
            <w:pPr>
              <w:ind w:left="80"/>
              <w:spacing w:after="0"/>
              <w:rPr>
                <w:sz w:val="20"/>
                <w:szCs w:val="20"/>
                <w:color w:val="auto"/>
              </w:rPr>
            </w:pPr>
            <w:r>
              <w:rPr>
                <w:rFonts w:ascii="Arial" w:cs="Arial" w:eastAsia="Arial" w:hAnsi="Arial"/>
                <w:sz w:val="16"/>
                <w:szCs w:val="16"/>
                <w:b w:val="1"/>
                <w:bCs w:val="1"/>
                <w:color w:val="auto"/>
              </w:rPr>
              <w:t>No Discounted Stock Options or</w:t>
            </w:r>
          </w:p>
        </w:tc>
        <w:tc>
          <w:tcPr>
            <w:tcW w:w="6100" w:type="dxa"/>
            <w:vAlign w:val="bottom"/>
          </w:tcPr>
          <w:p>
            <w:pPr>
              <w:ind w:left="100"/>
              <w:spacing w:after="0"/>
              <w:rPr>
                <w:sz w:val="20"/>
                <w:szCs w:val="20"/>
                <w:color w:val="auto"/>
              </w:rPr>
            </w:pPr>
            <w:r>
              <w:rPr>
                <w:rFonts w:ascii="Arial" w:cs="Arial" w:eastAsia="Arial" w:hAnsi="Arial"/>
                <w:sz w:val="16"/>
                <w:szCs w:val="16"/>
                <w:color w:val="auto"/>
              </w:rPr>
              <w:t>Stock options and stock appreciation rights are not granted with an exercise or</w:t>
            </w:r>
          </w:p>
        </w:tc>
      </w:tr>
      <w:tr>
        <w:trPr>
          <w:trHeight w:val="242"/>
        </w:trPr>
        <w:tc>
          <w:tcPr>
            <w:tcW w:w="2660" w:type="dxa"/>
            <w:vAlign w:val="bottom"/>
          </w:tcPr>
          <w:p>
            <w:pPr>
              <w:ind w:left="80"/>
              <w:spacing w:after="0"/>
              <w:rPr>
                <w:sz w:val="20"/>
                <w:szCs w:val="20"/>
                <w:color w:val="auto"/>
              </w:rPr>
            </w:pPr>
            <w:r>
              <w:rPr>
                <w:rFonts w:ascii="Arial" w:cs="Arial" w:eastAsia="Arial" w:hAnsi="Arial"/>
                <w:sz w:val="16"/>
                <w:szCs w:val="16"/>
                <w:b w:val="1"/>
                <w:bCs w:val="1"/>
                <w:color w:val="auto"/>
              </w:rPr>
              <w:t>Stock Appreciation Rights</w:t>
            </w:r>
          </w:p>
        </w:tc>
        <w:tc>
          <w:tcPr>
            <w:tcW w:w="6100" w:type="dxa"/>
            <w:vAlign w:val="bottom"/>
          </w:tcPr>
          <w:p>
            <w:pPr>
              <w:ind w:left="100"/>
              <w:spacing w:after="0"/>
              <w:rPr>
                <w:sz w:val="20"/>
                <w:szCs w:val="20"/>
                <w:color w:val="auto"/>
              </w:rPr>
            </w:pPr>
            <w:r>
              <w:rPr>
                <w:rFonts w:ascii="Arial" w:cs="Arial" w:eastAsia="Arial" w:hAnsi="Arial"/>
                <w:sz w:val="16"/>
                <w:szCs w:val="16"/>
                <w:color w:val="auto"/>
              </w:rPr>
              <w:t>base price less than the fair market value of common stock (as defined in the Plan)</w:t>
            </w:r>
          </w:p>
        </w:tc>
      </w:tr>
      <w:tr>
        <w:trPr>
          <w:trHeight w:val="191"/>
        </w:trPr>
        <w:tc>
          <w:tcPr>
            <w:tcW w:w="2660" w:type="dxa"/>
            <w:vAlign w:val="bottom"/>
          </w:tcPr>
          <w:p>
            <w:pPr>
              <w:spacing w:after="0"/>
              <w:rPr>
                <w:sz w:val="16"/>
                <w:szCs w:val="16"/>
                <w:color w:val="auto"/>
              </w:rPr>
            </w:pPr>
          </w:p>
        </w:tc>
        <w:tc>
          <w:tcPr>
            <w:tcW w:w="6100" w:type="dxa"/>
            <w:vAlign w:val="bottom"/>
          </w:tcPr>
          <w:p>
            <w:pPr>
              <w:ind w:left="100"/>
              <w:spacing w:after="0"/>
              <w:rPr>
                <w:sz w:val="20"/>
                <w:szCs w:val="20"/>
                <w:color w:val="auto"/>
              </w:rPr>
            </w:pPr>
            <w:r>
              <w:rPr>
                <w:rFonts w:ascii="Arial" w:cs="Arial" w:eastAsia="Arial" w:hAnsi="Arial"/>
                <w:sz w:val="16"/>
                <w:szCs w:val="16"/>
                <w:color w:val="auto"/>
              </w:rPr>
              <w:t>on the date of grant.</w:t>
            </w:r>
          </w:p>
        </w:tc>
      </w:tr>
      <w:tr>
        <w:trPr>
          <w:trHeight w:val="229"/>
        </w:trPr>
        <w:tc>
          <w:tcPr>
            <w:tcW w:w="2660" w:type="dxa"/>
            <w:vAlign w:val="bottom"/>
            <w:shd w:val="clear" w:color="auto" w:fill="DAEBF8"/>
          </w:tcPr>
          <w:p>
            <w:pPr>
              <w:ind w:left="80"/>
              <w:spacing w:after="0"/>
              <w:rPr>
                <w:sz w:val="20"/>
                <w:szCs w:val="20"/>
                <w:color w:val="auto"/>
              </w:rPr>
            </w:pPr>
            <w:r>
              <w:rPr>
                <w:rFonts w:ascii="Arial" w:cs="Arial" w:eastAsia="Arial" w:hAnsi="Arial"/>
                <w:sz w:val="16"/>
                <w:szCs w:val="16"/>
                <w:b w:val="1"/>
                <w:bCs w:val="1"/>
                <w:color w:val="auto"/>
              </w:rPr>
              <w:t>No Stock Option or Stock</w:t>
            </w:r>
          </w:p>
        </w:tc>
        <w:tc>
          <w:tcPr>
            <w:tcW w:w="6100" w:type="dxa"/>
            <w:vAlign w:val="bottom"/>
            <w:shd w:val="clear" w:color="auto" w:fill="DAEBF8"/>
          </w:tcPr>
          <w:p>
            <w:pPr>
              <w:ind w:left="100"/>
              <w:spacing w:after="0"/>
              <w:rPr>
                <w:sz w:val="20"/>
                <w:szCs w:val="20"/>
                <w:color w:val="auto"/>
              </w:rPr>
            </w:pPr>
            <w:r>
              <w:rPr>
                <w:rFonts w:ascii="Arial" w:cs="Arial" w:eastAsia="Arial" w:hAnsi="Arial"/>
                <w:sz w:val="16"/>
                <w:szCs w:val="16"/>
                <w:color w:val="auto"/>
              </w:rPr>
              <w:t>Except for equitable adjustments in connection with specific corporate transactions</w:t>
            </w:r>
          </w:p>
        </w:tc>
      </w:tr>
      <w:tr>
        <w:trPr>
          <w:trHeight w:val="216"/>
        </w:trPr>
        <w:tc>
          <w:tcPr>
            <w:tcW w:w="2660" w:type="dxa"/>
            <w:vAlign w:val="bottom"/>
            <w:shd w:val="clear" w:color="auto" w:fill="DAEBF8"/>
          </w:tcPr>
          <w:p>
            <w:pPr>
              <w:ind w:left="80"/>
              <w:spacing w:after="0"/>
              <w:rPr>
                <w:sz w:val="20"/>
                <w:szCs w:val="20"/>
                <w:color w:val="auto"/>
              </w:rPr>
            </w:pPr>
            <w:r>
              <w:rPr>
                <w:rFonts w:ascii="Arial" w:cs="Arial" w:eastAsia="Arial" w:hAnsi="Arial"/>
                <w:sz w:val="16"/>
                <w:szCs w:val="16"/>
                <w:b w:val="1"/>
                <w:bCs w:val="1"/>
                <w:color w:val="auto"/>
              </w:rPr>
              <w:t>Appreciation Right Re-pricing</w:t>
            </w:r>
          </w:p>
        </w:tc>
        <w:tc>
          <w:tcPr>
            <w:tcW w:w="6100" w:type="dxa"/>
            <w:vAlign w:val="bottom"/>
            <w:shd w:val="clear" w:color="auto" w:fill="DAEBF8"/>
          </w:tcPr>
          <w:p>
            <w:pPr>
              <w:ind w:left="100"/>
              <w:spacing w:after="0"/>
              <w:rPr>
                <w:sz w:val="20"/>
                <w:szCs w:val="20"/>
                <w:color w:val="auto"/>
              </w:rPr>
            </w:pPr>
            <w:r>
              <w:rPr>
                <w:rFonts w:ascii="Arial" w:cs="Arial" w:eastAsia="Arial" w:hAnsi="Arial"/>
                <w:sz w:val="16"/>
                <w:szCs w:val="16"/>
                <w:color w:val="auto"/>
              </w:rPr>
              <w:t>(such as stock splits, recapitalizations, reorganizations, mergers, consolidations,</w:t>
            </w:r>
          </w:p>
        </w:tc>
      </w:tr>
      <w:tr>
        <w:trPr>
          <w:trHeight w:val="228"/>
        </w:trPr>
        <w:tc>
          <w:tcPr>
            <w:tcW w:w="2660" w:type="dxa"/>
            <w:vAlign w:val="bottom"/>
            <w:shd w:val="clear" w:color="auto" w:fill="DAEBF8"/>
          </w:tcPr>
          <w:p>
            <w:pPr>
              <w:ind w:left="80"/>
              <w:spacing w:after="0"/>
              <w:rPr>
                <w:sz w:val="20"/>
                <w:szCs w:val="20"/>
                <w:color w:val="auto"/>
              </w:rPr>
            </w:pPr>
            <w:r>
              <w:rPr>
                <w:rFonts w:ascii="Arial" w:cs="Arial" w:eastAsia="Arial" w:hAnsi="Arial"/>
                <w:sz w:val="16"/>
                <w:szCs w:val="16"/>
                <w:b w:val="1"/>
                <w:bCs w:val="1"/>
                <w:color w:val="auto"/>
              </w:rPr>
              <w:t>or Exchange</w:t>
            </w:r>
          </w:p>
        </w:tc>
        <w:tc>
          <w:tcPr>
            <w:tcW w:w="6100" w:type="dxa"/>
            <w:vAlign w:val="bottom"/>
            <w:shd w:val="clear" w:color="auto" w:fill="DAEBF8"/>
          </w:tcPr>
          <w:p>
            <w:pPr>
              <w:ind w:left="100"/>
              <w:spacing w:after="0"/>
              <w:rPr>
                <w:sz w:val="20"/>
                <w:szCs w:val="20"/>
                <w:color w:val="auto"/>
              </w:rPr>
            </w:pPr>
            <w:r>
              <w:rPr>
                <w:rFonts w:ascii="Arial" w:cs="Arial" w:eastAsia="Arial" w:hAnsi="Arial"/>
                <w:sz w:val="16"/>
                <w:szCs w:val="16"/>
                <w:color w:val="auto"/>
              </w:rPr>
              <w:t>and similar transactions), the Plan does not permit a decrease in the exercise price</w:t>
            </w:r>
          </w:p>
        </w:tc>
      </w:tr>
      <w:tr>
        <w:trPr>
          <w:trHeight w:val="216"/>
        </w:trPr>
        <w:tc>
          <w:tcPr>
            <w:tcW w:w="2660" w:type="dxa"/>
            <w:vAlign w:val="bottom"/>
            <w:shd w:val="clear" w:color="auto" w:fill="DAEBF8"/>
          </w:tcPr>
          <w:p>
            <w:pPr>
              <w:spacing w:after="0"/>
              <w:rPr>
                <w:sz w:val="18"/>
                <w:szCs w:val="18"/>
                <w:color w:val="auto"/>
              </w:rPr>
            </w:pPr>
          </w:p>
        </w:tc>
        <w:tc>
          <w:tcPr>
            <w:tcW w:w="6100" w:type="dxa"/>
            <w:vAlign w:val="bottom"/>
            <w:shd w:val="clear" w:color="auto" w:fill="DAEBF8"/>
          </w:tcPr>
          <w:p>
            <w:pPr>
              <w:ind w:left="100"/>
              <w:spacing w:after="0"/>
              <w:rPr>
                <w:sz w:val="20"/>
                <w:szCs w:val="20"/>
                <w:color w:val="auto"/>
              </w:rPr>
            </w:pPr>
            <w:r>
              <w:rPr>
                <w:rFonts w:ascii="Arial" w:cs="Arial" w:eastAsia="Arial" w:hAnsi="Arial"/>
                <w:sz w:val="16"/>
                <w:szCs w:val="16"/>
                <w:color w:val="auto"/>
              </w:rPr>
              <w:t>or base price of a stock option or stock appreciation right granted under the Plan</w:t>
            </w:r>
          </w:p>
        </w:tc>
      </w:tr>
      <w:tr>
        <w:trPr>
          <w:trHeight w:val="216"/>
        </w:trPr>
        <w:tc>
          <w:tcPr>
            <w:tcW w:w="2660" w:type="dxa"/>
            <w:vAlign w:val="bottom"/>
            <w:shd w:val="clear" w:color="auto" w:fill="DAEBF8"/>
          </w:tcPr>
          <w:p>
            <w:pPr>
              <w:spacing w:after="0"/>
              <w:rPr>
                <w:sz w:val="18"/>
                <w:szCs w:val="18"/>
                <w:color w:val="auto"/>
              </w:rPr>
            </w:pPr>
          </w:p>
        </w:tc>
        <w:tc>
          <w:tcPr>
            <w:tcW w:w="6100" w:type="dxa"/>
            <w:vAlign w:val="bottom"/>
            <w:shd w:val="clear" w:color="auto" w:fill="DAEBF8"/>
          </w:tcPr>
          <w:p>
            <w:pPr>
              <w:ind w:left="100"/>
              <w:spacing w:after="0"/>
              <w:rPr>
                <w:sz w:val="20"/>
                <w:szCs w:val="20"/>
                <w:color w:val="auto"/>
              </w:rPr>
            </w:pPr>
            <w:r>
              <w:rPr>
                <w:rFonts w:ascii="Arial" w:cs="Arial" w:eastAsia="Arial" w:hAnsi="Arial"/>
                <w:sz w:val="16"/>
                <w:szCs w:val="16"/>
                <w:color w:val="auto"/>
              </w:rPr>
              <w:t>through settlement, cancellation, forfeiture, exchange, surrender, or otherwise</w:t>
            </w:r>
          </w:p>
        </w:tc>
      </w:tr>
      <w:tr>
        <w:trPr>
          <w:trHeight w:val="216"/>
        </w:trPr>
        <w:tc>
          <w:tcPr>
            <w:tcW w:w="2660" w:type="dxa"/>
            <w:vAlign w:val="bottom"/>
            <w:shd w:val="clear" w:color="auto" w:fill="DAEBF8"/>
          </w:tcPr>
          <w:p>
            <w:pPr>
              <w:spacing w:after="0"/>
              <w:rPr>
                <w:sz w:val="18"/>
                <w:szCs w:val="18"/>
                <w:color w:val="auto"/>
              </w:rPr>
            </w:pPr>
          </w:p>
        </w:tc>
        <w:tc>
          <w:tcPr>
            <w:tcW w:w="6100" w:type="dxa"/>
            <w:vAlign w:val="bottom"/>
            <w:shd w:val="clear" w:color="auto" w:fill="DAEBF8"/>
          </w:tcPr>
          <w:p>
            <w:pPr>
              <w:ind w:left="100"/>
              <w:spacing w:after="0"/>
              <w:rPr>
                <w:sz w:val="20"/>
                <w:szCs w:val="20"/>
                <w:color w:val="auto"/>
              </w:rPr>
            </w:pPr>
            <w:r>
              <w:rPr>
                <w:rFonts w:ascii="Arial" w:cs="Arial" w:eastAsia="Arial" w:hAnsi="Arial"/>
                <w:sz w:val="16"/>
                <w:szCs w:val="16"/>
                <w:color w:val="auto"/>
              </w:rPr>
              <w:t>below the fair market value of common stock (as defined in the Plan) on the</w:t>
            </w:r>
          </w:p>
        </w:tc>
      </w:tr>
      <w:tr>
        <w:trPr>
          <w:trHeight w:val="205"/>
        </w:trPr>
        <w:tc>
          <w:tcPr>
            <w:tcW w:w="2660" w:type="dxa"/>
            <w:vAlign w:val="bottom"/>
            <w:shd w:val="clear" w:color="auto" w:fill="DAEBF8"/>
          </w:tcPr>
          <w:p>
            <w:pPr>
              <w:spacing w:after="0"/>
              <w:rPr>
                <w:sz w:val="17"/>
                <w:szCs w:val="17"/>
                <w:color w:val="auto"/>
              </w:rPr>
            </w:pPr>
          </w:p>
        </w:tc>
        <w:tc>
          <w:tcPr>
            <w:tcW w:w="6100" w:type="dxa"/>
            <w:vAlign w:val="bottom"/>
            <w:shd w:val="clear" w:color="auto" w:fill="DAEBF8"/>
          </w:tcPr>
          <w:p>
            <w:pPr>
              <w:ind w:left="100"/>
              <w:spacing w:after="0"/>
              <w:rPr>
                <w:sz w:val="20"/>
                <w:szCs w:val="20"/>
                <w:color w:val="auto"/>
              </w:rPr>
            </w:pPr>
            <w:r>
              <w:rPr>
                <w:rFonts w:ascii="Arial" w:cs="Arial" w:eastAsia="Arial" w:hAnsi="Arial"/>
                <w:sz w:val="16"/>
                <w:szCs w:val="16"/>
                <w:color w:val="auto"/>
              </w:rPr>
              <w:t>date of grant.</w:t>
            </w:r>
          </w:p>
        </w:tc>
      </w:tr>
      <w:tr>
        <w:trPr>
          <w:trHeight w:val="242"/>
        </w:trPr>
        <w:tc>
          <w:tcPr>
            <w:tcW w:w="2660" w:type="dxa"/>
            <w:vAlign w:val="bottom"/>
          </w:tcPr>
          <w:p>
            <w:pPr>
              <w:ind w:left="80"/>
              <w:spacing w:after="0"/>
              <w:rPr>
                <w:sz w:val="20"/>
                <w:szCs w:val="20"/>
                <w:color w:val="auto"/>
              </w:rPr>
            </w:pPr>
            <w:r>
              <w:rPr>
                <w:rFonts w:ascii="Arial" w:cs="Arial" w:eastAsia="Arial" w:hAnsi="Arial"/>
                <w:sz w:val="16"/>
                <w:szCs w:val="16"/>
                <w:b w:val="1"/>
                <w:bCs w:val="1"/>
                <w:color w:val="auto"/>
              </w:rPr>
              <w:t>Recoupment (Clawback) Policy</w:t>
            </w:r>
          </w:p>
        </w:tc>
        <w:tc>
          <w:tcPr>
            <w:tcW w:w="6100" w:type="dxa"/>
            <w:vAlign w:val="bottom"/>
          </w:tcPr>
          <w:p>
            <w:pPr>
              <w:ind w:left="100"/>
              <w:spacing w:after="0"/>
              <w:rPr>
                <w:sz w:val="20"/>
                <w:szCs w:val="20"/>
                <w:color w:val="auto"/>
              </w:rPr>
            </w:pPr>
            <w:r>
              <w:rPr>
                <w:rFonts w:ascii="Arial" w:cs="Arial" w:eastAsia="Arial" w:hAnsi="Arial"/>
                <w:sz w:val="16"/>
                <w:szCs w:val="16"/>
                <w:color w:val="auto"/>
              </w:rPr>
              <w:t>Awards granted to our officers and other specified employees under the Plan</w:t>
            </w:r>
          </w:p>
        </w:tc>
      </w:tr>
      <w:tr>
        <w:trPr>
          <w:trHeight w:val="215"/>
        </w:trPr>
        <w:tc>
          <w:tcPr>
            <w:tcW w:w="2660" w:type="dxa"/>
            <w:vAlign w:val="bottom"/>
          </w:tcPr>
          <w:p>
            <w:pPr>
              <w:spacing w:after="0"/>
              <w:rPr>
                <w:sz w:val="18"/>
                <w:szCs w:val="18"/>
                <w:color w:val="auto"/>
              </w:rPr>
            </w:pPr>
          </w:p>
        </w:tc>
        <w:tc>
          <w:tcPr>
            <w:tcW w:w="6100" w:type="dxa"/>
            <w:vAlign w:val="bottom"/>
          </w:tcPr>
          <w:p>
            <w:pPr>
              <w:ind w:left="100"/>
              <w:spacing w:after="0"/>
              <w:rPr>
                <w:sz w:val="20"/>
                <w:szCs w:val="20"/>
                <w:color w:val="auto"/>
              </w:rPr>
            </w:pPr>
            <w:r>
              <w:rPr>
                <w:rFonts w:ascii="Arial" w:cs="Arial" w:eastAsia="Arial" w:hAnsi="Arial"/>
                <w:sz w:val="16"/>
                <w:szCs w:val="16"/>
                <w:color w:val="auto"/>
              </w:rPr>
              <w:t>are subject to recoupment or reduction in accordance with the terms of our</w:t>
            </w:r>
          </w:p>
        </w:tc>
      </w:tr>
      <w:tr>
        <w:trPr>
          <w:trHeight w:val="216"/>
        </w:trPr>
        <w:tc>
          <w:tcPr>
            <w:tcW w:w="2660" w:type="dxa"/>
            <w:vAlign w:val="bottom"/>
          </w:tcPr>
          <w:p>
            <w:pPr>
              <w:spacing w:after="0"/>
              <w:rPr>
                <w:sz w:val="18"/>
                <w:szCs w:val="18"/>
                <w:color w:val="auto"/>
              </w:rPr>
            </w:pPr>
          </w:p>
        </w:tc>
        <w:tc>
          <w:tcPr>
            <w:tcW w:w="6100" w:type="dxa"/>
            <w:vAlign w:val="bottom"/>
          </w:tcPr>
          <w:p>
            <w:pPr>
              <w:ind w:left="100"/>
              <w:spacing w:after="0"/>
              <w:rPr>
                <w:sz w:val="20"/>
                <w:szCs w:val="20"/>
                <w:color w:val="auto"/>
              </w:rPr>
            </w:pPr>
            <w:r>
              <w:rPr>
                <w:rFonts w:ascii="Arial" w:cs="Arial" w:eastAsia="Arial" w:hAnsi="Arial"/>
                <w:sz w:val="16"/>
                <w:szCs w:val="16"/>
                <w:color w:val="auto"/>
              </w:rPr>
              <w:t>Clawback Policy. This Clawback Policy was supplemented in 2023 (as required</w:t>
            </w:r>
          </w:p>
        </w:tc>
      </w:tr>
      <w:tr>
        <w:trPr>
          <w:trHeight w:val="216"/>
        </w:trPr>
        <w:tc>
          <w:tcPr>
            <w:tcW w:w="2660" w:type="dxa"/>
            <w:vAlign w:val="bottom"/>
          </w:tcPr>
          <w:p>
            <w:pPr>
              <w:spacing w:after="0"/>
              <w:rPr>
                <w:sz w:val="18"/>
                <w:szCs w:val="18"/>
                <w:color w:val="auto"/>
              </w:rPr>
            </w:pPr>
          </w:p>
        </w:tc>
        <w:tc>
          <w:tcPr>
            <w:tcW w:w="6100" w:type="dxa"/>
            <w:vAlign w:val="bottom"/>
          </w:tcPr>
          <w:p>
            <w:pPr>
              <w:ind w:left="100"/>
              <w:spacing w:after="0"/>
              <w:rPr>
                <w:sz w:val="20"/>
                <w:szCs w:val="20"/>
                <w:color w:val="auto"/>
              </w:rPr>
            </w:pPr>
            <w:r>
              <w:rPr>
                <w:rFonts w:ascii="Arial" w:cs="Arial" w:eastAsia="Arial" w:hAnsi="Arial"/>
                <w:sz w:val="16"/>
                <w:szCs w:val="16"/>
                <w:color w:val="auto"/>
              </w:rPr>
              <w:t>by amended listing standards of the Nasdaq Stock Market LLC) to provide for</w:t>
            </w:r>
          </w:p>
        </w:tc>
      </w:tr>
      <w:tr>
        <w:trPr>
          <w:trHeight w:val="216"/>
        </w:trPr>
        <w:tc>
          <w:tcPr>
            <w:tcW w:w="2660" w:type="dxa"/>
            <w:vAlign w:val="bottom"/>
          </w:tcPr>
          <w:p>
            <w:pPr>
              <w:spacing w:after="0"/>
              <w:rPr>
                <w:sz w:val="18"/>
                <w:szCs w:val="18"/>
                <w:color w:val="auto"/>
              </w:rPr>
            </w:pPr>
          </w:p>
        </w:tc>
        <w:tc>
          <w:tcPr>
            <w:tcW w:w="6100" w:type="dxa"/>
            <w:vAlign w:val="bottom"/>
          </w:tcPr>
          <w:p>
            <w:pPr>
              <w:ind w:left="100"/>
              <w:spacing w:after="0"/>
              <w:rPr>
                <w:sz w:val="20"/>
                <w:szCs w:val="20"/>
                <w:color w:val="auto"/>
              </w:rPr>
            </w:pPr>
            <w:r>
              <w:rPr>
                <w:rFonts w:ascii="Arial" w:cs="Arial" w:eastAsia="Arial" w:hAnsi="Arial"/>
                <w:sz w:val="16"/>
                <w:szCs w:val="16"/>
                <w:color w:val="auto"/>
              </w:rPr>
              <w:t>recovery of incentive-based compensation of specified officers in the event an</w:t>
            </w:r>
          </w:p>
        </w:tc>
      </w:tr>
      <w:tr>
        <w:trPr>
          <w:trHeight w:val="205"/>
        </w:trPr>
        <w:tc>
          <w:tcPr>
            <w:tcW w:w="2660" w:type="dxa"/>
            <w:vAlign w:val="bottom"/>
          </w:tcPr>
          <w:p>
            <w:pPr>
              <w:spacing w:after="0"/>
              <w:rPr>
                <w:sz w:val="17"/>
                <w:szCs w:val="17"/>
                <w:color w:val="auto"/>
              </w:rPr>
            </w:pPr>
          </w:p>
        </w:tc>
        <w:tc>
          <w:tcPr>
            <w:tcW w:w="6100" w:type="dxa"/>
            <w:vAlign w:val="bottom"/>
          </w:tcPr>
          <w:p>
            <w:pPr>
              <w:ind w:left="100"/>
              <w:spacing w:after="0"/>
              <w:rPr>
                <w:sz w:val="20"/>
                <w:szCs w:val="20"/>
                <w:color w:val="auto"/>
              </w:rPr>
            </w:pPr>
            <w:r>
              <w:rPr>
                <w:rFonts w:ascii="Arial" w:cs="Arial" w:eastAsia="Arial" w:hAnsi="Arial"/>
                <w:sz w:val="16"/>
                <w:szCs w:val="16"/>
                <w:color w:val="auto"/>
              </w:rPr>
              <w:t>accounting restatement renders such compensation erroneously received.</w:t>
            </w:r>
          </w:p>
        </w:tc>
      </w:tr>
      <w:tr>
        <w:trPr>
          <w:trHeight w:val="242"/>
        </w:trPr>
        <w:tc>
          <w:tcPr>
            <w:tcW w:w="2660" w:type="dxa"/>
            <w:vAlign w:val="bottom"/>
            <w:shd w:val="clear" w:color="auto" w:fill="DAEBF8"/>
          </w:tcPr>
          <w:p>
            <w:pPr>
              <w:ind w:left="80"/>
              <w:spacing w:after="0"/>
              <w:rPr>
                <w:sz w:val="20"/>
                <w:szCs w:val="20"/>
                <w:color w:val="auto"/>
              </w:rPr>
            </w:pPr>
            <w:r>
              <w:rPr>
                <w:rFonts w:ascii="Arial" w:cs="Arial" w:eastAsia="Arial" w:hAnsi="Arial"/>
                <w:sz w:val="16"/>
                <w:szCs w:val="16"/>
                <w:b w:val="1"/>
                <w:bCs w:val="1"/>
                <w:color w:val="auto"/>
              </w:rPr>
              <w:t>Independent Administration</w:t>
            </w:r>
          </w:p>
        </w:tc>
        <w:tc>
          <w:tcPr>
            <w:tcW w:w="6100" w:type="dxa"/>
            <w:vAlign w:val="bottom"/>
            <w:shd w:val="clear" w:color="auto" w:fill="DAEBF8"/>
          </w:tcPr>
          <w:p>
            <w:pPr>
              <w:ind w:left="100"/>
              <w:spacing w:after="0"/>
              <w:rPr>
                <w:sz w:val="20"/>
                <w:szCs w:val="20"/>
                <w:color w:val="auto"/>
              </w:rPr>
            </w:pPr>
            <w:r>
              <w:rPr>
                <w:rFonts w:ascii="Arial" w:cs="Arial" w:eastAsia="Arial" w:hAnsi="Arial"/>
                <w:sz w:val="16"/>
                <w:szCs w:val="16"/>
                <w:color w:val="auto"/>
              </w:rPr>
              <w:t>The Plan is administered by the Compensation Committee, which is intended to be</w:t>
            </w:r>
          </w:p>
        </w:tc>
      </w:tr>
      <w:tr>
        <w:trPr>
          <w:trHeight w:val="215"/>
        </w:trPr>
        <w:tc>
          <w:tcPr>
            <w:tcW w:w="2660" w:type="dxa"/>
            <w:vAlign w:val="bottom"/>
            <w:shd w:val="clear" w:color="auto" w:fill="DAEBF8"/>
          </w:tcPr>
          <w:p>
            <w:pPr>
              <w:spacing w:after="0"/>
              <w:rPr>
                <w:sz w:val="18"/>
                <w:szCs w:val="18"/>
                <w:color w:val="auto"/>
              </w:rPr>
            </w:pPr>
          </w:p>
        </w:tc>
        <w:tc>
          <w:tcPr>
            <w:tcW w:w="6100" w:type="dxa"/>
            <w:vAlign w:val="bottom"/>
            <w:shd w:val="clear" w:color="auto" w:fill="DAEBF8"/>
          </w:tcPr>
          <w:p>
            <w:pPr>
              <w:ind w:left="100"/>
              <w:spacing w:after="0"/>
              <w:rPr>
                <w:sz w:val="20"/>
                <w:szCs w:val="20"/>
                <w:color w:val="auto"/>
              </w:rPr>
            </w:pPr>
            <w:r>
              <w:rPr>
                <w:rFonts w:ascii="Arial" w:cs="Arial" w:eastAsia="Arial" w:hAnsi="Arial"/>
                <w:sz w:val="16"/>
                <w:szCs w:val="16"/>
                <w:color w:val="auto"/>
              </w:rPr>
              <w:t>comprised solely of non-employee directors each of whom meets the additional</w:t>
            </w:r>
          </w:p>
        </w:tc>
      </w:tr>
      <w:tr>
        <w:trPr>
          <w:trHeight w:val="216"/>
        </w:trPr>
        <w:tc>
          <w:tcPr>
            <w:tcW w:w="2660" w:type="dxa"/>
            <w:vAlign w:val="bottom"/>
            <w:shd w:val="clear" w:color="auto" w:fill="DAEBF8"/>
          </w:tcPr>
          <w:p>
            <w:pPr>
              <w:spacing w:after="0"/>
              <w:rPr>
                <w:sz w:val="18"/>
                <w:szCs w:val="18"/>
                <w:color w:val="auto"/>
              </w:rPr>
            </w:pPr>
          </w:p>
        </w:tc>
        <w:tc>
          <w:tcPr>
            <w:tcW w:w="6100" w:type="dxa"/>
            <w:vAlign w:val="bottom"/>
            <w:shd w:val="clear" w:color="auto" w:fill="DAEBF8"/>
          </w:tcPr>
          <w:p>
            <w:pPr>
              <w:ind w:left="100"/>
              <w:spacing w:after="0"/>
              <w:rPr>
                <w:sz w:val="20"/>
                <w:szCs w:val="20"/>
                <w:color w:val="auto"/>
              </w:rPr>
            </w:pPr>
            <w:r>
              <w:rPr>
                <w:rFonts w:ascii="Arial" w:cs="Arial" w:eastAsia="Arial" w:hAnsi="Arial"/>
                <w:sz w:val="16"/>
                <w:szCs w:val="16"/>
                <w:color w:val="auto"/>
              </w:rPr>
              <w:t>independence criteria applicable to compensation committee members under the</w:t>
            </w:r>
          </w:p>
        </w:tc>
      </w:tr>
      <w:tr>
        <w:trPr>
          <w:trHeight w:val="216"/>
        </w:trPr>
        <w:tc>
          <w:tcPr>
            <w:tcW w:w="2660" w:type="dxa"/>
            <w:vAlign w:val="bottom"/>
            <w:shd w:val="clear" w:color="auto" w:fill="DAEBF8"/>
          </w:tcPr>
          <w:p>
            <w:pPr>
              <w:spacing w:after="0"/>
              <w:rPr>
                <w:sz w:val="18"/>
                <w:szCs w:val="18"/>
                <w:color w:val="auto"/>
              </w:rPr>
            </w:pPr>
          </w:p>
        </w:tc>
        <w:tc>
          <w:tcPr>
            <w:tcW w:w="6100" w:type="dxa"/>
            <w:vAlign w:val="bottom"/>
            <w:shd w:val="clear" w:color="auto" w:fill="DAEBF8"/>
          </w:tcPr>
          <w:p>
            <w:pPr>
              <w:ind w:left="100"/>
              <w:spacing w:after="0"/>
              <w:rPr>
                <w:sz w:val="20"/>
                <w:szCs w:val="20"/>
                <w:color w:val="auto"/>
              </w:rPr>
            </w:pPr>
            <w:r>
              <w:rPr>
                <w:rFonts w:ascii="Arial" w:cs="Arial" w:eastAsia="Arial" w:hAnsi="Arial"/>
                <w:sz w:val="16"/>
                <w:szCs w:val="16"/>
                <w:color w:val="auto"/>
              </w:rPr>
              <w:t>listing standards of the Nasdaq Stock Market LLC and qualifies as a “Non-</w:t>
            </w:r>
          </w:p>
        </w:tc>
      </w:tr>
      <w:tr>
        <w:trPr>
          <w:trHeight w:val="204"/>
        </w:trPr>
        <w:tc>
          <w:tcPr>
            <w:tcW w:w="2660" w:type="dxa"/>
            <w:vAlign w:val="bottom"/>
            <w:shd w:val="clear" w:color="auto" w:fill="DAEBF8"/>
          </w:tcPr>
          <w:p>
            <w:pPr>
              <w:spacing w:after="0"/>
              <w:rPr>
                <w:sz w:val="17"/>
                <w:szCs w:val="17"/>
                <w:color w:val="auto"/>
              </w:rPr>
            </w:pPr>
          </w:p>
        </w:tc>
        <w:tc>
          <w:tcPr>
            <w:tcW w:w="6100" w:type="dxa"/>
            <w:vAlign w:val="bottom"/>
            <w:shd w:val="clear" w:color="auto" w:fill="DAEBF8"/>
          </w:tcPr>
          <w:p>
            <w:pPr>
              <w:ind w:left="100"/>
              <w:spacing w:after="0"/>
              <w:rPr>
                <w:sz w:val="20"/>
                <w:szCs w:val="20"/>
                <w:color w:val="auto"/>
              </w:rPr>
            </w:pPr>
            <w:r>
              <w:rPr>
                <w:rFonts w:ascii="Arial" w:cs="Arial" w:eastAsia="Arial" w:hAnsi="Arial"/>
                <w:sz w:val="16"/>
                <w:szCs w:val="16"/>
                <w:color w:val="auto"/>
              </w:rPr>
              <w:t>Employee Director” pursuant to Rule 16b-3 under the Exchange Act.</w:t>
            </w:r>
          </w:p>
        </w:tc>
      </w:tr>
      <w:tr>
        <w:trPr>
          <w:trHeight w:val="242"/>
        </w:trPr>
        <w:tc>
          <w:tcPr>
            <w:tcW w:w="2660" w:type="dxa"/>
            <w:vAlign w:val="bottom"/>
          </w:tcPr>
          <w:p>
            <w:pPr>
              <w:ind w:left="80"/>
              <w:spacing w:after="0"/>
              <w:rPr>
                <w:sz w:val="20"/>
                <w:szCs w:val="20"/>
                <w:color w:val="auto"/>
              </w:rPr>
            </w:pPr>
            <w:r>
              <w:rPr>
                <w:rFonts w:ascii="Arial" w:cs="Arial" w:eastAsia="Arial" w:hAnsi="Arial"/>
                <w:sz w:val="16"/>
                <w:szCs w:val="16"/>
                <w:b w:val="1"/>
                <w:bCs w:val="1"/>
                <w:color w:val="auto"/>
              </w:rPr>
              <w:t>No “Evergreen” Provision</w:t>
            </w:r>
          </w:p>
        </w:tc>
        <w:tc>
          <w:tcPr>
            <w:tcW w:w="6100" w:type="dxa"/>
            <w:vAlign w:val="bottom"/>
          </w:tcPr>
          <w:p>
            <w:pPr>
              <w:ind w:left="100"/>
              <w:spacing w:after="0"/>
              <w:rPr>
                <w:sz w:val="20"/>
                <w:szCs w:val="20"/>
                <w:color w:val="auto"/>
              </w:rPr>
            </w:pPr>
            <w:r>
              <w:rPr>
                <w:rFonts w:ascii="Arial" w:cs="Arial" w:eastAsia="Arial" w:hAnsi="Arial"/>
                <w:sz w:val="16"/>
                <w:szCs w:val="16"/>
                <w:color w:val="auto"/>
              </w:rPr>
              <w:t>The Plan does not contain an “evergreen” feature pursuant to which the shares</w:t>
            </w:r>
          </w:p>
        </w:tc>
      </w:tr>
      <w:tr>
        <w:trPr>
          <w:trHeight w:val="203"/>
        </w:trPr>
        <w:tc>
          <w:tcPr>
            <w:tcW w:w="2660" w:type="dxa"/>
            <w:vAlign w:val="bottom"/>
          </w:tcPr>
          <w:p>
            <w:pPr>
              <w:spacing w:after="0"/>
              <w:rPr>
                <w:sz w:val="17"/>
                <w:szCs w:val="17"/>
                <w:color w:val="auto"/>
              </w:rPr>
            </w:pPr>
          </w:p>
        </w:tc>
        <w:tc>
          <w:tcPr>
            <w:tcW w:w="6100" w:type="dxa"/>
            <w:vAlign w:val="bottom"/>
          </w:tcPr>
          <w:p>
            <w:pPr>
              <w:ind w:left="100"/>
              <w:spacing w:after="0"/>
              <w:rPr>
                <w:sz w:val="20"/>
                <w:szCs w:val="20"/>
                <w:color w:val="auto"/>
              </w:rPr>
            </w:pPr>
            <w:r>
              <w:rPr>
                <w:rFonts w:ascii="Arial" w:cs="Arial" w:eastAsia="Arial" w:hAnsi="Arial"/>
                <w:sz w:val="16"/>
                <w:szCs w:val="16"/>
                <w:color w:val="auto"/>
              </w:rPr>
              <w:t>authorized for issuance thereunder can be automatically replenished.</w:t>
            </w:r>
          </w:p>
        </w:tc>
      </w:tr>
      <w:tr>
        <w:trPr>
          <w:trHeight w:val="230"/>
        </w:trPr>
        <w:tc>
          <w:tcPr>
            <w:tcW w:w="2660" w:type="dxa"/>
            <w:vAlign w:val="bottom"/>
            <w:tcBorders>
              <w:bottom w:val="single" w:sz="8" w:color="065BAA"/>
            </w:tcBorders>
            <w:shd w:val="clear" w:color="auto" w:fill="DAEBF8"/>
          </w:tcPr>
          <w:p>
            <w:pPr>
              <w:ind w:left="80"/>
              <w:spacing w:after="0"/>
              <w:rPr>
                <w:sz w:val="20"/>
                <w:szCs w:val="20"/>
                <w:color w:val="auto"/>
              </w:rPr>
            </w:pPr>
            <w:r>
              <w:rPr>
                <w:rFonts w:ascii="Arial" w:cs="Arial" w:eastAsia="Arial" w:hAnsi="Arial"/>
                <w:sz w:val="16"/>
                <w:szCs w:val="16"/>
                <w:b w:val="1"/>
                <w:bCs w:val="1"/>
                <w:color w:val="auto"/>
              </w:rPr>
              <w:t>No Tax Gross-ups</w:t>
            </w:r>
          </w:p>
        </w:tc>
        <w:tc>
          <w:tcPr>
            <w:tcW w:w="6100" w:type="dxa"/>
            <w:vAlign w:val="bottom"/>
            <w:tcBorders>
              <w:bottom w:val="single" w:sz="8" w:color="065BAA"/>
            </w:tcBorders>
            <w:shd w:val="clear" w:color="auto" w:fill="DAEBF8"/>
          </w:tcPr>
          <w:p>
            <w:pPr>
              <w:ind w:left="100"/>
              <w:spacing w:after="0"/>
              <w:rPr>
                <w:sz w:val="20"/>
                <w:szCs w:val="20"/>
                <w:color w:val="auto"/>
              </w:rPr>
            </w:pPr>
            <w:r>
              <w:rPr>
                <w:rFonts w:ascii="Arial" w:cs="Arial" w:eastAsia="Arial" w:hAnsi="Arial"/>
                <w:sz w:val="16"/>
                <w:szCs w:val="16"/>
                <w:color w:val="auto"/>
              </w:rPr>
              <w:t>The Plan does not provide for any tax gross-ups.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8"/>
              <w:spacing w:after="0"/>
              <w:rPr>
                <w:sz w:val="20"/>
                <w:szCs w:val="20"/>
                <w:color w:val="auto"/>
              </w:rPr>
            </w:pPr>
            <w:r>
              <w:rPr>
                <w:rFonts w:ascii="Arial" w:cs="Arial" w:eastAsia="Arial" w:hAnsi="Arial"/>
                <w:sz w:val="14"/>
                <w:szCs w:val="14"/>
                <w:b w:val="1"/>
                <w:bCs w:val="1"/>
                <w:color w:val="065BAA"/>
                <w:w w:val="89"/>
              </w:rPr>
              <w:t>98</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107" w:name="page108"/>
    <w:bookmarkEnd w:id="107"/>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Key Equity Metrics</w:t>
      </w:r>
    </w:p>
    <w:p>
      <w:pPr>
        <w:spacing w:after="0" w:line="97" w:lineRule="exact"/>
        <w:rPr>
          <w:sz w:val="20"/>
          <w:szCs w:val="20"/>
          <w:color w:val="auto"/>
        </w:rPr>
      </w:pPr>
    </w:p>
    <w:p>
      <w:pPr>
        <w:ind w:left="140" w:right="299"/>
        <w:spacing w:after="0" w:line="292" w:lineRule="auto"/>
        <w:rPr>
          <w:sz w:val="20"/>
          <w:szCs w:val="20"/>
          <w:color w:val="auto"/>
        </w:rPr>
      </w:pPr>
      <w:r>
        <w:rPr>
          <w:rFonts w:ascii="Arial" w:cs="Arial" w:eastAsia="Arial" w:hAnsi="Arial"/>
          <w:sz w:val="16"/>
          <w:szCs w:val="16"/>
          <w:color w:val="auto"/>
        </w:rPr>
        <w:t>The following table summarizes some key metrics relating to the equity component of our compensation program. When evaluating the information below and comparing Regeneron to other companies, it is important to keep in mind the following two differentiating factors:</w:t>
      </w:r>
    </w:p>
    <w:p>
      <w:pPr>
        <w:spacing w:after="0" w:line="111" w:lineRule="exact"/>
        <w:rPr>
          <w:sz w:val="20"/>
          <w:szCs w:val="20"/>
          <w:color w:val="auto"/>
        </w:rPr>
      </w:pPr>
    </w:p>
    <w:p>
      <w:pPr>
        <w:ind w:left="380" w:right="479" w:hanging="250"/>
        <w:spacing w:after="0" w:line="321" w:lineRule="auto"/>
        <w:tabs>
          <w:tab w:leader="none" w:pos="380" w:val="left"/>
        </w:tabs>
        <w:numPr>
          <w:ilvl w:val="0"/>
          <w:numId w:val="198"/>
        </w:numPr>
        <w:rPr>
          <w:rFonts w:ascii="Arial" w:cs="Arial" w:eastAsia="Arial" w:hAnsi="Arial"/>
          <w:sz w:val="16"/>
          <w:szCs w:val="16"/>
          <w:b w:val="1"/>
          <w:bCs w:val="1"/>
          <w:color w:val="065BAA"/>
        </w:rPr>
      </w:pPr>
      <w:r>
        <w:rPr>
          <w:rFonts w:ascii="Arial" w:cs="Arial" w:eastAsia="Arial" w:hAnsi="Arial"/>
          <w:sz w:val="16"/>
          <w:szCs w:val="16"/>
          <w:i w:val="1"/>
          <w:iCs w:val="1"/>
          <w:color w:val="auto"/>
        </w:rPr>
        <w:t xml:space="preserve">Significant increase in the number of Regeneron’s employees. </w:t>
      </w:r>
      <w:r>
        <w:rPr>
          <w:rFonts w:ascii="Arial" w:cs="Arial" w:eastAsia="Arial" w:hAnsi="Arial"/>
          <w:sz w:val="16"/>
          <w:szCs w:val="16"/>
          <w:color w:val="auto"/>
        </w:rPr>
        <w:t>From the beginning of 2023 to the end of 2025,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Regeneron’s employees increased 30%.</w:t>
      </w:r>
    </w:p>
    <w:p>
      <w:pPr>
        <w:spacing w:after="0" w:line="7" w:lineRule="exact"/>
        <w:rPr>
          <w:rFonts w:ascii="Arial" w:cs="Arial" w:eastAsia="Arial" w:hAnsi="Arial"/>
          <w:sz w:val="16"/>
          <w:szCs w:val="16"/>
          <w:b w:val="1"/>
          <w:bCs w:val="1"/>
          <w:color w:val="065BAA"/>
        </w:rPr>
      </w:pPr>
    </w:p>
    <w:p>
      <w:pPr>
        <w:ind w:left="380" w:right="339" w:hanging="250"/>
        <w:spacing w:after="0" w:line="321" w:lineRule="auto"/>
        <w:tabs>
          <w:tab w:leader="none" w:pos="380" w:val="left"/>
        </w:tabs>
        <w:numPr>
          <w:ilvl w:val="0"/>
          <w:numId w:val="198"/>
        </w:numPr>
        <w:rPr>
          <w:rFonts w:ascii="Arial" w:cs="Arial" w:eastAsia="Arial" w:hAnsi="Arial"/>
          <w:sz w:val="16"/>
          <w:szCs w:val="16"/>
          <w:b w:val="1"/>
          <w:bCs w:val="1"/>
          <w:color w:val="065BAA"/>
        </w:rPr>
      </w:pPr>
      <w:r>
        <w:rPr>
          <w:rFonts w:ascii="Arial" w:cs="Arial" w:eastAsia="Arial" w:hAnsi="Arial"/>
          <w:sz w:val="16"/>
          <w:szCs w:val="16"/>
          <w:i w:val="1"/>
          <w:iCs w:val="1"/>
          <w:color w:val="auto"/>
        </w:rPr>
        <w:t>Regeneron’s broad-based equity compensation program</w:t>
      </w:r>
      <w:r>
        <w:rPr>
          <w:rFonts w:ascii="Arial" w:cs="Arial" w:eastAsia="Arial" w:hAnsi="Arial"/>
          <w:sz w:val="16"/>
          <w:szCs w:val="16"/>
          <w:color w:val="auto"/>
        </w:rPr>
        <w:t>. This program covers employees at all levels through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equity grants to all new hires and annual equity grants.</w:t>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40" w:type="dxa"/>
            <w:vAlign w:val="bottom"/>
            <w:tcBorders>
              <w:bottom w:val="single" w:sz="8" w:color="065BAA"/>
            </w:tcBorders>
          </w:tcPr>
          <w:p>
            <w:pPr>
              <w:spacing w:after="0"/>
              <w:rPr>
                <w:sz w:val="14"/>
                <w:szCs w:val="14"/>
                <w:color w:val="auto"/>
              </w:rPr>
            </w:pPr>
          </w:p>
        </w:tc>
        <w:tc>
          <w:tcPr>
            <w:tcW w:w="3060" w:type="dxa"/>
            <w:vAlign w:val="bottom"/>
            <w:tcBorders>
              <w:bottom w:val="single" w:sz="8" w:color="065BAA"/>
            </w:tcBorders>
          </w:tcPr>
          <w:p>
            <w:pPr>
              <w:jc w:val="right"/>
              <w:ind w:right="168"/>
              <w:spacing w:after="0"/>
              <w:rPr>
                <w:sz w:val="20"/>
                <w:szCs w:val="20"/>
                <w:color w:val="auto"/>
              </w:rPr>
            </w:pPr>
            <w:r>
              <w:rPr>
                <w:rFonts w:ascii="Arial" w:cs="Arial" w:eastAsia="Arial" w:hAnsi="Arial"/>
                <w:sz w:val="14"/>
                <w:szCs w:val="14"/>
                <w:b w:val="1"/>
                <w:bCs w:val="1"/>
                <w:color w:val="065BAA"/>
              </w:rPr>
              <w:t>2025</w:t>
            </w:r>
          </w:p>
        </w:tc>
        <w:tc>
          <w:tcPr>
            <w:tcW w:w="980" w:type="dxa"/>
            <w:vAlign w:val="bottom"/>
            <w:tcBorders>
              <w:bottom w:val="single" w:sz="8" w:color="065BAA"/>
            </w:tcBorders>
          </w:tcPr>
          <w:p>
            <w:pPr>
              <w:jc w:val="right"/>
              <w:ind w:right="168"/>
              <w:spacing w:after="0"/>
              <w:rPr>
                <w:sz w:val="20"/>
                <w:szCs w:val="20"/>
                <w:color w:val="auto"/>
              </w:rPr>
            </w:pPr>
            <w:r>
              <w:rPr>
                <w:rFonts w:ascii="Arial" w:cs="Arial" w:eastAsia="Arial" w:hAnsi="Arial"/>
                <w:sz w:val="14"/>
                <w:szCs w:val="14"/>
                <w:b w:val="1"/>
                <w:bCs w:val="1"/>
                <w:color w:val="065BAA"/>
              </w:rPr>
              <w:t>2024</w:t>
            </w:r>
          </w:p>
        </w:tc>
        <w:tc>
          <w:tcPr>
            <w:tcW w:w="780" w:type="dxa"/>
            <w:vAlign w:val="bottom"/>
            <w:tcBorders>
              <w:bottom w:val="single" w:sz="8" w:color="065BAA"/>
            </w:tcBorders>
          </w:tcPr>
          <w:p>
            <w:pPr>
              <w:jc w:val="right"/>
              <w:spacing w:after="0"/>
              <w:rPr>
                <w:sz w:val="20"/>
                <w:szCs w:val="20"/>
                <w:color w:val="auto"/>
              </w:rPr>
            </w:pPr>
            <w:r>
              <w:rPr>
                <w:rFonts w:ascii="Arial" w:cs="Arial" w:eastAsia="Arial" w:hAnsi="Arial"/>
                <w:sz w:val="14"/>
                <w:szCs w:val="14"/>
                <w:b w:val="1"/>
                <w:bCs w:val="1"/>
                <w:color w:val="065BAA"/>
              </w:rPr>
              <w:t>2023</w:t>
            </w:r>
          </w:p>
        </w:tc>
      </w:tr>
      <w:tr>
        <w:trPr>
          <w:trHeight w:val="196"/>
        </w:trPr>
        <w:tc>
          <w:tcPr>
            <w:tcW w:w="3940" w:type="dxa"/>
            <w:vAlign w:val="bottom"/>
          </w:tcPr>
          <w:p>
            <w:pPr>
              <w:ind w:left="80"/>
              <w:spacing w:after="0" w:line="196" w:lineRule="exact"/>
              <w:rPr>
                <w:sz w:val="20"/>
                <w:szCs w:val="20"/>
                <w:color w:val="auto"/>
              </w:rPr>
            </w:pPr>
            <w:r>
              <w:rPr>
                <w:rFonts w:ascii="Arial" w:cs="Arial" w:eastAsia="Arial" w:hAnsi="Arial"/>
                <w:sz w:val="14"/>
                <w:szCs w:val="14"/>
                <w:b w:val="1"/>
                <w:bCs w:val="1"/>
                <w:color w:val="auto"/>
              </w:rPr>
              <w:t>Unadjusted Burn Rate</w:t>
            </w:r>
            <w:r>
              <w:rPr>
                <w:rFonts w:ascii="Arial" w:cs="Arial" w:eastAsia="Arial" w:hAnsi="Arial"/>
                <w:sz w:val="18"/>
                <w:szCs w:val="18"/>
                <w:b w:val="1"/>
                <w:bCs w:val="1"/>
                <w:color w:val="auto"/>
                <w:vertAlign w:val="superscript"/>
              </w:rPr>
              <w:t>1</w:t>
            </w:r>
          </w:p>
        </w:tc>
        <w:tc>
          <w:tcPr>
            <w:tcW w:w="3060" w:type="dxa"/>
            <w:vAlign w:val="bottom"/>
          </w:tcPr>
          <w:p>
            <w:pPr>
              <w:jc w:val="right"/>
              <w:ind w:right="168"/>
              <w:spacing w:after="0"/>
              <w:rPr>
                <w:sz w:val="20"/>
                <w:szCs w:val="20"/>
                <w:color w:val="auto"/>
              </w:rPr>
            </w:pPr>
            <w:r>
              <w:rPr>
                <w:rFonts w:ascii="Arial" w:cs="Arial" w:eastAsia="Arial" w:hAnsi="Arial"/>
                <w:sz w:val="14"/>
                <w:szCs w:val="14"/>
                <w:color w:val="auto"/>
              </w:rPr>
              <w:t>2.00%</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3.22%</w:t>
            </w:r>
          </w:p>
        </w:tc>
        <w:tc>
          <w:tcPr>
            <w:tcW w:w="780" w:type="dxa"/>
            <w:vAlign w:val="bottom"/>
          </w:tcPr>
          <w:p>
            <w:pPr>
              <w:jc w:val="right"/>
              <w:spacing w:after="0"/>
              <w:rPr>
                <w:sz w:val="20"/>
                <w:szCs w:val="20"/>
                <w:color w:val="auto"/>
              </w:rPr>
            </w:pPr>
            <w:r>
              <w:rPr>
                <w:rFonts w:ascii="Arial" w:cs="Arial" w:eastAsia="Arial" w:hAnsi="Arial"/>
                <w:sz w:val="14"/>
                <w:szCs w:val="14"/>
                <w:color w:val="auto"/>
              </w:rPr>
              <w:t>2.69%</w:t>
            </w:r>
          </w:p>
        </w:tc>
      </w:tr>
      <w:tr>
        <w:trPr>
          <w:trHeight w:val="216"/>
        </w:trPr>
        <w:tc>
          <w:tcPr>
            <w:tcW w:w="394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Adjusted Burn Rate</w:t>
            </w:r>
            <w:r>
              <w:rPr>
                <w:rFonts w:ascii="Arial" w:cs="Arial" w:eastAsia="Arial" w:hAnsi="Arial"/>
                <w:sz w:val="18"/>
                <w:szCs w:val="18"/>
                <w:b w:val="1"/>
                <w:bCs w:val="1"/>
                <w:color w:val="auto"/>
                <w:vertAlign w:val="superscript"/>
              </w:rPr>
              <w:t>1</w:t>
            </w:r>
          </w:p>
        </w:tc>
        <w:tc>
          <w:tcPr>
            <w:tcW w:w="3060" w:type="dxa"/>
            <w:vAlign w:val="bottom"/>
            <w:shd w:val="clear" w:color="auto" w:fill="DAEBF8"/>
          </w:tcPr>
          <w:p>
            <w:pPr>
              <w:jc w:val="right"/>
              <w:ind w:right="168"/>
              <w:spacing w:after="0"/>
              <w:rPr>
                <w:sz w:val="20"/>
                <w:szCs w:val="20"/>
                <w:color w:val="auto"/>
              </w:rPr>
            </w:pPr>
            <w:r>
              <w:rPr>
                <w:rFonts w:ascii="Arial" w:cs="Arial" w:eastAsia="Arial" w:hAnsi="Arial"/>
                <w:sz w:val="14"/>
                <w:szCs w:val="14"/>
                <w:color w:val="auto"/>
              </w:rPr>
              <w:t>4.03%</w:t>
            </w:r>
          </w:p>
        </w:tc>
        <w:tc>
          <w:tcPr>
            <w:tcW w:w="980" w:type="dxa"/>
            <w:vAlign w:val="bottom"/>
            <w:shd w:val="clear" w:color="auto" w:fill="DAEBF8"/>
          </w:tcPr>
          <w:p>
            <w:pPr>
              <w:jc w:val="right"/>
              <w:ind w:right="188"/>
              <w:spacing w:after="0"/>
              <w:rPr>
                <w:sz w:val="20"/>
                <w:szCs w:val="20"/>
                <w:color w:val="auto"/>
              </w:rPr>
            </w:pPr>
            <w:r>
              <w:rPr>
                <w:rFonts w:ascii="Arial" w:cs="Arial" w:eastAsia="Arial" w:hAnsi="Arial"/>
                <w:sz w:val="14"/>
                <w:szCs w:val="14"/>
                <w:color w:val="auto"/>
              </w:rPr>
              <w:t>5.47%</w:t>
            </w:r>
          </w:p>
        </w:tc>
        <w:tc>
          <w:tcPr>
            <w:tcW w:w="780" w:type="dxa"/>
            <w:vAlign w:val="bottom"/>
            <w:shd w:val="clear" w:color="auto" w:fill="DAEBF8"/>
          </w:tcPr>
          <w:p>
            <w:pPr>
              <w:jc w:val="right"/>
              <w:spacing w:after="0"/>
              <w:rPr>
                <w:sz w:val="20"/>
                <w:szCs w:val="20"/>
                <w:color w:val="auto"/>
              </w:rPr>
            </w:pPr>
            <w:r>
              <w:rPr>
                <w:rFonts w:ascii="Arial" w:cs="Arial" w:eastAsia="Arial" w:hAnsi="Arial"/>
                <w:sz w:val="14"/>
                <w:szCs w:val="14"/>
                <w:color w:val="auto"/>
              </w:rPr>
              <w:t>4.45%</w:t>
            </w:r>
          </w:p>
        </w:tc>
      </w:tr>
      <w:tr>
        <w:trPr>
          <w:trHeight w:val="216"/>
        </w:trPr>
        <w:tc>
          <w:tcPr>
            <w:tcW w:w="3940" w:type="dxa"/>
            <w:vAlign w:val="bottom"/>
          </w:tcPr>
          <w:p>
            <w:pPr>
              <w:ind w:left="80"/>
              <w:spacing w:after="0"/>
              <w:rPr>
                <w:sz w:val="20"/>
                <w:szCs w:val="20"/>
                <w:color w:val="auto"/>
              </w:rPr>
            </w:pPr>
            <w:r>
              <w:rPr>
                <w:rFonts w:ascii="Arial" w:cs="Arial" w:eastAsia="Arial" w:hAnsi="Arial"/>
                <w:sz w:val="14"/>
                <w:szCs w:val="14"/>
                <w:b w:val="1"/>
                <w:bCs w:val="1"/>
                <w:color w:val="auto"/>
              </w:rPr>
              <w:t>Overhang</w:t>
            </w:r>
            <w:r>
              <w:rPr>
                <w:rFonts w:ascii="Arial" w:cs="Arial" w:eastAsia="Arial" w:hAnsi="Arial"/>
                <w:sz w:val="18"/>
                <w:szCs w:val="18"/>
                <w:b w:val="1"/>
                <w:bCs w:val="1"/>
                <w:color w:val="auto"/>
                <w:vertAlign w:val="superscript"/>
              </w:rPr>
              <w:t>2</w:t>
            </w:r>
          </w:p>
        </w:tc>
        <w:tc>
          <w:tcPr>
            <w:tcW w:w="3060" w:type="dxa"/>
            <w:vAlign w:val="bottom"/>
          </w:tcPr>
          <w:p>
            <w:pPr>
              <w:jc w:val="right"/>
              <w:ind w:right="168"/>
              <w:spacing w:after="0"/>
              <w:rPr>
                <w:sz w:val="20"/>
                <w:szCs w:val="20"/>
                <w:color w:val="auto"/>
              </w:rPr>
            </w:pPr>
            <w:r>
              <w:rPr>
                <w:rFonts w:ascii="Arial" w:cs="Arial" w:eastAsia="Arial" w:hAnsi="Arial"/>
                <w:sz w:val="14"/>
                <w:szCs w:val="14"/>
                <w:color w:val="auto"/>
              </w:rPr>
              <w:t>21.82%</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21.80%</w:t>
            </w:r>
          </w:p>
        </w:tc>
        <w:tc>
          <w:tcPr>
            <w:tcW w:w="780" w:type="dxa"/>
            <w:vAlign w:val="bottom"/>
          </w:tcPr>
          <w:p>
            <w:pPr>
              <w:jc w:val="right"/>
              <w:spacing w:after="0"/>
              <w:rPr>
                <w:sz w:val="20"/>
                <w:szCs w:val="20"/>
                <w:color w:val="auto"/>
              </w:rPr>
            </w:pPr>
            <w:r>
              <w:rPr>
                <w:rFonts w:ascii="Arial" w:cs="Arial" w:eastAsia="Arial" w:hAnsi="Arial"/>
                <w:sz w:val="14"/>
                <w:szCs w:val="14"/>
                <w:color w:val="auto"/>
              </w:rPr>
              <w:t>23.38%</w:t>
            </w:r>
          </w:p>
        </w:tc>
      </w:tr>
      <w:tr>
        <w:trPr>
          <w:trHeight w:val="216"/>
        </w:trPr>
        <w:tc>
          <w:tcPr>
            <w:tcW w:w="3940" w:type="dxa"/>
            <w:vAlign w:val="bottom"/>
            <w:tcBorders>
              <w:bottom w:val="single" w:sz="8" w:color="065BAA"/>
            </w:tcBorders>
            <w:shd w:val="clear" w:color="auto" w:fill="DAEBF8"/>
          </w:tcPr>
          <w:p>
            <w:pPr>
              <w:ind w:left="80"/>
              <w:spacing w:after="0"/>
              <w:rPr>
                <w:sz w:val="20"/>
                <w:szCs w:val="20"/>
                <w:color w:val="auto"/>
              </w:rPr>
            </w:pPr>
            <w:r>
              <w:rPr>
                <w:rFonts w:ascii="Arial" w:cs="Arial" w:eastAsia="Arial" w:hAnsi="Arial"/>
                <w:sz w:val="14"/>
                <w:szCs w:val="14"/>
                <w:b w:val="1"/>
                <w:bCs w:val="1"/>
                <w:color w:val="auto"/>
              </w:rPr>
              <w:t>Dilution</w:t>
            </w:r>
            <w:r>
              <w:rPr>
                <w:rFonts w:ascii="Arial" w:cs="Arial" w:eastAsia="Arial" w:hAnsi="Arial"/>
                <w:sz w:val="18"/>
                <w:szCs w:val="18"/>
                <w:b w:val="1"/>
                <w:bCs w:val="1"/>
                <w:color w:val="auto"/>
                <w:vertAlign w:val="superscript"/>
              </w:rPr>
              <w:t>3</w:t>
            </w:r>
          </w:p>
        </w:tc>
        <w:tc>
          <w:tcPr>
            <w:tcW w:w="3060" w:type="dxa"/>
            <w:vAlign w:val="bottom"/>
            <w:tcBorders>
              <w:bottom w:val="single" w:sz="8" w:color="065BAA"/>
            </w:tcBorders>
            <w:shd w:val="clear" w:color="auto" w:fill="DAEBF8"/>
          </w:tcPr>
          <w:p>
            <w:pPr>
              <w:jc w:val="right"/>
              <w:ind w:right="168"/>
              <w:spacing w:after="0"/>
              <w:rPr>
                <w:sz w:val="20"/>
                <w:szCs w:val="20"/>
                <w:color w:val="auto"/>
              </w:rPr>
            </w:pPr>
            <w:r>
              <w:rPr>
                <w:rFonts w:ascii="Arial" w:cs="Arial" w:eastAsia="Arial" w:hAnsi="Arial"/>
                <w:sz w:val="14"/>
                <w:szCs w:val="14"/>
                <w:color w:val="auto"/>
              </w:rPr>
              <w:t>13.68%</w:t>
            </w:r>
          </w:p>
        </w:tc>
        <w:tc>
          <w:tcPr>
            <w:tcW w:w="980" w:type="dxa"/>
            <w:vAlign w:val="bottom"/>
            <w:tcBorders>
              <w:bottom w:val="single" w:sz="8" w:color="065BAA"/>
            </w:tcBorders>
            <w:shd w:val="clear" w:color="auto" w:fill="DAEBF8"/>
          </w:tcPr>
          <w:p>
            <w:pPr>
              <w:jc w:val="right"/>
              <w:ind w:right="188"/>
              <w:spacing w:after="0"/>
              <w:rPr>
                <w:sz w:val="20"/>
                <w:szCs w:val="20"/>
                <w:color w:val="auto"/>
              </w:rPr>
            </w:pPr>
            <w:r>
              <w:rPr>
                <w:rFonts w:ascii="Arial" w:cs="Arial" w:eastAsia="Arial" w:hAnsi="Arial"/>
                <w:sz w:val="14"/>
                <w:szCs w:val="14"/>
                <w:color w:val="auto"/>
              </w:rPr>
              <w:t>13.52%</w:t>
            </w:r>
          </w:p>
        </w:tc>
        <w:tc>
          <w:tcPr>
            <w:tcW w:w="780" w:type="dxa"/>
            <w:vAlign w:val="bottom"/>
            <w:tcBorders>
              <w:bottom w:val="single" w:sz="8" w:color="065BAA"/>
            </w:tcBorders>
            <w:shd w:val="clear" w:color="auto" w:fill="DAEBF8"/>
          </w:tcPr>
          <w:p>
            <w:pPr>
              <w:jc w:val="right"/>
              <w:spacing w:after="0"/>
              <w:rPr>
                <w:sz w:val="20"/>
                <w:szCs w:val="20"/>
                <w:color w:val="auto"/>
              </w:rPr>
            </w:pPr>
            <w:r>
              <w:rPr>
                <w:rFonts w:ascii="Arial" w:cs="Arial" w:eastAsia="Arial" w:hAnsi="Arial"/>
                <w:sz w:val="14"/>
                <w:szCs w:val="14"/>
                <w:color w:val="auto"/>
              </w:rPr>
              <w:t>14.45%</w:t>
            </w:r>
          </w:p>
        </w:tc>
      </w:tr>
    </w:tbl>
    <w:p>
      <w:pPr>
        <w:spacing w:after="0" w:line="117" w:lineRule="exact"/>
        <w:rPr>
          <w:sz w:val="20"/>
          <w:szCs w:val="20"/>
          <w:color w:val="auto"/>
        </w:rPr>
      </w:pPr>
    </w:p>
    <w:p>
      <w:pPr>
        <w:ind w:left="320" w:right="359" w:hanging="190"/>
        <w:spacing w:after="0" w:line="245" w:lineRule="auto"/>
        <w:tabs>
          <w:tab w:leader="none" w:pos="320" w:val="left"/>
        </w:tabs>
        <w:numPr>
          <w:ilvl w:val="0"/>
          <w:numId w:val="199"/>
        </w:numPr>
        <w:rPr>
          <w:rFonts w:ascii="Arial" w:cs="Arial" w:eastAsia="Arial" w:hAnsi="Arial"/>
          <w:sz w:val="16"/>
          <w:szCs w:val="16"/>
          <w:color w:val="auto"/>
          <w:vertAlign w:val="superscript"/>
        </w:rPr>
      </w:pPr>
      <w:r>
        <w:rPr>
          <w:rFonts w:ascii="Arial" w:cs="Arial" w:eastAsia="Arial" w:hAnsi="Arial"/>
          <w:sz w:val="13"/>
          <w:szCs w:val="13"/>
          <w:color w:val="auto"/>
        </w:rPr>
        <w:t>Calculated by dividing (a) the sum of the number of shares subject to (i) stock options, RSAs, and RSUs granted during the year and (ii) PSUs earned during the year (if any), by (b) the basic weighted-average number of shares of common stock and Class A stock outstanding during the year. For “Adjusted Burn Rate,” a multiplier of 2.5 is applied to RSAs, RSUs, and PSUs.</w:t>
      </w:r>
    </w:p>
    <w:p>
      <w:pPr>
        <w:spacing w:after="0" w:line="33" w:lineRule="exact"/>
        <w:rPr>
          <w:sz w:val="20"/>
          <w:szCs w:val="20"/>
          <w:color w:val="auto"/>
        </w:rPr>
      </w:pPr>
    </w:p>
    <w:p>
      <w:pPr>
        <w:ind w:left="320" w:right="159" w:hanging="190"/>
        <w:spacing w:after="0" w:line="269" w:lineRule="auto"/>
        <w:tabs>
          <w:tab w:leader="none" w:pos="320" w:val="left"/>
        </w:tabs>
        <w:numPr>
          <w:ilvl w:val="0"/>
          <w:numId w:val="200"/>
        </w:numPr>
        <w:rPr>
          <w:rFonts w:ascii="Arial" w:cs="Arial" w:eastAsia="Arial" w:hAnsi="Arial"/>
          <w:sz w:val="15"/>
          <w:szCs w:val="15"/>
          <w:color w:val="auto"/>
          <w:vertAlign w:val="superscript"/>
        </w:rPr>
      </w:pPr>
      <w:r>
        <w:rPr>
          <w:rFonts w:ascii="Arial" w:cs="Arial" w:eastAsia="Arial" w:hAnsi="Arial"/>
          <w:sz w:val="12"/>
          <w:szCs w:val="12"/>
          <w:color w:val="auto"/>
        </w:rPr>
        <w:t>Calculated by dividing (a) the sum of (i) the number of shares subject to equity awards (stock options and unvested or deferred RSAs, RSUs, and PSUs (assuming, in the case of unvested PSUs, maximum payouts earned)) outstanding at the end of the year and (ii) the number of shares available for future grants under the Plan at the end of the year, by (b) the sum of (i) the number of shares of common stock and Class A stock outstanding at the end of the year, (ii) the shares subject to equity awards (stock options and unvested or deferred RSAs, RSUs, and PSUs (assuming, in the case of unvested PSUs, maximum payouts earned)) outstanding at the end of the year, and (iii) the number of shares available for future grants under the Plan at the end of</w:t>
      </w:r>
    </w:p>
    <w:p>
      <w:pPr>
        <w:spacing w:after="0" w:line="2" w:lineRule="exact"/>
        <w:rPr>
          <w:rFonts w:ascii="Arial" w:cs="Arial" w:eastAsia="Arial" w:hAnsi="Arial"/>
          <w:sz w:val="15"/>
          <w:szCs w:val="15"/>
          <w:color w:val="auto"/>
          <w:vertAlign w:val="superscript"/>
        </w:rPr>
      </w:pPr>
    </w:p>
    <w:p>
      <w:pPr>
        <w:ind w:left="320"/>
        <w:spacing w:after="0"/>
        <w:rPr>
          <w:rFonts w:ascii="Arial" w:cs="Arial" w:eastAsia="Arial" w:hAnsi="Arial"/>
          <w:sz w:val="15"/>
          <w:szCs w:val="15"/>
          <w:color w:val="auto"/>
          <w:vertAlign w:val="superscript"/>
        </w:rPr>
      </w:pPr>
      <w:r>
        <w:rPr>
          <w:rFonts w:ascii="Arial" w:cs="Arial" w:eastAsia="Arial" w:hAnsi="Arial"/>
          <w:sz w:val="13"/>
          <w:szCs w:val="13"/>
          <w:color w:val="auto"/>
        </w:rPr>
        <w:t>the year.</w:t>
      </w:r>
    </w:p>
    <w:p>
      <w:pPr>
        <w:spacing w:after="0" w:line="49" w:lineRule="exact"/>
        <w:rPr>
          <w:sz w:val="20"/>
          <w:szCs w:val="20"/>
          <w:color w:val="auto"/>
        </w:rPr>
      </w:pPr>
    </w:p>
    <w:p>
      <w:pPr>
        <w:ind w:left="320" w:right="219" w:hanging="190"/>
        <w:spacing w:after="0" w:line="249" w:lineRule="auto"/>
        <w:tabs>
          <w:tab w:leader="none" w:pos="320" w:val="left"/>
        </w:tabs>
        <w:numPr>
          <w:ilvl w:val="0"/>
          <w:numId w:val="201"/>
        </w:numPr>
        <w:rPr>
          <w:rFonts w:ascii="Arial" w:cs="Arial" w:eastAsia="Arial" w:hAnsi="Arial"/>
          <w:sz w:val="16"/>
          <w:szCs w:val="16"/>
          <w:color w:val="auto"/>
          <w:vertAlign w:val="superscript"/>
        </w:rPr>
      </w:pPr>
      <w:r>
        <w:rPr>
          <w:rFonts w:ascii="Arial" w:cs="Arial" w:eastAsia="Arial" w:hAnsi="Arial"/>
          <w:sz w:val="13"/>
          <w:szCs w:val="13"/>
          <w:color w:val="auto"/>
        </w:rPr>
        <w:t>Calculated by dividing the number of shares subject to equity awards (stock options and unvested or deferred RSAs, RSUs, and PSUs (assuming, in the case of unvested PSUs, maximum payouts earned)) outstanding at the end of the year by the sum of (i) the number of shares of common stock and Class A stock outstanding at the end of the year and (ii) the shares subject to equity awards (stock options and unvested or deferred RSAs, RSUs, and PSUs (assuming, in the case of unvested PSUs, maximum payouts earned)) outstanding at the end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99</w:t>
            </w:r>
          </w:p>
        </w:tc>
      </w:tr>
    </w:tbl>
    <w:p>
      <w:pPr>
        <w:sectPr>
          <w:pgSz w:w="11900" w:h="16838" w:orient="portrait"/>
          <w:cols w:equalWidth="0" w:num="1">
            <w:col w:w="9019"/>
          </w:cols>
          <w:pgMar w:left="1440" w:top="657" w:right="1440" w:bottom="1440" w:gutter="0" w:footer="0" w:header="0"/>
        </w:sectPr>
      </w:pPr>
    </w:p>
    <w:bookmarkStart w:id="108" w:name="page109"/>
    <w:bookmarkEnd w:id="108"/>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Equity Compensation Plan Information</w:t>
      </w:r>
    </w:p>
    <w:p>
      <w:pPr>
        <w:spacing w:after="0" w:line="97" w:lineRule="exact"/>
        <w:rPr>
          <w:sz w:val="20"/>
          <w:szCs w:val="20"/>
          <w:color w:val="auto"/>
        </w:rPr>
      </w:pPr>
    </w:p>
    <w:p>
      <w:pPr>
        <w:ind w:left="140" w:right="399"/>
        <w:spacing w:after="0" w:line="304" w:lineRule="auto"/>
        <w:rPr>
          <w:sz w:val="20"/>
          <w:szCs w:val="20"/>
          <w:color w:val="auto"/>
        </w:rPr>
      </w:pPr>
      <w:r>
        <w:rPr>
          <w:rFonts w:ascii="Arial" w:cs="Arial" w:eastAsia="Arial" w:hAnsi="Arial"/>
          <w:sz w:val="16"/>
          <w:szCs w:val="16"/>
          <w:color w:val="auto"/>
        </w:rPr>
        <w:t>The following table shows information with respect to securities authorized for issuance under the equity compensation plans maintained by the Company as of December 31, 2025.</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20" w:type="dxa"/>
            <w:vAlign w:val="bottom"/>
            <w:tcBorders>
              <w:bottom w:val="single" w:sz="8" w:color="065BAA"/>
            </w:tcBorders>
          </w:tcPr>
          <w:p>
            <w:pPr>
              <w:spacing w:after="0"/>
              <w:rPr>
                <w:sz w:val="14"/>
                <w:szCs w:val="14"/>
                <w:color w:val="auto"/>
              </w:rPr>
            </w:pPr>
          </w:p>
        </w:tc>
        <w:tc>
          <w:tcPr>
            <w:tcW w:w="1900" w:type="dxa"/>
            <w:vAlign w:val="bottom"/>
            <w:tcBorders>
              <w:bottom w:val="single" w:sz="8" w:color="065BAA"/>
            </w:tcBorders>
          </w:tcPr>
          <w:p>
            <w:pPr>
              <w:jc w:val="right"/>
              <w:ind w:right="728"/>
              <w:spacing w:after="0"/>
              <w:rPr>
                <w:sz w:val="20"/>
                <w:szCs w:val="20"/>
                <w:color w:val="auto"/>
              </w:rPr>
            </w:pPr>
            <w:r>
              <w:rPr>
                <w:rFonts w:ascii="Arial" w:cs="Arial" w:eastAsia="Arial" w:hAnsi="Arial"/>
                <w:sz w:val="14"/>
                <w:szCs w:val="14"/>
                <w:b w:val="1"/>
                <w:bCs w:val="1"/>
                <w:color w:val="065BAA"/>
              </w:rPr>
              <w:t>A</w:t>
            </w:r>
          </w:p>
        </w:tc>
        <w:tc>
          <w:tcPr>
            <w:tcW w:w="1680" w:type="dxa"/>
            <w:vAlign w:val="bottom"/>
            <w:tcBorders>
              <w:bottom w:val="single" w:sz="8" w:color="065BAA"/>
            </w:tcBorders>
          </w:tcPr>
          <w:p>
            <w:pPr>
              <w:jc w:val="right"/>
              <w:ind w:right="808"/>
              <w:spacing w:after="0"/>
              <w:rPr>
                <w:sz w:val="20"/>
                <w:szCs w:val="20"/>
                <w:color w:val="auto"/>
              </w:rPr>
            </w:pPr>
            <w:r>
              <w:rPr>
                <w:rFonts w:ascii="Arial" w:cs="Arial" w:eastAsia="Arial" w:hAnsi="Arial"/>
                <w:sz w:val="14"/>
                <w:szCs w:val="14"/>
                <w:b w:val="1"/>
                <w:bCs w:val="1"/>
                <w:color w:val="065BAA"/>
              </w:rPr>
              <w:t>B</w:t>
            </w:r>
          </w:p>
        </w:tc>
        <w:tc>
          <w:tcPr>
            <w:tcW w:w="1760" w:type="dxa"/>
            <w:vAlign w:val="bottom"/>
            <w:tcBorders>
              <w:bottom w:val="single" w:sz="8" w:color="065BAA"/>
            </w:tcBorders>
          </w:tcPr>
          <w:p>
            <w:pPr>
              <w:jc w:val="right"/>
              <w:ind w:right="808"/>
              <w:spacing w:after="0"/>
              <w:rPr>
                <w:sz w:val="20"/>
                <w:szCs w:val="20"/>
                <w:color w:val="auto"/>
              </w:rPr>
            </w:pPr>
            <w:r>
              <w:rPr>
                <w:rFonts w:ascii="Arial" w:cs="Arial" w:eastAsia="Arial" w:hAnsi="Arial"/>
                <w:sz w:val="14"/>
                <w:szCs w:val="14"/>
                <w:b w:val="1"/>
                <w:bCs w:val="1"/>
                <w:color w:val="065BAA"/>
              </w:rPr>
              <w:t>C</w:t>
            </w:r>
          </w:p>
        </w:tc>
      </w:tr>
      <w:tr>
        <w:trPr>
          <w:trHeight w:val="187"/>
        </w:trPr>
        <w:tc>
          <w:tcPr>
            <w:tcW w:w="3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065BAA"/>
              </w:rPr>
              <w:t>Number of securities</w:t>
            </w:r>
          </w:p>
        </w:tc>
      </w:tr>
      <w:tr>
        <w:trPr>
          <w:trHeight w:val="175"/>
        </w:trPr>
        <w:tc>
          <w:tcPr>
            <w:tcW w:w="34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065BAA"/>
              </w:rPr>
              <w:t>remaining available for</w:t>
            </w:r>
          </w:p>
        </w:tc>
      </w:tr>
      <w:tr>
        <w:trPr>
          <w:trHeight w:val="176"/>
        </w:trPr>
        <w:tc>
          <w:tcPr>
            <w:tcW w:w="3420" w:type="dxa"/>
            <w:vAlign w:val="bottom"/>
          </w:tcPr>
          <w:p>
            <w:pPr>
              <w:spacing w:after="0"/>
              <w:rPr>
                <w:sz w:val="15"/>
                <w:szCs w:val="15"/>
                <w:color w:val="auto"/>
              </w:rPr>
            </w:pPr>
          </w:p>
        </w:tc>
        <w:tc>
          <w:tcPr>
            <w:tcW w:w="1900" w:type="dxa"/>
            <w:vAlign w:val="bottom"/>
          </w:tcPr>
          <w:p>
            <w:pPr>
              <w:jc w:val="right"/>
              <w:ind w:right="68"/>
              <w:spacing w:after="0"/>
              <w:rPr>
                <w:sz w:val="20"/>
                <w:szCs w:val="20"/>
                <w:color w:val="auto"/>
              </w:rPr>
            </w:pPr>
            <w:r>
              <w:rPr>
                <w:rFonts w:ascii="Arial" w:cs="Arial" w:eastAsia="Arial" w:hAnsi="Arial"/>
                <w:sz w:val="14"/>
                <w:szCs w:val="14"/>
                <w:b w:val="1"/>
                <w:bCs w:val="1"/>
                <w:color w:val="065BAA"/>
              </w:rPr>
              <w:t>Number of securities</w:t>
            </w:r>
          </w:p>
        </w:tc>
        <w:tc>
          <w:tcPr>
            <w:tcW w:w="1680" w:type="dxa"/>
            <w:vAlign w:val="bottom"/>
          </w:tcPr>
          <w:p>
            <w:pPr>
              <w:jc w:val="right"/>
              <w:ind w:right="68"/>
              <w:spacing w:after="0"/>
              <w:rPr>
                <w:sz w:val="20"/>
                <w:szCs w:val="20"/>
                <w:color w:val="auto"/>
              </w:rPr>
            </w:pPr>
            <w:r>
              <w:rPr>
                <w:rFonts w:ascii="Arial" w:cs="Arial" w:eastAsia="Arial" w:hAnsi="Arial"/>
                <w:sz w:val="14"/>
                <w:szCs w:val="14"/>
                <w:b w:val="1"/>
                <w:bCs w:val="1"/>
                <w:color w:val="065BAA"/>
              </w:rPr>
              <w:t>Weighted-average</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065BAA"/>
              </w:rPr>
              <w:t>future issuance</w:t>
            </w:r>
          </w:p>
        </w:tc>
      </w:tr>
      <w:tr>
        <w:trPr>
          <w:trHeight w:val="175"/>
        </w:trPr>
        <w:tc>
          <w:tcPr>
            <w:tcW w:w="3420" w:type="dxa"/>
            <w:vAlign w:val="bottom"/>
          </w:tcPr>
          <w:p>
            <w:pPr>
              <w:spacing w:after="0"/>
              <w:rPr>
                <w:sz w:val="15"/>
                <w:szCs w:val="15"/>
                <w:color w:val="auto"/>
              </w:rPr>
            </w:pPr>
          </w:p>
        </w:tc>
        <w:tc>
          <w:tcPr>
            <w:tcW w:w="1900" w:type="dxa"/>
            <w:vAlign w:val="bottom"/>
          </w:tcPr>
          <w:p>
            <w:pPr>
              <w:jc w:val="right"/>
              <w:ind w:right="68"/>
              <w:spacing w:after="0"/>
              <w:rPr>
                <w:sz w:val="20"/>
                <w:szCs w:val="20"/>
                <w:color w:val="auto"/>
              </w:rPr>
            </w:pPr>
            <w:r>
              <w:rPr>
                <w:rFonts w:ascii="Arial" w:cs="Arial" w:eastAsia="Arial" w:hAnsi="Arial"/>
                <w:sz w:val="14"/>
                <w:szCs w:val="14"/>
                <w:b w:val="1"/>
                <w:bCs w:val="1"/>
                <w:color w:val="065BAA"/>
              </w:rPr>
              <w:t>to be issued upon</w:t>
            </w:r>
          </w:p>
        </w:tc>
        <w:tc>
          <w:tcPr>
            <w:tcW w:w="1680" w:type="dxa"/>
            <w:vAlign w:val="bottom"/>
          </w:tcPr>
          <w:p>
            <w:pPr>
              <w:jc w:val="right"/>
              <w:ind w:right="68"/>
              <w:spacing w:after="0"/>
              <w:rPr>
                <w:sz w:val="20"/>
                <w:szCs w:val="20"/>
                <w:color w:val="auto"/>
              </w:rPr>
            </w:pPr>
            <w:r>
              <w:rPr>
                <w:rFonts w:ascii="Arial" w:cs="Arial" w:eastAsia="Arial" w:hAnsi="Arial"/>
                <w:sz w:val="14"/>
                <w:szCs w:val="14"/>
                <w:b w:val="1"/>
                <w:bCs w:val="1"/>
                <w:color w:val="065BAA"/>
              </w:rPr>
              <w:t>exercise price of</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065BAA"/>
              </w:rPr>
              <w:t>under equity</w:t>
            </w:r>
          </w:p>
        </w:tc>
      </w:tr>
      <w:tr>
        <w:trPr>
          <w:trHeight w:val="162"/>
        </w:trPr>
        <w:tc>
          <w:tcPr>
            <w:tcW w:w="3420" w:type="dxa"/>
            <w:vAlign w:val="bottom"/>
          </w:tcPr>
          <w:p>
            <w:pPr>
              <w:spacing w:after="0"/>
              <w:rPr>
                <w:sz w:val="14"/>
                <w:szCs w:val="14"/>
                <w:color w:val="auto"/>
              </w:rPr>
            </w:pPr>
          </w:p>
        </w:tc>
        <w:tc>
          <w:tcPr>
            <w:tcW w:w="1900" w:type="dxa"/>
            <w:vAlign w:val="bottom"/>
          </w:tcPr>
          <w:p>
            <w:pPr>
              <w:jc w:val="right"/>
              <w:ind w:right="68"/>
              <w:spacing w:after="0"/>
              <w:rPr>
                <w:sz w:val="20"/>
                <w:szCs w:val="20"/>
                <w:color w:val="auto"/>
              </w:rPr>
            </w:pPr>
            <w:r>
              <w:rPr>
                <w:rFonts w:ascii="Arial" w:cs="Arial" w:eastAsia="Arial" w:hAnsi="Arial"/>
                <w:sz w:val="14"/>
                <w:szCs w:val="14"/>
                <w:b w:val="1"/>
                <w:bCs w:val="1"/>
                <w:color w:val="065BAA"/>
              </w:rPr>
              <w:t>exercise of</w:t>
            </w:r>
          </w:p>
        </w:tc>
        <w:tc>
          <w:tcPr>
            <w:tcW w:w="1680" w:type="dxa"/>
            <w:vAlign w:val="bottom"/>
          </w:tcPr>
          <w:p>
            <w:pPr>
              <w:jc w:val="right"/>
              <w:ind w:right="68"/>
              <w:spacing w:after="0"/>
              <w:rPr>
                <w:sz w:val="20"/>
                <w:szCs w:val="20"/>
                <w:color w:val="auto"/>
              </w:rPr>
            </w:pPr>
            <w:r>
              <w:rPr>
                <w:rFonts w:ascii="Arial" w:cs="Arial" w:eastAsia="Arial" w:hAnsi="Arial"/>
                <w:sz w:val="14"/>
                <w:szCs w:val="14"/>
                <w:b w:val="1"/>
                <w:bCs w:val="1"/>
                <w:color w:val="065BAA"/>
              </w:rPr>
              <w:t>outstanding options,</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065BAA"/>
              </w:rPr>
              <w:t>compensation plans</w:t>
            </w:r>
          </w:p>
        </w:tc>
      </w:tr>
      <w:tr>
        <w:trPr>
          <w:trHeight w:val="175"/>
        </w:trPr>
        <w:tc>
          <w:tcPr>
            <w:tcW w:w="3420" w:type="dxa"/>
            <w:vAlign w:val="bottom"/>
          </w:tcPr>
          <w:p>
            <w:pPr>
              <w:spacing w:after="0"/>
              <w:rPr>
                <w:sz w:val="15"/>
                <w:szCs w:val="15"/>
                <w:color w:val="auto"/>
              </w:rPr>
            </w:pPr>
          </w:p>
        </w:tc>
        <w:tc>
          <w:tcPr>
            <w:tcW w:w="1900" w:type="dxa"/>
            <w:vAlign w:val="bottom"/>
          </w:tcPr>
          <w:p>
            <w:pPr>
              <w:jc w:val="right"/>
              <w:ind w:right="68"/>
              <w:spacing w:after="0"/>
              <w:rPr>
                <w:sz w:val="20"/>
                <w:szCs w:val="20"/>
                <w:color w:val="auto"/>
              </w:rPr>
            </w:pPr>
            <w:r>
              <w:rPr>
                <w:rFonts w:ascii="Arial" w:cs="Arial" w:eastAsia="Arial" w:hAnsi="Arial"/>
                <w:sz w:val="14"/>
                <w:szCs w:val="14"/>
                <w:b w:val="1"/>
                <w:bCs w:val="1"/>
                <w:color w:val="065BAA"/>
              </w:rPr>
              <w:t>outstanding options,</w:t>
            </w:r>
          </w:p>
        </w:tc>
        <w:tc>
          <w:tcPr>
            <w:tcW w:w="1680" w:type="dxa"/>
            <w:vAlign w:val="bottom"/>
          </w:tcPr>
          <w:p>
            <w:pPr>
              <w:jc w:val="right"/>
              <w:ind w:right="68"/>
              <w:spacing w:after="0"/>
              <w:rPr>
                <w:sz w:val="20"/>
                <w:szCs w:val="20"/>
                <w:color w:val="auto"/>
              </w:rPr>
            </w:pPr>
            <w:r>
              <w:rPr>
                <w:rFonts w:ascii="Arial" w:cs="Arial" w:eastAsia="Arial" w:hAnsi="Arial"/>
                <w:sz w:val="14"/>
                <w:szCs w:val="14"/>
                <w:b w:val="1"/>
                <w:bCs w:val="1"/>
                <w:color w:val="065BAA"/>
              </w:rPr>
              <w:t>warrants, and rights</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065BAA"/>
              </w:rPr>
              <w:t>(excluding securities</w:t>
            </w:r>
          </w:p>
        </w:tc>
      </w:tr>
      <w:tr>
        <w:trPr>
          <w:trHeight w:val="185"/>
        </w:trPr>
        <w:tc>
          <w:tcPr>
            <w:tcW w:w="3420" w:type="dxa"/>
            <w:vAlign w:val="bottom"/>
            <w:tcBorders>
              <w:bottom w:val="single" w:sz="8" w:color="065BAA"/>
            </w:tcBorders>
          </w:tcPr>
          <w:p>
            <w:pPr>
              <w:ind w:left="80"/>
              <w:spacing w:after="0"/>
              <w:rPr>
                <w:sz w:val="20"/>
                <w:szCs w:val="20"/>
                <w:color w:val="auto"/>
              </w:rPr>
            </w:pPr>
            <w:r>
              <w:rPr>
                <w:rFonts w:ascii="Arial" w:cs="Arial" w:eastAsia="Arial" w:hAnsi="Arial"/>
                <w:sz w:val="14"/>
                <w:szCs w:val="14"/>
                <w:b w:val="1"/>
                <w:bCs w:val="1"/>
                <w:color w:val="065BAA"/>
              </w:rPr>
              <w:t>Plan Category</w:t>
            </w:r>
          </w:p>
        </w:tc>
        <w:tc>
          <w:tcPr>
            <w:tcW w:w="1900" w:type="dxa"/>
            <w:vAlign w:val="bottom"/>
            <w:tcBorders>
              <w:bottom w:val="single" w:sz="8" w:color="065BAA"/>
            </w:tcBorders>
          </w:tcPr>
          <w:p>
            <w:pPr>
              <w:jc w:val="right"/>
              <w:ind w:right="68"/>
              <w:spacing w:after="0"/>
              <w:rPr>
                <w:sz w:val="20"/>
                <w:szCs w:val="20"/>
                <w:color w:val="auto"/>
              </w:rPr>
            </w:pPr>
            <w:r>
              <w:rPr>
                <w:rFonts w:ascii="Arial" w:cs="Arial" w:eastAsia="Arial" w:hAnsi="Arial"/>
                <w:sz w:val="14"/>
                <w:szCs w:val="14"/>
                <w:b w:val="1"/>
                <w:bCs w:val="1"/>
                <w:color w:val="065BAA"/>
              </w:rPr>
              <w:t>warrants, and rights</w:t>
            </w:r>
          </w:p>
        </w:tc>
        <w:tc>
          <w:tcPr>
            <w:tcW w:w="1680" w:type="dxa"/>
            <w:vAlign w:val="bottom"/>
            <w:tcBorders>
              <w:bottom w:val="single" w:sz="8" w:color="065BAA"/>
            </w:tcBorders>
          </w:tcPr>
          <w:p>
            <w:pPr>
              <w:jc w:val="right"/>
              <w:ind w:right="68"/>
              <w:spacing w:after="0"/>
              <w:rPr>
                <w:sz w:val="20"/>
                <w:szCs w:val="20"/>
                <w:color w:val="auto"/>
              </w:rPr>
            </w:pPr>
            <w:r>
              <w:rPr>
                <w:rFonts w:ascii="Arial" w:cs="Arial" w:eastAsia="Arial" w:hAnsi="Arial"/>
                <w:sz w:val="14"/>
                <w:szCs w:val="14"/>
                <w:b w:val="1"/>
                <w:bCs w:val="1"/>
                <w:color w:val="065BAA"/>
              </w:rPr>
              <w:t>($)</w:t>
            </w:r>
          </w:p>
        </w:tc>
        <w:tc>
          <w:tcPr>
            <w:tcW w:w="1760" w:type="dxa"/>
            <w:vAlign w:val="bottom"/>
            <w:tcBorders>
              <w:bottom w:val="single" w:sz="8" w:color="065BAA"/>
            </w:tcBorders>
          </w:tcPr>
          <w:p>
            <w:pPr>
              <w:jc w:val="right"/>
              <w:spacing w:after="0"/>
              <w:rPr>
                <w:sz w:val="20"/>
                <w:szCs w:val="20"/>
                <w:color w:val="auto"/>
              </w:rPr>
            </w:pPr>
            <w:r>
              <w:rPr>
                <w:rFonts w:ascii="Arial" w:cs="Arial" w:eastAsia="Arial" w:hAnsi="Arial"/>
                <w:sz w:val="14"/>
                <w:szCs w:val="14"/>
                <w:b w:val="1"/>
                <w:bCs w:val="1"/>
                <w:color w:val="065BAA"/>
              </w:rPr>
              <w:t>reflected in column A)</w:t>
            </w:r>
          </w:p>
        </w:tc>
      </w:tr>
      <w:tr>
        <w:trPr>
          <w:trHeight w:val="171"/>
        </w:trPr>
        <w:tc>
          <w:tcPr>
            <w:tcW w:w="3420" w:type="dxa"/>
            <w:vAlign w:val="bottom"/>
          </w:tcPr>
          <w:p>
            <w:pPr>
              <w:ind w:left="80"/>
              <w:spacing w:after="0"/>
              <w:rPr>
                <w:sz w:val="20"/>
                <w:szCs w:val="20"/>
                <w:color w:val="auto"/>
              </w:rPr>
            </w:pPr>
            <w:r>
              <w:rPr>
                <w:rFonts w:ascii="Arial" w:cs="Arial" w:eastAsia="Arial" w:hAnsi="Arial"/>
                <w:sz w:val="14"/>
                <w:szCs w:val="14"/>
                <w:b w:val="1"/>
                <w:bCs w:val="1"/>
                <w:color w:val="auto"/>
              </w:rPr>
              <w:t>Equity compensation plans approved by</w:t>
            </w:r>
          </w:p>
        </w:tc>
        <w:tc>
          <w:tcPr>
            <w:tcW w:w="1900" w:type="dxa"/>
            <w:vAlign w:val="bottom"/>
          </w:tcPr>
          <w:p>
            <w:pPr>
              <w:jc w:val="right"/>
              <w:ind w:right="68"/>
              <w:spacing w:after="0" w:line="171" w:lineRule="exact"/>
              <w:rPr>
                <w:sz w:val="20"/>
                <w:szCs w:val="20"/>
                <w:color w:val="auto"/>
              </w:rPr>
            </w:pPr>
            <w:r>
              <w:rPr>
                <w:rFonts w:ascii="Arial" w:cs="Arial" w:eastAsia="Arial" w:hAnsi="Arial"/>
                <w:sz w:val="14"/>
                <w:szCs w:val="14"/>
                <w:color w:val="auto"/>
              </w:rPr>
              <w:t>13,536,938</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shares</w:t>
            </w:r>
          </w:p>
        </w:tc>
        <w:tc>
          <w:tcPr>
            <w:tcW w:w="1680" w:type="dxa"/>
            <w:vAlign w:val="bottom"/>
          </w:tcPr>
          <w:p>
            <w:pPr>
              <w:jc w:val="right"/>
              <w:ind w:right="68"/>
              <w:spacing w:after="0" w:line="171" w:lineRule="exact"/>
              <w:rPr>
                <w:sz w:val="20"/>
                <w:szCs w:val="20"/>
                <w:color w:val="auto"/>
              </w:rPr>
            </w:pPr>
            <w:r>
              <w:rPr>
                <w:rFonts w:ascii="Arial" w:cs="Arial" w:eastAsia="Arial" w:hAnsi="Arial"/>
                <w:sz w:val="14"/>
                <w:szCs w:val="14"/>
                <w:color w:val="auto"/>
              </w:rPr>
              <w:t>596.65</w:t>
            </w:r>
            <w:r>
              <w:rPr>
                <w:rFonts w:ascii="Arial" w:cs="Arial" w:eastAsia="Arial" w:hAnsi="Arial"/>
                <w:sz w:val="18"/>
                <w:szCs w:val="18"/>
                <w:color w:val="auto"/>
                <w:vertAlign w:val="superscript"/>
              </w:rPr>
              <w:t>4</w:t>
            </w:r>
          </w:p>
        </w:tc>
        <w:tc>
          <w:tcPr>
            <w:tcW w:w="1760" w:type="dxa"/>
            <w:vAlign w:val="bottom"/>
          </w:tcPr>
          <w:p>
            <w:pPr>
              <w:jc w:val="right"/>
              <w:spacing w:after="0"/>
              <w:rPr>
                <w:sz w:val="20"/>
                <w:szCs w:val="20"/>
                <w:color w:val="auto"/>
              </w:rPr>
            </w:pPr>
            <w:r>
              <w:rPr>
                <w:rFonts w:ascii="Arial" w:cs="Arial" w:eastAsia="Arial" w:hAnsi="Arial"/>
                <w:sz w:val="14"/>
                <w:szCs w:val="14"/>
                <w:color w:val="auto"/>
              </w:rPr>
              <w:t>12,422,530 shares of</w:t>
            </w:r>
          </w:p>
        </w:tc>
      </w:tr>
      <w:tr>
        <w:trPr>
          <w:trHeight w:val="201"/>
        </w:trPr>
        <w:tc>
          <w:tcPr>
            <w:tcW w:w="3420" w:type="dxa"/>
            <w:vAlign w:val="bottom"/>
          </w:tcPr>
          <w:p>
            <w:pPr>
              <w:ind w:left="80"/>
              <w:spacing w:after="0" w:line="201" w:lineRule="exact"/>
              <w:rPr>
                <w:sz w:val="20"/>
                <w:szCs w:val="20"/>
                <w:color w:val="auto"/>
              </w:rPr>
            </w:pPr>
            <w:r>
              <w:rPr>
                <w:rFonts w:ascii="Arial" w:cs="Arial" w:eastAsia="Arial" w:hAnsi="Arial"/>
                <w:sz w:val="14"/>
                <w:szCs w:val="14"/>
                <w:b w:val="1"/>
                <w:bCs w:val="1"/>
                <w:color w:val="auto"/>
              </w:rPr>
              <w:t>security holders</w:t>
            </w:r>
            <w:r>
              <w:rPr>
                <w:rFonts w:ascii="Arial" w:cs="Arial" w:eastAsia="Arial" w:hAnsi="Arial"/>
                <w:sz w:val="18"/>
                <w:szCs w:val="18"/>
                <w:b w:val="1"/>
                <w:bCs w:val="1"/>
                <w:color w:val="auto"/>
                <w:vertAlign w:val="superscript"/>
              </w:rPr>
              <w:t>1</w:t>
            </w:r>
          </w:p>
        </w:tc>
        <w:tc>
          <w:tcPr>
            <w:tcW w:w="1900" w:type="dxa"/>
            <w:vAlign w:val="bottom"/>
          </w:tcPr>
          <w:p>
            <w:pPr>
              <w:jc w:val="right"/>
              <w:ind w:right="68"/>
              <w:spacing w:after="0"/>
              <w:rPr>
                <w:sz w:val="20"/>
                <w:szCs w:val="20"/>
                <w:color w:val="auto"/>
              </w:rPr>
            </w:pPr>
            <w:r>
              <w:rPr>
                <w:rFonts w:ascii="Arial" w:cs="Arial" w:eastAsia="Arial" w:hAnsi="Arial"/>
                <w:sz w:val="14"/>
                <w:szCs w:val="14"/>
                <w:color w:val="auto"/>
              </w:rPr>
              <w:t>of common stock</w:t>
            </w:r>
          </w:p>
        </w:tc>
        <w:tc>
          <w:tcPr>
            <w:tcW w:w="1680" w:type="dxa"/>
            <w:vAlign w:val="bottom"/>
          </w:tcPr>
          <w:p>
            <w:pPr>
              <w:spacing w:after="0"/>
              <w:rPr>
                <w:sz w:val="17"/>
                <w:szCs w:val="17"/>
                <w:color w:val="auto"/>
              </w:rPr>
            </w:pPr>
          </w:p>
        </w:tc>
        <w:tc>
          <w:tcPr>
            <w:tcW w:w="1760" w:type="dxa"/>
            <w:vAlign w:val="bottom"/>
          </w:tcPr>
          <w:p>
            <w:pPr>
              <w:jc w:val="right"/>
              <w:spacing w:after="0" w:line="201" w:lineRule="exact"/>
              <w:rPr>
                <w:sz w:val="20"/>
                <w:szCs w:val="20"/>
                <w:color w:val="auto"/>
              </w:rPr>
            </w:pPr>
            <w:r>
              <w:rPr>
                <w:rFonts w:ascii="Arial" w:cs="Arial" w:eastAsia="Arial" w:hAnsi="Arial"/>
                <w:sz w:val="14"/>
                <w:szCs w:val="14"/>
                <w:color w:val="auto"/>
              </w:rPr>
              <w:t>common stock</w:t>
            </w:r>
            <w:r>
              <w:rPr>
                <w:rFonts w:ascii="Arial" w:cs="Arial" w:eastAsia="Arial" w:hAnsi="Arial"/>
                <w:sz w:val="18"/>
                <w:szCs w:val="18"/>
                <w:color w:val="auto"/>
                <w:vertAlign w:val="superscript"/>
              </w:rPr>
              <w:t>5</w:t>
            </w:r>
          </w:p>
        </w:tc>
      </w:tr>
      <w:tr>
        <w:trPr>
          <w:trHeight w:val="191"/>
        </w:trPr>
        <w:tc>
          <w:tcPr>
            <w:tcW w:w="3420" w:type="dxa"/>
            <w:vAlign w:val="bottom"/>
            <w:shd w:val="clear" w:color="auto" w:fill="DAEBF8"/>
          </w:tcPr>
          <w:p>
            <w:pPr>
              <w:ind w:left="80"/>
              <w:spacing w:after="0"/>
              <w:rPr>
                <w:sz w:val="20"/>
                <w:szCs w:val="20"/>
                <w:color w:val="auto"/>
              </w:rPr>
            </w:pPr>
            <w:r>
              <w:rPr>
                <w:rFonts w:ascii="Arial" w:cs="Arial" w:eastAsia="Arial" w:hAnsi="Arial"/>
                <w:sz w:val="14"/>
                <w:szCs w:val="14"/>
                <w:b w:val="1"/>
                <w:bCs w:val="1"/>
                <w:color w:val="auto"/>
              </w:rPr>
              <w:t>Equity compensation plans not approved by</w:t>
            </w:r>
          </w:p>
        </w:tc>
        <w:tc>
          <w:tcPr>
            <w:tcW w:w="1900" w:type="dxa"/>
            <w:vAlign w:val="bottom"/>
            <w:shd w:val="clear" w:color="auto" w:fill="DAEBF8"/>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DAEBF8"/>
          </w:tcPr>
          <w:p>
            <w:pPr>
              <w:jc w:val="right"/>
              <w:ind w:right="88"/>
              <w:spacing w:after="0"/>
              <w:rPr>
                <w:sz w:val="20"/>
                <w:szCs w:val="20"/>
                <w:color w:val="auto"/>
              </w:rPr>
            </w:pPr>
            <w:r>
              <w:rPr>
                <w:rFonts w:ascii="Arial" w:cs="Arial" w:eastAsia="Arial" w:hAnsi="Arial"/>
                <w:sz w:val="14"/>
                <w:szCs w:val="14"/>
                <w:color w:val="auto"/>
              </w:rPr>
              <w:t>—</w:t>
            </w:r>
          </w:p>
        </w:tc>
        <w:tc>
          <w:tcPr>
            <w:tcW w:w="17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44,246 shares of</w:t>
            </w:r>
          </w:p>
        </w:tc>
      </w:tr>
      <w:tr>
        <w:trPr>
          <w:trHeight w:val="201"/>
        </w:trPr>
        <w:tc>
          <w:tcPr>
            <w:tcW w:w="3420" w:type="dxa"/>
            <w:vAlign w:val="bottom"/>
            <w:shd w:val="clear" w:color="auto" w:fill="DAEBF8"/>
          </w:tcPr>
          <w:p>
            <w:pPr>
              <w:ind w:left="80"/>
              <w:spacing w:after="0" w:line="201" w:lineRule="exact"/>
              <w:rPr>
                <w:sz w:val="20"/>
                <w:szCs w:val="20"/>
                <w:color w:val="auto"/>
              </w:rPr>
            </w:pPr>
            <w:r>
              <w:rPr>
                <w:rFonts w:ascii="Arial" w:cs="Arial" w:eastAsia="Arial" w:hAnsi="Arial"/>
                <w:sz w:val="14"/>
                <w:szCs w:val="14"/>
                <w:b w:val="1"/>
                <w:bCs w:val="1"/>
                <w:color w:val="auto"/>
              </w:rPr>
              <w:t>security holders</w:t>
            </w:r>
            <w:r>
              <w:rPr>
                <w:rFonts w:ascii="Arial" w:cs="Arial" w:eastAsia="Arial" w:hAnsi="Arial"/>
                <w:sz w:val="18"/>
                <w:szCs w:val="18"/>
                <w:b w:val="1"/>
                <w:bCs w:val="1"/>
                <w:color w:val="auto"/>
                <w:vertAlign w:val="superscript"/>
              </w:rPr>
              <w:t>2</w:t>
            </w:r>
          </w:p>
        </w:tc>
        <w:tc>
          <w:tcPr>
            <w:tcW w:w="1900" w:type="dxa"/>
            <w:vAlign w:val="bottom"/>
            <w:shd w:val="clear" w:color="auto" w:fill="DAEBF8"/>
          </w:tcPr>
          <w:p>
            <w:pPr>
              <w:spacing w:after="0"/>
              <w:rPr>
                <w:sz w:val="17"/>
                <w:szCs w:val="17"/>
                <w:color w:val="auto"/>
              </w:rPr>
            </w:pPr>
          </w:p>
        </w:tc>
        <w:tc>
          <w:tcPr>
            <w:tcW w:w="1680" w:type="dxa"/>
            <w:vAlign w:val="bottom"/>
            <w:shd w:val="clear" w:color="auto" w:fill="DAEBF8"/>
          </w:tcPr>
          <w:p>
            <w:pPr>
              <w:spacing w:after="0"/>
              <w:rPr>
                <w:sz w:val="17"/>
                <w:szCs w:val="17"/>
                <w:color w:val="auto"/>
              </w:rPr>
            </w:pPr>
          </w:p>
        </w:tc>
        <w:tc>
          <w:tcPr>
            <w:tcW w:w="17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Class A stock</w:t>
            </w:r>
          </w:p>
        </w:tc>
      </w:tr>
      <w:tr>
        <w:trPr>
          <w:trHeight w:val="193"/>
        </w:trPr>
        <w:tc>
          <w:tcPr>
            <w:tcW w:w="342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1900" w:type="dxa"/>
            <w:vAlign w:val="bottom"/>
          </w:tcPr>
          <w:p>
            <w:pPr>
              <w:jc w:val="right"/>
              <w:ind w:right="68"/>
              <w:spacing w:after="0"/>
              <w:rPr>
                <w:sz w:val="20"/>
                <w:szCs w:val="20"/>
                <w:color w:val="auto"/>
              </w:rPr>
            </w:pPr>
            <w:r>
              <w:rPr>
                <w:rFonts w:ascii="Arial" w:cs="Arial" w:eastAsia="Arial" w:hAnsi="Arial"/>
                <w:sz w:val="14"/>
                <w:szCs w:val="14"/>
                <w:color w:val="auto"/>
              </w:rPr>
              <w:t>13,536,938 shares</w:t>
            </w:r>
          </w:p>
        </w:tc>
        <w:tc>
          <w:tcPr>
            <w:tcW w:w="1680" w:type="dxa"/>
            <w:vAlign w:val="bottom"/>
          </w:tcPr>
          <w:p>
            <w:pPr>
              <w:jc w:val="right"/>
              <w:ind w:right="88"/>
              <w:spacing w:after="0"/>
              <w:rPr>
                <w:sz w:val="20"/>
                <w:szCs w:val="20"/>
                <w:color w:val="auto"/>
              </w:rPr>
            </w:pPr>
            <w:r>
              <w:rPr>
                <w:rFonts w:ascii="Arial" w:cs="Arial" w:eastAsia="Arial" w:hAnsi="Arial"/>
                <w:sz w:val="14"/>
                <w:szCs w:val="14"/>
                <w:color w:val="auto"/>
              </w:rPr>
              <w:t>596.65</w:t>
            </w:r>
          </w:p>
        </w:tc>
        <w:tc>
          <w:tcPr>
            <w:tcW w:w="1760" w:type="dxa"/>
            <w:vAlign w:val="bottom"/>
          </w:tcPr>
          <w:p>
            <w:pPr>
              <w:jc w:val="right"/>
              <w:spacing w:after="0"/>
              <w:rPr>
                <w:sz w:val="20"/>
                <w:szCs w:val="20"/>
                <w:color w:val="auto"/>
              </w:rPr>
            </w:pPr>
            <w:r>
              <w:rPr>
                <w:rFonts w:ascii="Arial" w:cs="Arial" w:eastAsia="Arial" w:hAnsi="Arial"/>
                <w:sz w:val="14"/>
                <w:szCs w:val="14"/>
                <w:color w:val="auto"/>
              </w:rPr>
              <w:t>12,466,776 shares</w:t>
            </w:r>
          </w:p>
        </w:tc>
      </w:tr>
      <w:tr>
        <w:trPr>
          <w:trHeight w:val="176"/>
        </w:trPr>
        <w:tc>
          <w:tcPr>
            <w:tcW w:w="3420" w:type="dxa"/>
            <w:vAlign w:val="bottom"/>
          </w:tcPr>
          <w:p>
            <w:pPr>
              <w:spacing w:after="0"/>
              <w:rPr>
                <w:sz w:val="15"/>
                <w:szCs w:val="15"/>
                <w:color w:val="auto"/>
              </w:rPr>
            </w:pPr>
          </w:p>
        </w:tc>
        <w:tc>
          <w:tcPr>
            <w:tcW w:w="1900" w:type="dxa"/>
            <w:vAlign w:val="bottom"/>
          </w:tcPr>
          <w:p>
            <w:pPr>
              <w:jc w:val="right"/>
              <w:ind w:right="68"/>
              <w:spacing w:after="0"/>
              <w:rPr>
                <w:sz w:val="20"/>
                <w:szCs w:val="20"/>
                <w:color w:val="auto"/>
              </w:rPr>
            </w:pPr>
            <w:r>
              <w:rPr>
                <w:rFonts w:ascii="Arial" w:cs="Arial" w:eastAsia="Arial" w:hAnsi="Arial"/>
                <w:sz w:val="14"/>
                <w:szCs w:val="14"/>
                <w:color w:val="auto"/>
              </w:rPr>
              <w:t>of common stock</w:t>
            </w:r>
          </w:p>
        </w:tc>
        <w:tc>
          <w:tcPr>
            <w:tcW w:w="16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of common stock and</w:t>
            </w:r>
          </w:p>
        </w:tc>
      </w:tr>
      <w:tr>
        <w:trPr>
          <w:trHeight w:val="190"/>
        </w:trPr>
        <w:tc>
          <w:tcPr>
            <w:tcW w:w="3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Class A stock</w:t>
            </w:r>
          </w:p>
        </w:tc>
      </w:tr>
      <w:tr>
        <w:trPr>
          <w:trHeight w:val="22"/>
        </w:trPr>
        <w:tc>
          <w:tcPr>
            <w:tcW w:w="3420" w:type="dxa"/>
            <w:vAlign w:val="bottom"/>
            <w:tcBorders>
              <w:bottom w:val="single" w:sz="8" w:color="065BAA"/>
            </w:tcBorders>
          </w:tcPr>
          <w:p>
            <w:pPr>
              <w:spacing w:after="0" w:line="20" w:lineRule="exact"/>
              <w:rPr>
                <w:sz w:val="1"/>
                <w:szCs w:val="1"/>
                <w:color w:val="auto"/>
              </w:rPr>
            </w:pPr>
          </w:p>
        </w:tc>
        <w:tc>
          <w:tcPr>
            <w:tcW w:w="1900" w:type="dxa"/>
            <w:vAlign w:val="bottom"/>
            <w:tcBorders>
              <w:bottom w:val="single" w:sz="8" w:color="065BAA"/>
            </w:tcBorders>
          </w:tcPr>
          <w:p>
            <w:pPr>
              <w:spacing w:after="0" w:line="20" w:lineRule="exact"/>
              <w:rPr>
                <w:sz w:val="1"/>
                <w:szCs w:val="1"/>
                <w:color w:val="auto"/>
              </w:rPr>
            </w:pPr>
          </w:p>
        </w:tc>
        <w:tc>
          <w:tcPr>
            <w:tcW w:w="1680" w:type="dxa"/>
            <w:vAlign w:val="bottom"/>
            <w:tcBorders>
              <w:bottom w:val="single" w:sz="8" w:color="065BAA"/>
            </w:tcBorders>
          </w:tcPr>
          <w:p>
            <w:pPr>
              <w:spacing w:after="0" w:line="20" w:lineRule="exact"/>
              <w:rPr>
                <w:sz w:val="1"/>
                <w:szCs w:val="1"/>
                <w:color w:val="auto"/>
              </w:rPr>
            </w:pPr>
          </w:p>
        </w:tc>
        <w:tc>
          <w:tcPr>
            <w:tcW w:w="1760" w:type="dxa"/>
            <w:vAlign w:val="bottom"/>
            <w:tcBorders>
              <w:bottom w:val="single" w:sz="8" w:color="065BAA"/>
            </w:tcBorders>
          </w:tcPr>
          <w:p>
            <w:pPr>
              <w:spacing w:after="0" w:line="20" w:lineRule="exact"/>
              <w:rPr>
                <w:sz w:val="1"/>
                <w:szCs w:val="1"/>
                <w:color w:val="auto"/>
              </w:rPr>
            </w:pPr>
          </w:p>
        </w:tc>
      </w:tr>
    </w:tbl>
    <w:p>
      <w:pPr>
        <w:spacing w:after="0" w:line="117" w:lineRule="exact"/>
        <w:rPr>
          <w:sz w:val="20"/>
          <w:szCs w:val="20"/>
          <w:color w:val="auto"/>
        </w:rPr>
      </w:pPr>
    </w:p>
    <w:p>
      <w:pPr>
        <w:ind w:left="320" w:right="179" w:hanging="190"/>
        <w:spacing w:after="0" w:line="249" w:lineRule="auto"/>
        <w:tabs>
          <w:tab w:leader="none" w:pos="320" w:val="left"/>
        </w:tabs>
        <w:numPr>
          <w:ilvl w:val="0"/>
          <w:numId w:val="202"/>
        </w:numPr>
        <w:rPr>
          <w:rFonts w:ascii="Arial" w:cs="Arial" w:eastAsia="Arial" w:hAnsi="Arial"/>
          <w:sz w:val="16"/>
          <w:szCs w:val="16"/>
          <w:color w:val="auto"/>
          <w:vertAlign w:val="superscript"/>
        </w:rPr>
      </w:pPr>
      <w:r>
        <w:rPr>
          <w:rFonts w:ascii="Arial" w:cs="Arial" w:eastAsia="Arial" w:hAnsi="Arial"/>
          <w:sz w:val="13"/>
          <w:szCs w:val="13"/>
          <w:color w:val="auto"/>
        </w:rPr>
        <w:t>The equity compensation plans approved by the security holders are the Regeneron Pharmaceuticals, Inc. 2014 Long-Term Incentive Plan; the Amended and Restated Regeneron Pharmaceuticals, Inc. 2014 Long-Term Incentive Plan; and the Second Amended and Restated Regeneron Pharmaceuticals, Inc. 2014 Long-Term Incentive Plan. The Second Amended and Restated Regeneron Pharmaceuticals, Inc. 2014 Long-Term Incentive Plan is the only plan currently used by the Company to grant equity awards.</w:t>
      </w:r>
    </w:p>
    <w:p>
      <w:pPr>
        <w:spacing w:after="0" w:line="32" w:lineRule="exact"/>
        <w:rPr>
          <w:sz w:val="20"/>
          <w:szCs w:val="20"/>
          <w:color w:val="auto"/>
        </w:rPr>
      </w:pPr>
    </w:p>
    <w:p>
      <w:pPr>
        <w:ind w:left="320" w:right="199" w:hanging="190"/>
        <w:spacing w:after="0" w:line="253" w:lineRule="auto"/>
        <w:tabs>
          <w:tab w:leader="none" w:pos="320" w:val="left"/>
        </w:tabs>
        <w:numPr>
          <w:ilvl w:val="0"/>
          <w:numId w:val="203"/>
        </w:numPr>
        <w:rPr>
          <w:rFonts w:ascii="Arial" w:cs="Arial" w:eastAsia="Arial" w:hAnsi="Arial"/>
          <w:sz w:val="16"/>
          <w:szCs w:val="16"/>
          <w:color w:val="auto"/>
          <w:vertAlign w:val="superscript"/>
        </w:rPr>
      </w:pPr>
      <w:r>
        <w:rPr>
          <w:rFonts w:ascii="Arial" w:cs="Arial" w:eastAsia="Arial" w:hAnsi="Arial"/>
          <w:sz w:val="13"/>
          <w:szCs w:val="13"/>
          <w:color w:val="auto"/>
        </w:rPr>
        <w:t>The equity compensation plan not approved by the security holders is the Executive Stock Purchase Plan. It was adopted in 1989 and provides for the Compensation Committee of the board of directors to award employees, directors, consultants, and other individuals who render service to the Company the right to purchase Class A stock at a price set by the Compensation Committee. The Plan provides for the vesting of shares as determined by the Compensation Committee; should the Company’s relationship with a Plan participant terminate before all shares are vested, unvested shares will be repurchased by the Company at a price per share equal to the original amount paid by the Plan participant. As of December 31, 2025, there were no unvested shares and 44,246 shares of Class A stock available for future grants under the Plan.</w:t>
      </w:r>
    </w:p>
    <w:p>
      <w:pPr>
        <w:spacing w:after="0" w:line="31" w:lineRule="exact"/>
        <w:rPr>
          <w:sz w:val="20"/>
          <w:szCs w:val="20"/>
          <w:color w:val="auto"/>
        </w:rPr>
      </w:pPr>
    </w:p>
    <w:p>
      <w:pPr>
        <w:ind w:left="320" w:right="319" w:hanging="190"/>
        <w:spacing w:after="0" w:line="245" w:lineRule="auto"/>
        <w:tabs>
          <w:tab w:leader="none" w:pos="320" w:val="left"/>
        </w:tabs>
        <w:numPr>
          <w:ilvl w:val="0"/>
          <w:numId w:val="204"/>
        </w:numPr>
        <w:rPr>
          <w:rFonts w:ascii="Arial" w:cs="Arial" w:eastAsia="Arial" w:hAnsi="Arial"/>
          <w:sz w:val="16"/>
          <w:szCs w:val="16"/>
          <w:color w:val="auto"/>
          <w:vertAlign w:val="superscript"/>
        </w:rPr>
      </w:pPr>
      <w:r>
        <w:rPr>
          <w:rFonts w:ascii="Arial" w:cs="Arial" w:eastAsia="Arial" w:hAnsi="Arial"/>
          <w:sz w:val="13"/>
          <w:szCs w:val="13"/>
          <w:color w:val="auto"/>
        </w:rPr>
        <w:t>This amount consists of (i) 11,766,085 shares to be issued upon exercise of outstanding options, (ii) 380,699 shares to be issued upon vesting of outstanding RSUs, and (iii) 1,390,154 shares to be issued upon vesting and/or delivery of outstanding PSUs (assuming, in the case of unvested PSUs, maximum payouts earned).</w:t>
      </w:r>
    </w:p>
    <w:p>
      <w:pPr>
        <w:spacing w:after="0" w:line="33" w:lineRule="exact"/>
        <w:rPr>
          <w:sz w:val="20"/>
          <w:szCs w:val="20"/>
          <w:color w:val="auto"/>
        </w:rPr>
      </w:pPr>
    </w:p>
    <w:p>
      <w:pPr>
        <w:ind w:left="320" w:right="139" w:hanging="190"/>
        <w:spacing w:after="0" w:line="245" w:lineRule="auto"/>
        <w:tabs>
          <w:tab w:leader="none" w:pos="320" w:val="left"/>
        </w:tabs>
        <w:numPr>
          <w:ilvl w:val="0"/>
          <w:numId w:val="205"/>
        </w:numPr>
        <w:rPr>
          <w:rFonts w:ascii="Arial" w:cs="Arial" w:eastAsia="Arial" w:hAnsi="Arial"/>
          <w:sz w:val="16"/>
          <w:szCs w:val="16"/>
          <w:color w:val="auto"/>
          <w:vertAlign w:val="superscript"/>
        </w:rPr>
      </w:pPr>
      <w:r>
        <w:rPr>
          <w:rFonts w:ascii="Arial" w:cs="Arial" w:eastAsia="Arial" w:hAnsi="Arial"/>
          <w:sz w:val="13"/>
          <w:szCs w:val="13"/>
          <w:color w:val="auto"/>
        </w:rPr>
        <w:t>The calculation of the weighted-average exercise price does not include the 380,699 shares to be issued upon vesting of RSUs or the 1,390,154 shares to be issued upon vesting and/or delivery of PSUs (assuming, in the case of unvested PSUs, maximum payouts earned), as RSUs and PSUs do not have an exercise price.</w:t>
      </w:r>
    </w:p>
    <w:p>
      <w:pPr>
        <w:spacing w:after="0" w:line="20" w:lineRule="exact"/>
        <w:rPr>
          <w:sz w:val="20"/>
          <w:szCs w:val="20"/>
          <w:color w:val="auto"/>
        </w:rPr>
      </w:pPr>
    </w:p>
    <w:p>
      <w:pPr>
        <w:ind w:left="320" w:right="639" w:hanging="190"/>
        <w:spacing w:after="0" w:line="236" w:lineRule="auto"/>
        <w:tabs>
          <w:tab w:leader="none" w:pos="320" w:val="left"/>
        </w:tabs>
        <w:numPr>
          <w:ilvl w:val="0"/>
          <w:numId w:val="206"/>
        </w:numPr>
        <w:rPr>
          <w:rFonts w:ascii="Arial" w:cs="Arial" w:eastAsia="Arial" w:hAnsi="Arial"/>
          <w:sz w:val="16"/>
          <w:szCs w:val="16"/>
          <w:color w:val="auto"/>
          <w:vertAlign w:val="superscript"/>
        </w:rPr>
      </w:pPr>
      <w:r>
        <w:rPr>
          <w:rFonts w:ascii="Arial" w:cs="Arial" w:eastAsia="Arial" w:hAnsi="Arial"/>
          <w:sz w:val="13"/>
          <w:szCs w:val="13"/>
          <w:color w:val="auto"/>
        </w:rPr>
        <w:t>This amount is net of 2,792,957 outstanding RSAs. As these shares are issued and outstanding upon grant, they are not included in the amounts reported in column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
              <w:spacing w:after="0"/>
              <w:rPr>
                <w:sz w:val="20"/>
                <w:szCs w:val="20"/>
                <w:color w:val="auto"/>
              </w:rPr>
            </w:pPr>
            <w:r>
              <w:rPr>
                <w:rFonts w:ascii="Arial" w:cs="Arial" w:eastAsia="Arial" w:hAnsi="Arial"/>
                <w:sz w:val="14"/>
                <w:szCs w:val="14"/>
                <w:b w:val="1"/>
                <w:bCs w:val="1"/>
                <w:color w:val="065BAA"/>
                <w:w w:val="94"/>
              </w:rPr>
              <w:t>100</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109" w:name="page110"/>
    <w:bookmarkEnd w:id="109"/>
    <w:p>
      <w:pPr>
        <w:jc w:val="center"/>
        <w:ind w:right="-20"/>
        <w:spacing w:after="0"/>
        <w:tabs>
          <w:tab w:leader="none" w:pos="260" w:val="left"/>
          <w:tab w:leader="none" w:pos="240" w:val="left"/>
          <w:tab w:leader="none" w:pos="280" w:val="left"/>
          <w:tab w:leader="none" w:pos="340" w:val="left"/>
          <w:tab w:leader="none" w:pos="26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b w:val="1"/>
          <w:bCs w:val="1"/>
          <w:color w:val="343434"/>
        </w:rPr>
        <w:t>Compensation-Related Matters</w:t>
      </w:r>
      <w:r>
        <w:rPr>
          <w:sz w:val="20"/>
          <w:szCs w:val="20"/>
          <w:color w:val="auto"/>
        </w:rPr>
        <w:tab/>
      </w:r>
      <w:r>
        <w:rPr>
          <w:rFonts w:ascii="Arial" w:cs="Arial" w:eastAsia="Arial" w:hAnsi="Arial"/>
          <w:sz w:val="14"/>
          <w:szCs w:val="14"/>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065BAA"/>
        </w:rPr>
        <w:t>Proposal No. 3</w:t>
      </w:r>
    </w:p>
    <w:p>
      <w:pPr>
        <w:spacing w:after="0" w:line="95" w:lineRule="exact"/>
        <w:rPr>
          <w:sz w:val="20"/>
          <w:szCs w:val="20"/>
          <w:color w:val="auto"/>
        </w:rPr>
      </w:pPr>
    </w:p>
    <w:p>
      <w:pPr>
        <w:ind w:left="400" w:right="2299"/>
        <w:spacing w:after="0" w:line="321" w:lineRule="auto"/>
        <w:rPr>
          <w:sz w:val="20"/>
          <w:szCs w:val="20"/>
          <w:color w:val="auto"/>
        </w:rPr>
      </w:pPr>
      <w:r>
        <w:rPr>
          <w:rFonts w:ascii="Arial" w:cs="Arial" w:eastAsia="Arial" w:hAnsi="Arial"/>
          <w:sz w:val="25"/>
          <w:szCs w:val="25"/>
          <w:b w:val="1"/>
          <w:bCs w:val="1"/>
          <w:color w:val="auto"/>
        </w:rPr>
        <w:t>Advisory Vote on Compensation of Named Executive Officers (Say-on-Pay)</w:t>
      </w:r>
    </w:p>
    <w:p>
      <w:pPr>
        <w:spacing w:after="0" w:line="78" w:lineRule="exact"/>
        <w:rPr>
          <w:sz w:val="20"/>
          <w:szCs w:val="20"/>
          <w:color w:val="auto"/>
        </w:rPr>
      </w:pPr>
    </w:p>
    <w:p>
      <w:pPr>
        <w:ind w:left="700" w:right="639"/>
        <w:spacing w:after="0" w:line="321" w:lineRule="auto"/>
        <w:rPr>
          <w:sz w:val="20"/>
          <w:szCs w:val="20"/>
          <w:color w:val="auto"/>
        </w:rPr>
      </w:pPr>
      <w:r>
        <w:rPr>
          <w:rFonts w:ascii="Arial" w:cs="Arial" w:eastAsia="Arial" w:hAnsi="Arial"/>
          <w:sz w:val="16"/>
          <w:szCs w:val="16"/>
          <w:color w:val="auto"/>
        </w:rPr>
        <w:t xml:space="preserve">The board of directors recommends a vote, on an advisory basis,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compensation of our Named Executive Officers as disclosed in this proxy statement.</w:t>
      </w:r>
    </w:p>
    <w:p>
      <w:pPr>
        <w:spacing w:after="0" w:line="250" w:lineRule="exact"/>
        <w:rPr>
          <w:sz w:val="20"/>
          <w:szCs w:val="20"/>
          <w:color w:val="auto"/>
        </w:rPr>
      </w:pPr>
    </w:p>
    <w:p>
      <w:pPr>
        <w:ind w:left="140" w:right="499"/>
        <w:spacing w:after="0" w:line="301" w:lineRule="auto"/>
        <w:rPr>
          <w:sz w:val="20"/>
          <w:szCs w:val="20"/>
          <w:color w:val="auto"/>
        </w:rPr>
      </w:pPr>
      <w:r>
        <w:rPr>
          <w:rFonts w:ascii="Arial" w:cs="Arial" w:eastAsia="Arial" w:hAnsi="Arial"/>
          <w:sz w:val="16"/>
          <w:szCs w:val="16"/>
          <w:color w:val="auto"/>
        </w:rPr>
        <w:t>As required by Section 14A of the Exchange Act, we are seeking, on an advisory basis, shareholder approval of the compensation of our NEOs as disclosed above (“say-on-pay” proposal). Specifically, shareholders are being asked to approve the following advisory resolution:</w:t>
      </w:r>
    </w:p>
    <w:p>
      <w:pPr>
        <w:spacing w:after="0" w:line="91" w:lineRule="exact"/>
        <w:rPr>
          <w:sz w:val="20"/>
          <w:szCs w:val="20"/>
          <w:color w:val="auto"/>
        </w:rPr>
      </w:pPr>
    </w:p>
    <w:p>
      <w:pPr>
        <w:ind w:left="380" w:right="139"/>
        <w:spacing w:after="0" w:line="291"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shareholders of Regeneron Pharmaceuticals, Inc. hereby approve the compensation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Named Executive Officers, as disclosed in the Company’s proxy statement relating to the Company’s 2026 Annual Meeting (the “Proxy Statement”) pursuant to the compensation disclosure rules of the Securities and Exchange Commission (which disclosure includes the Compensation Discussion and Analysis, the compensation tables, and the related compensation information contained in the Proxy Statement).</w:t>
      </w:r>
    </w:p>
    <w:p>
      <w:pPr>
        <w:spacing w:after="0" w:line="113" w:lineRule="exact"/>
        <w:rPr>
          <w:sz w:val="20"/>
          <w:szCs w:val="20"/>
          <w:color w:val="auto"/>
        </w:rPr>
      </w:pPr>
    </w:p>
    <w:p>
      <w:pPr>
        <w:ind w:left="140" w:right="279"/>
        <w:spacing w:after="0" w:line="295" w:lineRule="auto"/>
        <w:rPr>
          <w:sz w:val="20"/>
          <w:szCs w:val="20"/>
          <w:color w:val="auto"/>
        </w:rPr>
      </w:pPr>
      <w:r>
        <w:rPr>
          <w:rFonts w:ascii="Arial" w:cs="Arial" w:eastAsia="Arial" w:hAnsi="Arial"/>
          <w:sz w:val="16"/>
          <w:szCs w:val="16"/>
          <w:color w:val="auto"/>
        </w:rPr>
        <w:t>In determining to recommend that shareholders approve the say-on-pay proposal, the board of directors considered, among other factors discussed under “Compensation Discussion and Analysis” above, the Company's accomplishments in 2025. Information regarding compensation of the relevant NEOs for 2025 is provided in the Summary Compensation Table included in this proxy statement.</w:t>
      </w:r>
    </w:p>
    <w:p>
      <w:pPr>
        <w:spacing w:after="0" w:line="94" w:lineRule="exact"/>
        <w:rPr>
          <w:sz w:val="20"/>
          <w:szCs w:val="20"/>
          <w:color w:val="auto"/>
        </w:rPr>
      </w:pPr>
    </w:p>
    <w:p>
      <w:pPr>
        <w:ind w:left="140" w:right="459"/>
        <w:spacing w:after="0" w:line="295" w:lineRule="auto"/>
        <w:rPr>
          <w:sz w:val="20"/>
          <w:szCs w:val="20"/>
          <w:color w:val="auto"/>
        </w:rPr>
      </w:pPr>
      <w:r>
        <w:rPr>
          <w:rFonts w:ascii="Arial" w:cs="Arial" w:eastAsia="Arial" w:hAnsi="Arial"/>
          <w:sz w:val="16"/>
          <w:szCs w:val="16"/>
          <w:color w:val="auto"/>
        </w:rPr>
        <w:t>The board of directors recommends a vote FOR approval of the compensation of our NEOs as disclosed in this proxy statement. As an advisory vote, this proposal is non-binding on the Company. However, the board of directors and the Compensation Committee value your opinion and will review and consider the voting results in connection with their ongoing evaluation of our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101</w:t>
            </w:r>
          </w:p>
        </w:tc>
      </w:tr>
    </w:tbl>
    <w:p>
      <w:pPr>
        <w:sectPr>
          <w:pgSz w:w="11900" w:h="16838" w:orient="portrait"/>
          <w:cols w:equalWidth="0" w:num="1">
            <w:col w:w="9019"/>
          </w:cols>
          <w:pgMar w:left="1440" w:top="657" w:right="1440" w:bottom="1440" w:gutter="0" w:footer="0" w:header="0"/>
        </w:sectPr>
      </w:pPr>
    </w:p>
    <w:bookmarkStart w:id="110" w:name="page111"/>
    <w:bookmarkEnd w:id="110"/>
    <w:p>
      <w:pPr>
        <w:ind w:left="240"/>
        <w:spacing w:after="0"/>
        <w:tabs>
          <w:tab w:leader="none" w:pos="1260" w:val="left"/>
          <w:tab w:leader="none" w:pos="2680" w:val="left"/>
          <w:tab w:leader="none" w:pos="4440" w:val="left"/>
          <w:tab w:leader="none" w:pos="5660" w:val="left"/>
          <w:tab w:leader="none" w:pos="790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r>
      <w:r>
        <w:rPr>
          <w:sz w:val="20"/>
          <w:szCs w:val="20"/>
          <w:color w:val="auto"/>
        </w:rPr>
        <w:tab/>
      </w:r>
      <w:r>
        <w:rPr>
          <w:rFonts w:ascii="Arial" w:cs="Arial" w:eastAsia="Arial" w:hAnsi="Arial"/>
          <w:sz w:val="13"/>
          <w:szCs w:val="13"/>
          <w:b w:val="1"/>
          <w:bCs w:val="1"/>
          <w:color w:val="343434"/>
        </w:rPr>
        <w:t>Other Matters</w:t>
      </w:r>
    </w:p>
    <w:p>
      <w:pPr>
        <w:spacing w:after="0" w:line="321" w:lineRule="exact"/>
        <w:rPr>
          <w:sz w:val="20"/>
          <w:szCs w:val="20"/>
          <w:color w:val="auto"/>
        </w:rPr>
      </w:pPr>
    </w:p>
    <w:p>
      <w:pPr>
        <w:ind w:left="80"/>
        <w:spacing w:after="0"/>
        <w:rPr>
          <w:sz w:val="20"/>
          <w:szCs w:val="20"/>
          <w:color w:val="auto"/>
        </w:rPr>
      </w:pPr>
      <w:r>
        <w:rPr>
          <w:rFonts w:ascii="Arial" w:cs="Arial" w:eastAsia="Arial" w:hAnsi="Arial"/>
          <w:sz w:val="52"/>
          <w:szCs w:val="52"/>
          <w:b w:val="1"/>
          <w:bCs w:val="1"/>
          <w:color w:val="auto"/>
        </w:rPr>
        <w:t>Other Matters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General Information About the Meeting</w:t>
      </w:r>
    </w:p>
    <w:p>
      <w:pPr>
        <w:sectPr>
          <w:pgSz w:w="11900" w:h="16838" w:orient="portrait"/>
          <w:cols w:equalWidth="0" w:num="1">
            <w:col w:w="9019"/>
          </w:cols>
          <w:pgMar w:left="1440" w:top="657" w:right="1440" w:bottom="1440" w:gutter="0" w:footer="0" w:header="0"/>
        </w:sectPr>
      </w:pPr>
    </w:p>
    <w:p>
      <w:pPr>
        <w:spacing w:after="0" w:line="224" w:lineRule="exact"/>
        <w:rPr>
          <w:sz w:val="20"/>
          <w:szCs w:val="20"/>
          <w:color w:val="auto"/>
        </w:rPr>
      </w:pPr>
    </w:p>
    <w:p>
      <w:pPr>
        <w:ind w:left="200"/>
        <w:spacing w:after="0"/>
        <w:rPr>
          <w:sz w:val="20"/>
          <w:szCs w:val="20"/>
          <w:color w:val="auto"/>
        </w:rPr>
      </w:pPr>
      <w:r>
        <w:rPr>
          <w:sz w:val="1"/>
          <w:szCs w:val="1"/>
          <w:color w:val="auto"/>
        </w:rPr>
        <w:drawing>
          <wp:inline distT="0" distB="0" distL="0" distR="0">
            <wp:extent cx="240030" cy="24892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0030" cy="248920"/>
                    </a:xfrm>
                    <a:prstGeom prst="rect">
                      <a:avLst/>
                    </a:prstGeom>
                    <a:noFill/>
                    <a:ln>
                      <a:noFill/>
                    </a:ln>
                  </pic:spPr>
                </pic:pic>
              </a:graphicData>
            </a:graphic>
          </wp:inline>
        </w:drawing>
      </w:r>
      <w:r>
        <w:rPr>
          <w:rFonts w:ascii="Arial" w:cs="Arial" w:eastAsia="Arial" w:hAnsi="Arial"/>
          <w:sz w:val="25"/>
          <w:szCs w:val="25"/>
          <w:color w:val="3F00C5"/>
        </w:rPr>
        <w:t xml:space="preserve"> When is the Annual Meeting?</w:t>
      </w:r>
    </w:p>
    <w:p>
      <w:pPr>
        <w:spacing w:after="0" w:line="6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Friday, June 12, 2026</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239"/>
        <w:spacing w:after="0" w:line="295" w:lineRule="auto"/>
        <w:rPr>
          <w:sz w:val="20"/>
          <w:szCs w:val="20"/>
          <w:color w:val="auto"/>
        </w:rPr>
      </w:pPr>
      <w:r>
        <w:rPr>
          <w:rFonts w:ascii="Arial" w:cs="Arial" w:eastAsia="Arial" w:hAnsi="Arial"/>
          <w:sz w:val="16"/>
          <w:szCs w:val="16"/>
          <w:color w:val="auto"/>
        </w:rPr>
        <w:t>To vote your shares, you will need the 16-digit control number included on the Notice or, if you received a paper copy of the proxy materials, the proxy card or voting instruction form you received.</w:t>
      </w:r>
    </w:p>
    <w:p>
      <w:pPr>
        <w:spacing w:after="0" w:line="46" w:lineRule="exact"/>
        <w:rPr>
          <w:sz w:val="20"/>
          <w:szCs w:val="20"/>
          <w:color w:val="auto"/>
        </w:rPr>
      </w:pPr>
    </w:p>
    <w:p>
      <w:pPr>
        <w:sectPr>
          <w:pgSz w:w="11900" w:h="16838" w:orient="portrait"/>
          <w:cols w:equalWidth="0" w:num="2">
            <w:col w:w="4000" w:space="660"/>
            <w:col w:w="4359"/>
          </w:cols>
          <w:pgMar w:left="1440" w:top="657" w:right="1440" w:bottom="1440" w:gutter="0" w:footer="0" w:header="0"/>
          <w:type w:val="continuous"/>
        </w:sectPr>
      </w:pPr>
    </w:p>
    <w:p>
      <w:pPr>
        <w:ind w:left="700"/>
        <w:spacing w:after="0"/>
        <w:rPr>
          <w:sz w:val="20"/>
          <w:szCs w:val="20"/>
          <w:color w:val="auto"/>
        </w:rPr>
      </w:pPr>
      <w:r>
        <w:rPr>
          <w:rFonts w:ascii="Arial" w:cs="Arial" w:eastAsia="Arial" w:hAnsi="Arial"/>
          <w:sz w:val="25"/>
          <w:szCs w:val="25"/>
          <w:color w:val="3F00C5"/>
        </w:rPr>
        <w:t>What time is the</w:t>
      </w:r>
    </w:p>
    <w:p>
      <w:pPr>
        <w:spacing w:after="0" w:line="45" w:lineRule="exact"/>
        <w:rPr>
          <w:sz w:val="20"/>
          <w:szCs w:val="20"/>
          <w:color w:val="auto"/>
        </w:rPr>
      </w:pPr>
    </w:p>
    <w:p>
      <w:pPr>
        <w:ind w:left="700"/>
        <w:spacing w:after="0"/>
        <w:rPr>
          <w:sz w:val="20"/>
          <w:szCs w:val="20"/>
          <w:color w:val="auto"/>
        </w:rPr>
      </w:pPr>
      <w:r>
        <w:rPr>
          <w:rFonts w:ascii="Arial" w:cs="Arial" w:eastAsia="Arial" w:hAnsi="Arial"/>
          <w:sz w:val="25"/>
          <w:szCs w:val="25"/>
          <w:color w:val="3F00C5"/>
        </w:rPr>
        <w:t>Annual Meeting?</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10:30 a.m., ET</w:t>
      </w:r>
    </w:p>
    <w:p>
      <w:pPr>
        <w:spacing w:after="0" w:line="307" w:lineRule="exact"/>
        <w:rPr>
          <w:sz w:val="20"/>
          <w:szCs w:val="20"/>
          <w:color w:val="auto"/>
        </w:rPr>
      </w:pPr>
    </w:p>
    <w:p>
      <w:pPr>
        <w:ind w:left="660"/>
        <w:spacing w:after="0"/>
        <w:rPr>
          <w:sz w:val="20"/>
          <w:szCs w:val="20"/>
          <w:color w:val="auto"/>
        </w:rPr>
      </w:pPr>
      <w:r>
        <w:rPr>
          <w:rFonts w:ascii="Arial" w:cs="Arial" w:eastAsia="Arial" w:hAnsi="Arial"/>
          <w:sz w:val="25"/>
          <w:szCs w:val="25"/>
          <w:color w:val="3F00C5"/>
        </w:rPr>
        <w:t>Where is the Annual Meeting?</w:t>
      </w:r>
    </w:p>
    <w:p>
      <w:pPr>
        <w:spacing w:after="0" w:line="139" w:lineRule="exact"/>
        <w:rPr>
          <w:sz w:val="20"/>
          <w:szCs w:val="20"/>
          <w:color w:val="auto"/>
        </w:rPr>
      </w:pPr>
    </w:p>
    <w:p>
      <w:pPr>
        <w:ind w:left="140"/>
        <w:spacing w:after="0" w:line="289" w:lineRule="auto"/>
        <w:rPr>
          <w:sz w:val="20"/>
          <w:szCs w:val="20"/>
          <w:color w:val="auto"/>
        </w:rPr>
      </w:pPr>
      <w:r>
        <w:rPr>
          <w:rFonts w:ascii="Arial" w:cs="Arial" w:eastAsia="Arial" w:hAnsi="Arial"/>
          <w:sz w:val="16"/>
          <w:szCs w:val="16"/>
          <w:color w:val="auto"/>
        </w:rPr>
        <w:t xml:space="preserve">The Annual Meeting will be held virtually via the Internet at </w:t>
      </w:r>
      <w:r>
        <w:rPr>
          <w:rFonts w:ascii="Arial" w:cs="Arial" w:eastAsia="Arial" w:hAnsi="Arial"/>
          <w:sz w:val="16"/>
          <w:szCs w:val="16"/>
          <w:b w:val="1"/>
          <w:bCs w:val="1"/>
          <w:color w:val="2069E7"/>
        </w:rPr>
        <w:t>www.virtualshareholdermeeting.com/REGN2026</w:t>
      </w:r>
      <w:r>
        <w:rPr>
          <w:rFonts w:ascii="Arial" w:cs="Arial" w:eastAsia="Arial" w:hAnsi="Arial"/>
          <w:sz w:val="16"/>
          <w:szCs w:val="16"/>
          <w:color w:val="000000"/>
        </w:rPr>
        <w:t>. We</w:t>
      </w:r>
      <w:r>
        <w:rPr>
          <w:rFonts w:ascii="Arial" w:cs="Arial" w:eastAsia="Arial" w:hAnsi="Arial"/>
          <w:sz w:val="16"/>
          <w:szCs w:val="16"/>
          <w:b w:val="1"/>
          <w:bCs w:val="1"/>
          <w:color w:val="2069E7"/>
        </w:rPr>
        <w:t xml:space="preserve"> </w:t>
      </w:r>
      <w:r>
        <w:rPr>
          <w:rFonts w:ascii="Arial" w:cs="Arial" w:eastAsia="Arial" w:hAnsi="Arial"/>
          <w:sz w:val="16"/>
          <w:szCs w:val="16"/>
          <w:color w:val="000000"/>
        </w:rPr>
        <w:t>have designed the format of the Annual Meeting to ensure that shareholders are afforded similar rights and opportunities to participate as they would at an in-person meeting.</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459"/>
        <w:spacing w:after="0" w:line="285" w:lineRule="auto"/>
        <w:rPr>
          <w:sz w:val="20"/>
          <w:szCs w:val="20"/>
          <w:color w:val="auto"/>
        </w:rPr>
      </w:pPr>
      <w:r>
        <w:rPr>
          <w:rFonts w:ascii="Arial" w:cs="Arial" w:eastAsia="Arial" w:hAnsi="Arial"/>
          <w:sz w:val="25"/>
          <w:szCs w:val="25"/>
          <w:color w:val="3F00C5"/>
        </w:rPr>
        <w:t>What is on the agenda for the meeting?</w:t>
      </w:r>
    </w:p>
    <w:p>
      <w:pPr>
        <w:spacing w:after="0" w:line="82" w:lineRule="exact"/>
        <w:rPr>
          <w:sz w:val="20"/>
          <w:szCs w:val="20"/>
          <w:color w:val="auto"/>
        </w:rPr>
      </w:pPr>
    </w:p>
    <w:p>
      <w:pPr>
        <w:ind w:left="260" w:hanging="254"/>
        <w:spacing w:after="0"/>
        <w:tabs>
          <w:tab w:leader="none" w:pos="260" w:val="left"/>
        </w:tabs>
        <w:numPr>
          <w:ilvl w:val="0"/>
          <w:numId w:val="207"/>
        </w:numPr>
        <w:rPr>
          <w:rFonts w:ascii="Arial" w:cs="Arial" w:eastAsia="Arial" w:hAnsi="Arial"/>
          <w:sz w:val="16"/>
          <w:szCs w:val="16"/>
          <w:b w:val="1"/>
          <w:bCs w:val="1"/>
          <w:color w:val="065BAA"/>
        </w:rPr>
      </w:pPr>
      <w:r>
        <w:rPr>
          <w:rFonts w:ascii="Arial" w:cs="Arial" w:eastAsia="Arial" w:hAnsi="Arial"/>
          <w:sz w:val="16"/>
          <w:szCs w:val="16"/>
          <w:color w:val="auto"/>
        </w:rPr>
        <w:t>Election of five directors for a one-year term</w:t>
      </w:r>
    </w:p>
    <w:p>
      <w:pPr>
        <w:spacing w:after="0" w:line="99" w:lineRule="exact"/>
        <w:rPr>
          <w:rFonts w:ascii="Arial" w:cs="Arial" w:eastAsia="Arial" w:hAnsi="Arial"/>
          <w:sz w:val="16"/>
          <w:szCs w:val="16"/>
          <w:b w:val="1"/>
          <w:bCs w:val="1"/>
          <w:color w:val="065BAA"/>
        </w:rPr>
      </w:pPr>
    </w:p>
    <w:p>
      <w:pPr>
        <w:ind w:left="260" w:right="319" w:hanging="254"/>
        <w:spacing w:after="0" w:line="295" w:lineRule="auto"/>
        <w:tabs>
          <w:tab w:leader="none" w:pos="260" w:val="left"/>
        </w:tabs>
        <w:numPr>
          <w:ilvl w:val="0"/>
          <w:numId w:val="207"/>
        </w:numPr>
        <w:rPr>
          <w:rFonts w:ascii="Arial" w:cs="Arial" w:eastAsia="Arial" w:hAnsi="Arial"/>
          <w:sz w:val="16"/>
          <w:szCs w:val="16"/>
          <w:b w:val="1"/>
          <w:bCs w:val="1"/>
          <w:color w:val="065BAA"/>
        </w:rPr>
      </w:pPr>
      <w:r>
        <w:rPr>
          <w:rFonts w:ascii="Arial" w:cs="Arial" w:eastAsia="Arial" w:hAnsi="Arial"/>
          <w:sz w:val="16"/>
          <w:szCs w:val="16"/>
          <w:color w:val="auto"/>
        </w:rPr>
        <w:t>Ratification of the appointment of PricewaterhouseCoopers LLP as the Company’s independent registered public accounting firm for the fiscal year ending December 31, 2026</w:t>
      </w:r>
    </w:p>
    <w:p>
      <w:pPr>
        <w:spacing w:after="0" w:line="40" w:lineRule="exact"/>
        <w:rPr>
          <w:rFonts w:ascii="Arial" w:cs="Arial" w:eastAsia="Arial" w:hAnsi="Arial"/>
          <w:sz w:val="16"/>
          <w:szCs w:val="16"/>
          <w:b w:val="1"/>
          <w:bCs w:val="1"/>
          <w:color w:val="065BAA"/>
        </w:rPr>
      </w:pPr>
    </w:p>
    <w:p>
      <w:pPr>
        <w:ind w:left="260" w:right="259" w:hanging="254"/>
        <w:spacing w:after="0" w:line="301" w:lineRule="auto"/>
        <w:tabs>
          <w:tab w:leader="none" w:pos="260" w:val="left"/>
        </w:tabs>
        <w:numPr>
          <w:ilvl w:val="0"/>
          <w:numId w:val="207"/>
        </w:numPr>
        <w:rPr>
          <w:rFonts w:ascii="Arial" w:cs="Arial" w:eastAsia="Arial" w:hAnsi="Arial"/>
          <w:sz w:val="16"/>
          <w:szCs w:val="16"/>
          <w:b w:val="1"/>
          <w:bCs w:val="1"/>
          <w:color w:val="065BAA"/>
        </w:rPr>
      </w:pPr>
      <w:r>
        <w:rPr>
          <w:rFonts w:ascii="Arial" w:cs="Arial" w:eastAsia="Arial" w:hAnsi="Arial"/>
          <w:sz w:val="16"/>
          <w:szCs w:val="16"/>
          <w:color w:val="auto"/>
        </w:rPr>
        <w:t>Advisory vote to approve the compensation of the Company’s Named Executive Officers as disclosed in these proxy materials (say-on-pay)</w:t>
      </w:r>
    </w:p>
    <w:p>
      <w:pPr>
        <w:spacing w:after="0" w:line="217" w:lineRule="exact"/>
        <w:rPr>
          <w:sz w:val="20"/>
          <w:szCs w:val="20"/>
          <w:color w:val="auto"/>
        </w:rPr>
      </w:pPr>
    </w:p>
    <w:p>
      <w:pPr>
        <w:sectPr>
          <w:pgSz w:w="11900" w:h="16838" w:orient="portrait"/>
          <w:cols w:equalWidth="0" w:num="2">
            <w:col w:w="4320" w:space="340"/>
            <w:col w:w="4359"/>
          </w:cols>
          <w:pgMar w:left="1440" w:top="657" w:right="1440" w:bottom="1440" w:gutter="0" w:footer="0" w:header="0"/>
          <w:type w:val="continuous"/>
        </w:sectPr>
      </w:pPr>
    </w:p>
    <w:p>
      <w:pPr>
        <w:spacing w:after="0" w:line="6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How can I attend the meeting?</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Instructions on how to attend and participate via the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Internet are posted at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2069E7"/>
        </w:rPr>
        <w:t>www.virtualshareholdermeeting.com/REGN2026</w:t>
      </w:r>
      <w:r>
        <w:rPr>
          <w:rFonts w:ascii="Arial" w:cs="Arial" w:eastAsia="Arial" w:hAnsi="Arial"/>
          <w:sz w:val="16"/>
          <w:szCs w:val="16"/>
          <w:color w:val="000000"/>
        </w:rPr>
        <w:t>. To</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vote or submit questions during the meeting, you will need</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16-digit control number included on the Notice of</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Internet Availability of Proxy Materials (the “Notice”) or, if</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you received a paper copy of the proxy materials, the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proxy card or voting instruction form you received.</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Can I vote at the Annual Meeting?</w:t>
      </w:r>
    </w:p>
    <w:p>
      <w:pPr>
        <w:spacing w:after="0" w:line="180" w:lineRule="exact"/>
        <w:rPr>
          <w:sz w:val="20"/>
          <w:szCs w:val="20"/>
          <w:color w:val="auto"/>
        </w:rPr>
      </w:pPr>
    </w:p>
    <w:p>
      <w:pPr>
        <w:ind w:left="140"/>
        <w:spacing w:after="0" w:line="286" w:lineRule="auto"/>
        <w:rPr>
          <w:sz w:val="20"/>
          <w:szCs w:val="20"/>
          <w:color w:val="auto"/>
        </w:rPr>
      </w:pPr>
      <w:r>
        <w:rPr>
          <w:rFonts w:ascii="Arial" w:cs="Arial" w:eastAsia="Arial" w:hAnsi="Arial"/>
          <w:sz w:val="16"/>
          <w:szCs w:val="16"/>
          <w:color w:val="auto"/>
        </w:rPr>
        <w:t>Only shareholders of record at the close of business on the record date, April 14, 2026, are entitled to vote at the Annual Meeting. As of April 14, 2026, 103,021,886 shares of common stock and 1,817,146 shares of Class A stock were issued and outstanding. For all proposals, holders of common stock and Class A stock vote together as a single class, with the common stock being entitled to one vote per share and the Class A stock being entitled to ten votes per share.</w:t>
      </w:r>
    </w:p>
    <w:p>
      <w:pPr>
        <w:spacing w:after="0" w:line="20" w:lineRule="exact"/>
        <w:rPr>
          <w:sz w:val="20"/>
          <w:szCs w:val="20"/>
          <w:color w:val="auto"/>
        </w:rPr>
      </w:pPr>
      <w:r>
        <w:rPr>
          <w:sz w:val="20"/>
          <w:szCs w:val="20"/>
          <w:color w:val="auto"/>
        </w:rPr>
        <w:br w:type="column"/>
      </w:r>
    </w:p>
    <w:p>
      <w:pPr>
        <w:ind w:right="1359"/>
        <w:spacing w:after="0" w:line="285" w:lineRule="auto"/>
        <w:rPr>
          <w:sz w:val="20"/>
          <w:szCs w:val="20"/>
          <w:color w:val="auto"/>
        </w:rPr>
      </w:pPr>
      <w:r>
        <w:rPr>
          <w:rFonts w:ascii="Arial" w:cs="Arial" w:eastAsia="Arial" w:hAnsi="Arial"/>
          <w:sz w:val="25"/>
          <w:szCs w:val="25"/>
          <w:color w:val="3F00C5"/>
        </w:rPr>
        <w:t>Can I ask a question at the Annual Meeting?</w:t>
      </w:r>
    </w:p>
    <w:p>
      <w:pPr>
        <w:spacing w:after="0" w:line="82" w:lineRule="exact"/>
        <w:rPr>
          <w:sz w:val="20"/>
          <w:szCs w:val="20"/>
          <w:color w:val="auto"/>
        </w:rPr>
      </w:pPr>
    </w:p>
    <w:p>
      <w:pPr>
        <w:ind w:right="139"/>
        <w:spacing w:after="0" w:line="284" w:lineRule="auto"/>
        <w:rPr>
          <w:sz w:val="20"/>
          <w:szCs w:val="20"/>
          <w:color w:val="auto"/>
        </w:rPr>
      </w:pPr>
      <w:r>
        <w:rPr>
          <w:rFonts w:ascii="Arial" w:cs="Arial" w:eastAsia="Arial" w:hAnsi="Arial"/>
          <w:sz w:val="16"/>
          <w:szCs w:val="16"/>
          <w:color w:val="auto"/>
        </w:rPr>
        <w:t xml:space="preserve">Shareholders who use the 16-digit control number that was furnished to them (either on the Notice or, if you received a paper copy of the proxy materials, the proxy card or voting instruction form you received) to log on to the meeting will be able to submit questions during the meeting, as time permits. If you wish to submit a question during the Annual Meeting, log on to the virtual meeting website using the 16-digit control number, type your question into the “Ask a Question” field, and click “Submit.” Questions and answers may be arranged by topic and substantially similar questions may be answered once. If we run out of time to answer all of the questions submitted, we will provide responses to the questions not addressed on our website at </w:t>
      </w:r>
      <w:r>
        <w:rPr>
          <w:rFonts w:ascii="Arial" w:cs="Arial" w:eastAsia="Arial" w:hAnsi="Arial"/>
          <w:sz w:val="16"/>
          <w:szCs w:val="16"/>
          <w:b w:val="1"/>
          <w:bCs w:val="1"/>
          <w:color w:val="2069E7"/>
        </w:rPr>
        <w:t>www.regeneron.com</w:t>
      </w:r>
      <w:r>
        <w:rPr>
          <w:rFonts w:ascii="Arial" w:cs="Arial" w:eastAsia="Arial" w:hAnsi="Arial"/>
          <w:sz w:val="16"/>
          <w:szCs w:val="16"/>
          <w:color w:val="auto"/>
        </w:rPr>
        <w:t xml:space="preserve"> on the “Investors &amp; Media” page.</w:t>
      </w:r>
    </w:p>
    <w:p>
      <w:pPr>
        <w:spacing w:after="0" w:line="1352" w:lineRule="exact"/>
        <w:rPr>
          <w:sz w:val="20"/>
          <w:szCs w:val="20"/>
          <w:color w:val="auto"/>
        </w:rPr>
      </w:pPr>
    </w:p>
    <w:p>
      <w:pPr>
        <w:sectPr>
          <w:pgSz w:w="11900" w:h="16838" w:orient="portrait"/>
          <w:cols w:equalWidth="0" w:num="2">
            <w:col w:w="4320" w:space="340"/>
            <w:col w:w="435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
              <w:spacing w:after="0"/>
              <w:rPr>
                <w:sz w:val="20"/>
                <w:szCs w:val="20"/>
                <w:color w:val="auto"/>
              </w:rPr>
            </w:pPr>
            <w:r>
              <w:rPr>
                <w:rFonts w:ascii="Arial" w:cs="Arial" w:eastAsia="Arial" w:hAnsi="Arial"/>
                <w:sz w:val="14"/>
                <w:szCs w:val="14"/>
                <w:b w:val="1"/>
                <w:bCs w:val="1"/>
                <w:color w:val="065BAA"/>
                <w:w w:val="94"/>
              </w:rPr>
              <w:t>102</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111" w:name="page112"/>
    <w:bookmarkEnd w:id="111"/>
    <w:p>
      <w:pPr>
        <w:ind w:left="240"/>
        <w:spacing w:after="0"/>
        <w:tabs>
          <w:tab w:leader="none" w:pos="1260" w:val="left"/>
          <w:tab w:leader="none" w:pos="2680" w:val="left"/>
          <w:tab w:leader="none" w:pos="4440" w:val="left"/>
          <w:tab w:leader="none" w:pos="5660" w:val="left"/>
          <w:tab w:leader="none" w:pos="790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r>
      <w:r>
        <w:rPr>
          <w:sz w:val="20"/>
          <w:szCs w:val="20"/>
          <w:color w:val="auto"/>
        </w:rPr>
        <w:tab/>
      </w:r>
      <w:r>
        <w:rPr>
          <w:rFonts w:ascii="Arial" w:cs="Arial" w:eastAsia="Arial" w:hAnsi="Arial"/>
          <w:sz w:val="13"/>
          <w:szCs w:val="13"/>
          <w:b w:val="1"/>
          <w:bCs w:val="1"/>
          <w:color w:val="343434"/>
        </w:rPr>
        <w:t>Other Matters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right="100"/>
        <w:spacing w:after="0" w:line="285" w:lineRule="auto"/>
        <w:rPr>
          <w:sz w:val="20"/>
          <w:szCs w:val="20"/>
          <w:color w:val="auto"/>
        </w:rPr>
      </w:pPr>
      <w:r>
        <w:rPr>
          <w:rFonts w:ascii="Arial" w:cs="Arial" w:eastAsia="Arial" w:hAnsi="Arial"/>
          <w:sz w:val="25"/>
          <w:szCs w:val="25"/>
          <w:color w:val="3F00C5"/>
        </w:rPr>
        <w:t>Will the Annual Meeting be available for replay?</w:t>
      </w:r>
    </w:p>
    <w:p>
      <w:pPr>
        <w:spacing w:after="0" w:line="82" w:lineRule="exact"/>
        <w:rPr>
          <w:sz w:val="20"/>
          <w:szCs w:val="20"/>
          <w:color w:val="auto"/>
        </w:rPr>
      </w:pPr>
    </w:p>
    <w:p>
      <w:pPr>
        <w:ind w:left="140"/>
        <w:spacing w:after="0" w:line="295" w:lineRule="auto"/>
        <w:rPr>
          <w:sz w:val="20"/>
          <w:szCs w:val="20"/>
          <w:color w:val="auto"/>
        </w:rPr>
      </w:pPr>
      <w:r>
        <w:rPr>
          <w:rFonts w:ascii="Arial" w:cs="Arial" w:eastAsia="Arial" w:hAnsi="Arial"/>
          <w:sz w:val="16"/>
          <w:szCs w:val="16"/>
          <w:color w:val="auto"/>
        </w:rPr>
        <w:t xml:space="preserve">A replay of the Annual Meeting will be made publicly available approximately 24 hours after the Annual Meeting at </w:t>
      </w:r>
      <w:r>
        <w:rPr>
          <w:rFonts w:ascii="Arial" w:cs="Arial" w:eastAsia="Arial" w:hAnsi="Arial"/>
          <w:sz w:val="16"/>
          <w:szCs w:val="16"/>
          <w:b w:val="1"/>
          <w:bCs w:val="1"/>
          <w:color w:val="2069E7"/>
        </w:rPr>
        <w:t>www.virtualshareholdermeeting.com/REGN2026</w:t>
      </w:r>
      <w:r>
        <w:rPr>
          <w:rFonts w:ascii="Arial" w:cs="Arial" w:eastAsia="Arial" w:hAnsi="Arial"/>
          <w:sz w:val="16"/>
          <w:szCs w:val="16"/>
          <w:color w:val="auto"/>
        </w:rPr>
        <w:t>. The replay will be available for one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color w:val="3F00C5"/>
        </w:rPr>
        <w:t>Why did I receive the Notice?</w:t>
      </w:r>
    </w:p>
    <w:p>
      <w:pPr>
        <w:spacing w:after="0" w:line="180" w:lineRule="exact"/>
        <w:rPr>
          <w:sz w:val="20"/>
          <w:szCs w:val="20"/>
          <w:color w:val="auto"/>
        </w:rPr>
      </w:pPr>
    </w:p>
    <w:p>
      <w:pPr>
        <w:ind w:right="199"/>
        <w:spacing w:after="0" w:line="289" w:lineRule="auto"/>
        <w:rPr>
          <w:sz w:val="20"/>
          <w:szCs w:val="20"/>
          <w:color w:val="auto"/>
        </w:rPr>
      </w:pPr>
      <w:r>
        <w:rPr>
          <w:rFonts w:ascii="Arial" w:cs="Arial" w:eastAsia="Arial" w:hAnsi="Arial"/>
          <w:sz w:val="16"/>
          <w:szCs w:val="16"/>
          <w:color w:val="auto"/>
        </w:rPr>
        <w:t>We sent you the Notice regarding this proxy statement because Regeneron’s board of directors is asking (technically called soliciting) holders of common stock and Class A stock to provide proxies to be voted at our 2026 Annual Meeting of Shareholders or at any adjournment(s) or postponement(s) of the meeting.</w:t>
      </w:r>
    </w:p>
    <w:p>
      <w:pPr>
        <w:spacing w:after="0" w:line="107" w:lineRule="exact"/>
        <w:rPr>
          <w:sz w:val="20"/>
          <w:szCs w:val="20"/>
          <w:color w:val="auto"/>
        </w:rPr>
      </w:pPr>
    </w:p>
    <w:p>
      <w:pPr>
        <w:sectPr>
          <w:pgSz w:w="11900" w:h="16838" w:orient="portrait"/>
          <w:cols w:equalWidth="0" w:num="2">
            <w:col w:w="4300" w:space="360"/>
            <w:col w:w="4359"/>
          </w:cols>
          <w:pgMar w:left="1440" w:top="657" w:right="1440" w:bottom="1440" w:gutter="0" w:footer="0" w:header="0"/>
          <w:type w:val="continuous"/>
        </w:sectPr>
      </w:pPr>
    </w:p>
    <w:p>
      <w:pPr>
        <w:ind w:left="140" w:right="100"/>
        <w:spacing w:after="0" w:line="264" w:lineRule="auto"/>
        <w:rPr>
          <w:sz w:val="20"/>
          <w:szCs w:val="20"/>
          <w:color w:val="auto"/>
        </w:rPr>
      </w:pPr>
      <w:r>
        <w:rPr>
          <w:rFonts w:ascii="Arial" w:cs="Arial" w:eastAsia="Arial" w:hAnsi="Arial"/>
          <w:sz w:val="25"/>
          <w:szCs w:val="25"/>
          <w:color w:val="3F00C5"/>
        </w:rPr>
        <w:t>Why did I receive a notice in the mail regarding the Internet availability of proxy materials instead of a paper copy of the proxy materials?</w:t>
      </w:r>
    </w:p>
    <w:p>
      <w:pPr>
        <w:spacing w:after="0" w:line="107" w:lineRule="exact"/>
        <w:rPr>
          <w:sz w:val="20"/>
          <w:szCs w:val="20"/>
          <w:color w:val="auto"/>
        </w:rPr>
      </w:pPr>
    </w:p>
    <w:p>
      <w:pPr>
        <w:ind w:left="140" w:right="40"/>
        <w:spacing w:after="0" w:line="283" w:lineRule="auto"/>
        <w:rPr>
          <w:sz w:val="20"/>
          <w:szCs w:val="20"/>
          <w:color w:val="auto"/>
        </w:rPr>
      </w:pPr>
      <w:r>
        <w:rPr>
          <w:rFonts w:ascii="Arial" w:cs="Arial" w:eastAsia="Arial" w:hAnsi="Arial"/>
          <w:sz w:val="16"/>
          <w:szCs w:val="16"/>
          <w:color w:val="auto"/>
        </w:rPr>
        <w:t>The “Notice and Access” rules of the SEC permit us to furnish proxy materials, including this proxy statement and our 2025 Annual Report, to our shareholders by providing access to such documents on the Internet instead of mailing printed copies. Most shareholders received the Notice and will not receive printed copies of the proxy materials unless they request them. This method reduces the environmental impact of the Annual Meeting. The Notice will be mailed beginning on or about April 24, 2026. The Notice includes instructions on how you may access and review all of our proxy materials and the 2025 Annual Report via the Internet. The Notice also includes instructions on how you may vote your shares. If you would like to receive a paper or electronic copy of our proxy materials, you should follow the instructions in the Notice for requesting such materials. Any request to receive proxy materials by mail or e-mail will remain in effect until you revoke it.</w:t>
      </w:r>
    </w:p>
    <w:p>
      <w:pPr>
        <w:spacing w:after="0" w:line="245" w:lineRule="exact"/>
        <w:rPr>
          <w:sz w:val="20"/>
          <w:szCs w:val="20"/>
          <w:color w:val="auto"/>
        </w:rPr>
      </w:pPr>
    </w:p>
    <w:p>
      <w:pPr>
        <w:ind w:left="140" w:right="440"/>
        <w:spacing w:after="0" w:line="285" w:lineRule="auto"/>
        <w:rPr>
          <w:sz w:val="20"/>
          <w:szCs w:val="20"/>
          <w:color w:val="auto"/>
        </w:rPr>
      </w:pPr>
      <w:r>
        <w:rPr>
          <w:rFonts w:ascii="Arial" w:cs="Arial" w:eastAsia="Arial" w:hAnsi="Arial"/>
          <w:sz w:val="25"/>
          <w:szCs w:val="25"/>
          <w:color w:val="3F00C5"/>
        </w:rPr>
        <w:t>Can I vote my shares by filling out and returning the Notice?</w:t>
      </w:r>
    </w:p>
    <w:p>
      <w:pPr>
        <w:spacing w:after="0" w:line="82" w:lineRule="exact"/>
        <w:rPr>
          <w:sz w:val="20"/>
          <w:szCs w:val="20"/>
          <w:color w:val="auto"/>
        </w:rPr>
      </w:pPr>
    </w:p>
    <w:p>
      <w:pPr>
        <w:ind w:left="140"/>
        <w:spacing w:after="0" w:line="291" w:lineRule="auto"/>
        <w:rPr>
          <w:sz w:val="20"/>
          <w:szCs w:val="20"/>
          <w:color w:val="auto"/>
        </w:rPr>
      </w:pPr>
      <w:r>
        <w:rPr>
          <w:rFonts w:ascii="Arial" w:cs="Arial" w:eastAsia="Arial" w:hAnsi="Arial"/>
          <w:sz w:val="16"/>
          <w:szCs w:val="16"/>
          <w:color w:val="auto"/>
        </w:rPr>
        <w:t>No. The Notice identifies the items to be voted on at the Annual Meeting, but you cannot vote by marking the Notice and returning it. The Notice provides instructions on how to vote via the Internet, by requesting and returning a paper proxy card, or by voting at the meeting.</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25"/>
          <w:szCs w:val="25"/>
          <w:color w:val="3F00C5"/>
        </w:rPr>
        <w:t>How are proxies voted?</w:t>
      </w:r>
    </w:p>
    <w:p>
      <w:pPr>
        <w:spacing w:after="0" w:line="180" w:lineRule="exact"/>
        <w:rPr>
          <w:sz w:val="20"/>
          <w:szCs w:val="20"/>
          <w:color w:val="auto"/>
        </w:rPr>
      </w:pPr>
    </w:p>
    <w:p>
      <w:pPr>
        <w:ind w:right="219"/>
        <w:spacing w:after="0" w:line="285" w:lineRule="auto"/>
        <w:rPr>
          <w:sz w:val="20"/>
          <w:szCs w:val="20"/>
          <w:color w:val="auto"/>
        </w:rPr>
      </w:pPr>
      <w:r>
        <w:rPr>
          <w:rFonts w:ascii="Arial" w:cs="Arial" w:eastAsia="Arial" w:hAnsi="Arial"/>
          <w:sz w:val="16"/>
          <w:szCs w:val="16"/>
          <w:color w:val="auto"/>
        </w:rPr>
        <w:t>If you vote by proxy in time for it to be voted at the Annual Meeting, one of the individuals named as your proxy will vote your shares as you have directed. If you submit a proxy, but no indication is given as to how to vote your shares as to a proposal, your shares will be voted in the manner recommended by the board of directors. The board of directors knows of no matter, other than those indicated above under “What is on the agenda for the meeting?”, to be presented at the Annual Meeting. If any other matter properly comes before the Annual Meeting, the persons named and designated as proxies will vote your shares in their discretion.</w:t>
      </w:r>
    </w:p>
    <w:p>
      <w:pPr>
        <w:spacing w:after="0" w:line="232" w:lineRule="exact"/>
        <w:rPr>
          <w:sz w:val="20"/>
          <w:szCs w:val="20"/>
          <w:color w:val="auto"/>
        </w:rPr>
      </w:pPr>
    </w:p>
    <w:p>
      <w:pPr>
        <w:ind w:right="339"/>
        <w:spacing w:after="0" w:line="272" w:lineRule="auto"/>
        <w:rPr>
          <w:sz w:val="20"/>
          <w:szCs w:val="20"/>
          <w:color w:val="auto"/>
        </w:rPr>
      </w:pPr>
      <w:r>
        <w:rPr>
          <w:rFonts w:ascii="Arial" w:cs="Arial" w:eastAsia="Arial" w:hAnsi="Arial"/>
          <w:sz w:val="25"/>
          <w:szCs w:val="25"/>
          <w:color w:val="3F00C5"/>
        </w:rPr>
        <w:t>Why didn’t I receive a notice in the mail about the Internet availability of the proxy materials?</w:t>
      </w:r>
    </w:p>
    <w:p>
      <w:pPr>
        <w:spacing w:after="0" w:line="97" w:lineRule="exact"/>
        <w:rPr>
          <w:sz w:val="20"/>
          <w:szCs w:val="20"/>
          <w:color w:val="auto"/>
        </w:rPr>
      </w:pPr>
    </w:p>
    <w:p>
      <w:pPr>
        <w:ind w:right="139"/>
        <w:spacing w:after="0" w:line="286" w:lineRule="auto"/>
        <w:rPr>
          <w:sz w:val="20"/>
          <w:szCs w:val="20"/>
          <w:color w:val="auto"/>
        </w:rPr>
      </w:pPr>
      <w:r>
        <w:rPr>
          <w:rFonts w:ascii="Arial" w:cs="Arial" w:eastAsia="Arial" w:hAnsi="Arial"/>
          <w:sz w:val="16"/>
          <w:szCs w:val="16"/>
          <w:color w:val="auto"/>
        </w:rPr>
        <w:t>Shareholders who previously elected to receive proxy materials by e-mail will not receive the Notice in the mail. Instead, these shareholders should have received an e-mail with links to the proxy materials and the proxy voting website. Shareholders who have previously asked to receive paper copies of the proxy materials and shareholders who participate and hold shares of common stock in the Regeneron Pharmaceuticals, Inc. 401(k) Savings Plan or the Regeneron Ireland Share Participation Plan will receive paper copies of the proxy materials.</w:t>
      </w:r>
    </w:p>
    <w:p>
      <w:pPr>
        <w:spacing w:after="0" w:line="891" w:lineRule="exact"/>
        <w:rPr>
          <w:sz w:val="20"/>
          <w:szCs w:val="20"/>
          <w:color w:val="auto"/>
        </w:rPr>
      </w:pPr>
    </w:p>
    <w:p>
      <w:pPr>
        <w:sectPr>
          <w:pgSz w:w="11900" w:h="16838" w:orient="portrait"/>
          <w:cols w:equalWidth="0" w:num="2">
            <w:col w:w="4340" w:space="320"/>
            <w:col w:w="435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103</w:t>
            </w:r>
          </w:p>
        </w:tc>
      </w:tr>
    </w:tbl>
    <w:p>
      <w:pPr>
        <w:sectPr>
          <w:pgSz w:w="11900" w:h="16838" w:orient="portrait"/>
          <w:cols w:equalWidth="0" w:num="1">
            <w:col w:w="9019"/>
          </w:cols>
          <w:pgMar w:left="1440" w:top="657" w:right="1440" w:bottom="1440" w:gutter="0" w:footer="0" w:header="0"/>
          <w:type w:val="continuous"/>
        </w:sectPr>
      </w:pPr>
    </w:p>
    <w:bookmarkStart w:id="112" w:name="page113"/>
    <w:bookmarkEnd w:id="112"/>
    <w:p>
      <w:pPr>
        <w:ind w:left="240"/>
        <w:spacing w:after="0"/>
        <w:tabs>
          <w:tab w:leader="none" w:pos="1260" w:val="left"/>
          <w:tab w:leader="none" w:pos="2680" w:val="left"/>
          <w:tab w:leader="none" w:pos="4440" w:val="left"/>
          <w:tab w:leader="none" w:pos="5660" w:val="left"/>
          <w:tab w:leader="none" w:pos="790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r>
      <w:r>
        <w:rPr>
          <w:sz w:val="20"/>
          <w:szCs w:val="20"/>
          <w:color w:val="auto"/>
        </w:rPr>
        <w:tab/>
      </w:r>
      <w:r>
        <w:rPr>
          <w:rFonts w:ascii="Arial" w:cs="Arial" w:eastAsia="Arial" w:hAnsi="Arial"/>
          <w:sz w:val="13"/>
          <w:szCs w:val="13"/>
          <w:b w:val="1"/>
          <w:bCs w:val="1"/>
          <w:color w:val="343434"/>
        </w:rPr>
        <w:t>Other Matters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What constitutes a quorum?</w:t>
      </w:r>
    </w:p>
    <w:p>
      <w:pPr>
        <w:spacing w:after="0" w:line="180" w:lineRule="exact"/>
        <w:rPr>
          <w:sz w:val="20"/>
          <w:szCs w:val="20"/>
          <w:color w:val="auto"/>
        </w:rPr>
      </w:pPr>
    </w:p>
    <w:p>
      <w:pPr>
        <w:ind w:left="140"/>
        <w:spacing w:after="0" w:line="285" w:lineRule="auto"/>
        <w:rPr>
          <w:sz w:val="20"/>
          <w:szCs w:val="20"/>
          <w:color w:val="auto"/>
        </w:rPr>
      </w:pPr>
      <w:r>
        <w:rPr>
          <w:rFonts w:ascii="Arial" w:cs="Arial" w:eastAsia="Arial" w:hAnsi="Arial"/>
          <w:sz w:val="16"/>
          <w:szCs w:val="16"/>
          <w:color w:val="auto"/>
        </w:rPr>
        <w:t>The presence at the Annual Meeting, in person or by proxy, of the holders as of the record date of shares of common stock and Class A stock having a majority of the voting power of all shares of common stock and Class A stock outstanding on the record date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purposes of establishing a quorum.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419"/>
        <w:spacing w:after="0" w:line="258" w:lineRule="auto"/>
        <w:rPr>
          <w:sz w:val="20"/>
          <w:szCs w:val="20"/>
          <w:color w:val="auto"/>
        </w:rPr>
      </w:pPr>
      <w:r>
        <w:rPr>
          <w:rFonts w:ascii="Arial" w:cs="Arial" w:eastAsia="Arial" w:hAnsi="Arial"/>
          <w:sz w:val="25"/>
          <w:szCs w:val="25"/>
          <w:color w:val="3F00C5"/>
        </w:rPr>
        <w:t>What if during the Annual Meeting I have technical difficulties or trouble accessing the virtual</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color w:val="3F00C5"/>
        </w:rPr>
        <w:t>meeting website?</w:t>
      </w:r>
    </w:p>
    <w:p>
      <w:pPr>
        <w:spacing w:after="0" w:line="156" w:lineRule="exact"/>
        <w:rPr>
          <w:sz w:val="20"/>
          <w:szCs w:val="20"/>
          <w:color w:val="auto"/>
        </w:rPr>
      </w:pPr>
    </w:p>
    <w:p>
      <w:pPr>
        <w:ind w:right="239"/>
        <w:spacing w:after="0" w:line="290" w:lineRule="auto"/>
        <w:rPr>
          <w:sz w:val="20"/>
          <w:szCs w:val="20"/>
          <w:color w:val="auto"/>
        </w:rPr>
      </w:pPr>
      <w:r>
        <w:rPr>
          <w:rFonts w:ascii="Arial" w:cs="Arial" w:eastAsia="Arial" w:hAnsi="Arial"/>
          <w:sz w:val="16"/>
          <w:szCs w:val="16"/>
          <w:color w:val="auto"/>
        </w:rPr>
        <w:t xml:space="preserve">We will have technicians ready to assist you with any technical difficulties you may have accessing the virtual meeting website. If you encounter any difficulties accessing the virtual meeting website during the meeting time, please call the technical support number that will be posted at </w:t>
      </w:r>
      <w:r>
        <w:rPr>
          <w:rFonts w:ascii="Arial" w:cs="Arial" w:eastAsia="Arial" w:hAnsi="Arial"/>
          <w:sz w:val="16"/>
          <w:szCs w:val="16"/>
          <w:b w:val="1"/>
          <w:bCs w:val="1"/>
          <w:color w:val="2069E7"/>
        </w:rPr>
        <w:t>www.virtualshareholdermeeting.com/</w:t>
      </w:r>
      <w:r>
        <w:rPr>
          <w:rFonts w:ascii="Arial" w:cs="Arial" w:eastAsia="Arial" w:hAnsi="Arial"/>
          <w:sz w:val="16"/>
          <w:szCs w:val="16"/>
          <w:color w:val="auto"/>
        </w:rPr>
        <w:t xml:space="preserve"> </w:t>
      </w:r>
      <w:r>
        <w:rPr>
          <w:rFonts w:ascii="Arial" w:cs="Arial" w:eastAsia="Arial" w:hAnsi="Arial"/>
          <w:sz w:val="16"/>
          <w:szCs w:val="16"/>
          <w:b w:val="1"/>
          <w:bCs w:val="1"/>
          <w:color w:val="2069E7"/>
        </w:rPr>
        <w:t>REGN2026</w:t>
      </w:r>
      <w:r>
        <w:rPr>
          <w:rFonts w:ascii="Arial" w:cs="Arial" w:eastAsia="Arial" w:hAnsi="Arial"/>
          <w:sz w:val="16"/>
          <w:szCs w:val="16"/>
          <w:color w:val="000000"/>
        </w:rPr>
        <w:t>.</w:t>
      </w:r>
    </w:p>
    <w:p>
      <w:pPr>
        <w:spacing w:after="0" w:line="217" w:lineRule="exact"/>
        <w:rPr>
          <w:sz w:val="20"/>
          <w:szCs w:val="20"/>
          <w:color w:val="auto"/>
        </w:rPr>
      </w:pPr>
    </w:p>
    <w:p>
      <w:pPr>
        <w:sectPr>
          <w:pgSz w:w="11900" w:h="16838" w:orient="portrait"/>
          <w:cols w:equalWidth="0" w:num="2">
            <w:col w:w="4320" w:space="340"/>
            <w:col w:w="4359"/>
          </w:cols>
          <w:pgMar w:left="1440" w:top="657" w:right="1440" w:bottom="1440" w:gutter="0" w:footer="0" w:header="0"/>
          <w:type w:val="continuous"/>
        </w:sectPr>
      </w:pPr>
    </w:p>
    <w:p>
      <w:pPr>
        <w:spacing w:after="0" w:line="176" w:lineRule="exact"/>
        <w:rPr>
          <w:sz w:val="20"/>
          <w:szCs w:val="20"/>
          <w:color w:val="auto"/>
        </w:rPr>
      </w:pPr>
    </w:p>
    <w:p>
      <w:pPr>
        <w:ind w:left="140" w:right="440"/>
        <w:spacing w:after="0" w:line="285" w:lineRule="auto"/>
        <w:rPr>
          <w:sz w:val="20"/>
          <w:szCs w:val="20"/>
          <w:color w:val="auto"/>
        </w:rPr>
      </w:pPr>
      <w:r>
        <w:rPr>
          <w:rFonts w:ascii="Arial" w:cs="Arial" w:eastAsia="Arial" w:hAnsi="Arial"/>
          <w:sz w:val="25"/>
          <w:szCs w:val="25"/>
          <w:color w:val="3F00C5"/>
        </w:rPr>
        <w:t>How can I vote my shares without attending the Annual Meeting?</w:t>
      </w:r>
    </w:p>
    <w:p>
      <w:pPr>
        <w:spacing w:after="0" w:line="82" w:lineRule="exact"/>
        <w:rPr>
          <w:sz w:val="20"/>
          <w:szCs w:val="20"/>
          <w:color w:val="auto"/>
        </w:rPr>
      </w:pPr>
    </w:p>
    <w:p>
      <w:pPr>
        <w:jc w:val="both"/>
        <w:ind w:left="140" w:right="140"/>
        <w:spacing w:after="0" w:line="295" w:lineRule="auto"/>
        <w:rPr>
          <w:sz w:val="20"/>
          <w:szCs w:val="20"/>
          <w:color w:val="auto"/>
        </w:rPr>
      </w:pPr>
      <w:r>
        <w:rPr>
          <w:rFonts w:ascii="Arial" w:cs="Arial" w:eastAsia="Arial" w:hAnsi="Arial"/>
          <w:sz w:val="16"/>
          <w:szCs w:val="16"/>
          <w:color w:val="auto"/>
        </w:rPr>
        <w:t>We recommend that shareholders vote by proxy even if they plan to attend the Annual Meeting via the Internet. If you are a shareholder of record, there are three ways to vote by proxy:</w:t>
      </w:r>
    </w:p>
    <w:p>
      <w:pPr>
        <w:spacing w:after="0" w:line="108" w:lineRule="exact"/>
        <w:rPr>
          <w:sz w:val="20"/>
          <w:szCs w:val="20"/>
          <w:color w:val="auto"/>
        </w:rPr>
      </w:pPr>
    </w:p>
    <w:p>
      <w:pPr>
        <w:ind w:left="140"/>
        <w:spacing w:after="0" w:line="288" w:lineRule="auto"/>
        <w:rPr>
          <w:sz w:val="20"/>
          <w:szCs w:val="20"/>
          <w:color w:val="auto"/>
        </w:rPr>
      </w:pPr>
      <w:r>
        <w:rPr>
          <w:rFonts w:ascii="Arial" w:cs="Arial" w:eastAsia="Arial" w:hAnsi="Arial"/>
          <w:sz w:val="16"/>
          <w:szCs w:val="16"/>
          <w:b w:val="1"/>
          <w:bCs w:val="1"/>
          <w:color w:val="auto"/>
        </w:rPr>
        <w:t xml:space="preserve">Via the Internet. </w:t>
      </w:r>
      <w:r>
        <w:rPr>
          <w:rFonts w:ascii="Arial" w:cs="Arial" w:eastAsia="Arial" w:hAnsi="Arial"/>
          <w:sz w:val="16"/>
          <w:szCs w:val="16"/>
          <w:color w:val="auto"/>
        </w:rPr>
        <w:t>You may vote by proxy via the Internet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visiting </w:t>
      </w:r>
      <w:r>
        <w:rPr>
          <w:rFonts w:ascii="Arial" w:cs="Arial" w:eastAsia="Arial" w:hAnsi="Arial"/>
          <w:sz w:val="16"/>
          <w:szCs w:val="16"/>
          <w:b w:val="1"/>
          <w:bCs w:val="1"/>
          <w:color w:val="2069E7"/>
        </w:rPr>
        <w:t>www.proxyvote.com</w:t>
      </w:r>
      <w:r>
        <w:rPr>
          <w:rFonts w:ascii="Arial" w:cs="Arial" w:eastAsia="Arial" w:hAnsi="Arial"/>
          <w:sz w:val="16"/>
          <w:szCs w:val="16"/>
          <w:color w:val="auto"/>
        </w:rPr>
        <w:t>. You will need the 16-digit control number included on the Notice or, if you received a paper copy of the proxy materials, the proxy card or voting instruction form you received. You may vote via the Internet through 11:59 p.m., Eastern Time, on June 11, 2026.</w:t>
      </w:r>
    </w:p>
    <w:p>
      <w:pPr>
        <w:spacing w:after="0" w:line="102" w:lineRule="exact"/>
        <w:rPr>
          <w:sz w:val="20"/>
          <w:szCs w:val="20"/>
          <w:color w:val="auto"/>
        </w:rPr>
      </w:pPr>
    </w:p>
    <w:p>
      <w:pPr>
        <w:ind w:left="140" w:right="100"/>
        <w:spacing w:after="0" w:line="289" w:lineRule="auto"/>
        <w:rPr>
          <w:sz w:val="20"/>
          <w:szCs w:val="20"/>
          <w:color w:val="auto"/>
        </w:rPr>
      </w:pPr>
      <w:r>
        <w:rPr>
          <w:rFonts w:ascii="Arial" w:cs="Arial" w:eastAsia="Arial" w:hAnsi="Arial"/>
          <w:sz w:val="16"/>
          <w:szCs w:val="16"/>
          <w:b w:val="1"/>
          <w:bCs w:val="1"/>
          <w:color w:val="auto"/>
        </w:rPr>
        <w:t xml:space="preserve">Via telephone. </w:t>
      </w:r>
      <w:r>
        <w:rPr>
          <w:rFonts w:ascii="Arial" w:cs="Arial" w:eastAsia="Arial" w:hAnsi="Arial"/>
          <w:sz w:val="16"/>
          <w:szCs w:val="16"/>
          <w:color w:val="auto"/>
        </w:rPr>
        <w:t>You may vote by proxy via telephone by</w:t>
      </w:r>
      <w:r>
        <w:rPr>
          <w:rFonts w:ascii="Arial" w:cs="Arial" w:eastAsia="Arial" w:hAnsi="Arial"/>
          <w:sz w:val="16"/>
          <w:szCs w:val="16"/>
          <w:b w:val="1"/>
          <w:bCs w:val="1"/>
          <w:color w:val="auto"/>
        </w:rPr>
        <w:t xml:space="preserve"> </w:t>
      </w:r>
      <w:r>
        <w:rPr>
          <w:rFonts w:ascii="Arial" w:cs="Arial" w:eastAsia="Arial" w:hAnsi="Arial"/>
          <w:sz w:val="16"/>
          <w:szCs w:val="16"/>
          <w:color w:val="auto"/>
        </w:rPr>
        <w:t>calling the toll-free number found on the proxy card or the voting instruction form. You will need the 16-digit control number included on the proxy card or voting instruction form. You may vote via telephone through 11:59 p.m., Eastern Time, on June 11, 2026.</w:t>
      </w:r>
    </w:p>
    <w:p>
      <w:pPr>
        <w:spacing w:after="0" w:line="115" w:lineRule="exact"/>
        <w:rPr>
          <w:sz w:val="20"/>
          <w:szCs w:val="20"/>
          <w:color w:val="auto"/>
        </w:rPr>
      </w:pPr>
    </w:p>
    <w:p>
      <w:pPr>
        <w:ind w:left="140" w:right="80"/>
        <w:spacing w:after="0" w:line="295" w:lineRule="auto"/>
        <w:rPr>
          <w:sz w:val="20"/>
          <w:szCs w:val="20"/>
          <w:color w:val="auto"/>
        </w:rPr>
      </w:pPr>
      <w:r>
        <w:rPr>
          <w:rFonts w:ascii="Arial" w:cs="Arial" w:eastAsia="Arial" w:hAnsi="Arial"/>
          <w:sz w:val="16"/>
          <w:szCs w:val="16"/>
          <w:b w:val="1"/>
          <w:bCs w:val="1"/>
          <w:color w:val="auto"/>
        </w:rPr>
        <w:t xml:space="preserve">By mail. </w:t>
      </w:r>
      <w:r>
        <w:rPr>
          <w:rFonts w:ascii="Arial" w:cs="Arial" w:eastAsia="Arial" w:hAnsi="Arial"/>
          <w:sz w:val="16"/>
          <w:szCs w:val="16"/>
          <w:color w:val="auto"/>
        </w:rPr>
        <w:t>If you received printed copies of the proxy</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you may vote by proxy by completing the proxy card or voting instruction form and returning it in the envelope provided.</w:t>
      </w:r>
    </w:p>
    <w:p>
      <w:pPr>
        <w:spacing w:after="0" w:line="221" w:lineRule="exact"/>
        <w:rPr>
          <w:sz w:val="20"/>
          <w:szCs w:val="20"/>
          <w:color w:val="auto"/>
        </w:rPr>
      </w:pPr>
    </w:p>
    <w:p>
      <w:pPr>
        <w:ind w:left="140" w:right="580"/>
        <w:spacing w:after="0" w:line="285" w:lineRule="auto"/>
        <w:rPr>
          <w:sz w:val="20"/>
          <w:szCs w:val="20"/>
          <w:color w:val="auto"/>
        </w:rPr>
      </w:pPr>
      <w:r>
        <w:rPr>
          <w:rFonts w:ascii="Arial" w:cs="Arial" w:eastAsia="Arial" w:hAnsi="Arial"/>
          <w:sz w:val="25"/>
          <w:szCs w:val="25"/>
          <w:color w:val="3F00C5"/>
        </w:rPr>
        <w:t>How can I attend and vote at the Annual Meeting?</w:t>
      </w:r>
    </w:p>
    <w:p>
      <w:pPr>
        <w:spacing w:after="0" w:line="82" w:lineRule="exact"/>
        <w:rPr>
          <w:sz w:val="20"/>
          <w:szCs w:val="20"/>
          <w:color w:val="auto"/>
        </w:rPr>
      </w:pPr>
    </w:p>
    <w:p>
      <w:pPr>
        <w:ind w:left="140" w:right="220"/>
        <w:spacing w:after="0" w:line="288" w:lineRule="auto"/>
        <w:rPr>
          <w:sz w:val="20"/>
          <w:szCs w:val="20"/>
          <w:color w:val="auto"/>
        </w:rPr>
      </w:pPr>
      <w:r>
        <w:rPr>
          <w:rFonts w:ascii="Arial" w:cs="Arial" w:eastAsia="Arial" w:hAnsi="Arial"/>
          <w:sz w:val="16"/>
          <w:szCs w:val="16"/>
          <w:color w:val="auto"/>
        </w:rPr>
        <w:t xml:space="preserve">You may attend the Annual Meeting via the Internet at </w:t>
      </w:r>
      <w:r>
        <w:rPr>
          <w:rFonts w:ascii="Arial" w:cs="Arial" w:eastAsia="Arial" w:hAnsi="Arial"/>
          <w:sz w:val="16"/>
          <w:szCs w:val="16"/>
          <w:b w:val="1"/>
          <w:bCs w:val="1"/>
          <w:color w:val="2069E7"/>
        </w:rPr>
        <w:t>www.virtualshareholdermeeting.com/REGN2026</w:t>
      </w:r>
      <w:r>
        <w:rPr>
          <w:rFonts w:ascii="Arial" w:cs="Arial" w:eastAsia="Arial" w:hAnsi="Arial"/>
          <w:sz w:val="16"/>
          <w:szCs w:val="16"/>
          <w:color w:val="000000"/>
        </w:rPr>
        <w:t>.</w:t>
      </w:r>
      <w:r>
        <w:rPr>
          <w:rFonts w:ascii="Arial" w:cs="Arial" w:eastAsia="Arial" w:hAnsi="Arial"/>
          <w:sz w:val="16"/>
          <w:szCs w:val="16"/>
          <w:b w:val="1"/>
          <w:bCs w:val="1"/>
          <w:color w:val="2069E7"/>
        </w:rPr>
        <w:t xml:space="preserve"> </w:t>
      </w:r>
      <w:r>
        <w:rPr>
          <w:rFonts w:ascii="Arial" w:cs="Arial" w:eastAsia="Arial" w:hAnsi="Arial"/>
          <w:sz w:val="16"/>
          <w:szCs w:val="16"/>
          <w:color w:val="000000"/>
        </w:rPr>
        <w:t>Shareholders who use the 16-digit control number that was furnished to them (either on the Notice or, if you received a paper copy of the proxy materials, the proxy card or voting instruction form you received) to log on to the meeting will be able to vote during the meeting.</w:t>
      </w:r>
    </w:p>
    <w:p>
      <w:pPr>
        <w:spacing w:after="0" w:line="20" w:lineRule="exact"/>
        <w:rPr>
          <w:sz w:val="20"/>
          <w:szCs w:val="20"/>
          <w:color w:val="auto"/>
        </w:rPr>
      </w:pPr>
      <w:r>
        <w:rPr>
          <w:sz w:val="20"/>
          <w:szCs w:val="20"/>
          <w:color w:val="auto"/>
        </w:rPr>
        <w:br w:type="column"/>
      </w:r>
    </w:p>
    <w:p>
      <w:pPr>
        <w:ind w:right="159"/>
        <w:spacing w:after="0" w:line="259" w:lineRule="auto"/>
        <w:rPr>
          <w:sz w:val="20"/>
          <w:szCs w:val="20"/>
          <w:color w:val="auto"/>
        </w:rPr>
      </w:pPr>
      <w:r>
        <w:rPr>
          <w:rFonts w:ascii="Arial" w:cs="Arial" w:eastAsia="Arial" w:hAnsi="Arial"/>
          <w:sz w:val="25"/>
          <w:szCs w:val="25"/>
          <w:color w:val="3F00C5"/>
        </w:rPr>
        <w:t>If I am a Regeneron employee or former employee, how do I vote shares in the Company Stock Fund in my 401(k) account or in the Regeneron Ireland Share Participation Plan?</w:t>
      </w:r>
    </w:p>
    <w:p>
      <w:pPr>
        <w:spacing w:after="0" w:line="118" w:lineRule="exact"/>
        <w:rPr>
          <w:sz w:val="20"/>
          <w:szCs w:val="20"/>
          <w:color w:val="auto"/>
        </w:rPr>
      </w:pPr>
    </w:p>
    <w:p>
      <w:pPr>
        <w:ind w:right="259"/>
        <w:spacing w:after="0" w:line="281" w:lineRule="auto"/>
        <w:rPr>
          <w:sz w:val="20"/>
          <w:szCs w:val="20"/>
          <w:color w:val="auto"/>
        </w:rPr>
      </w:pPr>
      <w:r>
        <w:rPr>
          <w:rFonts w:ascii="Arial" w:cs="Arial" w:eastAsia="Arial" w:hAnsi="Arial"/>
          <w:sz w:val="16"/>
          <w:szCs w:val="16"/>
          <w:color w:val="auto"/>
        </w:rPr>
        <w:t>If you participate and hold shares of common stock in the Regeneron Pharmaceuticals, Inc. 401(k) Savings Plan, you may provide voting instructions to Fidelity Management Trust Company, the plan’s trustee,</w:t>
      </w:r>
    </w:p>
    <w:p>
      <w:pPr>
        <w:spacing w:after="0" w:line="2" w:lineRule="exact"/>
        <w:rPr>
          <w:sz w:val="20"/>
          <w:szCs w:val="20"/>
          <w:color w:val="auto"/>
        </w:rPr>
      </w:pPr>
    </w:p>
    <w:p>
      <w:pPr>
        <w:ind w:right="239" w:firstLine="6"/>
        <w:spacing w:after="0" w:line="281" w:lineRule="auto"/>
        <w:tabs>
          <w:tab w:leader="none" w:pos="243"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through the Internet at </w:t>
      </w:r>
      <w:r>
        <w:rPr>
          <w:rFonts w:ascii="Arial" w:cs="Arial" w:eastAsia="Arial" w:hAnsi="Arial"/>
          <w:sz w:val="16"/>
          <w:szCs w:val="16"/>
          <w:b w:val="1"/>
          <w:bCs w:val="1"/>
          <w:color w:val="2069E7"/>
        </w:rPr>
        <w:t>www.proxyvote.com</w:t>
      </w:r>
      <w:r>
        <w:rPr>
          <w:rFonts w:ascii="Arial" w:cs="Arial" w:eastAsia="Arial" w:hAnsi="Arial"/>
          <w:sz w:val="16"/>
          <w:szCs w:val="16"/>
          <w:color w:val="auto"/>
        </w:rPr>
        <w:t xml:space="preserve"> by 11:59 p.m., Eastern Time, on June 9, 2026, (2) by calling</w:t>
      </w:r>
    </w:p>
    <w:p>
      <w:pPr>
        <w:spacing w:after="0" w:line="1" w:lineRule="exact"/>
        <w:rPr>
          <w:rFonts w:ascii="Arial" w:cs="Arial" w:eastAsia="Arial" w:hAnsi="Arial"/>
          <w:sz w:val="16"/>
          <w:szCs w:val="16"/>
          <w:color w:val="auto"/>
        </w:rPr>
      </w:pPr>
    </w:p>
    <w:p>
      <w:pPr>
        <w:ind w:right="179"/>
        <w:spacing w:after="0" w:line="287" w:lineRule="auto"/>
        <w:rPr>
          <w:rFonts w:ascii="Arial" w:cs="Arial" w:eastAsia="Arial" w:hAnsi="Arial"/>
          <w:sz w:val="16"/>
          <w:szCs w:val="16"/>
          <w:color w:val="auto"/>
        </w:rPr>
      </w:pPr>
      <w:r>
        <w:rPr>
          <w:rFonts w:ascii="Arial" w:cs="Arial" w:eastAsia="Arial" w:hAnsi="Arial"/>
          <w:sz w:val="16"/>
          <w:szCs w:val="16"/>
          <w:color w:val="auto"/>
        </w:rPr>
        <w:t>1-800-690-6903 by 11:59 p.m., Eastern Time, on June 9, 2026, or (3) by returning your completed proxy card by mail. The trustee will vote your shares in accordance with your instructions. If you do not provide timely voting instructions to the trustee, the trustee will vote your shares in the same proportion as the shares for which the trustee receives voting instructions from other participants in the plan.</w:t>
      </w:r>
    </w:p>
    <w:p>
      <w:pPr>
        <w:spacing w:after="0" w:line="103" w:lineRule="exact"/>
        <w:rPr>
          <w:sz w:val="20"/>
          <w:szCs w:val="20"/>
          <w:color w:val="auto"/>
        </w:rPr>
      </w:pPr>
    </w:p>
    <w:p>
      <w:pPr>
        <w:ind w:right="139"/>
        <w:spacing w:after="0" w:line="286" w:lineRule="auto"/>
        <w:rPr>
          <w:sz w:val="20"/>
          <w:szCs w:val="20"/>
          <w:color w:val="auto"/>
        </w:rPr>
      </w:pPr>
      <w:r>
        <w:rPr>
          <w:rFonts w:ascii="Arial" w:cs="Arial" w:eastAsia="Arial" w:hAnsi="Arial"/>
          <w:sz w:val="16"/>
          <w:szCs w:val="16"/>
          <w:color w:val="auto"/>
        </w:rPr>
        <w:t>If you participate and hold shares of common stock in the Regeneron Ireland Share Participation Plan, you may provide voting instructions to Mercer Ireland Limited (an affiliate of Marsh), who administers the Plan on behalf of Irish Pensions Trust Limited, the trustees of the Plan. You will receive a voting instruction form by mail sent directly to your home address, which you should complete, sign, and return to Mercer by mail using the enclosed pre-paid envelope or as an e-mail attachment in accordance with the instructions provided by Mercer.</w:t>
      </w:r>
    </w:p>
    <w:p>
      <w:pPr>
        <w:spacing w:after="0" w:line="1348" w:lineRule="exact"/>
        <w:rPr>
          <w:sz w:val="20"/>
          <w:szCs w:val="20"/>
          <w:color w:val="auto"/>
        </w:rPr>
      </w:pPr>
    </w:p>
    <w:p>
      <w:pPr>
        <w:sectPr>
          <w:pgSz w:w="11900" w:h="16838" w:orient="portrait"/>
          <w:cols w:equalWidth="0" w:num="2">
            <w:col w:w="4340" w:space="320"/>
            <w:col w:w="4359"/>
          </w:cols>
          <w:pgMar w:left="1440" w:top="657" w:right="1440" w:bottom="1440" w:gutter="0" w:footer="0" w:header="0"/>
          <w:type w:val="continuous"/>
        </w:sectPr>
      </w:pPr>
    </w:p>
    <w:p>
      <w:pPr>
        <w:spacing w:after="0" w:line="29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
              <w:spacing w:after="0"/>
              <w:rPr>
                <w:sz w:val="20"/>
                <w:szCs w:val="20"/>
                <w:color w:val="auto"/>
              </w:rPr>
            </w:pPr>
            <w:r>
              <w:rPr>
                <w:rFonts w:ascii="Arial" w:cs="Arial" w:eastAsia="Arial" w:hAnsi="Arial"/>
                <w:sz w:val="14"/>
                <w:szCs w:val="14"/>
                <w:b w:val="1"/>
                <w:bCs w:val="1"/>
                <w:color w:val="065BAA"/>
                <w:w w:val="94"/>
              </w:rPr>
              <w:t>104</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113" w:name="page114"/>
    <w:bookmarkEnd w:id="113"/>
    <w:p>
      <w:pPr>
        <w:ind w:left="240"/>
        <w:spacing w:after="0"/>
        <w:tabs>
          <w:tab w:leader="none" w:pos="1260" w:val="left"/>
          <w:tab w:leader="none" w:pos="2680" w:val="left"/>
          <w:tab w:leader="none" w:pos="4440" w:val="left"/>
          <w:tab w:leader="none" w:pos="5660" w:val="left"/>
          <w:tab w:leader="none" w:pos="790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r>
      <w:r>
        <w:rPr>
          <w:sz w:val="20"/>
          <w:szCs w:val="20"/>
          <w:color w:val="auto"/>
        </w:rPr>
        <w:tab/>
      </w:r>
      <w:r>
        <w:rPr>
          <w:rFonts w:ascii="Arial" w:cs="Arial" w:eastAsia="Arial" w:hAnsi="Arial"/>
          <w:sz w:val="13"/>
          <w:szCs w:val="13"/>
          <w:b w:val="1"/>
          <w:bCs w:val="1"/>
          <w:color w:val="343434"/>
        </w:rPr>
        <w:t>Other Matters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right="600"/>
        <w:spacing w:after="0" w:line="285" w:lineRule="auto"/>
        <w:rPr>
          <w:sz w:val="20"/>
          <w:szCs w:val="20"/>
          <w:color w:val="auto"/>
        </w:rPr>
      </w:pPr>
      <w:r>
        <w:rPr>
          <w:rFonts w:ascii="Arial" w:cs="Arial" w:eastAsia="Arial" w:hAnsi="Arial"/>
          <w:sz w:val="25"/>
          <w:szCs w:val="25"/>
          <w:color w:val="3F00C5"/>
        </w:rPr>
        <w:t>Can I change my vote or revoke my proxy?</w:t>
      </w:r>
    </w:p>
    <w:p>
      <w:pPr>
        <w:spacing w:after="0" w:line="82" w:lineRule="exact"/>
        <w:rPr>
          <w:sz w:val="20"/>
          <w:szCs w:val="20"/>
          <w:color w:val="auto"/>
        </w:rPr>
      </w:pPr>
    </w:p>
    <w:p>
      <w:pPr>
        <w:ind w:left="140"/>
        <w:spacing w:after="0" w:line="284" w:lineRule="auto"/>
        <w:rPr>
          <w:sz w:val="20"/>
          <w:szCs w:val="20"/>
          <w:color w:val="auto"/>
        </w:rPr>
      </w:pPr>
      <w:r>
        <w:rPr>
          <w:rFonts w:ascii="Arial" w:cs="Arial" w:eastAsia="Arial" w:hAnsi="Arial"/>
          <w:sz w:val="16"/>
          <w:szCs w:val="16"/>
          <w:color w:val="auto"/>
        </w:rPr>
        <w:t>Yes. You may change your vote or revoke your proxy at any time before the proxy is exercised by voting again electronically through the Internet or by telephone, by mailing a new proxy card or voting instruction form, or by attending the Annual Meeting (via the Internet) and voting. If you are a record holder, you may also revoke your proxy by filing with the Secretary of the Company, at or before the taking of the vote at the Annual Meeting, a written notice of revocation bearing a later date than the proxy you previously submitted. Attendance at the Annual Meeting will not have the effect of revoking a proxy unless you vote at the Annual Meeting. If you hold your shares through a broker, bank, or other nominee in “street name,” you will need to contact them or follow the instructions in the voting instruction form used by the firm that holds your shares to revoke your proxy. Only your latest dated proxy we receive at or prior to the Annual Meeting will be counted.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19"/>
        <w:spacing w:after="0" w:line="285" w:lineRule="auto"/>
        <w:rPr>
          <w:sz w:val="20"/>
          <w:szCs w:val="20"/>
          <w:color w:val="auto"/>
        </w:rPr>
      </w:pPr>
      <w:r>
        <w:rPr>
          <w:rFonts w:ascii="Arial" w:cs="Arial" w:eastAsia="Arial" w:hAnsi="Arial"/>
          <w:sz w:val="25"/>
          <w:szCs w:val="25"/>
          <w:color w:val="3F00C5"/>
        </w:rPr>
        <w:t>Who solicits proxies and bears the cost of solicitation?</w:t>
      </w:r>
    </w:p>
    <w:p>
      <w:pPr>
        <w:spacing w:after="0" w:line="82" w:lineRule="exact"/>
        <w:rPr>
          <w:sz w:val="20"/>
          <w:szCs w:val="20"/>
          <w:color w:val="auto"/>
        </w:rPr>
      </w:pPr>
    </w:p>
    <w:p>
      <w:pPr>
        <w:ind w:right="139"/>
        <w:spacing w:after="0" w:line="284" w:lineRule="auto"/>
        <w:rPr>
          <w:sz w:val="20"/>
          <w:szCs w:val="20"/>
          <w:color w:val="auto"/>
        </w:rPr>
      </w:pPr>
      <w:r>
        <w:rPr>
          <w:rFonts w:ascii="Arial" w:cs="Arial" w:eastAsia="Arial" w:hAnsi="Arial"/>
          <w:sz w:val="16"/>
          <w:szCs w:val="16"/>
          <w:color w:val="auto"/>
        </w:rPr>
        <w:t>Solicitation of proxies may be made by mail, in person, or by telephone by officers, directors, and other employees of the Company, by employees of the Company’s transfer agent, Equiniti Trust Company, LLC (“Equiniti”), and by employees of Broadridge Financial Solutions, Inc. (“Broadridge”). We will reimburse Equiniti, Broadridge, and our banks, brokers, and other custodians, nominees, and fiduciaries for their respective reasonable costs in the preparation and mailing of proxy materials to shareholders. In addition, we have engaged Innisfree M&amp;A Incorporated to assist in the solicitation of proxies and provide related advice and informational support for a service fee of $25,000 and the reimbursement of customary disbursements and expenses. We will bear all costs of the solicitation of proxies.</w:t>
      </w:r>
    </w:p>
    <w:p>
      <w:pPr>
        <w:spacing w:after="0" w:line="853" w:lineRule="exact"/>
        <w:rPr>
          <w:sz w:val="20"/>
          <w:szCs w:val="20"/>
          <w:color w:val="auto"/>
        </w:rPr>
      </w:pPr>
    </w:p>
    <w:p>
      <w:pPr>
        <w:sectPr>
          <w:pgSz w:w="11900" w:h="16838" w:orient="portrait"/>
          <w:cols w:equalWidth="0" w:num="2">
            <w:col w:w="4300" w:space="360"/>
            <w:col w:w="4359"/>
          </w:cols>
          <w:pgMar w:left="1440" w:top="657" w:right="1440" w:bottom="1440" w:gutter="0" w:footer="0" w:header="0"/>
          <w:type w:val="continuous"/>
        </w:sectPr>
      </w:pPr>
    </w:p>
    <w:p>
      <w:pPr>
        <w:spacing w:after="0" w:line="31"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What are the board’s recommendations?</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board of directors recommends that you vote:</w:t>
      </w:r>
    </w:p>
    <w:p>
      <w:pPr>
        <w:spacing w:after="0" w:line="38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election of each of the five nominated directors (Proposal No. 1)</w:t>
      </w:r>
    </w:p>
    <w:p>
      <w:pPr>
        <w:spacing w:after="0" w:line="235" w:lineRule="exact"/>
        <w:rPr>
          <w:sz w:val="20"/>
          <w:szCs w:val="20"/>
          <w:color w:val="auto"/>
        </w:rPr>
      </w:pPr>
    </w:p>
    <w:p>
      <w:pPr>
        <w:ind w:left="700" w:right="1159"/>
        <w:spacing w:after="0" w:line="321"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ratification of the appointment of PricewaterhouseCoopers LLP as the Company’s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public accounting firm for 2026 (Proposal No. 2)</w:t>
      </w:r>
    </w:p>
    <w:p>
      <w:pPr>
        <w:spacing w:after="0" w:line="129" w:lineRule="exact"/>
        <w:rPr>
          <w:sz w:val="20"/>
          <w:szCs w:val="20"/>
          <w:color w:val="auto"/>
        </w:rPr>
      </w:pPr>
    </w:p>
    <w:p>
      <w:pPr>
        <w:ind w:left="700" w:right="599"/>
        <w:spacing w:after="0" w:line="321"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approval of the compensation of the Company’s Named Executive Officers as disclosed in these proxy</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(say-on-pay) (Proposal No.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105</w:t>
            </w:r>
          </w:p>
        </w:tc>
      </w:tr>
    </w:tbl>
    <w:p>
      <w:pPr>
        <w:sectPr>
          <w:pgSz w:w="11900" w:h="16838" w:orient="portrait"/>
          <w:cols w:equalWidth="0" w:num="1">
            <w:col w:w="9019"/>
          </w:cols>
          <w:pgMar w:left="1440" w:top="657" w:right="1440" w:bottom="1440" w:gutter="0" w:footer="0" w:header="0"/>
          <w:type w:val="continuous"/>
        </w:sectPr>
      </w:pPr>
    </w:p>
    <w:bookmarkStart w:id="114" w:name="page115"/>
    <w:bookmarkEnd w:id="114"/>
    <w:p>
      <w:pPr>
        <w:ind w:left="240"/>
        <w:spacing w:after="0"/>
        <w:tabs>
          <w:tab w:leader="none" w:pos="1260" w:val="left"/>
          <w:tab w:leader="none" w:pos="2680" w:val="left"/>
          <w:tab w:leader="none" w:pos="4440" w:val="left"/>
          <w:tab w:leader="none" w:pos="5660" w:val="left"/>
          <w:tab w:leader="none" w:pos="790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r>
      <w:r>
        <w:rPr>
          <w:sz w:val="20"/>
          <w:szCs w:val="20"/>
          <w:color w:val="auto"/>
        </w:rPr>
        <w:tab/>
      </w:r>
      <w:r>
        <w:rPr>
          <w:rFonts w:ascii="Arial" w:cs="Arial" w:eastAsia="Arial" w:hAnsi="Arial"/>
          <w:sz w:val="13"/>
          <w:szCs w:val="13"/>
          <w:b w:val="1"/>
          <w:bCs w:val="1"/>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25"/>
          <w:szCs w:val="25"/>
          <w:color w:val="3F00C5"/>
        </w:rPr>
        <w:t>What vote is required to approve each proposal?</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summarizes the voting requirements applicable to the proposals to be voted on at the Annual Meeting:</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0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0" w:type="dxa"/>
            <w:vAlign w:val="bottom"/>
          </w:tcPr>
          <w:p>
            <w:pPr>
              <w:ind w:left="80"/>
              <w:spacing w:after="0"/>
              <w:rPr>
                <w:sz w:val="20"/>
                <w:szCs w:val="20"/>
                <w:color w:val="auto"/>
              </w:rPr>
            </w:pPr>
            <w:r>
              <w:rPr>
                <w:rFonts w:ascii="Arial" w:cs="Arial" w:eastAsia="Arial" w:hAnsi="Arial"/>
                <w:sz w:val="16"/>
                <w:szCs w:val="16"/>
                <w:b w:val="1"/>
                <w:bCs w:val="1"/>
                <w:color w:val="065BAA"/>
              </w:rPr>
              <w:t>Effect of</w:t>
            </w:r>
          </w:p>
        </w:tc>
        <w:tc>
          <w:tcPr>
            <w:tcW w:w="1580" w:type="dxa"/>
            <w:vAlign w:val="bottom"/>
          </w:tcPr>
          <w:p>
            <w:pPr>
              <w:ind w:left="80"/>
              <w:spacing w:after="0"/>
              <w:rPr>
                <w:sz w:val="20"/>
                <w:szCs w:val="20"/>
                <w:color w:val="auto"/>
              </w:rPr>
            </w:pPr>
            <w:r>
              <w:rPr>
                <w:rFonts w:ascii="Arial" w:cs="Arial" w:eastAsia="Arial" w:hAnsi="Arial"/>
                <w:sz w:val="16"/>
                <w:szCs w:val="16"/>
                <w:b w:val="1"/>
                <w:bCs w:val="1"/>
                <w:color w:val="065BAA"/>
              </w:rPr>
              <w:t>Broker</w:t>
            </w:r>
          </w:p>
        </w:tc>
        <w:tc>
          <w:tcPr>
            <w:tcW w:w="0" w:type="dxa"/>
            <w:vAlign w:val="bottom"/>
          </w:tcPr>
          <w:p>
            <w:pPr>
              <w:spacing w:after="0"/>
              <w:rPr>
                <w:sz w:val="1"/>
                <w:szCs w:val="1"/>
                <w:color w:val="auto"/>
              </w:rPr>
            </w:pPr>
          </w:p>
        </w:tc>
      </w:tr>
      <w:tr>
        <w:trPr>
          <w:trHeight w:val="179"/>
        </w:trPr>
        <w:tc>
          <w:tcPr>
            <w:tcW w:w="20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600" w:type="dxa"/>
            <w:vAlign w:val="bottom"/>
          </w:tcPr>
          <w:p>
            <w:pPr>
              <w:ind w:left="80"/>
              <w:spacing w:after="0" w:line="179" w:lineRule="exact"/>
              <w:rPr>
                <w:sz w:val="20"/>
                <w:szCs w:val="20"/>
                <w:color w:val="auto"/>
              </w:rPr>
            </w:pPr>
            <w:r>
              <w:rPr>
                <w:rFonts w:ascii="Arial" w:cs="Arial" w:eastAsia="Arial" w:hAnsi="Arial"/>
                <w:sz w:val="16"/>
                <w:szCs w:val="16"/>
                <w:b w:val="1"/>
                <w:bCs w:val="1"/>
                <w:color w:val="065BAA"/>
              </w:rPr>
              <w:t>Abstentions and</w:t>
            </w:r>
          </w:p>
        </w:tc>
        <w:tc>
          <w:tcPr>
            <w:tcW w:w="1580" w:type="dxa"/>
            <w:vAlign w:val="bottom"/>
          </w:tcPr>
          <w:p>
            <w:pPr>
              <w:ind w:left="80"/>
              <w:spacing w:after="0" w:line="179" w:lineRule="exact"/>
              <w:rPr>
                <w:sz w:val="20"/>
                <w:szCs w:val="20"/>
                <w:color w:val="auto"/>
              </w:rPr>
            </w:pPr>
            <w:r>
              <w:rPr>
                <w:rFonts w:ascii="Arial" w:cs="Arial" w:eastAsia="Arial" w:hAnsi="Arial"/>
                <w:sz w:val="16"/>
                <w:szCs w:val="16"/>
                <w:b w:val="1"/>
                <w:bCs w:val="1"/>
                <w:color w:val="065BAA"/>
              </w:rPr>
              <w:t>Discretionary</w:t>
            </w:r>
          </w:p>
        </w:tc>
        <w:tc>
          <w:tcPr>
            <w:tcW w:w="0" w:type="dxa"/>
            <w:vAlign w:val="bottom"/>
          </w:tcPr>
          <w:p>
            <w:pPr>
              <w:spacing w:after="0"/>
              <w:rPr>
                <w:sz w:val="1"/>
                <w:szCs w:val="1"/>
                <w:color w:val="auto"/>
              </w:rPr>
            </w:pPr>
          </w:p>
        </w:tc>
      </w:tr>
      <w:tr>
        <w:trPr>
          <w:trHeight w:val="267"/>
        </w:trPr>
        <w:tc>
          <w:tcPr>
            <w:tcW w:w="2080" w:type="dxa"/>
            <w:vAlign w:val="bottom"/>
            <w:tcBorders>
              <w:bottom w:val="single" w:sz="8" w:color="065BAA"/>
            </w:tcBorders>
          </w:tcPr>
          <w:p>
            <w:pPr>
              <w:ind w:left="80"/>
              <w:spacing w:after="0"/>
              <w:rPr>
                <w:sz w:val="20"/>
                <w:szCs w:val="20"/>
                <w:color w:val="auto"/>
              </w:rPr>
            </w:pPr>
            <w:r>
              <w:rPr>
                <w:rFonts w:ascii="Arial" w:cs="Arial" w:eastAsia="Arial" w:hAnsi="Arial"/>
                <w:sz w:val="16"/>
                <w:szCs w:val="16"/>
                <w:b w:val="1"/>
                <w:bCs w:val="1"/>
                <w:color w:val="065BAA"/>
              </w:rPr>
              <w:t>Proposal</w:t>
            </w:r>
          </w:p>
        </w:tc>
        <w:tc>
          <w:tcPr>
            <w:tcW w:w="3500" w:type="dxa"/>
            <w:vAlign w:val="bottom"/>
            <w:tcBorders>
              <w:bottom w:val="single" w:sz="8" w:color="065BAA"/>
            </w:tcBorders>
          </w:tcPr>
          <w:p>
            <w:pPr>
              <w:ind w:left="120"/>
              <w:spacing w:after="0"/>
              <w:rPr>
                <w:sz w:val="20"/>
                <w:szCs w:val="20"/>
                <w:color w:val="auto"/>
              </w:rPr>
            </w:pPr>
            <w:r>
              <w:rPr>
                <w:rFonts w:ascii="Arial" w:cs="Arial" w:eastAsia="Arial" w:hAnsi="Arial"/>
                <w:sz w:val="16"/>
                <w:szCs w:val="16"/>
                <w:b w:val="1"/>
                <w:bCs w:val="1"/>
                <w:color w:val="065BAA"/>
              </w:rPr>
              <w:t>Vote Required</w:t>
            </w:r>
          </w:p>
        </w:tc>
        <w:tc>
          <w:tcPr>
            <w:tcW w:w="1600" w:type="dxa"/>
            <w:vAlign w:val="bottom"/>
            <w:tcBorders>
              <w:bottom w:val="single" w:sz="8" w:color="065BAA"/>
            </w:tcBorders>
          </w:tcPr>
          <w:p>
            <w:pPr>
              <w:ind w:left="80"/>
              <w:spacing w:after="0"/>
              <w:rPr>
                <w:sz w:val="20"/>
                <w:szCs w:val="20"/>
                <w:color w:val="auto"/>
              </w:rPr>
            </w:pPr>
            <w:r>
              <w:rPr>
                <w:rFonts w:ascii="Arial" w:cs="Arial" w:eastAsia="Arial" w:hAnsi="Arial"/>
                <w:sz w:val="16"/>
                <w:szCs w:val="16"/>
                <w:b w:val="1"/>
                <w:bCs w:val="1"/>
                <w:color w:val="065BAA"/>
              </w:rPr>
              <w:t>Broker Non-Votes</w:t>
            </w:r>
            <w:r>
              <w:rPr>
                <w:rFonts w:ascii="Arial" w:cs="Arial" w:eastAsia="Arial" w:hAnsi="Arial"/>
                <w:sz w:val="21"/>
                <w:szCs w:val="21"/>
                <w:b w:val="1"/>
                <w:bCs w:val="1"/>
                <w:color w:val="065BAA"/>
                <w:vertAlign w:val="superscript"/>
              </w:rPr>
              <w:t>*</w:t>
            </w:r>
          </w:p>
        </w:tc>
        <w:tc>
          <w:tcPr>
            <w:tcW w:w="1580" w:type="dxa"/>
            <w:vAlign w:val="bottom"/>
            <w:tcBorders>
              <w:bottom w:val="single" w:sz="8" w:color="065BAA"/>
            </w:tcBorders>
          </w:tcPr>
          <w:p>
            <w:pPr>
              <w:ind w:left="80"/>
              <w:spacing w:after="0"/>
              <w:rPr>
                <w:sz w:val="20"/>
                <w:szCs w:val="20"/>
                <w:color w:val="auto"/>
              </w:rPr>
            </w:pPr>
            <w:r>
              <w:rPr>
                <w:rFonts w:ascii="Arial" w:cs="Arial" w:eastAsia="Arial" w:hAnsi="Arial"/>
                <w:sz w:val="16"/>
                <w:szCs w:val="16"/>
                <w:b w:val="1"/>
                <w:bCs w:val="1"/>
                <w:color w:val="065BAA"/>
              </w:rPr>
              <w:t>Voting Allowed?</w:t>
            </w:r>
            <w:r>
              <w:rPr>
                <w:rFonts w:ascii="Arial" w:cs="Arial" w:eastAsia="Arial" w:hAnsi="Arial"/>
                <w:sz w:val="21"/>
                <w:szCs w:val="21"/>
                <w:b w:val="1"/>
                <w:bCs w:val="1"/>
                <w:color w:val="065BAA"/>
                <w:vertAlign w:val="superscript"/>
              </w:rPr>
              <w:t>+</w:t>
            </w:r>
          </w:p>
        </w:tc>
        <w:tc>
          <w:tcPr>
            <w:tcW w:w="0" w:type="dxa"/>
            <w:vAlign w:val="bottom"/>
          </w:tcPr>
          <w:p>
            <w:pPr>
              <w:spacing w:after="0"/>
              <w:rPr>
                <w:sz w:val="1"/>
                <w:szCs w:val="1"/>
                <w:color w:val="auto"/>
              </w:rPr>
            </w:pPr>
          </w:p>
        </w:tc>
      </w:tr>
      <w:tr>
        <w:trPr>
          <w:trHeight w:val="249"/>
        </w:trPr>
        <w:tc>
          <w:tcPr>
            <w:tcW w:w="2080" w:type="dxa"/>
            <w:vAlign w:val="bottom"/>
          </w:tcPr>
          <w:p>
            <w:pPr>
              <w:ind w:left="80"/>
              <w:spacing w:after="0"/>
              <w:rPr>
                <w:sz w:val="20"/>
                <w:szCs w:val="20"/>
                <w:color w:val="auto"/>
              </w:rPr>
            </w:pPr>
            <w:r>
              <w:rPr>
                <w:rFonts w:ascii="Arial" w:cs="Arial" w:eastAsia="Arial" w:hAnsi="Arial"/>
                <w:sz w:val="16"/>
                <w:szCs w:val="16"/>
                <w:b w:val="1"/>
                <w:bCs w:val="1"/>
                <w:color w:val="auto"/>
              </w:rPr>
              <w:t>Proposal No. 1: Election</w:t>
            </w:r>
          </w:p>
        </w:tc>
        <w:tc>
          <w:tcPr>
            <w:tcW w:w="3500" w:type="dxa"/>
            <w:vAlign w:val="bottom"/>
          </w:tcPr>
          <w:p>
            <w:pPr>
              <w:ind w:left="120"/>
              <w:spacing w:after="0"/>
              <w:rPr>
                <w:sz w:val="20"/>
                <w:szCs w:val="20"/>
                <w:color w:val="auto"/>
              </w:rPr>
            </w:pPr>
            <w:r>
              <w:rPr>
                <w:rFonts w:ascii="Arial" w:cs="Arial" w:eastAsia="Arial" w:hAnsi="Arial"/>
                <w:sz w:val="16"/>
                <w:szCs w:val="16"/>
                <w:color w:val="auto"/>
              </w:rPr>
              <w:t>Majority of the votes cast. In accordance with</w:t>
            </w:r>
          </w:p>
        </w:tc>
        <w:tc>
          <w:tcPr>
            <w:tcW w:w="1600" w:type="dxa"/>
            <w:vAlign w:val="bottom"/>
          </w:tcPr>
          <w:p>
            <w:pPr>
              <w:ind w:left="80"/>
              <w:spacing w:after="0"/>
              <w:rPr>
                <w:sz w:val="20"/>
                <w:szCs w:val="20"/>
                <w:color w:val="auto"/>
              </w:rPr>
            </w:pPr>
            <w:r>
              <w:rPr>
                <w:rFonts w:ascii="Arial" w:cs="Arial" w:eastAsia="Arial" w:hAnsi="Arial"/>
                <w:sz w:val="16"/>
                <w:szCs w:val="16"/>
                <w:color w:val="auto"/>
              </w:rPr>
              <w:t>No effect – not</w:t>
            </w:r>
          </w:p>
        </w:tc>
        <w:tc>
          <w:tcPr>
            <w:tcW w:w="1580" w:type="dxa"/>
            <w:vAlign w:val="bottom"/>
          </w:tcPr>
          <w:p>
            <w:pPr>
              <w:ind w:left="80"/>
              <w:spacing w:after="0"/>
              <w:rPr>
                <w:sz w:val="20"/>
                <w:szCs w:val="20"/>
                <w:color w:val="auto"/>
              </w:rPr>
            </w:pPr>
            <w:r>
              <w:rPr>
                <w:rFonts w:ascii="Arial" w:cs="Arial" w:eastAsia="Arial" w:hAnsi="Arial"/>
                <w:sz w:val="16"/>
                <w:szCs w:val="16"/>
                <w:color w:val="auto"/>
              </w:rPr>
              <w:t>No – brokers</w:t>
            </w:r>
          </w:p>
        </w:tc>
        <w:tc>
          <w:tcPr>
            <w:tcW w:w="0" w:type="dxa"/>
            <w:vAlign w:val="bottom"/>
          </w:tcPr>
          <w:p>
            <w:pPr>
              <w:spacing w:after="0"/>
              <w:rPr>
                <w:sz w:val="1"/>
                <w:szCs w:val="1"/>
                <w:color w:val="auto"/>
              </w:rPr>
            </w:pPr>
          </w:p>
        </w:tc>
      </w:tr>
      <w:tr>
        <w:trPr>
          <w:trHeight w:val="228"/>
        </w:trPr>
        <w:tc>
          <w:tcPr>
            <w:tcW w:w="2080" w:type="dxa"/>
            <w:vAlign w:val="bottom"/>
          </w:tcPr>
          <w:p>
            <w:pPr>
              <w:ind w:left="80"/>
              <w:spacing w:after="0"/>
              <w:rPr>
                <w:sz w:val="20"/>
                <w:szCs w:val="20"/>
                <w:color w:val="auto"/>
              </w:rPr>
            </w:pPr>
            <w:r>
              <w:rPr>
                <w:rFonts w:ascii="Arial" w:cs="Arial" w:eastAsia="Arial" w:hAnsi="Arial"/>
                <w:sz w:val="16"/>
                <w:szCs w:val="16"/>
                <w:b w:val="1"/>
                <w:bCs w:val="1"/>
                <w:color w:val="auto"/>
              </w:rPr>
              <w:t>of Directors</w:t>
            </w:r>
          </w:p>
        </w:tc>
        <w:tc>
          <w:tcPr>
            <w:tcW w:w="3500" w:type="dxa"/>
            <w:vAlign w:val="bottom"/>
          </w:tcPr>
          <w:p>
            <w:pPr>
              <w:ind w:left="120"/>
              <w:spacing w:after="0"/>
              <w:rPr>
                <w:sz w:val="20"/>
                <w:szCs w:val="20"/>
                <w:color w:val="auto"/>
              </w:rPr>
            </w:pPr>
            <w:r>
              <w:rPr>
                <w:rFonts w:ascii="Arial" w:cs="Arial" w:eastAsia="Arial" w:hAnsi="Arial"/>
                <w:sz w:val="16"/>
                <w:szCs w:val="16"/>
                <w:color w:val="auto"/>
              </w:rPr>
              <w:t>our director resignation policy, an incumbent</w:t>
            </w:r>
          </w:p>
        </w:tc>
        <w:tc>
          <w:tcPr>
            <w:tcW w:w="1600" w:type="dxa"/>
            <w:vAlign w:val="bottom"/>
          </w:tcPr>
          <w:p>
            <w:pPr>
              <w:ind w:left="80"/>
              <w:spacing w:after="0"/>
              <w:rPr>
                <w:sz w:val="20"/>
                <w:szCs w:val="20"/>
                <w:color w:val="auto"/>
              </w:rPr>
            </w:pPr>
            <w:r>
              <w:rPr>
                <w:rFonts w:ascii="Arial" w:cs="Arial" w:eastAsia="Arial" w:hAnsi="Arial"/>
                <w:sz w:val="16"/>
                <w:szCs w:val="16"/>
                <w:color w:val="auto"/>
              </w:rPr>
              <w:t>considered votes</w:t>
            </w:r>
          </w:p>
        </w:tc>
        <w:tc>
          <w:tcPr>
            <w:tcW w:w="1580" w:type="dxa"/>
            <w:vAlign w:val="bottom"/>
          </w:tcPr>
          <w:p>
            <w:pPr>
              <w:ind w:left="80"/>
              <w:spacing w:after="0"/>
              <w:rPr>
                <w:sz w:val="20"/>
                <w:szCs w:val="20"/>
                <w:color w:val="auto"/>
              </w:rPr>
            </w:pPr>
            <w:r>
              <w:rPr>
                <w:rFonts w:ascii="Arial" w:cs="Arial" w:eastAsia="Arial" w:hAnsi="Arial"/>
                <w:sz w:val="16"/>
                <w:szCs w:val="16"/>
                <w:color w:val="auto"/>
              </w:rPr>
              <w:t>without voting</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500" w:type="dxa"/>
            <w:vAlign w:val="bottom"/>
          </w:tcPr>
          <w:p>
            <w:pPr>
              <w:ind w:left="120"/>
              <w:spacing w:after="0"/>
              <w:rPr>
                <w:sz w:val="20"/>
                <w:szCs w:val="20"/>
                <w:color w:val="auto"/>
              </w:rPr>
            </w:pPr>
            <w:r>
              <w:rPr>
                <w:rFonts w:ascii="Arial" w:cs="Arial" w:eastAsia="Arial" w:hAnsi="Arial"/>
                <w:sz w:val="16"/>
                <w:szCs w:val="16"/>
                <w:color w:val="auto"/>
              </w:rPr>
              <w:t>director who fails to receive the required</w:t>
            </w:r>
          </w:p>
        </w:tc>
        <w:tc>
          <w:tcPr>
            <w:tcW w:w="1600" w:type="dxa"/>
            <w:vAlign w:val="bottom"/>
          </w:tcPr>
          <w:p>
            <w:pPr>
              <w:ind w:left="80"/>
              <w:spacing w:after="0"/>
              <w:rPr>
                <w:sz w:val="20"/>
                <w:szCs w:val="20"/>
                <w:color w:val="auto"/>
              </w:rPr>
            </w:pPr>
            <w:r>
              <w:rPr>
                <w:rFonts w:ascii="Arial" w:cs="Arial" w:eastAsia="Arial" w:hAnsi="Arial"/>
                <w:sz w:val="16"/>
                <w:szCs w:val="16"/>
                <w:color w:val="auto"/>
              </w:rPr>
              <w:t>cast on this</w:t>
            </w:r>
          </w:p>
        </w:tc>
        <w:tc>
          <w:tcPr>
            <w:tcW w:w="1580" w:type="dxa"/>
            <w:vAlign w:val="bottom"/>
          </w:tcPr>
          <w:p>
            <w:pPr>
              <w:ind w:left="80"/>
              <w:spacing w:after="0"/>
              <w:rPr>
                <w:sz w:val="20"/>
                <w:szCs w:val="20"/>
                <w:color w:val="auto"/>
              </w:rPr>
            </w:pPr>
            <w:r>
              <w:rPr>
                <w:rFonts w:ascii="Arial" w:cs="Arial" w:eastAsia="Arial" w:hAnsi="Arial"/>
                <w:sz w:val="16"/>
                <w:szCs w:val="16"/>
                <w:color w:val="auto"/>
              </w:rPr>
              <w:t>instructions will not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500" w:type="dxa"/>
            <w:vAlign w:val="bottom"/>
          </w:tcPr>
          <w:p>
            <w:pPr>
              <w:ind w:left="120"/>
              <w:spacing w:after="0"/>
              <w:rPr>
                <w:sz w:val="20"/>
                <w:szCs w:val="20"/>
                <w:color w:val="auto"/>
              </w:rPr>
            </w:pPr>
            <w:r>
              <w:rPr>
                <w:rFonts w:ascii="Arial" w:cs="Arial" w:eastAsia="Arial" w:hAnsi="Arial"/>
                <w:sz w:val="16"/>
                <w:szCs w:val="16"/>
                <w:color w:val="auto"/>
              </w:rPr>
              <w:t>number of votes in an uncontested election</w:t>
            </w:r>
          </w:p>
        </w:tc>
        <w:tc>
          <w:tcPr>
            <w:tcW w:w="1600" w:type="dxa"/>
            <w:vAlign w:val="bottom"/>
          </w:tcPr>
          <w:p>
            <w:pPr>
              <w:ind w:left="80"/>
              <w:spacing w:after="0"/>
              <w:rPr>
                <w:sz w:val="20"/>
                <w:szCs w:val="20"/>
                <w:color w:val="auto"/>
              </w:rPr>
            </w:pPr>
            <w:r>
              <w:rPr>
                <w:rFonts w:ascii="Arial" w:cs="Arial" w:eastAsia="Arial" w:hAnsi="Arial"/>
                <w:sz w:val="16"/>
                <w:szCs w:val="16"/>
                <w:color w:val="auto"/>
              </w:rPr>
              <w:t>proposal</w:t>
            </w:r>
          </w:p>
        </w:tc>
        <w:tc>
          <w:tcPr>
            <w:tcW w:w="1580" w:type="dxa"/>
            <w:vAlign w:val="bottom"/>
          </w:tcPr>
          <w:p>
            <w:pPr>
              <w:ind w:left="80"/>
              <w:spacing w:after="0"/>
              <w:rPr>
                <w:sz w:val="20"/>
                <w:szCs w:val="20"/>
                <w:color w:val="auto"/>
              </w:rPr>
            </w:pPr>
            <w:r>
              <w:rPr>
                <w:rFonts w:ascii="Arial" w:cs="Arial" w:eastAsia="Arial" w:hAnsi="Arial"/>
                <w:sz w:val="16"/>
                <w:szCs w:val="16"/>
                <w:color w:val="auto"/>
              </w:rPr>
              <w:t>be able to vote on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500" w:type="dxa"/>
            <w:vAlign w:val="bottom"/>
          </w:tcPr>
          <w:p>
            <w:pPr>
              <w:ind w:left="120"/>
              <w:spacing w:after="0"/>
              <w:rPr>
                <w:sz w:val="20"/>
                <w:szCs w:val="20"/>
                <w:color w:val="auto"/>
              </w:rPr>
            </w:pPr>
            <w:r>
              <w:rPr>
                <w:rFonts w:ascii="Arial" w:cs="Arial" w:eastAsia="Arial" w:hAnsi="Arial"/>
                <w:sz w:val="16"/>
                <w:szCs w:val="16"/>
                <w:color w:val="auto"/>
              </w:rPr>
              <w:t>will be required to tender his or her</w:t>
            </w:r>
          </w:p>
        </w:tc>
        <w:tc>
          <w:tcPr>
            <w:tcW w:w="1600" w:type="dxa"/>
            <w:vAlign w:val="bottom"/>
          </w:tcPr>
          <w:p>
            <w:pPr>
              <w:spacing w:after="0"/>
              <w:rPr>
                <w:sz w:val="18"/>
                <w:szCs w:val="18"/>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this proposal</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500" w:type="dxa"/>
            <w:vAlign w:val="bottom"/>
          </w:tcPr>
          <w:p>
            <w:pPr>
              <w:ind w:left="120"/>
              <w:spacing w:after="0"/>
              <w:rPr>
                <w:sz w:val="20"/>
                <w:szCs w:val="20"/>
                <w:color w:val="auto"/>
              </w:rPr>
            </w:pPr>
            <w:r>
              <w:rPr>
                <w:rFonts w:ascii="Arial" w:cs="Arial" w:eastAsia="Arial" w:hAnsi="Arial"/>
                <w:sz w:val="16"/>
                <w:szCs w:val="16"/>
                <w:color w:val="auto"/>
              </w:rPr>
              <w:t>resignation to either co-Chair of the board of</w:t>
            </w: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500" w:type="dxa"/>
            <w:vAlign w:val="bottom"/>
          </w:tcPr>
          <w:p>
            <w:pPr>
              <w:ind w:left="120"/>
              <w:spacing w:after="0"/>
              <w:rPr>
                <w:sz w:val="20"/>
                <w:szCs w:val="20"/>
                <w:color w:val="auto"/>
              </w:rPr>
            </w:pPr>
            <w:r>
              <w:rPr>
                <w:rFonts w:ascii="Arial" w:cs="Arial" w:eastAsia="Arial" w:hAnsi="Arial"/>
                <w:sz w:val="16"/>
                <w:szCs w:val="16"/>
                <w:color w:val="auto"/>
              </w:rPr>
              <w:t>directors for consideration by the Corporate</w:t>
            </w: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500" w:type="dxa"/>
            <w:vAlign w:val="bottom"/>
          </w:tcPr>
          <w:p>
            <w:pPr>
              <w:ind w:left="120"/>
              <w:spacing w:after="0"/>
              <w:rPr>
                <w:sz w:val="20"/>
                <w:szCs w:val="20"/>
                <w:color w:val="auto"/>
              </w:rPr>
            </w:pPr>
            <w:r>
              <w:rPr>
                <w:rFonts w:ascii="Arial" w:cs="Arial" w:eastAsia="Arial" w:hAnsi="Arial"/>
                <w:sz w:val="16"/>
                <w:szCs w:val="16"/>
                <w:color w:val="auto"/>
              </w:rPr>
              <w:t>Governance and Compliance Committee.</w:t>
            </w: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2080" w:type="dxa"/>
            <w:vAlign w:val="bottom"/>
            <w:shd w:val="clear" w:color="auto" w:fill="DAEBF8"/>
          </w:tcPr>
          <w:p>
            <w:pPr>
              <w:ind w:left="80"/>
              <w:spacing w:after="0"/>
              <w:rPr>
                <w:sz w:val="20"/>
                <w:szCs w:val="20"/>
                <w:color w:val="auto"/>
              </w:rPr>
            </w:pPr>
            <w:r>
              <w:rPr>
                <w:rFonts w:ascii="Arial" w:cs="Arial" w:eastAsia="Arial" w:hAnsi="Arial"/>
                <w:sz w:val="16"/>
                <w:szCs w:val="16"/>
                <w:b w:val="1"/>
                <w:bCs w:val="1"/>
                <w:color w:val="auto"/>
              </w:rPr>
              <w:t>Proposal No. 2:</w:t>
            </w:r>
          </w:p>
        </w:tc>
        <w:tc>
          <w:tcPr>
            <w:tcW w:w="3500" w:type="dxa"/>
            <w:vAlign w:val="bottom"/>
            <w:shd w:val="clear" w:color="auto" w:fill="DAEBF8"/>
          </w:tcPr>
          <w:p>
            <w:pPr>
              <w:ind w:left="120"/>
              <w:spacing w:after="0"/>
              <w:rPr>
                <w:sz w:val="20"/>
                <w:szCs w:val="20"/>
                <w:color w:val="auto"/>
              </w:rPr>
            </w:pPr>
            <w:r>
              <w:rPr>
                <w:rFonts w:ascii="Arial" w:cs="Arial" w:eastAsia="Arial" w:hAnsi="Arial"/>
                <w:sz w:val="16"/>
                <w:szCs w:val="16"/>
                <w:color w:val="auto"/>
              </w:rPr>
              <w:t>Majority of the votes cast</w:t>
            </w:r>
          </w:p>
        </w:tc>
        <w:tc>
          <w:tcPr>
            <w:tcW w:w="1600" w:type="dxa"/>
            <w:vAlign w:val="bottom"/>
            <w:shd w:val="clear" w:color="auto" w:fill="DAEBF8"/>
          </w:tcPr>
          <w:p>
            <w:pPr>
              <w:ind w:left="80"/>
              <w:spacing w:after="0"/>
              <w:rPr>
                <w:sz w:val="20"/>
                <w:szCs w:val="20"/>
                <w:color w:val="auto"/>
              </w:rPr>
            </w:pPr>
            <w:r>
              <w:rPr>
                <w:rFonts w:ascii="Arial" w:cs="Arial" w:eastAsia="Arial" w:hAnsi="Arial"/>
                <w:sz w:val="16"/>
                <w:szCs w:val="16"/>
                <w:color w:val="auto"/>
              </w:rPr>
              <w:t>No effect – not</w:t>
            </w:r>
          </w:p>
        </w:tc>
        <w:tc>
          <w:tcPr>
            <w:tcW w:w="1580" w:type="dxa"/>
            <w:vAlign w:val="bottom"/>
            <w:shd w:val="clear" w:color="auto" w:fill="DAEBF8"/>
          </w:tcPr>
          <w:p>
            <w:pPr>
              <w:ind w:left="80"/>
              <w:spacing w:after="0"/>
              <w:rPr>
                <w:sz w:val="20"/>
                <w:szCs w:val="20"/>
                <w:color w:val="auto"/>
              </w:rPr>
            </w:pPr>
            <w:r>
              <w:rPr>
                <w:rFonts w:ascii="Arial" w:cs="Arial" w:eastAsia="Arial" w:hAnsi="Arial"/>
                <w:sz w:val="16"/>
                <w:szCs w:val="16"/>
                <w:color w:val="auto"/>
              </w:rPr>
              <w:t>Yes – brokers</w:t>
            </w:r>
          </w:p>
        </w:tc>
        <w:tc>
          <w:tcPr>
            <w:tcW w:w="0" w:type="dxa"/>
            <w:vAlign w:val="bottom"/>
          </w:tcPr>
          <w:p>
            <w:pPr>
              <w:spacing w:after="0"/>
              <w:rPr>
                <w:sz w:val="1"/>
                <w:szCs w:val="1"/>
                <w:color w:val="auto"/>
              </w:rPr>
            </w:pPr>
          </w:p>
        </w:tc>
      </w:tr>
      <w:tr>
        <w:trPr>
          <w:trHeight w:val="189"/>
        </w:trPr>
        <w:tc>
          <w:tcPr>
            <w:tcW w:w="2080" w:type="dxa"/>
            <w:vAlign w:val="bottom"/>
            <w:shd w:val="clear" w:color="auto" w:fill="DAEBF8"/>
          </w:tcPr>
          <w:p>
            <w:pPr>
              <w:ind w:left="80"/>
              <w:spacing w:after="0"/>
              <w:rPr>
                <w:sz w:val="20"/>
                <w:szCs w:val="20"/>
                <w:color w:val="auto"/>
              </w:rPr>
            </w:pPr>
            <w:r>
              <w:rPr>
                <w:rFonts w:ascii="Arial" w:cs="Arial" w:eastAsia="Arial" w:hAnsi="Arial"/>
                <w:sz w:val="16"/>
                <w:szCs w:val="16"/>
                <w:b w:val="1"/>
                <w:bCs w:val="1"/>
                <w:color w:val="auto"/>
              </w:rPr>
              <w:t>Ratification of the</w:t>
            </w:r>
          </w:p>
        </w:tc>
        <w:tc>
          <w:tcPr>
            <w:tcW w:w="3500" w:type="dxa"/>
            <w:vAlign w:val="bottom"/>
            <w:shd w:val="clear" w:color="auto" w:fill="DAEBF8"/>
          </w:tcPr>
          <w:p>
            <w:pPr>
              <w:spacing w:after="0"/>
              <w:rPr>
                <w:sz w:val="16"/>
                <w:szCs w:val="16"/>
                <w:color w:val="auto"/>
              </w:rPr>
            </w:pPr>
          </w:p>
        </w:tc>
        <w:tc>
          <w:tcPr>
            <w:tcW w:w="1600" w:type="dxa"/>
            <w:vAlign w:val="bottom"/>
            <w:shd w:val="clear" w:color="auto" w:fill="DAEBF8"/>
          </w:tcPr>
          <w:p>
            <w:pPr>
              <w:ind w:left="80"/>
              <w:spacing w:after="0"/>
              <w:rPr>
                <w:sz w:val="20"/>
                <w:szCs w:val="20"/>
                <w:color w:val="auto"/>
              </w:rPr>
            </w:pPr>
            <w:r>
              <w:rPr>
                <w:rFonts w:ascii="Arial" w:cs="Arial" w:eastAsia="Arial" w:hAnsi="Arial"/>
                <w:sz w:val="16"/>
                <w:szCs w:val="16"/>
                <w:color w:val="auto"/>
              </w:rPr>
              <w:t>considered votes</w:t>
            </w:r>
          </w:p>
        </w:tc>
        <w:tc>
          <w:tcPr>
            <w:tcW w:w="1580" w:type="dxa"/>
            <w:vAlign w:val="bottom"/>
            <w:shd w:val="clear" w:color="auto" w:fill="DAEBF8"/>
          </w:tcPr>
          <w:p>
            <w:pPr>
              <w:ind w:left="80"/>
              <w:spacing w:after="0"/>
              <w:rPr>
                <w:sz w:val="20"/>
                <w:szCs w:val="20"/>
                <w:color w:val="auto"/>
              </w:rPr>
            </w:pPr>
            <w:r>
              <w:rPr>
                <w:rFonts w:ascii="Arial" w:cs="Arial" w:eastAsia="Arial" w:hAnsi="Arial"/>
                <w:sz w:val="16"/>
                <w:szCs w:val="16"/>
                <w:color w:val="auto"/>
              </w:rPr>
              <w:t>without voting</w:t>
            </w:r>
          </w:p>
        </w:tc>
        <w:tc>
          <w:tcPr>
            <w:tcW w:w="0" w:type="dxa"/>
            <w:vAlign w:val="bottom"/>
          </w:tcPr>
          <w:p>
            <w:pPr>
              <w:spacing w:after="0"/>
              <w:rPr>
                <w:sz w:val="1"/>
                <w:szCs w:val="1"/>
                <w:color w:val="auto"/>
              </w:rPr>
            </w:pPr>
          </w:p>
        </w:tc>
      </w:tr>
      <w:tr>
        <w:trPr>
          <w:trHeight w:val="203"/>
        </w:trPr>
        <w:tc>
          <w:tcPr>
            <w:tcW w:w="2080" w:type="dxa"/>
            <w:vAlign w:val="bottom"/>
            <w:shd w:val="clear" w:color="auto" w:fill="DAEBF8"/>
          </w:tcPr>
          <w:p>
            <w:pPr>
              <w:ind w:left="80"/>
              <w:spacing w:after="0"/>
              <w:rPr>
                <w:sz w:val="20"/>
                <w:szCs w:val="20"/>
                <w:color w:val="auto"/>
              </w:rPr>
            </w:pPr>
            <w:r>
              <w:rPr>
                <w:rFonts w:ascii="Arial" w:cs="Arial" w:eastAsia="Arial" w:hAnsi="Arial"/>
                <w:sz w:val="16"/>
                <w:szCs w:val="16"/>
                <w:b w:val="1"/>
                <w:bCs w:val="1"/>
                <w:color w:val="auto"/>
              </w:rPr>
              <w:t>Appointment of</w:t>
            </w:r>
          </w:p>
        </w:tc>
        <w:tc>
          <w:tcPr>
            <w:tcW w:w="3500" w:type="dxa"/>
            <w:vAlign w:val="bottom"/>
            <w:shd w:val="clear" w:color="auto" w:fill="DAEBF8"/>
          </w:tcPr>
          <w:p>
            <w:pPr>
              <w:spacing w:after="0"/>
              <w:rPr>
                <w:sz w:val="17"/>
                <w:szCs w:val="17"/>
                <w:color w:val="auto"/>
              </w:rPr>
            </w:pPr>
          </w:p>
        </w:tc>
        <w:tc>
          <w:tcPr>
            <w:tcW w:w="1600" w:type="dxa"/>
            <w:vAlign w:val="bottom"/>
            <w:shd w:val="clear" w:color="auto" w:fill="DAEBF8"/>
          </w:tcPr>
          <w:p>
            <w:pPr>
              <w:ind w:left="80"/>
              <w:spacing w:after="0"/>
              <w:rPr>
                <w:sz w:val="20"/>
                <w:szCs w:val="20"/>
                <w:color w:val="auto"/>
              </w:rPr>
            </w:pPr>
            <w:r>
              <w:rPr>
                <w:rFonts w:ascii="Arial" w:cs="Arial" w:eastAsia="Arial" w:hAnsi="Arial"/>
                <w:sz w:val="16"/>
                <w:szCs w:val="16"/>
                <w:color w:val="auto"/>
              </w:rPr>
              <w:t>cast on this</w:t>
            </w:r>
          </w:p>
        </w:tc>
        <w:tc>
          <w:tcPr>
            <w:tcW w:w="1580" w:type="dxa"/>
            <w:vAlign w:val="bottom"/>
            <w:shd w:val="clear" w:color="auto" w:fill="DAEBF8"/>
          </w:tcPr>
          <w:p>
            <w:pPr>
              <w:ind w:left="80"/>
              <w:spacing w:after="0"/>
              <w:rPr>
                <w:sz w:val="20"/>
                <w:szCs w:val="20"/>
                <w:color w:val="auto"/>
              </w:rPr>
            </w:pPr>
            <w:r>
              <w:rPr>
                <w:rFonts w:ascii="Arial" w:cs="Arial" w:eastAsia="Arial" w:hAnsi="Arial"/>
                <w:sz w:val="16"/>
                <w:szCs w:val="16"/>
                <w:color w:val="auto"/>
              </w:rPr>
              <w:t>instructions will</w:t>
            </w:r>
          </w:p>
        </w:tc>
        <w:tc>
          <w:tcPr>
            <w:tcW w:w="0" w:type="dxa"/>
            <w:vAlign w:val="bottom"/>
          </w:tcPr>
          <w:p>
            <w:pPr>
              <w:spacing w:after="0"/>
              <w:rPr>
                <w:sz w:val="1"/>
                <w:szCs w:val="1"/>
                <w:color w:val="auto"/>
              </w:rPr>
            </w:pPr>
          </w:p>
        </w:tc>
      </w:tr>
      <w:tr>
        <w:trPr>
          <w:trHeight w:val="188"/>
        </w:trPr>
        <w:tc>
          <w:tcPr>
            <w:tcW w:w="2080" w:type="dxa"/>
            <w:vAlign w:val="bottom"/>
            <w:shd w:val="clear" w:color="auto" w:fill="DAEBF8"/>
          </w:tcPr>
          <w:p>
            <w:pPr>
              <w:ind w:left="80"/>
              <w:spacing w:after="0"/>
              <w:rPr>
                <w:sz w:val="20"/>
                <w:szCs w:val="20"/>
                <w:color w:val="auto"/>
              </w:rPr>
            </w:pPr>
            <w:r>
              <w:rPr>
                <w:rFonts w:ascii="Arial" w:cs="Arial" w:eastAsia="Arial" w:hAnsi="Arial"/>
                <w:sz w:val="16"/>
                <w:szCs w:val="16"/>
                <w:b w:val="1"/>
                <w:bCs w:val="1"/>
                <w:color w:val="auto"/>
              </w:rPr>
              <w:t>PricewaterhouseCoopers</w:t>
            </w:r>
          </w:p>
        </w:tc>
        <w:tc>
          <w:tcPr>
            <w:tcW w:w="3500" w:type="dxa"/>
            <w:vAlign w:val="bottom"/>
            <w:shd w:val="clear" w:color="auto" w:fill="DAEBF8"/>
          </w:tcPr>
          <w:p>
            <w:pPr>
              <w:spacing w:after="0"/>
              <w:rPr>
                <w:sz w:val="16"/>
                <w:szCs w:val="16"/>
                <w:color w:val="auto"/>
              </w:rPr>
            </w:pPr>
          </w:p>
        </w:tc>
        <w:tc>
          <w:tcPr>
            <w:tcW w:w="1600" w:type="dxa"/>
            <w:vAlign w:val="bottom"/>
            <w:vMerge w:val="restart"/>
            <w:shd w:val="clear" w:color="auto" w:fill="DAEBF8"/>
          </w:tcPr>
          <w:p>
            <w:pPr>
              <w:ind w:left="80"/>
              <w:spacing w:after="0"/>
              <w:rPr>
                <w:sz w:val="20"/>
                <w:szCs w:val="20"/>
                <w:color w:val="auto"/>
              </w:rPr>
            </w:pPr>
            <w:r>
              <w:rPr>
                <w:rFonts w:ascii="Arial" w:cs="Arial" w:eastAsia="Arial" w:hAnsi="Arial"/>
                <w:sz w:val="16"/>
                <w:szCs w:val="16"/>
                <w:color w:val="auto"/>
              </w:rPr>
              <w:t>proposal</w:t>
            </w:r>
          </w:p>
        </w:tc>
        <w:tc>
          <w:tcPr>
            <w:tcW w:w="1580" w:type="dxa"/>
            <w:vAlign w:val="bottom"/>
            <w:vMerge w:val="restart"/>
            <w:shd w:val="clear" w:color="auto" w:fill="DAEBF8"/>
          </w:tcPr>
          <w:p>
            <w:pPr>
              <w:ind w:left="80"/>
              <w:spacing w:after="0"/>
              <w:rPr>
                <w:sz w:val="20"/>
                <w:szCs w:val="20"/>
                <w:color w:val="auto"/>
              </w:rPr>
            </w:pPr>
            <w:r>
              <w:rPr>
                <w:rFonts w:ascii="Arial" w:cs="Arial" w:eastAsia="Arial" w:hAnsi="Arial"/>
                <w:sz w:val="16"/>
                <w:szCs w:val="16"/>
                <w:color w:val="auto"/>
              </w:rPr>
              <w:t>have discretionary</w:t>
            </w:r>
          </w:p>
        </w:tc>
        <w:tc>
          <w:tcPr>
            <w:tcW w:w="0" w:type="dxa"/>
            <w:vAlign w:val="bottom"/>
          </w:tcPr>
          <w:p>
            <w:pPr>
              <w:spacing w:after="0"/>
              <w:rPr>
                <w:sz w:val="1"/>
                <w:szCs w:val="1"/>
                <w:color w:val="auto"/>
              </w:rPr>
            </w:pPr>
          </w:p>
        </w:tc>
      </w:tr>
      <w:tr>
        <w:trPr>
          <w:trHeight w:val="80"/>
        </w:trPr>
        <w:tc>
          <w:tcPr>
            <w:tcW w:w="2080" w:type="dxa"/>
            <w:vAlign w:val="bottom"/>
            <w:vMerge w:val="restart"/>
            <w:shd w:val="clear" w:color="auto" w:fill="DAEBF8"/>
          </w:tcPr>
          <w:p>
            <w:pPr>
              <w:ind w:left="80"/>
              <w:spacing w:after="0"/>
              <w:rPr>
                <w:sz w:val="20"/>
                <w:szCs w:val="20"/>
                <w:color w:val="auto"/>
              </w:rPr>
            </w:pPr>
            <w:r>
              <w:rPr>
                <w:rFonts w:ascii="Arial" w:cs="Arial" w:eastAsia="Arial" w:hAnsi="Arial"/>
                <w:sz w:val="16"/>
                <w:szCs w:val="16"/>
                <w:b w:val="1"/>
                <w:bCs w:val="1"/>
                <w:color w:val="auto"/>
              </w:rPr>
              <w:t>LLP</w:t>
            </w:r>
          </w:p>
        </w:tc>
        <w:tc>
          <w:tcPr>
            <w:tcW w:w="3500" w:type="dxa"/>
            <w:vAlign w:val="bottom"/>
            <w:shd w:val="clear" w:color="auto" w:fill="DAEBF8"/>
          </w:tcPr>
          <w:p>
            <w:pPr>
              <w:spacing w:after="0"/>
              <w:rPr>
                <w:sz w:val="6"/>
                <w:szCs w:val="6"/>
                <w:color w:val="auto"/>
              </w:rPr>
            </w:pPr>
          </w:p>
        </w:tc>
        <w:tc>
          <w:tcPr>
            <w:tcW w:w="1600" w:type="dxa"/>
            <w:vAlign w:val="bottom"/>
            <w:vMerge w:val="continue"/>
            <w:shd w:val="clear" w:color="auto" w:fill="DAEBF8"/>
          </w:tcPr>
          <w:p>
            <w:pPr>
              <w:spacing w:after="0"/>
              <w:rPr>
                <w:sz w:val="6"/>
                <w:szCs w:val="6"/>
                <w:color w:val="auto"/>
              </w:rPr>
            </w:pPr>
          </w:p>
        </w:tc>
        <w:tc>
          <w:tcPr>
            <w:tcW w:w="1580" w:type="dxa"/>
            <w:vAlign w:val="bottom"/>
            <w:vMerge w:val="continue"/>
            <w:shd w:val="clear" w:color="auto" w:fill="DAEBF8"/>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80" w:type="dxa"/>
            <w:vAlign w:val="bottom"/>
            <w:vMerge w:val="continue"/>
            <w:shd w:val="clear" w:color="auto" w:fill="DAEBF8"/>
          </w:tcPr>
          <w:p>
            <w:pPr>
              <w:spacing w:after="0"/>
              <w:rPr>
                <w:sz w:val="12"/>
                <w:szCs w:val="12"/>
                <w:color w:val="auto"/>
              </w:rPr>
            </w:pPr>
          </w:p>
        </w:tc>
        <w:tc>
          <w:tcPr>
            <w:tcW w:w="3500" w:type="dxa"/>
            <w:vAlign w:val="bottom"/>
            <w:shd w:val="clear" w:color="auto" w:fill="DAEBF8"/>
          </w:tcPr>
          <w:p>
            <w:pPr>
              <w:spacing w:after="0"/>
              <w:rPr>
                <w:sz w:val="12"/>
                <w:szCs w:val="12"/>
                <w:color w:val="auto"/>
              </w:rPr>
            </w:pPr>
          </w:p>
        </w:tc>
        <w:tc>
          <w:tcPr>
            <w:tcW w:w="1600" w:type="dxa"/>
            <w:vAlign w:val="bottom"/>
            <w:shd w:val="clear" w:color="auto" w:fill="DAEBF8"/>
          </w:tcPr>
          <w:p>
            <w:pPr>
              <w:spacing w:after="0"/>
              <w:rPr>
                <w:sz w:val="12"/>
                <w:szCs w:val="12"/>
                <w:color w:val="auto"/>
              </w:rPr>
            </w:pPr>
          </w:p>
        </w:tc>
        <w:tc>
          <w:tcPr>
            <w:tcW w:w="1580" w:type="dxa"/>
            <w:vAlign w:val="bottom"/>
            <w:vMerge w:val="restart"/>
            <w:shd w:val="clear" w:color="auto" w:fill="DAEBF8"/>
          </w:tcPr>
          <w:p>
            <w:pPr>
              <w:ind w:left="80"/>
              <w:spacing w:after="0"/>
              <w:rPr>
                <w:sz w:val="20"/>
                <w:szCs w:val="20"/>
                <w:color w:val="auto"/>
              </w:rPr>
            </w:pPr>
            <w:r>
              <w:rPr>
                <w:rFonts w:ascii="Arial" w:cs="Arial" w:eastAsia="Arial" w:hAnsi="Arial"/>
                <w:sz w:val="16"/>
                <w:szCs w:val="16"/>
                <w:color w:val="auto"/>
              </w:rPr>
              <w:t>authority to vote</w:t>
            </w:r>
          </w:p>
        </w:tc>
        <w:tc>
          <w:tcPr>
            <w:tcW w:w="0" w:type="dxa"/>
            <w:vAlign w:val="bottom"/>
          </w:tcPr>
          <w:p>
            <w:pPr>
              <w:spacing w:after="0"/>
              <w:rPr>
                <w:sz w:val="1"/>
                <w:szCs w:val="1"/>
                <w:color w:val="auto"/>
              </w:rPr>
            </w:pPr>
          </w:p>
        </w:tc>
      </w:tr>
      <w:tr>
        <w:trPr>
          <w:trHeight w:val="95"/>
        </w:trPr>
        <w:tc>
          <w:tcPr>
            <w:tcW w:w="2080" w:type="dxa"/>
            <w:vAlign w:val="bottom"/>
            <w:tcBorders>
              <w:bottom w:val="single" w:sz="8" w:color="DAEBF8"/>
            </w:tcBorders>
            <w:shd w:val="clear" w:color="auto" w:fill="DAEBF8"/>
          </w:tcPr>
          <w:p>
            <w:pPr>
              <w:spacing w:after="0"/>
              <w:rPr>
                <w:sz w:val="8"/>
                <w:szCs w:val="8"/>
                <w:color w:val="auto"/>
              </w:rPr>
            </w:pPr>
          </w:p>
        </w:tc>
        <w:tc>
          <w:tcPr>
            <w:tcW w:w="3500" w:type="dxa"/>
            <w:vAlign w:val="bottom"/>
            <w:tcBorders>
              <w:bottom w:val="single" w:sz="8" w:color="DAEBF8"/>
            </w:tcBorders>
            <w:shd w:val="clear" w:color="auto" w:fill="DAEBF8"/>
          </w:tcPr>
          <w:p>
            <w:pPr>
              <w:spacing w:after="0"/>
              <w:rPr>
                <w:sz w:val="8"/>
                <w:szCs w:val="8"/>
                <w:color w:val="auto"/>
              </w:rPr>
            </w:pPr>
          </w:p>
        </w:tc>
        <w:tc>
          <w:tcPr>
            <w:tcW w:w="1600" w:type="dxa"/>
            <w:vAlign w:val="bottom"/>
            <w:tcBorders>
              <w:bottom w:val="single" w:sz="8" w:color="DAEBF8"/>
            </w:tcBorders>
            <w:shd w:val="clear" w:color="auto" w:fill="DAEBF8"/>
          </w:tcPr>
          <w:p>
            <w:pPr>
              <w:spacing w:after="0"/>
              <w:rPr>
                <w:sz w:val="8"/>
                <w:szCs w:val="8"/>
                <w:color w:val="auto"/>
              </w:rPr>
            </w:pPr>
          </w:p>
        </w:tc>
        <w:tc>
          <w:tcPr>
            <w:tcW w:w="1580" w:type="dxa"/>
            <w:vAlign w:val="bottom"/>
            <w:tcBorders>
              <w:bottom w:val="single" w:sz="8" w:color="DAEBF8"/>
            </w:tcBorders>
            <w:vMerge w:val="continue"/>
            <w:shd w:val="clear" w:color="auto" w:fill="DAEBF8"/>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2080" w:type="dxa"/>
            <w:vAlign w:val="bottom"/>
          </w:tcPr>
          <w:p>
            <w:pPr>
              <w:ind w:left="80"/>
              <w:spacing w:after="0"/>
              <w:rPr>
                <w:sz w:val="20"/>
                <w:szCs w:val="20"/>
                <w:color w:val="auto"/>
              </w:rPr>
            </w:pPr>
            <w:r>
              <w:rPr>
                <w:rFonts w:ascii="Arial" w:cs="Arial" w:eastAsia="Arial" w:hAnsi="Arial"/>
                <w:sz w:val="16"/>
                <w:szCs w:val="16"/>
                <w:b w:val="1"/>
                <w:bCs w:val="1"/>
                <w:color w:val="auto"/>
              </w:rPr>
              <w:t>Proposal No. 3:</w:t>
            </w:r>
          </w:p>
        </w:tc>
        <w:tc>
          <w:tcPr>
            <w:tcW w:w="3500" w:type="dxa"/>
            <w:vAlign w:val="bottom"/>
          </w:tcPr>
          <w:p>
            <w:pPr>
              <w:ind w:left="120"/>
              <w:spacing w:after="0"/>
              <w:rPr>
                <w:sz w:val="20"/>
                <w:szCs w:val="20"/>
                <w:color w:val="auto"/>
              </w:rPr>
            </w:pPr>
            <w:r>
              <w:rPr>
                <w:rFonts w:ascii="Arial" w:cs="Arial" w:eastAsia="Arial" w:hAnsi="Arial"/>
                <w:sz w:val="16"/>
                <w:szCs w:val="16"/>
                <w:color w:val="auto"/>
              </w:rPr>
              <w:t>Non-binding, advisory proposal. We will</w:t>
            </w:r>
          </w:p>
        </w:tc>
        <w:tc>
          <w:tcPr>
            <w:tcW w:w="1600" w:type="dxa"/>
            <w:vAlign w:val="bottom"/>
          </w:tcPr>
          <w:p>
            <w:pPr>
              <w:ind w:left="80"/>
              <w:spacing w:after="0"/>
              <w:rPr>
                <w:sz w:val="20"/>
                <w:szCs w:val="20"/>
                <w:color w:val="auto"/>
              </w:rPr>
            </w:pPr>
            <w:r>
              <w:rPr>
                <w:rFonts w:ascii="Arial" w:cs="Arial" w:eastAsia="Arial" w:hAnsi="Arial"/>
                <w:sz w:val="16"/>
                <w:szCs w:val="16"/>
                <w:color w:val="auto"/>
              </w:rPr>
              <w:t>No effect – not</w:t>
            </w:r>
          </w:p>
        </w:tc>
        <w:tc>
          <w:tcPr>
            <w:tcW w:w="1580" w:type="dxa"/>
            <w:vAlign w:val="bottom"/>
          </w:tcPr>
          <w:p>
            <w:pPr>
              <w:ind w:left="80"/>
              <w:spacing w:after="0"/>
              <w:rPr>
                <w:sz w:val="20"/>
                <w:szCs w:val="20"/>
                <w:color w:val="auto"/>
              </w:rPr>
            </w:pPr>
            <w:r>
              <w:rPr>
                <w:rFonts w:ascii="Arial" w:cs="Arial" w:eastAsia="Arial" w:hAnsi="Arial"/>
                <w:sz w:val="16"/>
                <w:szCs w:val="16"/>
                <w:color w:val="auto"/>
              </w:rPr>
              <w:t>No – brokers</w:t>
            </w:r>
          </w:p>
        </w:tc>
        <w:tc>
          <w:tcPr>
            <w:tcW w:w="0" w:type="dxa"/>
            <w:vAlign w:val="bottom"/>
          </w:tcPr>
          <w:p>
            <w:pPr>
              <w:spacing w:after="0"/>
              <w:rPr>
                <w:sz w:val="1"/>
                <w:szCs w:val="1"/>
                <w:color w:val="auto"/>
              </w:rPr>
            </w:pPr>
          </w:p>
        </w:tc>
      </w:tr>
      <w:tr>
        <w:trPr>
          <w:trHeight w:val="228"/>
        </w:trPr>
        <w:tc>
          <w:tcPr>
            <w:tcW w:w="2080" w:type="dxa"/>
            <w:vAlign w:val="bottom"/>
          </w:tcPr>
          <w:p>
            <w:pPr>
              <w:ind w:left="80"/>
              <w:spacing w:after="0"/>
              <w:rPr>
                <w:sz w:val="20"/>
                <w:szCs w:val="20"/>
                <w:color w:val="auto"/>
              </w:rPr>
            </w:pPr>
            <w:r>
              <w:rPr>
                <w:rFonts w:ascii="Arial" w:cs="Arial" w:eastAsia="Arial" w:hAnsi="Arial"/>
                <w:sz w:val="16"/>
                <w:szCs w:val="16"/>
                <w:b w:val="1"/>
                <w:bCs w:val="1"/>
                <w:color w:val="auto"/>
              </w:rPr>
              <w:t>Say-on-Pay</w:t>
            </w:r>
          </w:p>
        </w:tc>
        <w:tc>
          <w:tcPr>
            <w:tcW w:w="3500" w:type="dxa"/>
            <w:vAlign w:val="bottom"/>
          </w:tcPr>
          <w:p>
            <w:pPr>
              <w:ind w:left="120"/>
              <w:spacing w:after="0"/>
              <w:rPr>
                <w:sz w:val="20"/>
                <w:szCs w:val="20"/>
                <w:color w:val="auto"/>
              </w:rPr>
            </w:pPr>
            <w:r>
              <w:rPr>
                <w:rFonts w:ascii="Arial" w:cs="Arial" w:eastAsia="Arial" w:hAnsi="Arial"/>
                <w:sz w:val="16"/>
                <w:szCs w:val="16"/>
                <w:color w:val="auto"/>
              </w:rPr>
              <w:t>consider the matter approved if it receives the</w:t>
            </w:r>
          </w:p>
        </w:tc>
        <w:tc>
          <w:tcPr>
            <w:tcW w:w="1600" w:type="dxa"/>
            <w:vAlign w:val="bottom"/>
          </w:tcPr>
          <w:p>
            <w:pPr>
              <w:ind w:left="80"/>
              <w:spacing w:after="0"/>
              <w:rPr>
                <w:sz w:val="20"/>
                <w:szCs w:val="20"/>
                <w:color w:val="auto"/>
              </w:rPr>
            </w:pPr>
            <w:r>
              <w:rPr>
                <w:rFonts w:ascii="Arial" w:cs="Arial" w:eastAsia="Arial" w:hAnsi="Arial"/>
                <w:sz w:val="16"/>
                <w:szCs w:val="16"/>
                <w:color w:val="auto"/>
              </w:rPr>
              <w:t>considered votes</w:t>
            </w:r>
          </w:p>
        </w:tc>
        <w:tc>
          <w:tcPr>
            <w:tcW w:w="1580" w:type="dxa"/>
            <w:vAlign w:val="bottom"/>
          </w:tcPr>
          <w:p>
            <w:pPr>
              <w:ind w:left="80"/>
              <w:spacing w:after="0"/>
              <w:rPr>
                <w:sz w:val="20"/>
                <w:szCs w:val="20"/>
                <w:color w:val="auto"/>
              </w:rPr>
            </w:pPr>
            <w:r>
              <w:rPr>
                <w:rFonts w:ascii="Arial" w:cs="Arial" w:eastAsia="Arial" w:hAnsi="Arial"/>
                <w:sz w:val="16"/>
                <w:szCs w:val="16"/>
                <w:color w:val="auto"/>
              </w:rPr>
              <w:t>without voting</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500" w:type="dxa"/>
            <w:vAlign w:val="bottom"/>
          </w:tcPr>
          <w:p>
            <w:pPr>
              <w:ind w:left="120"/>
              <w:spacing w:after="0"/>
              <w:rPr>
                <w:sz w:val="20"/>
                <w:szCs w:val="20"/>
                <w:color w:val="auto"/>
              </w:rPr>
            </w:pPr>
            <w:r>
              <w:rPr>
                <w:rFonts w:ascii="Arial" w:cs="Arial" w:eastAsia="Arial" w:hAnsi="Arial"/>
                <w:sz w:val="16"/>
                <w:szCs w:val="16"/>
                <w:color w:val="auto"/>
              </w:rPr>
              <w:t>affirmative vote of a majority of the votes cast.</w:t>
            </w:r>
          </w:p>
        </w:tc>
        <w:tc>
          <w:tcPr>
            <w:tcW w:w="1600" w:type="dxa"/>
            <w:vAlign w:val="bottom"/>
          </w:tcPr>
          <w:p>
            <w:pPr>
              <w:ind w:left="80"/>
              <w:spacing w:after="0"/>
              <w:rPr>
                <w:sz w:val="20"/>
                <w:szCs w:val="20"/>
                <w:color w:val="auto"/>
              </w:rPr>
            </w:pPr>
            <w:r>
              <w:rPr>
                <w:rFonts w:ascii="Arial" w:cs="Arial" w:eastAsia="Arial" w:hAnsi="Arial"/>
                <w:sz w:val="16"/>
                <w:szCs w:val="16"/>
                <w:color w:val="auto"/>
              </w:rPr>
              <w:t>cast on this</w:t>
            </w:r>
          </w:p>
        </w:tc>
        <w:tc>
          <w:tcPr>
            <w:tcW w:w="1580" w:type="dxa"/>
            <w:vAlign w:val="bottom"/>
          </w:tcPr>
          <w:p>
            <w:pPr>
              <w:ind w:left="80"/>
              <w:spacing w:after="0"/>
              <w:rPr>
                <w:sz w:val="20"/>
                <w:szCs w:val="20"/>
                <w:color w:val="auto"/>
              </w:rPr>
            </w:pPr>
            <w:r>
              <w:rPr>
                <w:rFonts w:ascii="Arial" w:cs="Arial" w:eastAsia="Arial" w:hAnsi="Arial"/>
                <w:sz w:val="16"/>
                <w:szCs w:val="16"/>
                <w:color w:val="auto"/>
              </w:rPr>
              <w:t>instructions will not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6"/>
                <w:szCs w:val="16"/>
                <w:color w:val="auto"/>
              </w:rPr>
              <w:t>proposal</w:t>
            </w:r>
          </w:p>
        </w:tc>
        <w:tc>
          <w:tcPr>
            <w:tcW w:w="1580" w:type="dxa"/>
            <w:vAlign w:val="bottom"/>
          </w:tcPr>
          <w:p>
            <w:pPr>
              <w:ind w:left="80"/>
              <w:spacing w:after="0"/>
              <w:rPr>
                <w:sz w:val="20"/>
                <w:szCs w:val="20"/>
                <w:color w:val="auto"/>
              </w:rPr>
            </w:pPr>
            <w:r>
              <w:rPr>
                <w:rFonts w:ascii="Arial" w:cs="Arial" w:eastAsia="Arial" w:hAnsi="Arial"/>
                <w:sz w:val="16"/>
                <w:szCs w:val="16"/>
                <w:color w:val="auto"/>
              </w:rPr>
              <w:t>be able to vote on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this proposal</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320" w:hanging="190"/>
        <w:spacing w:after="0"/>
        <w:tabs>
          <w:tab w:leader="none" w:pos="320" w:val="left"/>
        </w:tabs>
        <w:numPr>
          <w:ilvl w:val="0"/>
          <w:numId w:val="209"/>
        </w:numPr>
        <w:rPr>
          <w:rFonts w:ascii="Arial" w:cs="Arial" w:eastAsia="Arial" w:hAnsi="Arial"/>
          <w:sz w:val="13"/>
          <w:szCs w:val="13"/>
          <w:color w:val="auto"/>
        </w:rPr>
      </w:pPr>
      <w:r>
        <w:rPr>
          <w:rFonts w:ascii="Arial" w:cs="Arial" w:eastAsia="Arial" w:hAnsi="Arial"/>
          <w:sz w:val="13"/>
          <w:szCs w:val="13"/>
          <w:color w:val="auto"/>
        </w:rPr>
        <w:t>As noted above, abstentions will be counted as present for purposes of establishing a quorum at the Annual Meeting.</w:t>
      </w:r>
    </w:p>
    <w:p>
      <w:pPr>
        <w:spacing w:after="0" w:line="40" w:lineRule="exact"/>
        <w:rPr>
          <w:sz w:val="20"/>
          <w:szCs w:val="20"/>
          <w:color w:val="auto"/>
        </w:rPr>
      </w:pPr>
    </w:p>
    <w:p>
      <w:pPr>
        <w:ind w:left="320" w:right="339" w:hanging="190"/>
        <w:spacing w:after="0" w:line="286" w:lineRule="auto"/>
        <w:tabs>
          <w:tab w:leader="none" w:pos="320" w:val="left"/>
        </w:tabs>
        <w:numPr>
          <w:ilvl w:val="0"/>
          <w:numId w:val="210"/>
        </w:numPr>
        <w:rPr>
          <w:rFonts w:ascii="Arial" w:cs="Arial" w:eastAsia="Arial" w:hAnsi="Arial"/>
          <w:sz w:val="13"/>
          <w:szCs w:val="13"/>
          <w:color w:val="auto"/>
        </w:rPr>
      </w:pPr>
      <w:r>
        <w:rPr>
          <w:rFonts w:ascii="Arial" w:cs="Arial" w:eastAsia="Arial" w:hAnsi="Arial"/>
          <w:sz w:val="13"/>
          <w:szCs w:val="13"/>
          <w:color w:val="auto"/>
        </w:rPr>
        <w:t>Only relevant if you are the beneficial owner of shares held in “street name.” If you are a shareholder of record and you do not cast your vote, no votes will be cast on your behalf on any of the items of business at the Annual Meeting.</w:t>
      </w:r>
    </w:p>
    <w:p>
      <w:pPr>
        <w:spacing w:after="0" w:line="120" w:lineRule="exact"/>
        <w:rPr>
          <w:sz w:val="20"/>
          <w:szCs w:val="20"/>
          <w:color w:val="auto"/>
        </w:rPr>
      </w:pPr>
    </w:p>
    <w:p>
      <w:pPr>
        <w:ind w:left="140" w:right="339"/>
        <w:spacing w:after="0" w:line="321" w:lineRule="auto"/>
        <w:rPr>
          <w:sz w:val="20"/>
          <w:szCs w:val="20"/>
          <w:color w:val="auto"/>
        </w:rPr>
      </w:pPr>
      <w:r>
        <w:rPr>
          <w:rFonts w:ascii="Arial" w:cs="Arial" w:eastAsia="Arial" w:hAnsi="Arial"/>
          <w:sz w:val="16"/>
          <w:szCs w:val="16"/>
          <w:color w:val="auto"/>
        </w:rPr>
        <w:t>If any other matter is properly brought before the Annual Meeting, such matter also will be determined by the affirmative vote of a majority of the votes cast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
              <w:spacing w:after="0"/>
              <w:rPr>
                <w:sz w:val="20"/>
                <w:szCs w:val="20"/>
                <w:color w:val="auto"/>
              </w:rPr>
            </w:pPr>
            <w:r>
              <w:rPr>
                <w:rFonts w:ascii="Arial" w:cs="Arial" w:eastAsia="Arial" w:hAnsi="Arial"/>
                <w:sz w:val="14"/>
                <w:szCs w:val="14"/>
                <w:b w:val="1"/>
                <w:bCs w:val="1"/>
                <w:color w:val="065BAA"/>
                <w:w w:val="94"/>
              </w:rPr>
              <w:t>106</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115" w:name="page116"/>
    <w:bookmarkEnd w:id="115"/>
    <w:p>
      <w:pPr>
        <w:ind w:left="240"/>
        <w:spacing w:after="0"/>
        <w:tabs>
          <w:tab w:leader="none" w:pos="1260" w:val="left"/>
          <w:tab w:leader="none" w:pos="2680" w:val="left"/>
          <w:tab w:leader="none" w:pos="4440" w:val="left"/>
          <w:tab w:leader="none" w:pos="5660" w:val="left"/>
          <w:tab w:leader="none" w:pos="790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r>
      <w:r>
        <w:rPr>
          <w:sz w:val="20"/>
          <w:szCs w:val="20"/>
          <w:color w:val="auto"/>
        </w:rPr>
        <w:tab/>
      </w:r>
      <w:r>
        <w:rPr>
          <w:rFonts w:ascii="Arial" w:cs="Arial" w:eastAsia="Arial" w:hAnsi="Arial"/>
          <w:sz w:val="13"/>
          <w:szCs w:val="13"/>
          <w:b w:val="1"/>
          <w:bCs w:val="1"/>
          <w:color w:val="343434"/>
        </w:rPr>
        <w:t>Other Matters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40" w:right="40"/>
        <w:spacing w:after="0" w:line="272" w:lineRule="auto"/>
        <w:rPr>
          <w:sz w:val="20"/>
          <w:szCs w:val="20"/>
          <w:color w:val="auto"/>
        </w:rPr>
      </w:pPr>
      <w:r>
        <w:rPr>
          <w:rFonts w:ascii="Arial" w:cs="Arial" w:eastAsia="Arial" w:hAnsi="Arial"/>
          <w:sz w:val="25"/>
          <w:szCs w:val="25"/>
          <w:color w:val="3F00C5"/>
        </w:rPr>
        <w:t>When are shareholder proposals and nominations due for the 2027 Annual Meeting of Shareholders?</w:t>
      </w:r>
    </w:p>
    <w:p>
      <w:pPr>
        <w:spacing w:after="0" w:line="97" w:lineRule="exact"/>
        <w:rPr>
          <w:sz w:val="20"/>
          <w:szCs w:val="20"/>
          <w:color w:val="auto"/>
        </w:rPr>
      </w:pPr>
    </w:p>
    <w:p>
      <w:pPr>
        <w:ind w:left="140"/>
        <w:spacing w:after="0" w:line="287" w:lineRule="auto"/>
        <w:rPr>
          <w:sz w:val="20"/>
          <w:szCs w:val="20"/>
          <w:color w:val="auto"/>
        </w:rPr>
      </w:pPr>
      <w:r>
        <w:rPr>
          <w:rFonts w:ascii="Arial" w:cs="Arial" w:eastAsia="Arial" w:hAnsi="Arial"/>
          <w:sz w:val="16"/>
          <w:szCs w:val="16"/>
          <w:color w:val="auto"/>
        </w:rPr>
        <w:t>A shareholder wishing to present a proposal at the 2027 Annual Meeting of Shareholders and have the proposal included in our proxy statement must submit the proposal in writing and it must be received by the Company at its principal executive offices at 777 Old Saw Mill River Road, Tarrytown, New York 10591-6707 by December 25, 2026, and must satisfy the other conditions established by the SEC.</w:t>
      </w:r>
    </w:p>
    <w:p>
      <w:pPr>
        <w:spacing w:after="0" w:line="103" w:lineRule="exact"/>
        <w:rPr>
          <w:sz w:val="20"/>
          <w:szCs w:val="20"/>
          <w:color w:val="auto"/>
        </w:rPr>
      </w:pPr>
    </w:p>
    <w:p>
      <w:pPr>
        <w:ind w:left="140"/>
        <w:spacing w:after="0" w:line="282" w:lineRule="auto"/>
        <w:rPr>
          <w:sz w:val="20"/>
          <w:szCs w:val="20"/>
          <w:color w:val="auto"/>
        </w:rPr>
      </w:pPr>
      <w:r>
        <w:rPr>
          <w:rFonts w:ascii="Arial" w:cs="Arial" w:eastAsia="Arial" w:hAnsi="Arial"/>
          <w:sz w:val="16"/>
          <w:szCs w:val="16"/>
          <w:color w:val="auto"/>
        </w:rPr>
        <w:t>Under our By-Laws, proposals of shareholders (other than proposals to be included in our proxy statement) and nominations of directors for election at the 2027 Annual Meeting may be made only by a shareholder of record who has given notice of the proposal or nomination to the Secretary of the Company at our principal executive offices no earlier than 90 days and no later than 60 days prior to the meeting; provided that if less than 70 days’ notice or public disclosure of the date of the 2027 Annual Meeting is given or made to shareholders, notice by the shareholder in order to be timely must be received no later than the close of business on the tenth day following the day on which such notice of the annual meeting was first mailed or such public disclosure of the annual meeting was made, whichever first occurs. The notice must contain certain information as specified in our By-Laws. Assuming our 2027 Annual Meeting is held on June 11, 2027 in accordance with the Company’s past practice, and at least 70 days’ notice or prior public disclosure of the date of the 2027 Annual Meeting is given or made to shareholders, notice of such proposals or nominations would need to be given no earlier than March 13, 2027 and no later than April 12, 2027. In addition to satisfying the requirements under our By-Laws relating to nominations of directors, including the deadline for written notice, to comply with the SEC’s “universal proxy rules,” shareholders who intend to solicit proxies in support of director nominees other than the Company’s nominees at the 2027 Annual Meeting in compliance with Rule 14a-19 under the Exchange Act must provide written notice containing the information required by Rule 14a-19 to our Corporate Secretary at 777 Old Saw Mill River Road, Tarrytown, New York 10591-6707 no later than April 13, 2027.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739"/>
        <w:spacing w:after="0" w:line="285" w:lineRule="auto"/>
        <w:rPr>
          <w:sz w:val="20"/>
          <w:szCs w:val="20"/>
          <w:color w:val="auto"/>
        </w:rPr>
      </w:pPr>
      <w:r>
        <w:rPr>
          <w:rFonts w:ascii="Arial" w:cs="Arial" w:eastAsia="Arial" w:hAnsi="Arial"/>
          <w:sz w:val="25"/>
          <w:szCs w:val="25"/>
          <w:color w:val="3F00C5"/>
        </w:rPr>
        <w:t>What happens if multiple shareholders share an address?</w:t>
      </w:r>
    </w:p>
    <w:p>
      <w:pPr>
        <w:spacing w:after="0" w:line="82" w:lineRule="exact"/>
        <w:rPr>
          <w:sz w:val="20"/>
          <w:szCs w:val="20"/>
          <w:color w:val="auto"/>
        </w:rPr>
      </w:pPr>
    </w:p>
    <w:p>
      <w:pPr>
        <w:ind w:right="139"/>
        <w:spacing w:after="0" w:line="282" w:lineRule="auto"/>
        <w:rPr>
          <w:sz w:val="20"/>
          <w:szCs w:val="20"/>
          <w:color w:val="auto"/>
        </w:rPr>
      </w:pPr>
      <w:r>
        <w:rPr>
          <w:rFonts w:ascii="Arial" w:cs="Arial" w:eastAsia="Arial" w:hAnsi="Arial"/>
          <w:sz w:val="16"/>
          <w:szCs w:val="16"/>
          <w:color w:val="auto"/>
        </w:rPr>
        <w:t>Applicable rules permit brokerage firms and the Company to send one Notice (or one annual report, proxy statement, and Notice in the case of shareholders who have elected to receive paper copies of our proxy materials)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copy of the applicable proxy materials to multiple shareholders sharing the same address. If you wish to receive separate copies of the proxy statement for the 2026 Annual Meeting, the 2025 Annual Report, or the Notice, you may find these materials at our internet website (</w:t>
      </w:r>
      <w:r>
        <w:rPr>
          <w:rFonts w:ascii="Arial" w:cs="Arial" w:eastAsia="Arial" w:hAnsi="Arial"/>
          <w:sz w:val="16"/>
          <w:szCs w:val="16"/>
          <w:b w:val="1"/>
          <w:bCs w:val="1"/>
          <w:color w:val="2069E7"/>
        </w:rPr>
        <w:t>www.regeneron.com</w:t>
      </w:r>
      <w:r>
        <w:rPr>
          <w:rFonts w:ascii="Arial" w:cs="Arial" w:eastAsia="Arial" w:hAnsi="Arial"/>
          <w:sz w:val="16"/>
          <w:szCs w:val="16"/>
          <w:color w:val="auto"/>
        </w:rPr>
        <w:t>) or you may stop householding for your account and receive separate printed copies of these materials by contacting our Investor Relations Department, at Regeneron Pharmaceuticals, Inc., 777 Old Saw Mill River Road, Tarrytown, New York 10591-6707, or by calling us at 914-847-7000,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2373" w:lineRule="exact"/>
        <w:rPr>
          <w:sz w:val="20"/>
          <w:szCs w:val="20"/>
          <w:color w:val="auto"/>
        </w:rPr>
      </w:pPr>
    </w:p>
    <w:p>
      <w:pPr>
        <w:sectPr>
          <w:pgSz w:w="11900" w:h="16838" w:orient="portrait"/>
          <w:cols w:equalWidth="0" w:num="2">
            <w:col w:w="4320" w:space="340"/>
            <w:col w:w="435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107</w:t>
            </w:r>
          </w:p>
        </w:tc>
      </w:tr>
    </w:tbl>
    <w:p>
      <w:pPr>
        <w:sectPr>
          <w:pgSz w:w="11900" w:h="16838" w:orient="portrait"/>
          <w:cols w:equalWidth="0" w:num="1">
            <w:col w:w="9019"/>
          </w:cols>
          <w:pgMar w:left="1440" w:top="657" w:right="1440" w:bottom="1440" w:gutter="0" w:footer="0" w:header="0"/>
          <w:type w:val="continuous"/>
        </w:sectPr>
      </w:pPr>
    </w:p>
    <w:bookmarkStart w:id="116" w:name="page117"/>
    <w:bookmarkEnd w:id="116"/>
    <w:p>
      <w:pPr>
        <w:ind w:left="240"/>
        <w:spacing w:after="0"/>
        <w:tabs>
          <w:tab w:leader="none" w:pos="1260" w:val="left"/>
          <w:tab w:leader="none" w:pos="2680" w:val="left"/>
          <w:tab w:leader="none" w:pos="4440" w:val="left"/>
          <w:tab w:leader="none" w:pos="5660" w:val="left"/>
          <w:tab w:leader="none" w:pos="790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r>
      <w:r>
        <w:rPr>
          <w:sz w:val="20"/>
          <w:szCs w:val="20"/>
          <w:color w:val="auto"/>
        </w:rPr>
        <w:tab/>
      </w:r>
      <w:r>
        <w:rPr>
          <w:rFonts w:ascii="Arial" w:cs="Arial" w:eastAsia="Arial" w:hAnsi="Arial"/>
          <w:sz w:val="13"/>
          <w:szCs w:val="13"/>
          <w:b w:val="1"/>
          <w:bCs w:val="1"/>
          <w:color w:val="343434"/>
        </w:rPr>
        <w:t>Other Matters</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right="360"/>
        <w:spacing w:after="0" w:line="285" w:lineRule="auto"/>
        <w:rPr>
          <w:sz w:val="20"/>
          <w:szCs w:val="20"/>
          <w:color w:val="auto"/>
        </w:rPr>
      </w:pPr>
      <w:r>
        <w:rPr>
          <w:rFonts w:ascii="Arial" w:cs="Arial" w:eastAsia="Arial" w:hAnsi="Arial"/>
          <w:sz w:val="25"/>
          <w:szCs w:val="25"/>
          <w:color w:val="3F00C5"/>
        </w:rPr>
        <w:t>Are there any other matters to be addressed at the Annual Meeting?</w:t>
      </w:r>
    </w:p>
    <w:p>
      <w:pPr>
        <w:spacing w:after="0" w:line="82" w:lineRule="exact"/>
        <w:rPr>
          <w:sz w:val="20"/>
          <w:szCs w:val="20"/>
          <w:color w:val="auto"/>
        </w:rPr>
      </w:pPr>
    </w:p>
    <w:p>
      <w:pPr>
        <w:ind w:left="140"/>
        <w:spacing w:after="0" w:line="286" w:lineRule="auto"/>
        <w:rPr>
          <w:sz w:val="20"/>
          <w:szCs w:val="20"/>
          <w:color w:val="auto"/>
        </w:rPr>
      </w:pPr>
      <w:r>
        <w:rPr>
          <w:rFonts w:ascii="Arial" w:cs="Arial" w:eastAsia="Arial" w:hAnsi="Arial"/>
          <w:sz w:val="16"/>
          <w:szCs w:val="16"/>
          <w:color w:val="auto"/>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spacing w:after="0" w:line="232" w:lineRule="exact"/>
        <w:rPr>
          <w:sz w:val="20"/>
          <w:szCs w:val="20"/>
          <w:color w:val="auto"/>
        </w:rPr>
      </w:pPr>
    </w:p>
    <w:p>
      <w:pPr>
        <w:ind w:left="140" w:right="800"/>
        <w:spacing w:after="0" w:line="272" w:lineRule="auto"/>
        <w:rPr>
          <w:sz w:val="20"/>
          <w:szCs w:val="20"/>
          <w:color w:val="auto"/>
        </w:rPr>
      </w:pPr>
      <w:r>
        <w:rPr>
          <w:rFonts w:ascii="Arial" w:cs="Arial" w:eastAsia="Arial" w:hAnsi="Arial"/>
          <w:sz w:val="25"/>
          <w:szCs w:val="25"/>
          <w:color w:val="3F00C5"/>
        </w:rPr>
        <w:t>How can you receive a printed copy of the Company’s 2025 Annual Report?</w:t>
      </w:r>
    </w:p>
    <w:p>
      <w:pPr>
        <w:spacing w:after="0" w:line="97" w:lineRule="exact"/>
        <w:rPr>
          <w:sz w:val="20"/>
          <w:szCs w:val="20"/>
          <w:color w:val="auto"/>
        </w:rPr>
      </w:pPr>
    </w:p>
    <w:p>
      <w:pPr>
        <w:ind w:left="140" w:right="120"/>
        <w:spacing w:after="0" w:line="288" w:lineRule="auto"/>
        <w:rPr>
          <w:sz w:val="20"/>
          <w:szCs w:val="20"/>
          <w:color w:val="auto"/>
        </w:rPr>
      </w:pPr>
      <w:r>
        <w:rPr>
          <w:rFonts w:ascii="Arial" w:cs="Arial" w:eastAsia="Arial" w:hAnsi="Arial"/>
          <w:sz w:val="16"/>
          <w:szCs w:val="16"/>
          <w:b w:val="1"/>
          <w:bCs w:val="1"/>
          <w:color w:val="auto"/>
        </w:rPr>
        <w:t>Interested shareholders may obtain without charge a copy of our 2025 Annual Report (without exhibits), which includes our audited financial statements for the fiscal year ended December 31, 2025, required to be filed with the SEC, by making a written request to Regeneron Pharmaceuticals, Inc., 777 Old Saw Mill River Road, Tarrytown, New York 10591-6707, Attention: Investor Relations, or by calling our Investor Relations Department at (914) 847-7000.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39"/>
        <w:spacing w:after="0" w:line="285" w:lineRule="auto"/>
        <w:rPr>
          <w:sz w:val="20"/>
          <w:szCs w:val="20"/>
          <w:color w:val="auto"/>
        </w:rPr>
      </w:pPr>
      <w:r>
        <w:rPr>
          <w:rFonts w:ascii="Arial" w:cs="Arial" w:eastAsia="Arial" w:hAnsi="Arial"/>
          <w:sz w:val="25"/>
          <w:szCs w:val="25"/>
          <w:color w:val="3F00C5"/>
        </w:rPr>
        <w:t>How do you elect to receive future proxy materials electronically?</w:t>
      </w:r>
    </w:p>
    <w:p>
      <w:pPr>
        <w:spacing w:after="0" w:line="82" w:lineRule="exact"/>
        <w:rPr>
          <w:sz w:val="20"/>
          <w:szCs w:val="20"/>
          <w:color w:val="auto"/>
        </w:rPr>
      </w:pPr>
    </w:p>
    <w:p>
      <w:pPr>
        <w:ind w:right="139"/>
        <w:spacing w:after="0" w:line="285" w:lineRule="auto"/>
        <w:rPr>
          <w:sz w:val="20"/>
          <w:szCs w:val="20"/>
          <w:color w:val="auto"/>
        </w:rPr>
      </w:pPr>
      <w:r>
        <w:rPr>
          <w:rFonts w:ascii="Arial" w:cs="Arial" w:eastAsia="Arial" w:hAnsi="Arial"/>
          <w:sz w:val="16"/>
          <w:szCs w:val="16"/>
          <w:color w:val="auto"/>
        </w:rPr>
        <w:t>If you previously requested to receive proxy materials through the mail, or by means of an e-mail with links to the proxy materials and the proxy voting website, your election will remain in effect until you revoke it. Shareholders currently receiving paper copies of our proxy materials, and shareholders who received a paper copy of the Notice, may instead elect to receive all future proxy materials electronically through an e-mail with a link to these documents on the Internet. Receiving these documents online conserves resources, saves the Company the cost of producing and mailing documents to your home or business, and gives you an automatic link to the proxy voting site.</w:t>
      </w:r>
    </w:p>
    <w:p>
      <w:pPr>
        <w:spacing w:after="0" w:line="116" w:lineRule="exact"/>
        <w:rPr>
          <w:sz w:val="20"/>
          <w:szCs w:val="20"/>
          <w:color w:val="auto"/>
        </w:rPr>
      </w:pPr>
    </w:p>
    <w:p>
      <w:pPr>
        <w:ind w:right="199"/>
        <w:spacing w:after="0" w:line="283" w:lineRule="auto"/>
        <w:rPr>
          <w:sz w:val="20"/>
          <w:szCs w:val="20"/>
          <w:color w:val="auto"/>
        </w:rPr>
      </w:pPr>
      <w:r>
        <w:rPr>
          <w:rFonts w:ascii="Arial" w:cs="Arial" w:eastAsia="Arial" w:hAnsi="Arial"/>
          <w:sz w:val="16"/>
          <w:szCs w:val="16"/>
          <w:color w:val="auto"/>
        </w:rPr>
        <w:t xml:space="preserve">If your shares are registered in your name or you hold shares in the Company Stock Fund in the Company’s 401(k) Savings Plan, to enroll in the electronic delivery service, vote your shares through the Internet at </w:t>
      </w:r>
      <w:r>
        <w:rPr>
          <w:rFonts w:ascii="Arial" w:cs="Arial" w:eastAsia="Arial" w:hAnsi="Arial"/>
          <w:sz w:val="16"/>
          <w:szCs w:val="16"/>
          <w:b w:val="1"/>
          <w:bCs w:val="1"/>
          <w:color w:val="2069E7"/>
        </w:rPr>
        <w:t xml:space="preserve">www.proxyvote.com </w:t>
      </w:r>
      <w:r>
        <w:rPr>
          <w:rFonts w:ascii="Arial" w:cs="Arial" w:eastAsia="Arial" w:hAnsi="Arial"/>
          <w:sz w:val="16"/>
          <w:szCs w:val="16"/>
          <w:color w:val="000000"/>
        </w:rPr>
        <w:t>and, when prompted, indicate that</w:t>
      </w:r>
      <w:r>
        <w:rPr>
          <w:rFonts w:ascii="Arial" w:cs="Arial" w:eastAsia="Arial" w:hAnsi="Arial"/>
          <w:sz w:val="16"/>
          <w:szCs w:val="16"/>
          <w:b w:val="1"/>
          <w:bCs w:val="1"/>
          <w:color w:val="2069E7"/>
        </w:rPr>
        <w:t xml:space="preserve"> </w:t>
      </w:r>
      <w:r>
        <w:rPr>
          <w:rFonts w:ascii="Arial" w:cs="Arial" w:eastAsia="Arial" w:hAnsi="Arial"/>
          <w:sz w:val="16"/>
          <w:szCs w:val="16"/>
          <w:color w:val="000000"/>
        </w:rPr>
        <w:t>you agree to 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spacing w:after="0" w:line="200" w:lineRule="exact"/>
        <w:rPr>
          <w:sz w:val="20"/>
          <w:szCs w:val="20"/>
          <w:color w:val="auto"/>
        </w:rPr>
      </w:pPr>
    </w:p>
    <w:p>
      <w:pPr>
        <w:sectPr>
          <w:pgSz w:w="11900" w:h="16838" w:orient="portrait"/>
          <w:cols w:equalWidth="0" w:num="2">
            <w:col w:w="4320" w:space="340"/>
            <w:col w:w="4359"/>
          </w:cols>
          <w:pgMar w:left="144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8"/>
              <w:spacing w:after="0"/>
              <w:rPr>
                <w:sz w:val="20"/>
                <w:szCs w:val="20"/>
                <w:color w:val="auto"/>
              </w:rPr>
            </w:pPr>
            <w:r>
              <w:rPr>
                <w:rFonts w:ascii="Arial" w:cs="Arial" w:eastAsia="Arial" w:hAnsi="Arial"/>
                <w:sz w:val="14"/>
                <w:szCs w:val="14"/>
                <w:b w:val="1"/>
                <w:bCs w:val="1"/>
                <w:color w:val="065BAA"/>
                <w:w w:val="94"/>
              </w:rPr>
              <w:t>108</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type w:val="continuous"/>
        </w:sectPr>
      </w:pPr>
    </w:p>
    <w:bookmarkStart w:id="117" w:name="page118"/>
    <w:bookmarkEnd w:id="117"/>
    <w:p>
      <w:pPr>
        <w:ind w:left="240"/>
        <w:spacing w:after="0"/>
        <w:tabs>
          <w:tab w:leader="none" w:pos="1260" w:val="left"/>
          <w:tab w:leader="none" w:pos="2680" w:val="left"/>
          <w:tab w:leader="none" w:pos="4440" w:val="left"/>
          <w:tab w:leader="none" w:pos="5660" w:val="left"/>
          <w:tab w:leader="none" w:pos="790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r>
      <w:r>
        <w:rPr>
          <w:sz w:val="20"/>
          <w:szCs w:val="20"/>
          <w:color w:val="auto"/>
        </w:rPr>
        <w:tab/>
      </w:r>
      <w:r>
        <w:rPr>
          <w:rFonts w:ascii="Arial" w:cs="Arial" w:eastAsia="Arial" w:hAnsi="Arial"/>
          <w:sz w:val="13"/>
          <w:szCs w:val="13"/>
          <w:b w:val="1"/>
          <w:bCs w:val="1"/>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40"/>
        <w:spacing w:after="0"/>
        <w:rPr>
          <w:sz w:val="20"/>
          <w:szCs w:val="20"/>
          <w:color w:val="auto"/>
        </w:rPr>
      </w:pPr>
      <w:r>
        <w:rPr>
          <w:rFonts w:ascii="Arial" w:cs="Arial" w:eastAsia="Arial" w:hAnsi="Arial"/>
          <w:sz w:val="34"/>
          <w:szCs w:val="34"/>
          <w:b w:val="1"/>
          <w:bCs w:val="1"/>
          <w:color w:val="002273"/>
        </w:rPr>
        <w:t>Appendix A</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065BAA"/>
        </w:rPr>
        <w:t>Note Regarding Forward-Looking Statements and Non-GAAP Financial Measures</w:t>
      </w:r>
    </w:p>
    <w:p>
      <w:pPr>
        <w:spacing w:after="0" w:line="185" w:lineRule="exact"/>
        <w:rPr>
          <w:sz w:val="20"/>
          <w:szCs w:val="20"/>
          <w:color w:val="auto"/>
        </w:rPr>
      </w:pPr>
    </w:p>
    <w:p>
      <w:pPr>
        <w:ind w:left="140" w:right="179"/>
        <w:spacing w:after="0" w:line="289" w:lineRule="auto"/>
        <w:rPr>
          <w:sz w:val="20"/>
          <w:szCs w:val="20"/>
          <w:color w:val="auto"/>
        </w:rPr>
      </w:pPr>
      <w:r>
        <w:rPr>
          <w:rFonts w:ascii="Arial" w:cs="Arial" w:eastAsia="Arial" w:hAnsi="Arial"/>
          <w:sz w:val="16"/>
          <w:szCs w:val="16"/>
          <w:color w:val="auto"/>
        </w:rPr>
        <w:t>This proxy statement includes forward-looking statements that involve risks and uncertainties relating to future events and the future performance of Regeneron Pharmaceuticals, Inc. (where applicable, together with its subsidiaries,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w:t>
      </w:r>
    </w:p>
    <w:p>
      <w:pPr>
        <w:spacing w:after="0" w:line="115" w:lineRule="exact"/>
        <w:rPr>
          <w:sz w:val="20"/>
          <w:szCs w:val="20"/>
          <w:color w:val="auto"/>
        </w:rPr>
      </w:pPr>
    </w:p>
    <w:p>
      <w:pPr>
        <w:ind w:left="320" w:right="159" w:hanging="190"/>
        <w:spacing w:after="0" w:line="286" w:lineRule="auto"/>
        <w:tabs>
          <w:tab w:leader="none" w:pos="320" w:val="left"/>
        </w:tabs>
        <w:numPr>
          <w:ilvl w:val="0"/>
          <w:numId w:val="211"/>
        </w:numPr>
        <w:rPr>
          <w:rFonts w:ascii="Arial" w:cs="Arial" w:eastAsia="Arial" w:hAnsi="Arial"/>
          <w:sz w:val="16"/>
          <w:szCs w:val="16"/>
          <w:color w:val="065BAA"/>
        </w:rPr>
      </w:pPr>
      <w:r>
        <w:rPr>
          <w:rFonts w:ascii="Arial" w:cs="Arial" w:eastAsia="Arial" w:hAnsi="Arial"/>
          <w:sz w:val="16"/>
          <w:szCs w:val="16"/>
          <w:color w:val="auto"/>
        </w:rPr>
        <w:t>the nature, timing, and possible success and therapeutic applications of products marketed or otherwise commercialized by Regeneron and/or its collaborators or licensees (collectively, “Regeneron’s Products”) and product candidates being developed by Regeneron and/or its collaborators or licensees (collectively, “Regeneron’s Product Candidates”) and research and clinical programs now underway or planned, including without limitation those discussed or referenced in this proxy statement, Regeneron’s and its collaborators’ earlier-stage programs, and the use of human genetics in Regeneron’s research programs;</w:t>
      </w:r>
    </w:p>
    <w:p>
      <w:pPr>
        <w:spacing w:after="0" w:line="48" w:lineRule="exact"/>
        <w:rPr>
          <w:rFonts w:ascii="Arial" w:cs="Arial" w:eastAsia="Arial" w:hAnsi="Arial"/>
          <w:sz w:val="16"/>
          <w:szCs w:val="16"/>
          <w:color w:val="065BAA"/>
        </w:rPr>
      </w:pPr>
    </w:p>
    <w:p>
      <w:pPr>
        <w:ind w:left="320" w:hanging="190"/>
        <w:spacing w:after="0"/>
        <w:tabs>
          <w:tab w:leader="none" w:pos="320" w:val="left"/>
        </w:tabs>
        <w:numPr>
          <w:ilvl w:val="0"/>
          <w:numId w:val="211"/>
        </w:numPr>
        <w:rPr>
          <w:rFonts w:ascii="Arial" w:cs="Arial" w:eastAsia="Arial" w:hAnsi="Arial"/>
          <w:sz w:val="16"/>
          <w:szCs w:val="16"/>
          <w:color w:val="065BAA"/>
        </w:rPr>
      </w:pPr>
      <w:r>
        <w:rPr>
          <w:rFonts w:ascii="Arial" w:cs="Arial" w:eastAsia="Arial" w:hAnsi="Arial"/>
          <w:sz w:val="16"/>
          <w:szCs w:val="16"/>
          <w:color w:val="auto"/>
        </w:rPr>
        <w:t>the likelihood and timing of achieving any of Regeneron’s anticipated development and production milestones;</w:t>
      </w:r>
    </w:p>
    <w:p>
      <w:pPr>
        <w:spacing w:after="0" w:line="99" w:lineRule="exact"/>
        <w:rPr>
          <w:rFonts w:ascii="Arial" w:cs="Arial" w:eastAsia="Arial" w:hAnsi="Arial"/>
          <w:sz w:val="16"/>
          <w:szCs w:val="16"/>
          <w:color w:val="065BAA"/>
        </w:rPr>
      </w:pPr>
    </w:p>
    <w:p>
      <w:pPr>
        <w:jc w:val="both"/>
        <w:ind w:left="320" w:right="659" w:hanging="190"/>
        <w:spacing w:after="0" w:line="301" w:lineRule="auto"/>
        <w:tabs>
          <w:tab w:leader="none" w:pos="320" w:val="left"/>
        </w:tabs>
        <w:numPr>
          <w:ilvl w:val="0"/>
          <w:numId w:val="211"/>
        </w:numPr>
        <w:rPr>
          <w:rFonts w:ascii="Arial" w:cs="Arial" w:eastAsia="Arial" w:hAnsi="Arial"/>
          <w:sz w:val="16"/>
          <w:szCs w:val="16"/>
          <w:color w:val="065BAA"/>
        </w:rPr>
      </w:pPr>
      <w:r>
        <w:rPr>
          <w:rFonts w:ascii="Arial" w:cs="Arial" w:eastAsia="Arial" w:hAnsi="Arial"/>
          <w:sz w:val="16"/>
          <w:szCs w:val="16"/>
          <w:color w:val="auto"/>
        </w:rPr>
        <w:t>safety issues resulting from the administration of Regeneron’s Products and Regeneron’s Product Candidates in patients, including serious complications or side effects in connection with the use of Regeneron’s Products and Regeneron’s Product Candidates in clinical trials;</w:t>
      </w:r>
    </w:p>
    <w:p>
      <w:pPr>
        <w:spacing w:after="0" w:line="23" w:lineRule="exact"/>
        <w:rPr>
          <w:rFonts w:ascii="Arial" w:cs="Arial" w:eastAsia="Arial" w:hAnsi="Arial"/>
          <w:sz w:val="16"/>
          <w:szCs w:val="16"/>
          <w:color w:val="065BAA"/>
        </w:rPr>
      </w:pPr>
    </w:p>
    <w:p>
      <w:pPr>
        <w:ind w:left="320" w:right="179" w:hanging="190"/>
        <w:spacing w:after="0" w:line="301" w:lineRule="auto"/>
        <w:tabs>
          <w:tab w:leader="none" w:pos="320" w:val="left"/>
        </w:tabs>
        <w:numPr>
          <w:ilvl w:val="0"/>
          <w:numId w:val="211"/>
        </w:numPr>
        <w:rPr>
          <w:rFonts w:ascii="Arial" w:cs="Arial" w:eastAsia="Arial" w:hAnsi="Arial"/>
          <w:sz w:val="16"/>
          <w:szCs w:val="16"/>
          <w:color w:val="065BAA"/>
        </w:rPr>
      </w:pPr>
      <w:r>
        <w:rPr>
          <w:rFonts w:ascii="Arial" w:cs="Arial" w:eastAsia="Arial" w:hAnsi="Arial"/>
          <w:sz w:val="16"/>
          <w:szCs w:val="16"/>
          <w:color w:val="auto"/>
        </w:rPr>
        <w:t>the likelihood, timing, and scope of possible regulatory approval and commercial launch of Regeneron’s Product Candidates and new indications for Regeneron’s Products, including without limitation those discussed or referenced in this proxy statement;</w:t>
      </w:r>
    </w:p>
    <w:p>
      <w:pPr>
        <w:spacing w:after="0" w:line="23" w:lineRule="exact"/>
        <w:rPr>
          <w:rFonts w:ascii="Arial" w:cs="Arial" w:eastAsia="Arial" w:hAnsi="Arial"/>
          <w:sz w:val="16"/>
          <w:szCs w:val="16"/>
          <w:color w:val="065BAA"/>
        </w:rPr>
      </w:pPr>
    </w:p>
    <w:p>
      <w:pPr>
        <w:ind w:left="320" w:right="519" w:hanging="190"/>
        <w:spacing w:after="0" w:line="301" w:lineRule="auto"/>
        <w:tabs>
          <w:tab w:leader="none" w:pos="320" w:val="left"/>
        </w:tabs>
        <w:numPr>
          <w:ilvl w:val="0"/>
          <w:numId w:val="211"/>
        </w:numPr>
        <w:rPr>
          <w:rFonts w:ascii="Arial" w:cs="Arial" w:eastAsia="Arial" w:hAnsi="Arial"/>
          <w:sz w:val="16"/>
          <w:szCs w:val="16"/>
          <w:color w:val="065BAA"/>
        </w:rPr>
      </w:pPr>
      <w:r>
        <w:rPr>
          <w:rFonts w:ascii="Arial" w:cs="Arial" w:eastAsia="Arial" w:hAnsi="Arial"/>
          <w:sz w:val="16"/>
          <w:szCs w:val="16"/>
          <w:color w:val="auto"/>
        </w:rPr>
        <w:t>the extent to which the results from the research and development programs conducted by Regeneron and/or its collaborators may be replicated in other studies and/or lead to advancement of product candidates to clinical trials, therapeutic applications, or regulatory approval;</w:t>
      </w:r>
    </w:p>
    <w:p>
      <w:pPr>
        <w:spacing w:after="0" w:line="36" w:lineRule="exact"/>
        <w:rPr>
          <w:rFonts w:ascii="Arial" w:cs="Arial" w:eastAsia="Arial" w:hAnsi="Arial"/>
          <w:sz w:val="16"/>
          <w:szCs w:val="16"/>
          <w:color w:val="065BAA"/>
        </w:rPr>
      </w:pPr>
    </w:p>
    <w:p>
      <w:pPr>
        <w:ind w:left="320" w:right="479" w:hanging="190"/>
        <w:spacing w:after="0" w:line="321" w:lineRule="auto"/>
        <w:tabs>
          <w:tab w:leader="none" w:pos="320" w:val="left"/>
        </w:tabs>
        <w:numPr>
          <w:ilvl w:val="0"/>
          <w:numId w:val="211"/>
        </w:numPr>
        <w:rPr>
          <w:rFonts w:ascii="Arial" w:cs="Arial" w:eastAsia="Arial" w:hAnsi="Arial"/>
          <w:sz w:val="16"/>
          <w:szCs w:val="16"/>
          <w:color w:val="065BAA"/>
        </w:rPr>
      </w:pPr>
      <w:r>
        <w:rPr>
          <w:rFonts w:ascii="Arial" w:cs="Arial" w:eastAsia="Arial" w:hAnsi="Arial"/>
          <w:sz w:val="16"/>
          <w:szCs w:val="16"/>
          <w:color w:val="auto"/>
        </w:rPr>
        <w:t>ongoing regulatory obligations and oversight impacting Regeneron’s Products, research and clinical programs, and business, including those relating to patient privacy;</w:t>
      </w:r>
    </w:p>
    <w:p>
      <w:pPr>
        <w:spacing w:after="0" w:line="7" w:lineRule="exact"/>
        <w:rPr>
          <w:rFonts w:ascii="Arial" w:cs="Arial" w:eastAsia="Arial" w:hAnsi="Arial"/>
          <w:sz w:val="16"/>
          <w:szCs w:val="16"/>
          <w:color w:val="065BAA"/>
        </w:rPr>
      </w:pPr>
    </w:p>
    <w:p>
      <w:pPr>
        <w:ind w:left="320" w:right="539" w:hanging="190"/>
        <w:spacing w:after="0" w:line="321" w:lineRule="auto"/>
        <w:tabs>
          <w:tab w:leader="none" w:pos="320" w:val="left"/>
        </w:tabs>
        <w:numPr>
          <w:ilvl w:val="0"/>
          <w:numId w:val="211"/>
        </w:numPr>
        <w:rPr>
          <w:rFonts w:ascii="Arial" w:cs="Arial" w:eastAsia="Arial" w:hAnsi="Arial"/>
          <w:sz w:val="16"/>
          <w:szCs w:val="16"/>
          <w:color w:val="065BAA"/>
        </w:rPr>
      </w:pPr>
      <w:r>
        <w:rPr>
          <w:rFonts w:ascii="Arial" w:cs="Arial" w:eastAsia="Arial" w:hAnsi="Arial"/>
          <w:sz w:val="16"/>
          <w:szCs w:val="16"/>
          <w:color w:val="auto"/>
        </w:rPr>
        <w:t>determinations by regulatory and administrative governmental authorities which may delay or restrict Regeneron’s ability to continue to develop or commercialize Regeneron’s Products and Regeneron’s Product Candidates;</w:t>
      </w:r>
    </w:p>
    <w:p>
      <w:pPr>
        <w:spacing w:after="0" w:line="7" w:lineRule="exact"/>
        <w:rPr>
          <w:rFonts w:ascii="Arial" w:cs="Arial" w:eastAsia="Arial" w:hAnsi="Arial"/>
          <w:sz w:val="16"/>
          <w:szCs w:val="16"/>
          <w:color w:val="065BAA"/>
        </w:rPr>
      </w:pPr>
    </w:p>
    <w:p>
      <w:pPr>
        <w:ind w:left="320" w:right="179" w:hanging="190"/>
        <w:spacing w:after="0" w:line="321" w:lineRule="auto"/>
        <w:tabs>
          <w:tab w:leader="none" w:pos="320" w:val="left"/>
        </w:tabs>
        <w:numPr>
          <w:ilvl w:val="0"/>
          <w:numId w:val="211"/>
        </w:numPr>
        <w:rPr>
          <w:rFonts w:ascii="Arial" w:cs="Arial" w:eastAsia="Arial" w:hAnsi="Arial"/>
          <w:sz w:val="16"/>
          <w:szCs w:val="16"/>
          <w:color w:val="065BAA"/>
        </w:rPr>
      </w:pPr>
      <w:r>
        <w:rPr>
          <w:rFonts w:ascii="Arial" w:cs="Arial" w:eastAsia="Arial" w:hAnsi="Arial"/>
          <w:sz w:val="16"/>
          <w:szCs w:val="16"/>
          <w:color w:val="auto"/>
        </w:rPr>
        <w:t>competing drugs and product candidates (including biosimilar products) that may be superior to, or more effective than, Regeneron’s Products and Regeneron’s Product Candidates;</w:t>
      </w:r>
    </w:p>
    <w:p>
      <w:pPr>
        <w:spacing w:after="0" w:line="7" w:lineRule="exact"/>
        <w:rPr>
          <w:rFonts w:ascii="Arial" w:cs="Arial" w:eastAsia="Arial" w:hAnsi="Arial"/>
          <w:sz w:val="16"/>
          <w:szCs w:val="16"/>
          <w:color w:val="065BAA"/>
        </w:rPr>
      </w:pPr>
    </w:p>
    <w:p>
      <w:pPr>
        <w:ind w:left="320" w:right="199" w:hanging="190"/>
        <w:spacing w:after="0" w:line="295" w:lineRule="auto"/>
        <w:tabs>
          <w:tab w:leader="none" w:pos="320" w:val="left"/>
        </w:tabs>
        <w:numPr>
          <w:ilvl w:val="0"/>
          <w:numId w:val="211"/>
        </w:numPr>
        <w:rPr>
          <w:rFonts w:ascii="Arial" w:cs="Arial" w:eastAsia="Arial" w:hAnsi="Arial"/>
          <w:sz w:val="16"/>
          <w:szCs w:val="16"/>
          <w:color w:val="065BAA"/>
        </w:rPr>
      </w:pPr>
      <w:r>
        <w:rPr>
          <w:rFonts w:ascii="Arial" w:cs="Arial" w:eastAsia="Arial" w:hAnsi="Arial"/>
          <w:sz w:val="16"/>
          <w:szCs w:val="16"/>
          <w:color w:val="auto"/>
        </w:rPr>
        <w:t>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w:t>
      </w:r>
    </w:p>
    <w:p>
      <w:pPr>
        <w:spacing w:after="0" w:line="40" w:lineRule="exact"/>
        <w:rPr>
          <w:rFonts w:ascii="Arial" w:cs="Arial" w:eastAsia="Arial" w:hAnsi="Arial"/>
          <w:sz w:val="16"/>
          <w:szCs w:val="16"/>
          <w:color w:val="065BAA"/>
        </w:rPr>
      </w:pPr>
    </w:p>
    <w:p>
      <w:pPr>
        <w:ind w:left="320" w:hanging="190"/>
        <w:spacing w:after="0"/>
        <w:tabs>
          <w:tab w:leader="none" w:pos="320" w:val="left"/>
        </w:tabs>
        <w:numPr>
          <w:ilvl w:val="0"/>
          <w:numId w:val="211"/>
        </w:numPr>
        <w:rPr>
          <w:rFonts w:ascii="Arial" w:cs="Arial" w:eastAsia="Arial" w:hAnsi="Arial"/>
          <w:sz w:val="16"/>
          <w:szCs w:val="16"/>
          <w:color w:val="065BAA"/>
        </w:rPr>
      </w:pPr>
      <w:r>
        <w:rPr>
          <w:rFonts w:ascii="Arial" w:cs="Arial" w:eastAsia="Arial" w:hAnsi="Arial"/>
          <w:sz w:val="16"/>
          <w:szCs w:val="16"/>
          <w:color w:val="auto"/>
        </w:rPr>
        <w:t>the ability of Regeneron to manufacture and manage supply chains for multiple products and product candidates;</w:t>
      </w:r>
    </w:p>
    <w:p>
      <w:pPr>
        <w:spacing w:after="0" w:line="99" w:lineRule="exact"/>
        <w:rPr>
          <w:rFonts w:ascii="Arial" w:cs="Arial" w:eastAsia="Arial" w:hAnsi="Arial"/>
          <w:sz w:val="16"/>
          <w:szCs w:val="16"/>
          <w:color w:val="065BAA"/>
        </w:rPr>
      </w:pPr>
    </w:p>
    <w:p>
      <w:pPr>
        <w:ind w:left="320" w:right="279" w:hanging="190"/>
        <w:spacing w:after="0" w:line="301" w:lineRule="auto"/>
        <w:tabs>
          <w:tab w:leader="none" w:pos="320" w:val="left"/>
        </w:tabs>
        <w:numPr>
          <w:ilvl w:val="0"/>
          <w:numId w:val="211"/>
        </w:numPr>
        <w:rPr>
          <w:rFonts w:ascii="Arial" w:cs="Arial" w:eastAsia="Arial" w:hAnsi="Arial"/>
          <w:sz w:val="16"/>
          <w:szCs w:val="16"/>
          <w:color w:val="065BAA"/>
        </w:rPr>
      </w:pPr>
      <w:r>
        <w:rPr>
          <w:rFonts w:ascii="Arial" w:cs="Arial" w:eastAsia="Arial" w:hAnsi="Arial"/>
          <w:sz w:val="16"/>
          <w:szCs w:val="16"/>
          <w:color w:val="auto"/>
        </w:rPr>
        <w:t>the ability of Regeneron’s collaborators, licensees, suppliers, or other third parties (as applicable) to perform manufacturing, filling, finishing, packaging, labeling, distribution, and other steps related to Regeneron’s Products and Regeneron’s Product Candidates;</w:t>
      </w:r>
    </w:p>
    <w:p>
      <w:pPr>
        <w:spacing w:after="0" w:line="23" w:lineRule="exact"/>
        <w:rPr>
          <w:rFonts w:ascii="Arial" w:cs="Arial" w:eastAsia="Arial" w:hAnsi="Arial"/>
          <w:sz w:val="16"/>
          <w:szCs w:val="16"/>
          <w:color w:val="065BAA"/>
        </w:rPr>
      </w:pPr>
    </w:p>
    <w:p>
      <w:pPr>
        <w:ind w:left="320" w:right="359" w:hanging="190"/>
        <w:spacing w:after="0" w:line="301" w:lineRule="auto"/>
        <w:tabs>
          <w:tab w:leader="none" w:pos="320" w:val="left"/>
        </w:tabs>
        <w:numPr>
          <w:ilvl w:val="0"/>
          <w:numId w:val="211"/>
        </w:numPr>
        <w:rPr>
          <w:rFonts w:ascii="Arial" w:cs="Arial" w:eastAsia="Arial" w:hAnsi="Arial"/>
          <w:sz w:val="16"/>
          <w:szCs w:val="16"/>
          <w:color w:val="065BAA"/>
        </w:rPr>
      </w:pPr>
      <w:r>
        <w:rPr>
          <w:rFonts w:ascii="Arial" w:cs="Arial" w:eastAsia="Arial" w:hAnsi="Arial"/>
          <w:sz w:val="16"/>
          <w:szCs w:val="16"/>
          <w:color w:val="auto"/>
        </w:rPr>
        <w:t>the availability and extent of reimbursement of Regeneron’s Products from third-party payors, including private payor healthcare and insurance programs, health maintenance organizations, pharmacy benefit management companies, and government programs such as Medicare and Medicaid;</w:t>
      </w:r>
    </w:p>
    <w:p>
      <w:pPr>
        <w:spacing w:after="0" w:line="23" w:lineRule="exact"/>
        <w:rPr>
          <w:rFonts w:ascii="Arial" w:cs="Arial" w:eastAsia="Arial" w:hAnsi="Arial"/>
          <w:sz w:val="16"/>
          <w:szCs w:val="16"/>
          <w:color w:val="065BAA"/>
        </w:rPr>
      </w:pPr>
    </w:p>
    <w:p>
      <w:pPr>
        <w:ind w:left="320" w:right="699" w:hanging="190"/>
        <w:spacing w:after="0" w:line="321" w:lineRule="auto"/>
        <w:tabs>
          <w:tab w:leader="none" w:pos="320" w:val="left"/>
        </w:tabs>
        <w:numPr>
          <w:ilvl w:val="0"/>
          <w:numId w:val="211"/>
        </w:numPr>
        <w:rPr>
          <w:rFonts w:ascii="Arial" w:cs="Arial" w:eastAsia="Arial" w:hAnsi="Arial"/>
          <w:sz w:val="16"/>
          <w:szCs w:val="16"/>
          <w:color w:val="065BAA"/>
        </w:rPr>
      </w:pPr>
      <w:r>
        <w:rPr>
          <w:rFonts w:ascii="Arial" w:cs="Arial" w:eastAsia="Arial" w:hAnsi="Arial"/>
          <w:sz w:val="16"/>
          <w:szCs w:val="16"/>
          <w:color w:val="auto"/>
        </w:rPr>
        <w:t>coverage and reimbursement determinations by such payors and new policies and procedures adopted by such payors;</w:t>
      </w:r>
    </w:p>
    <w:p>
      <w:pPr>
        <w:spacing w:after="0" w:line="7" w:lineRule="exact"/>
        <w:rPr>
          <w:rFonts w:ascii="Arial" w:cs="Arial" w:eastAsia="Arial" w:hAnsi="Arial"/>
          <w:sz w:val="16"/>
          <w:szCs w:val="16"/>
          <w:color w:val="065BAA"/>
        </w:rPr>
      </w:pPr>
    </w:p>
    <w:p>
      <w:pPr>
        <w:ind w:left="320" w:hanging="190"/>
        <w:spacing w:after="0"/>
        <w:tabs>
          <w:tab w:leader="none" w:pos="320" w:val="left"/>
        </w:tabs>
        <w:numPr>
          <w:ilvl w:val="0"/>
          <w:numId w:val="211"/>
        </w:numPr>
        <w:rPr>
          <w:rFonts w:ascii="Arial" w:cs="Arial" w:eastAsia="Arial" w:hAnsi="Arial"/>
          <w:sz w:val="16"/>
          <w:szCs w:val="16"/>
          <w:color w:val="065BAA"/>
        </w:rPr>
      </w:pPr>
      <w:r>
        <w:rPr>
          <w:rFonts w:ascii="Arial" w:cs="Arial" w:eastAsia="Arial" w:hAnsi="Arial"/>
          <w:sz w:val="16"/>
          <w:szCs w:val="16"/>
          <w:color w:val="auto"/>
        </w:rPr>
        <w:t>changes to drug pricing regulations and requirements and our drug pricing strategy;</w:t>
      </w:r>
    </w:p>
    <w:p>
      <w:pPr>
        <w:spacing w:after="0" w:line="113" w:lineRule="exact"/>
        <w:rPr>
          <w:rFonts w:ascii="Arial" w:cs="Arial" w:eastAsia="Arial" w:hAnsi="Arial"/>
          <w:sz w:val="16"/>
          <w:szCs w:val="16"/>
          <w:color w:val="065BAA"/>
        </w:rPr>
      </w:pPr>
    </w:p>
    <w:p>
      <w:pPr>
        <w:ind w:left="320" w:hanging="190"/>
        <w:spacing w:after="0"/>
        <w:tabs>
          <w:tab w:leader="none" w:pos="320" w:val="left"/>
        </w:tabs>
        <w:numPr>
          <w:ilvl w:val="0"/>
          <w:numId w:val="211"/>
        </w:numPr>
        <w:rPr>
          <w:rFonts w:ascii="Arial" w:cs="Arial" w:eastAsia="Arial" w:hAnsi="Arial"/>
          <w:sz w:val="16"/>
          <w:szCs w:val="16"/>
          <w:color w:val="065BAA"/>
        </w:rPr>
      </w:pPr>
      <w:r>
        <w:rPr>
          <w:rFonts w:ascii="Arial" w:cs="Arial" w:eastAsia="Arial" w:hAnsi="Arial"/>
          <w:sz w:val="16"/>
          <w:szCs w:val="16"/>
          <w:color w:val="auto"/>
        </w:rPr>
        <w:t>other changes in laws, regulations, and policies affecting the healthcare industry;</w:t>
      </w:r>
    </w:p>
    <w:p>
      <w:pPr>
        <w:spacing w:after="0" w:line="99" w:lineRule="exact"/>
        <w:rPr>
          <w:rFonts w:ascii="Arial" w:cs="Arial" w:eastAsia="Arial" w:hAnsi="Arial"/>
          <w:sz w:val="16"/>
          <w:szCs w:val="16"/>
          <w:color w:val="065BAA"/>
        </w:rPr>
      </w:pPr>
    </w:p>
    <w:p>
      <w:pPr>
        <w:ind w:left="320" w:hanging="190"/>
        <w:spacing w:after="0"/>
        <w:tabs>
          <w:tab w:leader="none" w:pos="320" w:val="left"/>
        </w:tabs>
        <w:numPr>
          <w:ilvl w:val="0"/>
          <w:numId w:val="211"/>
        </w:numPr>
        <w:rPr>
          <w:rFonts w:ascii="Arial" w:cs="Arial" w:eastAsia="Arial" w:hAnsi="Arial"/>
          <w:sz w:val="16"/>
          <w:szCs w:val="16"/>
          <w:color w:val="065BAA"/>
        </w:rPr>
      </w:pPr>
      <w:r>
        <w:rPr>
          <w:rFonts w:ascii="Arial" w:cs="Arial" w:eastAsia="Arial" w:hAnsi="Arial"/>
          <w:sz w:val="16"/>
          <w:szCs w:val="16"/>
          <w:color w:val="auto"/>
        </w:rPr>
        <w:t>the costs of developing, producing, and selling products or unanticipated expenses;</w:t>
      </w:r>
    </w:p>
    <w:p>
      <w:pPr>
        <w:spacing w:after="0" w:line="200" w:lineRule="exact"/>
        <w:rPr>
          <w:sz w:val="20"/>
          <w:szCs w:val="20"/>
          <w:color w:val="auto"/>
        </w:rPr>
      </w:pPr>
    </w:p>
    <w:p>
      <w:pPr>
        <w:spacing w:after="0" w:line="26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065BAA"/>
              </w:rPr>
              <w:t>109</w:t>
            </w:r>
          </w:p>
        </w:tc>
      </w:tr>
    </w:tbl>
    <w:p>
      <w:pPr>
        <w:sectPr>
          <w:pgSz w:w="11900" w:h="16838" w:orient="portrait"/>
          <w:cols w:equalWidth="0" w:num="1">
            <w:col w:w="9019"/>
          </w:cols>
          <w:pgMar w:left="1440" w:top="657" w:right="1440" w:bottom="1440" w:gutter="0" w:footer="0" w:header="0"/>
        </w:sectPr>
      </w:pPr>
    </w:p>
    <w:bookmarkStart w:id="118" w:name="page119"/>
    <w:bookmarkEnd w:id="118"/>
    <w:p>
      <w:pPr>
        <w:ind w:left="240"/>
        <w:spacing w:after="0"/>
        <w:tabs>
          <w:tab w:leader="none" w:pos="1260" w:val="left"/>
          <w:tab w:leader="none" w:pos="2680" w:val="left"/>
          <w:tab w:leader="none" w:pos="4440" w:val="left"/>
          <w:tab w:leader="none" w:pos="5660" w:val="left"/>
          <w:tab w:leader="none" w:pos="790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r>
      <w:r>
        <w:rPr>
          <w:sz w:val="20"/>
          <w:szCs w:val="20"/>
          <w:color w:val="auto"/>
        </w:rPr>
        <w:tab/>
      </w:r>
      <w:r>
        <w:rPr>
          <w:rFonts w:ascii="Arial" w:cs="Arial" w:eastAsia="Arial" w:hAnsi="Arial"/>
          <w:sz w:val="13"/>
          <w:szCs w:val="13"/>
          <w:b w:val="1"/>
          <w:bCs w:val="1"/>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20" w:right="919" w:hanging="190"/>
        <w:spacing w:after="0" w:line="321" w:lineRule="auto"/>
        <w:tabs>
          <w:tab w:leader="none" w:pos="320" w:val="left"/>
        </w:tabs>
        <w:numPr>
          <w:ilvl w:val="0"/>
          <w:numId w:val="212"/>
        </w:numPr>
        <w:rPr>
          <w:rFonts w:ascii="Arial" w:cs="Arial" w:eastAsia="Arial" w:hAnsi="Arial"/>
          <w:sz w:val="16"/>
          <w:szCs w:val="16"/>
          <w:color w:val="065BAA"/>
        </w:rPr>
      </w:pPr>
      <w:r>
        <w:rPr>
          <w:rFonts w:ascii="Arial" w:cs="Arial" w:eastAsia="Arial" w:hAnsi="Arial"/>
          <w:sz w:val="16"/>
          <w:szCs w:val="16"/>
          <w:color w:val="auto"/>
        </w:rPr>
        <w:t>the ability of Regeneron to meet any of its financial projections or guidance, and changes to the assumptions underlying those projections or guidance;</w:t>
      </w:r>
    </w:p>
    <w:p>
      <w:pPr>
        <w:spacing w:after="0" w:line="7" w:lineRule="exact"/>
        <w:rPr>
          <w:rFonts w:ascii="Arial" w:cs="Arial" w:eastAsia="Arial" w:hAnsi="Arial"/>
          <w:sz w:val="16"/>
          <w:szCs w:val="16"/>
          <w:color w:val="065BAA"/>
        </w:rPr>
      </w:pPr>
    </w:p>
    <w:p>
      <w:pPr>
        <w:ind w:left="320" w:right="299" w:hanging="190"/>
        <w:spacing w:after="0" w:line="321" w:lineRule="auto"/>
        <w:tabs>
          <w:tab w:leader="none" w:pos="320" w:val="left"/>
        </w:tabs>
        <w:numPr>
          <w:ilvl w:val="0"/>
          <w:numId w:val="212"/>
        </w:numPr>
        <w:rPr>
          <w:rFonts w:ascii="Arial" w:cs="Arial" w:eastAsia="Arial" w:hAnsi="Arial"/>
          <w:sz w:val="16"/>
          <w:szCs w:val="16"/>
          <w:color w:val="065BAA"/>
        </w:rPr>
      </w:pPr>
      <w:r>
        <w:rPr>
          <w:rFonts w:ascii="Arial" w:cs="Arial" w:eastAsia="Arial" w:hAnsi="Arial"/>
          <w:sz w:val="16"/>
          <w:szCs w:val="16"/>
          <w:color w:val="auto"/>
        </w:rPr>
        <w:t>the potential for any license or collaboration agreement, including Regeneron’s agreements with Sanofi and Bayer (or their respective affiliated companies, as applicable) to be cancelled or terminated;</w:t>
      </w:r>
    </w:p>
    <w:p>
      <w:pPr>
        <w:spacing w:after="0" w:line="20" w:lineRule="exact"/>
        <w:rPr>
          <w:rFonts w:ascii="Arial" w:cs="Arial" w:eastAsia="Arial" w:hAnsi="Arial"/>
          <w:sz w:val="16"/>
          <w:szCs w:val="16"/>
          <w:color w:val="065BAA"/>
        </w:rPr>
      </w:pPr>
    </w:p>
    <w:p>
      <w:pPr>
        <w:ind w:left="320" w:hanging="190"/>
        <w:spacing w:after="0"/>
        <w:tabs>
          <w:tab w:leader="none" w:pos="320" w:val="left"/>
        </w:tabs>
        <w:numPr>
          <w:ilvl w:val="0"/>
          <w:numId w:val="212"/>
        </w:numPr>
        <w:rPr>
          <w:rFonts w:ascii="Arial" w:cs="Arial" w:eastAsia="Arial" w:hAnsi="Arial"/>
          <w:sz w:val="16"/>
          <w:szCs w:val="16"/>
          <w:color w:val="065BAA"/>
        </w:rPr>
      </w:pPr>
      <w:r>
        <w:rPr>
          <w:rFonts w:ascii="Arial" w:cs="Arial" w:eastAsia="Arial" w:hAnsi="Arial"/>
          <w:sz w:val="16"/>
          <w:szCs w:val="16"/>
          <w:color w:val="auto"/>
        </w:rPr>
        <w:t>the impact of public health outbreaks, epidemics, or pandemics on Regeneron’s business; and</w:t>
      </w:r>
    </w:p>
    <w:p>
      <w:pPr>
        <w:spacing w:after="0" w:line="99" w:lineRule="exact"/>
        <w:rPr>
          <w:rFonts w:ascii="Arial" w:cs="Arial" w:eastAsia="Arial" w:hAnsi="Arial"/>
          <w:sz w:val="16"/>
          <w:szCs w:val="16"/>
          <w:color w:val="065BAA"/>
        </w:rPr>
      </w:pPr>
    </w:p>
    <w:p>
      <w:pPr>
        <w:ind w:left="320" w:right="199" w:hanging="190"/>
        <w:spacing w:after="0" w:line="289" w:lineRule="auto"/>
        <w:tabs>
          <w:tab w:leader="none" w:pos="320" w:val="left"/>
        </w:tabs>
        <w:numPr>
          <w:ilvl w:val="0"/>
          <w:numId w:val="212"/>
        </w:numPr>
        <w:rPr>
          <w:rFonts w:ascii="Arial" w:cs="Arial" w:eastAsia="Arial" w:hAnsi="Arial"/>
          <w:sz w:val="16"/>
          <w:szCs w:val="16"/>
          <w:color w:val="065BAA"/>
        </w:rPr>
      </w:pPr>
      <w:r>
        <w:rPr>
          <w:rFonts w:ascii="Arial" w:cs="Arial" w:eastAsia="Arial" w:hAnsi="Arial"/>
          <w:sz w:val="16"/>
          <w:szCs w:val="16"/>
          <w:color w:val="auto"/>
        </w:rPr>
        <w:t>risks associated with litigation and other proceedings and government investigations relating to the Company and/or its operations (including the pending civil proceedings initiated or joined by the U.S. Department of Justice and the U.S. Attorney’s Office for the District of Massachusetts), risks associated with intellectual property of other parties and pending or future litigation relating thereto (including without limitation the patent litigation and other related proceedings relating to EYLEA), the ultimate outcome of any such proceedings and investigations, and the impact any of the foregoing may have on Regeneron’s business, prospects, operating results, and financial condition.</w:t>
      </w:r>
    </w:p>
    <w:p>
      <w:pPr>
        <w:spacing w:after="0" w:line="102" w:lineRule="exact"/>
        <w:rPr>
          <w:sz w:val="20"/>
          <w:szCs w:val="20"/>
          <w:color w:val="auto"/>
        </w:rPr>
      </w:pPr>
    </w:p>
    <w:p>
      <w:pPr>
        <w:ind w:left="140" w:right="179"/>
        <w:spacing w:after="0" w:line="289" w:lineRule="auto"/>
        <w:rPr>
          <w:sz w:val="20"/>
          <w:szCs w:val="20"/>
          <w:color w:val="auto"/>
        </w:rPr>
      </w:pPr>
      <w:r>
        <w:rPr>
          <w:rFonts w:ascii="Arial" w:cs="Arial" w:eastAsia="Arial" w:hAnsi="Arial"/>
          <w:sz w:val="16"/>
          <w:szCs w:val="16"/>
          <w:color w:val="auto"/>
        </w:rPr>
        <w:t>A more complete description of these and other material risks can be found in Regeneron’s filings with the U.S. Securities and Exchange Commission, including its Form 10-K for the fiscal year ended December 31, 2025, including in the section thereof captioned “Item 1A. Risk Factors.”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whether as a result of new information, future events, or otherwise.</w:t>
      </w:r>
    </w:p>
    <w:p>
      <w:pPr>
        <w:spacing w:after="0" w:line="115" w:lineRule="exact"/>
        <w:rPr>
          <w:sz w:val="20"/>
          <w:szCs w:val="20"/>
          <w:color w:val="auto"/>
        </w:rPr>
      </w:pPr>
    </w:p>
    <w:p>
      <w:pPr>
        <w:ind w:left="140" w:right="139"/>
        <w:spacing w:after="0" w:line="283" w:lineRule="auto"/>
        <w:rPr>
          <w:sz w:val="20"/>
          <w:szCs w:val="20"/>
          <w:color w:val="auto"/>
        </w:rPr>
      </w:pPr>
      <w:r>
        <w:rPr>
          <w:rFonts w:ascii="Arial" w:cs="Arial" w:eastAsia="Arial" w:hAnsi="Arial"/>
          <w:sz w:val="16"/>
          <w:szCs w:val="16"/>
          <w:color w:val="auto"/>
        </w:rPr>
        <w:t>This proxy statement uses non-GAAP net income and non-GAAP net income per share,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 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items that are not associated with normal, recurring operations (such as changes in applicable laws and regulations).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Borders>
              <w:right w:val="single" w:sz="8" w:color="CCCCCC"/>
            </w:tcBorders>
          </w:tcPr>
          <w:p>
            <w:pPr>
              <w:jc w:val="right"/>
              <w:ind w:right="28"/>
              <w:spacing w:after="0"/>
              <w:rPr>
                <w:sz w:val="20"/>
                <w:szCs w:val="20"/>
                <w:color w:val="auto"/>
              </w:rPr>
            </w:pPr>
            <w:r>
              <w:rPr>
                <w:rFonts w:ascii="Arial" w:cs="Arial" w:eastAsia="Arial" w:hAnsi="Arial"/>
                <w:sz w:val="14"/>
                <w:szCs w:val="14"/>
                <w:b w:val="1"/>
                <w:bCs w:val="1"/>
                <w:color w:val="065BAA"/>
                <w:w w:val="85"/>
              </w:rPr>
              <w:t>110</w:t>
            </w:r>
          </w:p>
        </w:tc>
        <w:tc>
          <w:tcPr>
            <w:tcW w:w="8320" w:type="dxa"/>
            <w:vAlign w:val="bottom"/>
          </w:tcPr>
          <w:p>
            <w:pPr>
              <w:ind w:left="3880"/>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r>
    </w:tbl>
    <w:p>
      <w:pPr>
        <w:sectPr>
          <w:pgSz w:w="11900" w:h="16838" w:orient="portrait"/>
          <w:cols w:equalWidth="0" w:num="1">
            <w:col w:w="9019"/>
          </w:cols>
          <w:pgMar w:left="1440" w:top="657" w:right="1440" w:bottom="1440" w:gutter="0" w:footer="0" w:header="0"/>
        </w:sectPr>
      </w:pPr>
    </w:p>
    <w:bookmarkStart w:id="119" w:name="page120"/>
    <w:bookmarkEnd w:id="119"/>
    <w:p>
      <w:pPr>
        <w:ind w:left="240"/>
        <w:spacing w:after="0"/>
        <w:tabs>
          <w:tab w:leader="none" w:pos="1260" w:val="left"/>
          <w:tab w:leader="none" w:pos="2680" w:val="left"/>
          <w:tab w:leader="none" w:pos="4440" w:val="left"/>
          <w:tab w:leader="none" w:pos="5660" w:val="left"/>
          <w:tab w:leader="none" w:pos="7900" w:val="left"/>
        </w:tabs>
        <w:rPr>
          <w:sz w:val="20"/>
          <w:szCs w:val="20"/>
          <w:color w:val="auto"/>
        </w:rPr>
      </w:pPr>
      <w:r>
        <w:rPr>
          <w:rFonts w:ascii="Arial" w:cs="Arial" w:eastAsia="Arial" w:hAnsi="Arial"/>
          <w:sz w:val="14"/>
          <w:szCs w:val="14"/>
          <w:color w:val="343434"/>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Introduction</w:t>
        <w:tab/>
        <w:t>Board of Directors</w:t>
        <w:tab/>
        <w:t>Corporate Governance</w:t>
      </w:r>
      <w:r>
        <w:rPr>
          <w:sz w:val="20"/>
          <w:szCs w:val="20"/>
          <w:color w:val="auto"/>
        </w:rPr>
        <w:tab/>
      </w:r>
      <w:r>
        <w:rPr>
          <w:rFonts w:ascii="Arial" w:cs="Arial" w:eastAsia="Arial" w:hAnsi="Arial"/>
          <w:sz w:val="14"/>
          <w:szCs w:val="14"/>
          <w:color w:val="343434"/>
        </w:rPr>
        <w:t>The Company</w:t>
      </w:r>
      <w:r>
        <w:rPr>
          <w:sz w:val="20"/>
          <w:szCs w:val="20"/>
          <w:color w:val="auto"/>
        </w:rPr>
        <w:tab/>
      </w:r>
      <w:r>
        <w:rPr>
          <w:rFonts w:ascii="Arial" w:cs="Arial" w:eastAsia="Arial" w:hAnsi="Arial"/>
          <w:sz w:val="14"/>
          <w:szCs w:val="14"/>
          <w:color w:val="343434"/>
        </w:rPr>
        <w:t>Compensation-Related Matters</w:t>
      </w:r>
      <w:r>
        <w:rPr>
          <w:sz w:val="20"/>
          <w:szCs w:val="20"/>
          <w:color w:val="auto"/>
        </w:rPr>
        <w:tab/>
      </w:r>
      <w:r>
        <w:rPr>
          <w:rFonts w:ascii="Arial" w:cs="Arial" w:eastAsia="Arial" w:hAnsi="Arial"/>
          <w:sz w:val="13"/>
          <w:szCs w:val="13"/>
          <w:b w:val="1"/>
          <w:bCs w:val="1"/>
          <w:color w:val="343434"/>
        </w:rPr>
        <w:t>Other Matters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22"/>
          <w:szCs w:val="22"/>
          <w:color w:val="065BAA"/>
        </w:rPr>
        <w:t>Reconciliation of GAAP to Non-GAAP Financial Information (Unaudited)</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8"/>
          <w:szCs w:val="18"/>
          <w:color w:val="065BAA"/>
        </w:rPr>
        <w:t>(In millions, except per share data)</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7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065BAA"/>
              </w:rPr>
              <w:t>Year Ended</w:t>
            </w:r>
          </w:p>
        </w:tc>
      </w:tr>
      <w:tr>
        <w:trPr>
          <w:trHeight w:val="171"/>
        </w:trPr>
        <w:tc>
          <w:tcPr>
            <w:tcW w:w="7060" w:type="dxa"/>
            <w:vAlign w:val="bottom"/>
          </w:tcPr>
          <w:p>
            <w:pPr>
              <w:spacing w:after="0"/>
              <w:rPr>
                <w:sz w:val="14"/>
                <w:szCs w:val="14"/>
                <w:color w:val="auto"/>
              </w:rPr>
            </w:pPr>
          </w:p>
        </w:tc>
        <w:tc>
          <w:tcPr>
            <w:tcW w:w="200" w:type="dxa"/>
            <w:vAlign w:val="bottom"/>
            <w:tcBorders>
              <w:bottom w:val="single" w:sz="8" w:color="065BAA"/>
            </w:tcBorders>
          </w:tcPr>
          <w:p>
            <w:pPr>
              <w:spacing w:after="0"/>
              <w:rPr>
                <w:sz w:val="14"/>
                <w:szCs w:val="14"/>
                <w:color w:val="auto"/>
              </w:rPr>
            </w:pPr>
          </w:p>
        </w:tc>
        <w:tc>
          <w:tcPr>
            <w:tcW w:w="1500" w:type="dxa"/>
            <w:vAlign w:val="bottom"/>
            <w:tcBorders>
              <w:bottom w:val="single" w:sz="8" w:color="065BAA"/>
            </w:tcBorders>
            <w:gridSpan w:val="3"/>
          </w:tcPr>
          <w:p>
            <w:pPr>
              <w:jc w:val="right"/>
              <w:ind w:right="308"/>
              <w:spacing w:after="0"/>
              <w:rPr>
                <w:sz w:val="20"/>
                <w:szCs w:val="20"/>
                <w:color w:val="auto"/>
              </w:rPr>
            </w:pPr>
            <w:r>
              <w:rPr>
                <w:rFonts w:ascii="Arial" w:cs="Arial" w:eastAsia="Arial" w:hAnsi="Arial"/>
                <w:sz w:val="14"/>
                <w:szCs w:val="14"/>
                <w:b w:val="1"/>
                <w:bCs w:val="1"/>
                <w:color w:val="065BAA"/>
              </w:rPr>
              <w:t>December 31,</w:t>
            </w:r>
          </w:p>
        </w:tc>
      </w:tr>
      <w:tr>
        <w:trPr>
          <w:trHeight w:val="209"/>
        </w:trPr>
        <w:tc>
          <w:tcPr>
            <w:tcW w:w="7060" w:type="dxa"/>
            <w:vAlign w:val="bottom"/>
            <w:tcBorders>
              <w:bottom w:val="single" w:sz="8" w:color="065BAA"/>
            </w:tcBorders>
          </w:tcPr>
          <w:p>
            <w:pPr>
              <w:spacing w:after="0"/>
              <w:rPr>
                <w:sz w:val="18"/>
                <w:szCs w:val="18"/>
                <w:color w:val="auto"/>
              </w:rPr>
            </w:pPr>
          </w:p>
        </w:tc>
        <w:tc>
          <w:tcPr>
            <w:tcW w:w="200" w:type="dxa"/>
            <w:vAlign w:val="bottom"/>
            <w:tcBorders>
              <w:bottom w:val="single" w:sz="8" w:color="065BAA"/>
            </w:tcBorders>
          </w:tcPr>
          <w:p>
            <w:pPr>
              <w:spacing w:after="0"/>
              <w:rPr>
                <w:sz w:val="18"/>
                <w:szCs w:val="18"/>
                <w:color w:val="auto"/>
              </w:rPr>
            </w:pPr>
          </w:p>
        </w:tc>
        <w:tc>
          <w:tcPr>
            <w:tcW w:w="700" w:type="dxa"/>
            <w:vAlign w:val="bottom"/>
            <w:tcBorders>
              <w:bottom w:val="single" w:sz="8" w:color="065BAA"/>
            </w:tcBorders>
          </w:tcPr>
          <w:p>
            <w:pPr>
              <w:jc w:val="right"/>
              <w:ind w:right="108"/>
              <w:spacing w:after="0"/>
              <w:rPr>
                <w:sz w:val="20"/>
                <w:szCs w:val="20"/>
                <w:color w:val="auto"/>
              </w:rPr>
            </w:pPr>
            <w:r>
              <w:rPr>
                <w:rFonts w:ascii="Arial" w:cs="Arial" w:eastAsia="Arial" w:hAnsi="Arial"/>
                <w:sz w:val="14"/>
                <w:szCs w:val="14"/>
                <w:b w:val="1"/>
                <w:bCs w:val="1"/>
                <w:color w:val="065BAA"/>
              </w:rPr>
              <w:t>2025</w:t>
            </w:r>
          </w:p>
        </w:tc>
        <w:tc>
          <w:tcPr>
            <w:tcW w:w="240" w:type="dxa"/>
            <w:vAlign w:val="bottom"/>
            <w:tcBorders>
              <w:bottom w:val="single" w:sz="8" w:color="065BAA"/>
            </w:tcBorders>
          </w:tcPr>
          <w:p>
            <w:pPr>
              <w:spacing w:after="0"/>
              <w:rPr>
                <w:sz w:val="18"/>
                <w:szCs w:val="18"/>
                <w:color w:val="auto"/>
              </w:rPr>
            </w:pPr>
          </w:p>
        </w:tc>
        <w:tc>
          <w:tcPr>
            <w:tcW w:w="560" w:type="dxa"/>
            <w:vAlign w:val="bottom"/>
            <w:tcBorders>
              <w:bottom w:val="single" w:sz="8" w:color="065BAA"/>
            </w:tcBorders>
          </w:tcPr>
          <w:p>
            <w:pPr>
              <w:jc w:val="right"/>
              <w:spacing w:after="0"/>
              <w:rPr>
                <w:sz w:val="20"/>
                <w:szCs w:val="20"/>
                <w:color w:val="auto"/>
              </w:rPr>
            </w:pPr>
            <w:r>
              <w:rPr>
                <w:rFonts w:ascii="Arial" w:cs="Arial" w:eastAsia="Arial" w:hAnsi="Arial"/>
                <w:sz w:val="14"/>
                <w:szCs w:val="14"/>
                <w:b w:val="1"/>
                <w:bCs w:val="1"/>
                <w:color w:val="065BAA"/>
              </w:rPr>
              <w:t>2024</w:t>
            </w:r>
          </w:p>
        </w:tc>
      </w:tr>
      <w:tr>
        <w:trPr>
          <w:trHeight w:val="209"/>
        </w:trPr>
        <w:tc>
          <w:tcPr>
            <w:tcW w:w="7060" w:type="dxa"/>
            <w:vAlign w:val="bottom"/>
          </w:tcPr>
          <w:p>
            <w:pPr>
              <w:ind w:left="80"/>
              <w:spacing w:after="0"/>
              <w:rPr>
                <w:sz w:val="20"/>
                <w:szCs w:val="20"/>
                <w:color w:val="auto"/>
              </w:rPr>
            </w:pPr>
            <w:r>
              <w:rPr>
                <w:rFonts w:ascii="Arial" w:cs="Arial" w:eastAsia="Arial" w:hAnsi="Arial"/>
                <w:sz w:val="14"/>
                <w:szCs w:val="14"/>
                <w:color w:val="auto"/>
              </w:rPr>
              <w:t>GAAP research and development (“R&amp;D”)</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5,850.2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5,132.0</w:t>
            </w:r>
          </w:p>
        </w:tc>
      </w:tr>
      <w:tr>
        <w:trPr>
          <w:trHeight w:val="230"/>
        </w:trPr>
        <w:tc>
          <w:tcPr>
            <w:tcW w:w="7060" w:type="dxa"/>
            <w:vAlign w:val="bottom"/>
            <w:shd w:val="clear" w:color="auto" w:fill="DAEBF8"/>
          </w:tcPr>
          <w:p>
            <w:pPr>
              <w:ind w:left="180"/>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DAEBF8"/>
          </w:tcPr>
          <w:p>
            <w:pPr>
              <w:spacing w:after="0"/>
              <w:rPr>
                <w:sz w:val="19"/>
                <w:szCs w:val="19"/>
                <w:color w:val="auto"/>
              </w:rPr>
            </w:pPr>
          </w:p>
        </w:tc>
        <w:tc>
          <w:tcPr>
            <w:tcW w:w="700" w:type="dxa"/>
            <w:vAlign w:val="bottom"/>
            <w:shd w:val="clear" w:color="auto" w:fill="DAEBF8"/>
          </w:tcPr>
          <w:p>
            <w:pPr>
              <w:jc w:val="right"/>
              <w:ind w:right="128"/>
              <w:spacing w:after="0"/>
              <w:rPr>
                <w:sz w:val="20"/>
                <w:szCs w:val="20"/>
                <w:color w:val="auto"/>
              </w:rPr>
            </w:pPr>
            <w:r>
              <w:rPr>
                <w:rFonts w:ascii="Arial" w:cs="Arial" w:eastAsia="Arial" w:hAnsi="Arial"/>
                <w:sz w:val="14"/>
                <w:szCs w:val="14"/>
                <w:color w:val="auto"/>
              </w:rPr>
              <w:t>545.4</w:t>
            </w:r>
          </w:p>
        </w:tc>
        <w:tc>
          <w:tcPr>
            <w:tcW w:w="240" w:type="dxa"/>
            <w:vAlign w:val="bottom"/>
            <w:shd w:val="clear" w:color="auto" w:fill="DAEBF8"/>
          </w:tcPr>
          <w:p>
            <w:pPr>
              <w:spacing w:after="0"/>
              <w:rPr>
                <w:sz w:val="19"/>
                <w:szCs w:val="19"/>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543.8</w:t>
            </w:r>
          </w:p>
        </w:tc>
      </w:tr>
      <w:tr>
        <w:trPr>
          <w:trHeight w:val="229"/>
        </w:trPr>
        <w:tc>
          <w:tcPr>
            <w:tcW w:w="7060" w:type="dxa"/>
            <w:vAlign w:val="bottom"/>
          </w:tcPr>
          <w:p>
            <w:pPr>
              <w:ind w:left="180"/>
              <w:spacing w:after="0"/>
              <w:rPr>
                <w:sz w:val="20"/>
                <w:szCs w:val="20"/>
                <w:color w:val="auto"/>
              </w:rPr>
            </w:pPr>
            <w:r>
              <w:rPr>
                <w:rFonts w:ascii="Arial" w:cs="Arial" w:eastAsia="Arial" w:hAnsi="Arial"/>
                <w:sz w:val="14"/>
                <w:szCs w:val="14"/>
                <w:color w:val="auto"/>
              </w:rPr>
              <w:t>Acquisition and integration costs</w:t>
            </w:r>
          </w:p>
        </w:tc>
        <w:tc>
          <w:tcPr>
            <w:tcW w:w="200" w:type="dxa"/>
            <w:vAlign w:val="bottom"/>
          </w:tcPr>
          <w:p>
            <w:pPr>
              <w:spacing w:after="0"/>
              <w:rPr>
                <w:sz w:val="19"/>
                <w:szCs w:val="19"/>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24.9</w:t>
            </w:r>
          </w:p>
        </w:tc>
      </w:tr>
      <w:tr>
        <w:trPr>
          <w:trHeight w:val="230"/>
        </w:trPr>
        <w:tc>
          <w:tcPr>
            <w:tcW w:w="7060" w:type="dxa"/>
            <w:vAlign w:val="bottom"/>
            <w:shd w:val="clear" w:color="auto" w:fill="DAEBF8"/>
          </w:tcPr>
          <w:p>
            <w:pPr>
              <w:ind w:left="180"/>
              <w:spacing w:after="0"/>
              <w:rPr>
                <w:sz w:val="20"/>
                <w:szCs w:val="20"/>
                <w:color w:val="auto"/>
              </w:rPr>
            </w:pPr>
            <w:r>
              <w:rPr>
                <w:rFonts w:ascii="Arial" w:cs="Arial" w:eastAsia="Arial" w:hAnsi="Arial"/>
                <w:sz w:val="14"/>
                <w:szCs w:val="14"/>
                <w:color w:val="auto"/>
              </w:rPr>
              <w:t>Priority review voucher</w:t>
            </w:r>
          </w:p>
        </w:tc>
        <w:tc>
          <w:tcPr>
            <w:tcW w:w="200" w:type="dxa"/>
            <w:vAlign w:val="bottom"/>
            <w:tcBorders>
              <w:bottom w:val="single" w:sz="8" w:color="auto"/>
            </w:tcBorders>
            <w:shd w:val="clear" w:color="auto" w:fill="DAEBF8"/>
          </w:tcPr>
          <w:p>
            <w:pPr>
              <w:spacing w:after="0"/>
              <w:rPr>
                <w:sz w:val="19"/>
                <w:szCs w:val="19"/>
                <w:color w:val="auto"/>
              </w:rPr>
            </w:pPr>
          </w:p>
        </w:tc>
        <w:tc>
          <w:tcPr>
            <w:tcW w:w="700" w:type="dxa"/>
            <w:vAlign w:val="bottom"/>
            <w:tcBorders>
              <w:bottom w:val="single" w:sz="8" w:color="auto"/>
            </w:tcBorders>
            <w:shd w:val="clear" w:color="auto" w:fill="DAEBF8"/>
          </w:tcPr>
          <w:p>
            <w:pPr>
              <w:jc w:val="right"/>
              <w:ind w:right="128"/>
              <w:spacing w:after="0"/>
              <w:rPr>
                <w:sz w:val="20"/>
                <w:szCs w:val="20"/>
                <w:color w:val="auto"/>
              </w:rPr>
            </w:pPr>
            <w:r>
              <w:rPr>
                <w:rFonts w:ascii="Arial" w:cs="Arial" w:eastAsia="Arial" w:hAnsi="Arial"/>
                <w:sz w:val="14"/>
                <w:szCs w:val="14"/>
                <w:color w:val="auto"/>
              </w:rPr>
              <w:t>155.0</w:t>
            </w:r>
          </w:p>
        </w:tc>
        <w:tc>
          <w:tcPr>
            <w:tcW w:w="240" w:type="dxa"/>
            <w:vAlign w:val="bottom"/>
            <w:tcBorders>
              <w:bottom w:val="single" w:sz="8" w:color="auto"/>
            </w:tcBorders>
            <w:shd w:val="clear" w:color="auto" w:fill="DAEBF8"/>
          </w:tcPr>
          <w:p>
            <w:pPr>
              <w:spacing w:after="0"/>
              <w:rPr>
                <w:sz w:val="19"/>
                <w:szCs w:val="19"/>
                <w:color w:val="auto"/>
              </w:rPr>
            </w:pPr>
          </w:p>
        </w:tc>
        <w:tc>
          <w:tcPr>
            <w:tcW w:w="560" w:type="dxa"/>
            <w:vAlign w:val="bottom"/>
            <w:tcBorders>
              <w:bottom w:val="single" w:sz="8" w:color="auto"/>
            </w:tcBorders>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060" w:type="dxa"/>
            <w:vAlign w:val="bottom"/>
          </w:tcPr>
          <w:p>
            <w:pPr>
              <w:ind w:left="80"/>
              <w:spacing w:after="0"/>
              <w:rPr>
                <w:sz w:val="20"/>
                <w:szCs w:val="20"/>
                <w:color w:val="auto"/>
              </w:rPr>
            </w:pPr>
            <w:r>
              <w:rPr>
                <w:rFonts w:ascii="Arial" w:cs="Arial" w:eastAsia="Arial" w:hAnsi="Arial"/>
                <w:sz w:val="14"/>
                <w:szCs w:val="14"/>
                <w:color w:val="auto"/>
              </w:rPr>
              <w:t>Non-GAAP R&amp;D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5,149.8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4,563.3</w:t>
            </w:r>
          </w:p>
        </w:tc>
      </w:tr>
      <w:tr>
        <w:trPr>
          <w:trHeight w:val="20"/>
        </w:trPr>
        <w:tc>
          <w:tcPr>
            <w:tcW w:w="7060" w:type="dxa"/>
            <w:vAlign w:val="bottom"/>
            <w:tcBorders>
              <w:bottom w:val="single" w:sz="8" w:color="DAEBF8"/>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6"/>
        </w:trPr>
        <w:tc>
          <w:tcPr>
            <w:tcW w:w="7060" w:type="dxa"/>
            <w:vAlign w:val="bottom"/>
            <w:shd w:val="clear" w:color="auto" w:fill="DAEBF8"/>
          </w:tcPr>
          <w:p>
            <w:pPr>
              <w:ind w:left="80"/>
              <w:spacing w:after="0"/>
              <w:rPr>
                <w:sz w:val="20"/>
                <w:szCs w:val="20"/>
                <w:color w:val="auto"/>
              </w:rPr>
            </w:pPr>
            <w:r>
              <w:rPr>
                <w:rFonts w:ascii="Arial" w:cs="Arial" w:eastAsia="Arial" w:hAnsi="Arial"/>
                <w:sz w:val="14"/>
                <w:szCs w:val="14"/>
                <w:color w:val="auto"/>
              </w:rPr>
              <w:t>GAAP selling, general, and administrative (“SG&amp;A”)</w:t>
            </w:r>
          </w:p>
        </w:tc>
        <w:tc>
          <w:tcPr>
            <w:tcW w:w="2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DAEBF8"/>
          </w:tcPr>
          <w:p>
            <w:pPr>
              <w:jc w:val="right"/>
              <w:ind w:right="128"/>
              <w:spacing w:after="0"/>
              <w:rPr>
                <w:sz w:val="20"/>
                <w:szCs w:val="20"/>
                <w:color w:val="auto"/>
              </w:rPr>
            </w:pPr>
            <w:r>
              <w:rPr>
                <w:rFonts w:ascii="Arial" w:cs="Arial" w:eastAsia="Arial" w:hAnsi="Arial"/>
                <w:sz w:val="14"/>
                <w:szCs w:val="14"/>
                <w:color w:val="auto"/>
              </w:rPr>
              <w:t>2,700.0</w:t>
            </w:r>
          </w:p>
        </w:tc>
        <w:tc>
          <w:tcPr>
            <w:tcW w:w="2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2,954.4</w:t>
            </w:r>
          </w:p>
        </w:tc>
      </w:tr>
      <w:tr>
        <w:trPr>
          <w:trHeight w:val="230"/>
        </w:trPr>
        <w:tc>
          <w:tcPr>
            <w:tcW w:w="706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19"/>
                <w:szCs w:val="19"/>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362.9</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355.0</w:t>
            </w:r>
          </w:p>
        </w:tc>
      </w:tr>
      <w:tr>
        <w:trPr>
          <w:trHeight w:val="229"/>
        </w:trPr>
        <w:tc>
          <w:tcPr>
            <w:tcW w:w="7060" w:type="dxa"/>
            <w:vAlign w:val="bottom"/>
            <w:shd w:val="clear" w:color="auto" w:fill="DAEBF8"/>
          </w:tcPr>
          <w:p>
            <w:pPr>
              <w:ind w:left="180"/>
              <w:spacing w:after="0"/>
              <w:rPr>
                <w:sz w:val="20"/>
                <w:szCs w:val="20"/>
                <w:color w:val="auto"/>
              </w:rPr>
            </w:pPr>
            <w:r>
              <w:rPr>
                <w:rFonts w:ascii="Arial" w:cs="Arial" w:eastAsia="Arial" w:hAnsi="Arial"/>
                <w:sz w:val="14"/>
                <w:szCs w:val="14"/>
                <w:color w:val="auto"/>
              </w:rPr>
              <w:t>Acquisition and integration costs</w:t>
            </w:r>
          </w:p>
        </w:tc>
        <w:tc>
          <w:tcPr>
            <w:tcW w:w="200" w:type="dxa"/>
            <w:vAlign w:val="bottom"/>
            <w:shd w:val="clear" w:color="auto" w:fill="DAEBF8"/>
          </w:tcPr>
          <w:p>
            <w:pPr>
              <w:spacing w:after="0"/>
              <w:rPr>
                <w:sz w:val="19"/>
                <w:szCs w:val="19"/>
                <w:color w:val="auto"/>
              </w:rPr>
            </w:pPr>
          </w:p>
        </w:tc>
        <w:tc>
          <w:tcPr>
            <w:tcW w:w="700" w:type="dxa"/>
            <w:vAlign w:val="bottom"/>
            <w:shd w:val="clear" w:color="auto" w:fill="DAEBF8"/>
          </w:tcPr>
          <w:p>
            <w:pPr>
              <w:jc w:val="right"/>
              <w:ind w:right="128"/>
              <w:spacing w:after="0"/>
              <w:rPr>
                <w:sz w:val="20"/>
                <w:szCs w:val="20"/>
                <w:color w:val="auto"/>
              </w:rPr>
            </w:pPr>
            <w:r>
              <w:rPr>
                <w:rFonts w:ascii="Arial" w:cs="Arial" w:eastAsia="Arial" w:hAnsi="Arial"/>
                <w:sz w:val="14"/>
                <w:szCs w:val="14"/>
                <w:color w:val="auto"/>
              </w:rPr>
              <w:t>0.8</w:t>
            </w:r>
          </w:p>
        </w:tc>
        <w:tc>
          <w:tcPr>
            <w:tcW w:w="240" w:type="dxa"/>
            <w:vAlign w:val="bottom"/>
            <w:shd w:val="clear" w:color="auto" w:fill="DAEBF8"/>
          </w:tcPr>
          <w:p>
            <w:pPr>
              <w:spacing w:after="0"/>
              <w:rPr>
                <w:sz w:val="19"/>
                <w:szCs w:val="19"/>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42.2</w:t>
            </w:r>
          </w:p>
        </w:tc>
      </w:tr>
      <w:tr>
        <w:trPr>
          <w:trHeight w:val="229"/>
        </w:trPr>
        <w:tc>
          <w:tcPr>
            <w:tcW w:w="7060" w:type="dxa"/>
            <w:vAlign w:val="bottom"/>
            <w:tcBorders>
              <w:bottom w:val="single" w:sz="8" w:color="DAEBF8"/>
            </w:tcBorders>
          </w:tcPr>
          <w:p>
            <w:pPr>
              <w:ind w:left="180"/>
              <w:spacing w:after="0"/>
              <w:rPr>
                <w:sz w:val="20"/>
                <w:szCs w:val="20"/>
                <w:color w:val="auto"/>
              </w:rPr>
            </w:pPr>
            <w:r>
              <w:rPr>
                <w:rFonts w:ascii="Arial" w:cs="Arial" w:eastAsia="Arial" w:hAnsi="Arial"/>
                <w:sz w:val="14"/>
                <w:szCs w:val="14"/>
                <w:color w:val="auto"/>
              </w:rPr>
              <w:t>Litigation settlements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25.0</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r>
      <w:tr>
        <w:trPr>
          <w:trHeight w:val="208"/>
        </w:trPr>
        <w:tc>
          <w:tcPr>
            <w:tcW w:w="7060" w:type="dxa"/>
            <w:vAlign w:val="bottom"/>
            <w:tcBorders>
              <w:bottom w:val="single" w:sz="8" w:color="DAEBF8"/>
            </w:tcBorders>
            <w:shd w:val="clear" w:color="auto" w:fill="DAEBF8"/>
          </w:tcPr>
          <w:p>
            <w:pPr>
              <w:ind w:left="80"/>
              <w:spacing w:after="0"/>
              <w:rPr>
                <w:sz w:val="20"/>
                <w:szCs w:val="20"/>
                <w:color w:val="auto"/>
              </w:rPr>
            </w:pPr>
            <w:r>
              <w:rPr>
                <w:rFonts w:ascii="Arial" w:cs="Arial" w:eastAsia="Arial" w:hAnsi="Arial"/>
                <w:sz w:val="14"/>
                <w:szCs w:val="14"/>
                <w:color w:val="auto"/>
              </w:rPr>
              <w:t>Non-GAAP SG&amp;A</w:t>
            </w:r>
          </w:p>
        </w:tc>
        <w:tc>
          <w:tcPr>
            <w:tcW w:w="200" w:type="dxa"/>
            <w:vAlign w:val="bottom"/>
            <w:tcBorders>
              <w:bottom w:val="single" w:sz="8" w:color="auto"/>
            </w:tcBorders>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DAEBF8"/>
          </w:tcPr>
          <w:p>
            <w:pPr>
              <w:jc w:val="right"/>
              <w:ind w:right="128"/>
              <w:spacing w:after="0"/>
              <w:rPr>
                <w:sz w:val="20"/>
                <w:szCs w:val="20"/>
                <w:color w:val="auto"/>
              </w:rPr>
            </w:pPr>
            <w:r>
              <w:rPr>
                <w:rFonts w:ascii="Arial" w:cs="Arial" w:eastAsia="Arial" w:hAnsi="Arial"/>
                <w:sz w:val="14"/>
                <w:szCs w:val="14"/>
                <w:color w:val="auto"/>
              </w:rPr>
              <w:t>2,311.3</w:t>
            </w:r>
          </w:p>
        </w:tc>
        <w:tc>
          <w:tcPr>
            <w:tcW w:w="240" w:type="dxa"/>
            <w:vAlign w:val="bottom"/>
            <w:tcBorders>
              <w:bottom w:val="single" w:sz="8" w:color="auto"/>
            </w:tcBorders>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DAEBF8"/>
          </w:tcPr>
          <w:p>
            <w:pPr>
              <w:jc w:val="right"/>
              <w:spacing w:after="0"/>
              <w:rPr>
                <w:sz w:val="20"/>
                <w:szCs w:val="20"/>
                <w:color w:val="auto"/>
              </w:rPr>
            </w:pPr>
            <w:r>
              <w:rPr>
                <w:rFonts w:ascii="Arial" w:cs="Arial" w:eastAsia="Arial" w:hAnsi="Arial"/>
                <w:sz w:val="14"/>
                <w:szCs w:val="14"/>
                <w:color w:val="auto"/>
              </w:rPr>
              <w:t>2,544.2</w:t>
            </w:r>
          </w:p>
        </w:tc>
      </w:tr>
      <w:tr>
        <w:trPr>
          <w:trHeight w:val="20"/>
        </w:trPr>
        <w:tc>
          <w:tcPr>
            <w:tcW w:w="7060" w:type="dxa"/>
            <w:vAlign w:val="bottom"/>
            <w:tcBorders>
              <w:top w:val="single" w:sz="8" w:color="DAEBF8"/>
            </w:tcBorders>
          </w:tcPr>
          <w:p>
            <w:pPr>
              <w:spacing w:after="0" w:line="20" w:lineRule="exact"/>
              <w:rPr>
                <w:sz w:val="1"/>
                <w:szCs w:val="1"/>
                <w:color w:val="auto"/>
              </w:rPr>
            </w:pPr>
          </w:p>
        </w:tc>
        <w:tc>
          <w:tcPr>
            <w:tcW w:w="200" w:type="dxa"/>
            <w:vAlign w:val="bottom"/>
            <w:tcBorders>
              <w:top w:val="single" w:sz="8" w:color="DAEBF8"/>
              <w:bottom w:val="single" w:sz="8" w:color="auto"/>
            </w:tcBorders>
          </w:tcPr>
          <w:p>
            <w:pPr>
              <w:spacing w:after="0" w:line="20" w:lineRule="exact"/>
              <w:rPr>
                <w:sz w:val="1"/>
                <w:szCs w:val="1"/>
                <w:color w:val="auto"/>
              </w:rPr>
            </w:pPr>
          </w:p>
        </w:tc>
        <w:tc>
          <w:tcPr>
            <w:tcW w:w="700" w:type="dxa"/>
            <w:vAlign w:val="bottom"/>
            <w:tcBorders>
              <w:top w:val="single" w:sz="8" w:color="DAEBF8"/>
              <w:bottom w:val="single" w:sz="8" w:color="auto"/>
            </w:tcBorders>
          </w:tcPr>
          <w:p>
            <w:pPr>
              <w:spacing w:after="0" w:line="20" w:lineRule="exact"/>
              <w:rPr>
                <w:sz w:val="1"/>
                <w:szCs w:val="1"/>
                <w:color w:val="auto"/>
              </w:rPr>
            </w:pPr>
          </w:p>
        </w:tc>
        <w:tc>
          <w:tcPr>
            <w:tcW w:w="240" w:type="dxa"/>
            <w:vAlign w:val="bottom"/>
            <w:tcBorders>
              <w:top w:val="single" w:sz="8" w:color="DAEBF8"/>
              <w:bottom w:val="single" w:sz="8" w:color="auto"/>
            </w:tcBorders>
          </w:tcPr>
          <w:p>
            <w:pPr>
              <w:spacing w:after="0" w:line="20" w:lineRule="exact"/>
              <w:rPr>
                <w:sz w:val="1"/>
                <w:szCs w:val="1"/>
                <w:color w:val="auto"/>
              </w:rPr>
            </w:pPr>
          </w:p>
        </w:tc>
        <w:tc>
          <w:tcPr>
            <w:tcW w:w="560" w:type="dxa"/>
            <w:vAlign w:val="bottom"/>
            <w:tcBorders>
              <w:top w:val="single" w:sz="8" w:color="DAEBF8"/>
              <w:bottom w:val="single" w:sz="8" w:color="auto"/>
            </w:tcBorders>
          </w:tcPr>
          <w:p>
            <w:pPr>
              <w:spacing w:after="0" w:line="20" w:lineRule="exact"/>
              <w:rPr>
                <w:sz w:val="1"/>
                <w:szCs w:val="1"/>
                <w:color w:val="auto"/>
              </w:rPr>
            </w:pPr>
          </w:p>
        </w:tc>
      </w:tr>
      <w:tr>
        <w:trPr>
          <w:trHeight w:val="177"/>
        </w:trPr>
        <w:tc>
          <w:tcPr>
            <w:tcW w:w="7060" w:type="dxa"/>
            <w:vAlign w:val="bottom"/>
          </w:tcPr>
          <w:p>
            <w:pPr>
              <w:ind w:left="80"/>
              <w:spacing w:after="0"/>
              <w:rPr>
                <w:sz w:val="20"/>
                <w:szCs w:val="20"/>
                <w:color w:val="auto"/>
              </w:rPr>
            </w:pPr>
            <w:r>
              <w:rPr>
                <w:rFonts w:ascii="Arial" w:cs="Arial" w:eastAsia="Arial" w:hAnsi="Arial"/>
                <w:sz w:val="14"/>
                <w:szCs w:val="14"/>
                <w:color w:val="auto"/>
              </w:rPr>
              <w:t>GAAP cost of goods sold (“COGS”)</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1,140.8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1,087.3</w:t>
            </w:r>
          </w:p>
        </w:tc>
      </w:tr>
      <w:tr>
        <w:trPr>
          <w:trHeight w:val="230"/>
        </w:trPr>
        <w:tc>
          <w:tcPr>
            <w:tcW w:w="7060" w:type="dxa"/>
            <w:vAlign w:val="bottom"/>
            <w:shd w:val="clear" w:color="auto" w:fill="DAEBF8"/>
          </w:tcPr>
          <w:p>
            <w:pPr>
              <w:ind w:left="180"/>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DAEBF8"/>
          </w:tcPr>
          <w:p>
            <w:pPr>
              <w:spacing w:after="0"/>
              <w:rPr>
                <w:sz w:val="19"/>
                <w:szCs w:val="19"/>
                <w:color w:val="auto"/>
              </w:rPr>
            </w:pPr>
          </w:p>
        </w:tc>
        <w:tc>
          <w:tcPr>
            <w:tcW w:w="700" w:type="dxa"/>
            <w:vAlign w:val="bottom"/>
            <w:shd w:val="clear" w:color="auto" w:fill="DAEBF8"/>
          </w:tcPr>
          <w:p>
            <w:pPr>
              <w:jc w:val="right"/>
              <w:ind w:right="128"/>
              <w:spacing w:after="0"/>
              <w:rPr>
                <w:sz w:val="20"/>
                <w:szCs w:val="20"/>
                <w:color w:val="auto"/>
              </w:rPr>
            </w:pPr>
            <w:r>
              <w:rPr>
                <w:rFonts w:ascii="Arial" w:cs="Arial" w:eastAsia="Arial" w:hAnsi="Arial"/>
                <w:sz w:val="14"/>
                <w:szCs w:val="14"/>
                <w:color w:val="auto"/>
              </w:rPr>
              <w:t>85.4</w:t>
            </w:r>
          </w:p>
        </w:tc>
        <w:tc>
          <w:tcPr>
            <w:tcW w:w="240" w:type="dxa"/>
            <w:vAlign w:val="bottom"/>
            <w:shd w:val="clear" w:color="auto" w:fill="DAEBF8"/>
          </w:tcPr>
          <w:p>
            <w:pPr>
              <w:spacing w:after="0"/>
              <w:rPr>
                <w:sz w:val="19"/>
                <w:szCs w:val="19"/>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84.0</w:t>
            </w:r>
          </w:p>
        </w:tc>
      </w:tr>
      <w:tr>
        <w:trPr>
          <w:trHeight w:val="229"/>
        </w:trPr>
        <w:tc>
          <w:tcPr>
            <w:tcW w:w="7060" w:type="dxa"/>
            <w:vAlign w:val="bottom"/>
          </w:tcPr>
          <w:p>
            <w:pPr>
              <w:ind w:left="180"/>
              <w:spacing w:after="0"/>
              <w:rPr>
                <w:sz w:val="20"/>
                <w:szCs w:val="20"/>
                <w:color w:val="auto"/>
              </w:rPr>
            </w:pPr>
            <w:r>
              <w:rPr>
                <w:rFonts w:ascii="Arial" w:cs="Arial" w:eastAsia="Arial" w:hAnsi="Arial"/>
                <w:sz w:val="14"/>
                <w:szCs w:val="14"/>
                <w:color w:val="auto"/>
              </w:rPr>
              <w:t>Acquisition and integration costs</w:t>
            </w:r>
          </w:p>
        </w:tc>
        <w:tc>
          <w:tcPr>
            <w:tcW w:w="200" w:type="dxa"/>
            <w:vAlign w:val="bottom"/>
          </w:tcPr>
          <w:p>
            <w:pPr>
              <w:spacing w:after="0"/>
              <w:rPr>
                <w:sz w:val="19"/>
                <w:szCs w:val="19"/>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29"/>
        </w:trPr>
        <w:tc>
          <w:tcPr>
            <w:tcW w:w="7060" w:type="dxa"/>
            <w:vAlign w:val="bottom"/>
            <w:shd w:val="clear" w:color="auto" w:fill="DAEBF8"/>
          </w:tcPr>
          <w:p>
            <w:pPr>
              <w:ind w:left="180"/>
              <w:spacing w:after="0"/>
              <w:rPr>
                <w:sz w:val="20"/>
                <w:szCs w:val="20"/>
                <w:color w:val="auto"/>
              </w:rPr>
            </w:pPr>
            <w:r>
              <w:rPr>
                <w:rFonts w:ascii="Arial" w:cs="Arial" w:eastAsia="Arial" w:hAnsi="Arial"/>
                <w:sz w:val="14"/>
                <w:szCs w:val="14"/>
                <w:color w:val="auto"/>
              </w:rPr>
              <w:t>Intangible asset amortization expense</w:t>
            </w:r>
          </w:p>
        </w:tc>
        <w:tc>
          <w:tcPr>
            <w:tcW w:w="200" w:type="dxa"/>
            <w:vAlign w:val="bottom"/>
            <w:tcBorders>
              <w:bottom w:val="single" w:sz="8" w:color="auto"/>
            </w:tcBorders>
            <w:shd w:val="clear" w:color="auto" w:fill="DAEBF8"/>
          </w:tcPr>
          <w:p>
            <w:pPr>
              <w:spacing w:after="0"/>
              <w:rPr>
                <w:sz w:val="19"/>
                <w:szCs w:val="19"/>
                <w:color w:val="auto"/>
              </w:rPr>
            </w:pPr>
          </w:p>
        </w:tc>
        <w:tc>
          <w:tcPr>
            <w:tcW w:w="700" w:type="dxa"/>
            <w:vAlign w:val="bottom"/>
            <w:tcBorders>
              <w:bottom w:val="single" w:sz="8" w:color="auto"/>
            </w:tcBorders>
            <w:shd w:val="clear" w:color="auto" w:fill="DAEBF8"/>
          </w:tcPr>
          <w:p>
            <w:pPr>
              <w:jc w:val="right"/>
              <w:ind w:right="128"/>
              <w:spacing w:after="0"/>
              <w:rPr>
                <w:sz w:val="20"/>
                <w:szCs w:val="20"/>
                <w:color w:val="auto"/>
              </w:rPr>
            </w:pPr>
            <w:r>
              <w:rPr>
                <w:rFonts w:ascii="Arial" w:cs="Arial" w:eastAsia="Arial" w:hAnsi="Arial"/>
                <w:sz w:val="14"/>
                <w:szCs w:val="14"/>
                <w:color w:val="auto"/>
              </w:rPr>
              <w:t>131.7</w:t>
            </w:r>
          </w:p>
        </w:tc>
        <w:tc>
          <w:tcPr>
            <w:tcW w:w="240" w:type="dxa"/>
            <w:vAlign w:val="bottom"/>
            <w:tcBorders>
              <w:bottom w:val="single" w:sz="8" w:color="auto"/>
            </w:tcBorders>
            <w:shd w:val="clear" w:color="auto" w:fill="DAEBF8"/>
          </w:tcPr>
          <w:p>
            <w:pPr>
              <w:spacing w:after="0"/>
              <w:rPr>
                <w:sz w:val="19"/>
                <w:szCs w:val="19"/>
                <w:color w:val="auto"/>
              </w:rPr>
            </w:pPr>
          </w:p>
        </w:tc>
        <w:tc>
          <w:tcPr>
            <w:tcW w:w="560" w:type="dxa"/>
            <w:vAlign w:val="bottom"/>
            <w:tcBorders>
              <w:bottom w:val="single" w:sz="8" w:color="auto"/>
            </w:tcBorders>
            <w:shd w:val="clear" w:color="auto" w:fill="DAEBF8"/>
          </w:tcPr>
          <w:p>
            <w:pPr>
              <w:jc w:val="right"/>
              <w:spacing w:after="0"/>
              <w:rPr>
                <w:sz w:val="20"/>
                <w:szCs w:val="20"/>
                <w:color w:val="auto"/>
              </w:rPr>
            </w:pPr>
            <w:r>
              <w:rPr>
                <w:rFonts w:ascii="Arial" w:cs="Arial" w:eastAsia="Arial" w:hAnsi="Arial"/>
                <w:sz w:val="14"/>
                <w:szCs w:val="14"/>
                <w:color w:val="auto"/>
              </w:rPr>
              <w:t>103.5</w:t>
            </w:r>
          </w:p>
        </w:tc>
      </w:tr>
      <w:tr>
        <w:trPr>
          <w:trHeight w:val="183"/>
        </w:trPr>
        <w:tc>
          <w:tcPr>
            <w:tcW w:w="7060" w:type="dxa"/>
            <w:vAlign w:val="bottom"/>
          </w:tcPr>
          <w:p>
            <w:pPr>
              <w:ind w:left="80"/>
              <w:spacing w:after="0"/>
              <w:rPr>
                <w:sz w:val="20"/>
                <w:szCs w:val="20"/>
                <w:color w:val="auto"/>
              </w:rPr>
            </w:pPr>
            <w:r>
              <w:rPr>
                <w:rFonts w:ascii="Arial" w:cs="Arial" w:eastAsia="Arial" w:hAnsi="Arial"/>
                <w:sz w:val="14"/>
                <w:szCs w:val="14"/>
                <w:color w:val="auto"/>
              </w:rPr>
              <w:t>Non-GAAP COGS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923.7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897.8</w:t>
            </w:r>
          </w:p>
        </w:tc>
      </w:tr>
      <w:tr>
        <w:trPr>
          <w:trHeight w:val="20"/>
        </w:trPr>
        <w:tc>
          <w:tcPr>
            <w:tcW w:w="7060" w:type="dxa"/>
            <w:vAlign w:val="bottom"/>
            <w:tcBorders>
              <w:bottom w:val="single" w:sz="8" w:color="DAEBF8"/>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7"/>
        </w:trPr>
        <w:tc>
          <w:tcPr>
            <w:tcW w:w="7060" w:type="dxa"/>
            <w:vAlign w:val="bottom"/>
            <w:shd w:val="clear" w:color="auto" w:fill="DAEBF8"/>
          </w:tcPr>
          <w:p>
            <w:pPr>
              <w:ind w:left="80"/>
              <w:spacing w:after="0"/>
              <w:rPr>
                <w:sz w:val="20"/>
                <w:szCs w:val="20"/>
                <w:color w:val="auto"/>
              </w:rPr>
            </w:pPr>
            <w:r>
              <w:rPr>
                <w:rFonts w:ascii="Arial" w:cs="Arial" w:eastAsia="Arial" w:hAnsi="Arial"/>
                <w:sz w:val="14"/>
                <w:szCs w:val="14"/>
                <w:color w:val="auto"/>
              </w:rPr>
              <w:t>GAAP other operating (income) expense, net</w:t>
            </w:r>
          </w:p>
        </w:tc>
        <w:tc>
          <w:tcPr>
            <w:tcW w:w="2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DAEBF8"/>
          </w:tcPr>
          <w:p>
            <w:pPr>
              <w:jc w:val="right"/>
              <w:ind w:right="68"/>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53.4</w:t>
            </w:r>
          </w:p>
        </w:tc>
      </w:tr>
      <w:tr>
        <w:trPr>
          <w:trHeight w:val="230"/>
        </w:trPr>
        <w:tc>
          <w:tcPr>
            <w:tcW w:w="7060" w:type="dxa"/>
            <w:vAlign w:val="bottom"/>
            <w:tcBorders>
              <w:bottom w:val="single" w:sz="8" w:color="DAEBF8"/>
            </w:tcBorders>
          </w:tcPr>
          <w:p>
            <w:pPr>
              <w:ind w:left="180"/>
              <w:spacing w:after="0"/>
              <w:rPr>
                <w:sz w:val="20"/>
                <w:szCs w:val="20"/>
                <w:color w:val="auto"/>
              </w:rPr>
            </w:pPr>
            <w:r>
              <w:rPr>
                <w:rFonts w:ascii="Arial" w:cs="Arial" w:eastAsia="Arial" w:hAnsi="Arial"/>
                <w:sz w:val="14"/>
                <w:szCs w:val="14"/>
                <w:color w:val="auto"/>
              </w:rPr>
              <w:t>Change in fair value of contingent consideration</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w:t>
            </w:r>
          </w:p>
        </w:tc>
      </w:tr>
      <w:tr>
        <w:trPr>
          <w:trHeight w:val="208"/>
        </w:trPr>
        <w:tc>
          <w:tcPr>
            <w:tcW w:w="7060" w:type="dxa"/>
            <w:vAlign w:val="bottom"/>
            <w:tcBorders>
              <w:bottom w:val="single" w:sz="8" w:color="DAEBF8"/>
            </w:tcBorders>
            <w:shd w:val="clear" w:color="auto" w:fill="DAEBF8"/>
          </w:tcPr>
          <w:p>
            <w:pPr>
              <w:ind w:left="80"/>
              <w:spacing w:after="0"/>
              <w:rPr>
                <w:sz w:val="20"/>
                <w:szCs w:val="20"/>
                <w:color w:val="auto"/>
              </w:rPr>
            </w:pPr>
            <w:r>
              <w:rPr>
                <w:rFonts w:ascii="Arial" w:cs="Arial" w:eastAsia="Arial" w:hAnsi="Arial"/>
                <w:sz w:val="14"/>
                <w:szCs w:val="14"/>
                <w:color w:val="auto"/>
              </w:rPr>
              <w:t>Non-GAAP other operating (income) expense, net</w:t>
            </w:r>
          </w:p>
        </w:tc>
        <w:tc>
          <w:tcPr>
            <w:tcW w:w="200" w:type="dxa"/>
            <w:vAlign w:val="bottom"/>
            <w:tcBorders>
              <w:bottom w:val="single" w:sz="8" w:color="auto"/>
            </w:tcBorders>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DAEBF8"/>
          </w:tcPr>
          <w:p>
            <w:pPr>
              <w:jc w:val="right"/>
              <w:ind w:right="68"/>
              <w:spacing w:after="0"/>
              <w:rPr>
                <w:sz w:val="20"/>
                <w:szCs w:val="20"/>
                <w:color w:val="auto"/>
              </w:rPr>
            </w:pPr>
            <w:r>
              <w:rPr>
                <w:rFonts w:ascii="Arial" w:cs="Arial" w:eastAsia="Arial" w:hAnsi="Arial"/>
                <w:sz w:val="14"/>
                <w:szCs w:val="14"/>
                <w:color w:val="auto"/>
              </w:rPr>
              <w:t>(10.0)</w:t>
            </w:r>
          </w:p>
        </w:tc>
        <w:tc>
          <w:tcPr>
            <w:tcW w:w="240" w:type="dxa"/>
            <w:vAlign w:val="bottom"/>
            <w:tcBorders>
              <w:bottom w:val="single" w:sz="8" w:color="auto"/>
            </w:tcBorders>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060" w:type="dxa"/>
            <w:vAlign w:val="bottom"/>
            <w:tcBorders>
              <w:top w:val="single" w:sz="8" w:color="DAEBF8"/>
            </w:tcBorders>
          </w:tcPr>
          <w:p>
            <w:pPr>
              <w:spacing w:after="0" w:line="20" w:lineRule="exact"/>
              <w:rPr>
                <w:sz w:val="1"/>
                <w:szCs w:val="1"/>
                <w:color w:val="auto"/>
              </w:rPr>
            </w:pPr>
          </w:p>
        </w:tc>
        <w:tc>
          <w:tcPr>
            <w:tcW w:w="200" w:type="dxa"/>
            <w:vAlign w:val="bottom"/>
            <w:tcBorders>
              <w:top w:val="single" w:sz="8" w:color="DAEBF8"/>
              <w:bottom w:val="single" w:sz="8" w:color="auto"/>
            </w:tcBorders>
          </w:tcPr>
          <w:p>
            <w:pPr>
              <w:spacing w:after="0" w:line="20" w:lineRule="exact"/>
              <w:rPr>
                <w:sz w:val="1"/>
                <w:szCs w:val="1"/>
                <w:color w:val="auto"/>
              </w:rPr>
            </w:pPr>
          </w:p>
        </w:tc>
        <w:tc>
          <w:tcPr>
            <w:tcW w:w="700" w:type="dxa"/>
            <w:vAlign w:val="bottom"/>
            <w:tcBorders>
              <w:top w:val="single" w:sz="8" w:color="DAEBF8"/>
              <w:bottom w:val="single" w:sz="8" w:color="auto"/>
            </w:tcBorders>
          </w:tcPr>
          <w:p>
            <w:pPr>
              <w:spacing w:after="0" w:line="20" w:lineRule="exact"/>
              <w:rPr>
                <w:sz w:val="1"/>
                <w:szCs w:val="1"/>
                <w:color w:val="auto"/>
              </w:rPr>
            </w:pPr>
          </w:p>
        </w:tc>
        <w:tc>
          <w:tcPr>
            <w:tcW w:w="240" w:type="dxa"/>
            <w:vAlign w:val="bottom"/>
            <w:tcBorders>
              <w:top w:val="single" w:sz="8" w:color="DAEBF8"/>
              <w:bottom w:val="single" w:sz="8" w:color="auto"/>
            </w:tcBorders>
          </w:tcPr>
          <w:p>
            <w:pPr>
              <w:spacing w:after="0" w:line="20" w:lineRule="exact"/>
              <w:rPr>
                <w:sz w:val="1"/>
                <w:szCs w:val="1"/>
                <w:color w:val="auto"/>
              </w:rPr>
            </w:pPr>
          </w:p>
        </w:tc>
        <w:tc>
          <w:tcPr>
            <w:tcW w:w="560" w:type="dxa"/>
            <w:vAlign w:val="bottom"/>
            <w:tcBorders>
              <w:top w:val="single" w:sz="8" w:color="DAEBF8"/>
              <w:bottom w:val="single" w:sz="8" w:color="auto"/>
            </w:tcBorders>
          </w:tcPr>
          <w:p>
            <w:pPr>
              <w:spacing w:after="0" w:line="20" w:lineRule="exact"/>
              <w:rPr>
                <w:sz w:val="1"/>
                <w:szCs w:val="1"/>
                <w:color w:val="auto"/>
              </w:rPr>
            </w:pPr>
          </w:p>
        </w:tc>
      </w:tr>
      <w:tr>
        <w:trPr>
          <w:trHeight w:val="176"/>
        </w:trPr>
        <w:tc>
          <w:tcPr>
            <w:tcW w:w="7060" w:type="dxa"/>
            <w:vAlign w:val="bottom"/>
          </w:tcPr>
          <w:p>
            <w:pPr>
              <w:ind w:left="80"/>
              <w:spacing w:after="0"/>
              <w:rPr>
                <w:sz w:val="20"/>
                <w:szCs w:val="20"/>
                <w:color w:val="auto"/>
              </w:rPr>
            </w:pPr>
            <w:r>
              <w:rPr>
                <w:rFonts w:ascii="Arial" w:cs="Arial" w:eastAsia="Arial" w:hAnsi="Arial"/>
                <w:sz w:val="14"/>
                <w:szCs w:val="14"/>
                <w:color w:val="auto"/>
              </w:rPr>
              <w:t>GAAP other income (expense), net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1,652.8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789.2</w:t>
            </w:r>
          </w:p>
        </w:tc>
      </w:tr>
      <w:tr>
        <w:trPr>
          <w:trHeight w:val="230"/>
        </w:trPr>
        <w:tc>
          <w:tcPr>
            <w:tcW w:w="7060" w:type="dxa"/>
            <w:vAlign w:val="bottom"/>
            <w:shd w:val="clear" w:color="auto" w:fill="DAEBF8"/>
          </w:tcPr>
          <w:p>
            <w:pPr>
              <w:ind w:left="180"/>
              <w:spacing w:after="0"/>
              <w:rPr>
                <w:sz w:val="20"/>
                <w:szCs w:val="20"/>
                <w:color w:val="auto"/>
              </w:rPr>
            </w:pPr>
            <w:r>
              <w:rPr>
                <w:rFonts w:ascii="Arial" w:cs="Arial" w:eastAsia="Arial" w:hAnsi="Arial"/>
                <w:sz w:val="14"/>
                <w:szCs w:val="14"/>
                <w:color w:val="auto"/>
              </w:rPr>
              <w:t>Losses (gains) on marketable and other securities, net</w:t>
            </w:r>
          </w:p>
        </w:tc>
        <w:tc>
          <w:tcPr>
            <w:tcW w:w="200" w:type="dxa"/>
            <w:vAlign w:val="bottom"/>
            <w:tcBorders>
              <w:bottom w:val="single" w:sz="8" w:color="auto"/>
            </w:tcBorders>
            <w:shd w:val="clear" w:color="auto" w:fill="DAEBF8"/>
          </w:tcPr>
          <w:p>
            <w:pPr>
              <w:spacing w:after="0"/>
              <w:rPr>
                <w:sz w:val="19"/>
                <w:szCs w:val="19"/>
                <w:color w:val="auto"/>
              </w:rPr>
            </w:pPr>
          </w:p>
        </w:tc>
        <w:tc>
          <w:tcPr>
            <w:tcW w:w="700" w:type="dxa"/>
            <w:vAlign w:val="bottom"/>
            <w:tcBorders>
              <w:bottom w:val="single" w:sz="8" w:color="auto"/>
            </w:tcBorders>
            <w:shd w:val="clear" w:color="auto" w:fill="DAEBF8"/>
          </w:tcPr>
          <w:p>
            <w:pPr>
              <w:jc w:val="right"/>
              <w:ind w:right="68"/>
              <w:spacing w:after="0"/>
              <w:rPr>
                <w:sz w:val="20"/>
                <w:szCs w:val="20"/>
                <w:color w:val="auto"/>
              </w:rPr>
            </w:pPr>
            <w:r>
              <w:rPr>
                <w:rFonts w:ascii="Arial" w:cs="Arial" w:eastAsia="Arial" w:hAnsi="Arial"/>
                <w:sz w:val="14"/>
                <w:szCs w:val="14"/>
                <w:color w:val="auto"/>
              </w:rPr>
              <w:t>(946.1)</w:t>
            </w:r>
          </w:p>
        </w:tc>
        <w:tc>
          <w:tcPr>
            <w:tcW w:w="240" w:type="dxa"/>
            <w:vAlign w:val="bottom"/>
            <w:tcBorders>
              <w:bottom w:val="single" w:sz="8" w:color="auto"/>
            </w:tcBorders>
            <w:shd w:val="clear" w:color="auto" w:fill="DAEBF8"/>
          </w:tcPr>
          <w:p>
            <w:pPr>
              <w:spacing w:after="0"/>
              <w:rPr>
                <w:sz w:val="19"/>
                <w:szCs w:val="19"/>
                <w:color w:val="auto"/>
              </w:rPr>
            </w:pPr>
          </w:p>
        </w:tc>
        <w:tc>
          <w:tcPr>
            <w:tcW w:w="560" w:type="dxa"/>
            <w:vAlign w:val="bottom"/>
            <w:tcBorders>
              <w:bottom w:val="single" w:sz="8" w:color="auto"/>
            </w:tcBorders>
            <w:shd w:val="clear" w:color="auto" w:fill="DAEBF8"/>
          </w:tcPr>
          <w:p>
            <w:pPr>
              <w:jc w:val="right"/>
              <w:spacing w:after="0"/>
              <w:rPr>
                <w:sz w:val="20"/>
                <w:szCs w:val="20"/>
                <w:color w:val="auto"/>
              </w:rPr>
            </w:pPr>
            <w:r>
              <w:rPr>
                <w:rFonts w:ascii="Arial" w:cs="Arial" w:eastAsia="Arial" w:hAnsi="Arial"/>
                <w:sz w:val="14"/>
                <w:szCs w:val="14"/>
                <w:color w:val="auto"/>
              </w:rPr>
              <w:t>(118.3)</w:t>
            </w:r>
          </w:p>
        </w:tc>
      </w:tr>
      <w:tr>
        <w:trPr>
          <w:trHeight w:val="183"/>
        </w:trPr>
        <w:tc>
          <w:tcPr>
            <w:tcW w:w="7060" w:type="dxa"/>
            <w:vAlign w:val="bottom"/>
          </w:tcPr>
          <w:p>
            <w:pPr>
              <w:ind w:left="80"/>
              <w:spacing w:after="0"/>
              <w:rPr>
                <w:sz w:val="20"/>
                <w:szCs w:val="20"/>
                <w:color w:val="auto"/>
              </w:rPr>
            </w:pPr>
            <w:r>
              <w:rPr>
                <w:rFonts w:ascii="Arial" w:cs="Arial" w:eastAsia="Arial" w:hAnsi="Arial"/>
                <w:sz w:val="14"/>
                <w:szCs w:val="14"/>
                <w:color w:val="auto"/>
              </w:rPr>
              <w:t>Non-GAAP other income (expense),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706.7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670.9</w:t>
            </w:r>
          </w:p>
        </w:tc>
      </w:tr>
      <w:tr>
        <w:trPr>
          <w:trHeight w:val="20"/>
        </w:trPr>
        <w:tc>
          <w:tcPr>
            <w:tcW w:w="7060" w:type="dxa"/>
            <w:vAlign w:val="bottom"/>
            <w:tcBorders>
              <w:bottom w:val="single" w:sz="8" w:color="DAEBF8"/>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7"/>
        </w:trPr>
        <w:tc>
          <w:tcPr>
            <w:tcW w:w="7060" w:type="dxa"/>
            <w:vAlign w:val="bottom"/>
            <w:shd w:val="clear" w:color="auto" w:fill="DAEBF8"/>
          </w:tcPr>
          <w:p>
            <w:pPr>
              <w:ind w:left="80"/>
              <w:spacing w:after="0"/>
              <w:rPr>
                <w:sz w:val="20"/>
                <w:szCs w:val="20"/>
                <w:color w:val="auto"/>
              </w:rPr>
            </w:pPr>
            <w:r>
              <w:rPr>
                <w:rFonts w:ascii="Arial" w:cs="Arial" w:eastAsia="Arial" w:hAnsi="Arial"/>
                <w:sz w:val="14"/>
                <w:szCs w:val="14"/>
                <w:color w:val="auto"/>
              </w:rPr>
              <w:t>GAAP net income</w:t>
            </w:r>
          </w:p>
        </w:tc>
        <w:tc>
          <w:tcPr>
            <w:tcW w:w="2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DAEBF8"/>
          </w:tcPr>
          <w:p>
            <w:pPr>
              <w:jc w:val="right"/>
              <w:ind w:right="128"/>
              <w:spacing w:after="0"/>
              <w:rPr>
                <w:sz w:val="20"/>
                <w:szCs w:val="20"/>
                <w:color w:val="auto"/>
              </w:rPr>
            </w:pPr>
            <w:r>
              <w:rPr>
                <w:rFonts w:ascii="Arial" w:cs="Arial" w:eastAsia="Arial" w:hAnsi="Arial"/>
                <w:sz w:val="14"/>
                <w:szCs w:val="14"/>
                <w:color w:val="auto"/>
              </w:rPr>
              <w:t>4,504.9</w:t>
            </w:r>
          </w:p>
        </w:tc>
        <w:tc>
          <w:tcPr>
            <w:tcW w:w="2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4,412.6</w:t>
            </w:r>
          </w:p>
        </w:tc>
      </w:tr>
      <w:tr>
        <w:trPr>
          <w:trHeight w:val="230"/>
        </w:trPr>
        <w:tc>
          <w:tcPr>
            <w:tcW w:w="7060" w:type="dxa"/>
            <w:vAlign w:val="bottom"/>
          </w:tcPr>
          <w:p>
            <w:pPr>
              <w:ind w:left="180"/>
              <w:spacing w:after="0"/>
              <w:rPr>
                <w:sz w:val="20"/>
                <w:szCs w:val="20"/>
                <w:color w:val="auto"/>
              </w:rPr>
            </w:pPr>
            <w:r>
              <w:rPr>
                <w:rFonts w:ascii="Arial" w:cs="Arial" w:eastAsia="Arial" w:hAnsi="Arial"/>
                <w:sz w:val="14"/>
                <w:szCs w:val="14"/>
                <w:color w:val="auto"/>
              </w:rPr>
              <w:t>Total of GAAP to non-GAAP reconciling items above</w:t>
            </w:r>
          </w:p>
        </w:tc>
        <w:tc>
          <w:tcPr>
            <w:tcW w:w="200" w:type="dxa"/>
            <w:vAlign w:val="bottom"/>
          </w:tcPr>
          <w:p>
            <w:pPr>
              <w:spacing w:after="0"/>
              <w:rPr>
                <w:sz w:val="19"/>
                <w:szCs w:val="19"/>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360.1</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1,103.5</w:t>
            </w:r>
          </w:p>
        </w:tc>
      </w:tr>
      <w:tr>
        <w:trPr>
          <w:trHeight w:val="229"/>
        </w:trPr>
        <w:tc>
          <w:tcPr>
            <w:tcW w:w="7060" w:type="dxa"/>
            <w:vAlign w:val="bottom"/>
            <w:shd w:val="clear" w:color="auto" w:fill="DAEBF8"/>
          </w:tcPr>
          <w:p>
            <w:pPr>
              <w:ind w:left="180"/>
              <w:spacing w:after="0"/>
              <w:rPr>
                <w:sz w:val="20"/>
                <w:szCs w:val="20"/>
                <w:color w:val="auto"/>
              </w:rPr>
            </w:pPr>
            <w:r>
              <w:rPr>
                <w:rFonts w:ascii="Arial" w:cs="Arial" w:eastAsia="Arial" w:hAnsi="Arial"/>
                <w:sz w:val="14"/>
                <w:szCs w:val="14"/>
                <w:color w:val="auto"/>
              </w:rPr>
              <w:t>Income tax effect of GAAP to non-GAAP reconciling items</w:t>
            </w:r>
          </w:p>
        </w:tc>
        <w:tc>
          <w:tcPr>
            <w:tcW w:w="200" w:type="dxa"/>
            <w:vAlign w:val="bottom"/>
            <w:shd w:val="clear" w:color="auto" w:fill="DAEBF8"/>
          </w:tcPr>
          <w:p>
            <w:pPr>
              <w:spacing w:after="0"/>
              <w:rPr>
                <w:sz w:val="19"/>
                <w:szCs w:val="19"/>
                <w:color w:val="auto"/>
              </w:rPr>
            </w:pPr>
          </w:p>
        </w:tc>
        <w:tc>
          <w:tcPr>
            <w:tcW w:w="700" w:type="dxa"/>
            <w:vAlign w:val="bottom"/>
            <w:shd w:val="clear" w:color="auto" w:fill="DAEBF8"/>
          </w:tcPr>
          <w:p>
            <w:pPr>
              <w:jc w:val="right"/>
              <w:ind w:right="68"/>
              <w:spacing w:after="0"/>
              <w:rPr>
                <w:sz w:val="20"/>
                <w:szCs w:val="20"/>
                <w:color w:val="auto"/>
              </w:rPr>
            </w:pPr>
            <w:r>
              <w:rPr>
                <w:rFonts w:ascii="Arial" w:cs="Arial" w:eastAsia="Arial" w:hAnsi="Arial"/>
                <w:sz w:val="14"/>
                <w:szCs w:val="14"/>
                <w:color w:val="auto"/>
              </w:rPr>
              <w:t>(54.4)</w:t>
            </w:r>
          </w:p>
        </w:tc>
        <w:tc>
          <w:tcPr>
            <w:tcW w:w="240" w:type="dxa"/>
            <w:vAlign w:val="bottom"/>
            <w:shd w:val="clear" w:color="auto" w:fill="DAEBF8"/>
          </w:tcPr>
          <w:p>
            <w:pPr>
              <w:spacing w:after="0"/>
              <w:rPr>
                <w:sz w:val="19"/>
                <w:szCs w:val="19"/>
                <w:color w:val="auto"/>
              </w:rPr>
            </w:pP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(196.9)</w:t>
            </w:r>
          </w:p>
        </w:tc>
      </w:tr>
      <w:tr>
        <w:trPr>
          <w:trHeight w:val="230"/>
        </w:trPr>
        <w:tc>
          <w:tcPr>
            <w:tcW w:w="7060" w:type="dxa"/>
            <w:vAlign w:val="bottom"/>
          </w:tcPr>
          <w:p>
            <w:pPr>
              <w:ind w:left="180"/>
              <w:spacing w:after="0"/>
              <w:rPr>
                <w:sz w:val="20"/>
                <w:szCs w:val="20"/>
                <w:color w:val="auto"/>
              </w:rPr>
            </w:pPr>
            <w:r>
              <w:rPr>
                <w:rFonts w:ascii="Arial" w:cs="Arial" w:eastAsia="Arial" w:hAnsi="Arial"/>
                <w:sz w:val="14"/>
                <w:szCs w:val="14"/>
                <w:color w:val="auto"/>
              </w:rPr>
              <w:t>Income tax expense: Shortfall from stock-based compensation</w:t>
            </w:r>
          </w:p>
        </w:tc>
        <w:tc>
          <w:tcPr>
            <w:tcW w:w="200" w:type="dxa"/>
            <w:vAlign w:val="bottom"/>
          </w:tcPr>
          <w:p>
            <w:pPr>
              <w:spacing w:after="0"/>
              <w:rPr>
                <w:sz w:val="19"/>
                <w:szCs w:val="19"/>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32.6</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7060" w:type="dxa"/>
            <w:vAlign w:val="bottom"/>
            <w:shd w:val="clear" w:color="auto" w:fill="DAEBF8"/>
          </w:tcPr>
          <w:p>
            <w:pPr>
              <w:ind w:left="180"/>
              <w:spacing w:after="0"/>
              <w:rPr>
                <w:sz w:val="20"/>
                <w:szCs w:val="20"/>
                <w:color w:val="auto"/>
              </w:rPr>
            </w:pPr>
            <w:r>
              <w:rPr>
                <w:rFonts w:ascii="Arial" w:cs="Arial" w:eastAsia="Arial" w:hAnsi="Arial"/>
                <w:sz w:val="14"/>
                <w:szCs w:val="14"/>
                <w:color w:val="auto"/>
              </w:rPr>
              <w:t>Income tax expense: Charge related to enactment of “One Big Beautiful Bill Act”</w:t>
            </w:r>
          </w:p>
        </w:tc>
        <w:tc>
          <w:tcPr>
            <w:tcW w:w="200" w:type="dxa"/>
            <w:vAlign w:val="bottom"/>
            <w:tcBorders>
              <w:bottom w:val="single" w:sz="8" w:color="auto"/>
            </w:tcBorders>
            <w:shd w:val="clear" w:color="auto" w:fill="DAEBF8"/>
          </w:tcPr>
          <w:p>
            <w:pPr>
              <w:spacing w:after="0"/>
              <w:rPr>
                <w:sz w:val="19"/>
                <w:szCs w:val="19"/>
                <w:color w:val="auto"/>
              </w:rPr>
            </w:pPr>
          </w:p>
        </w:tc>
        <w:tc>
          <w:tcPr>
            <w:tcW w:w="700" w:type="dxa"/>
            <w:vAlign w:val="bottom"/>
            <w:tcBorders>
              <w:bottom w:val="single" w:sz="8" w:color="auto"/>
            </w:tcBorders>
            <w:shd w:val="clear" w:color="auto" w:fill="DAEBF8"/>
          </w:tcPr>
          <w:p>
            <w:pPr>
              <w:jc w:val="right"/>
              <w:ind w:right="128"/>
              <w:spacing w:after="0"/>
              <w:rPr>
                <w:sz w:val="20"/>
                <w:szCs w:val="20"/>
                <w:color w:val="auto"/>
              </w:rPr>
            </w:pPr>
            <w:r>
              <w:rPr>
                <w:rFonts w:ascii="Arial" w:cs="Arial" w:eastAsia="Arial" w:hAnsi="Arial"/>
                <w:sz w:val="14"/>
                <w:szCs w:val="14"/>
                <w:color w:val="auto"/>
              </w:rPr>
              <w:t>44.5</w:t>
            </w:r>
          </w:p>
        </w:tc>
        <w:tc>
          <w:tcPr>
            <w:tcW w:w="240" w:type="dxa"/>
            <w:vAlign w:val="bottom"/>
            <w:tcBorders>
              <w:bottom w:val="single" w:sz="8" w:color="auto"/>
            </w:tcBorders>
            <w:shd w:val="clear" w:color="auto" w:fill="DAEBF8"/>
          </w:tcPr>
          <w:p>
            <w:pPr>
              <w:spacing w:after="0"/>
              <w:rPr>
                <w:sz w:val="19"/>
                <w:szCs w:val="19"/>
                <w:color w:val="auto"/>
              </w:rPr>
            </w:pPr>
          </w:p>
        </w:tc>
        <w:tc>
          <w:tcPr>
            <w:tcW w:w="560" w:type="dxa"/>
            <w:vAlign w:val="bottom"/>
            <w:tcBorders>
              <w:bottom w:val="single" w:sz="8" w:color="auto"/>
            </w:tcBorders>
            <w:shd w:val="clear" w:color="auto" w:fill="DAEBF8"/>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060" w:type="dxa"/>
            <w:vAlign w:val="bottom"/>
          </w:tcPr>
          <w:p>
            <w:pPr>
              <w:ind w:left="80"/>
              <w:spacing w:after="0"/>
              <w:rPr>
                <w:sz w:val="20"/>
                <w:szCs w:val="20"/>
                <w:color w:val="auto"/>
              </w:rPr>
            </w:pPr>
            <w:r>
              <w:rPr>
                <w:rFonts w:ascii="Arial" w:cs="Arial" w:eastAsia="Arial" w:hAnsi="Arial"/>
                <w:sz w:val="14"/>
                <w:szCs w:val="14"/>
                <w:color w:val="auto"/>
              </w:rPr>
              <w:t>Non-GAAP 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4,887.7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5,319.2</w:t>
            </w:r>
          </w:p>
        </w:tc>
      </w:tr>
      <w:tr>
        <w:trPr>
          <w:trHeight w:val="20"/>
        </w:trPr>
        <w:tc>
          <w:tcPr>
            <w:tcW w:w="7060" w:type="dxa"/>
            <w:vAlign w:val="bottom"/>
            <w:tcBorders>
              <w:bottom w:val="single" w:sz="8" w:color="DAEBF8"/>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6"/>
        </w:trPr>
        <w:tc>
          <w:tcPr>
            <w:tcW w:w="7060" w:type="dxa"/>
            <w:vAlign w:val="bottom"/>
            <w:shd w:val="clear" w:color="auto" w:fill="DAEBF8"/>
          </w:tcPr>
          <w:p>
            <w:pPr>
              <w:ind w:left="80"/>
              <w:spacing w:after="0"/>
              <w:rPr>
                <w:sz w:val="20"/>
                <w:szCs w:val="20"/>
                <w:color w:val="auto"/>
              </w:rPr>
            </w:pPr>
            <w:r>
              <w:rPr>
                <w:rFonts w:ascii="Arial" w:cs="Arial" w:eastAsia="Arial" w:hAnsi="Arial"/>
                <w:sz w:val="14"/>
                <w:szCs w:val="14"/>
                <w:color w:val="auto"/>
              </w:rPr>
              <w:t>Non-GAAP net income per share - basic</w:t>
            </w:r>
          </w:p>
        </w:tc>
        <w:tc>
          <w:tcPr>
            <w:tcW w:w="20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DAEBF8"/>
          </w:tcPr>
          <w:p>
            <w:pPr>
              <w:jc w:val="right"/>
              <w:ind w:right="128"/>
              <w:spacing w:after="0"/>
              <w:rPr>
                <w:sz w:val="20"/>
                <w:szCs w:val="20"/>
                <w:color w:val="auto"/>
              </w:rPr>
            </w:pPr>
            <w:r>
              <w:rPr>
                <w:rFonts w:ascii="Arial" w:cs="Arial" w:eastAsia="Arial" w:hAnsi="Arial"/>
                <w:sz w:val="14"/>
                <w:szCs w:val="14"/>
                <w:color w:val="auto"/>
              </w:rPr>
              <w:t>46.73</w:t>
            </w:r>
          </w:p>
        </w:tc>
        <w:tc>
          <w:tcPr>
            <w:tcW w:w="240" w:type="dxa"/>
            <w:vAlign w:val="bottom"/>
            <w:shd w:val="clear" w:color="auto" w:fill="DAEBF8"/>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DAEBF8"/>
          </w:tcPr>
          <w:p>
            <w:pPr>
              <w:jc w:val="right"/>
              <w:spacing w:after="0"/>
              <w:rPr>
                <w:sz w:val="20"/>
                <w:szCs w:val="20"/>
                <w:color w:val="auto"/>
              </w:rPr>
            </w:pPr>
            <w:r>
              <w:rPr>
                <w:rFonts w:ascii="Arial" w:cs="Arial" w:eastAsia="Arial" w:hAnsi="Arial"/>
                <w:sz w:val="14"/>
                <w:szCs w:val="14"/>
                <w:color w:val="auto"/>
              </w:rPr>
              <w:t>49.30</w:t>
            </w:r>
          </w:p>
        </w:tc>
      </w:tr>
      <w:tr>
        <w:trPr>
          <w:trHeight w:val="230"/>
        </w:trPr>
        <w:tc>
          <w:tcPr>
            <w:tcW w:w="7060" w:type="dxa"/>
            <w:vAlign w:val="bottom"/>
          </w:tcPr>
          <w:p>
            <w:pPr>
              <w:ind w:left="80"/>
              <w:spacing w:after="0"/>
              <w:rPr>
                <w:sz w:val="20"/>
                <w:szCs w:val="20"/>
                <w:color w:val="auto"/>
              </w:rPr>
            </w:pPr>
            <w:r>
              <w:rPr>
                <w:rFonts w:ascii="Arial" w:cs="Arial" w:eastAsia="Arial" w:hAnsi="Arial"/>
                <w:sz w:val="14"/>
                <w:szCs w:val="14"/>
                <w:color w:val="auto"/>
              </w:rPr>
              <w:t>Non-GAAP net income per share - diluted</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44.31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45.62</w:t>
            </w:r>
          </w:p>
        </w:tc>
      </w:tr>
      <w:tr>
        <w:trPr>
          <w:trHeight w:val="230"/>
        </w:trPr>
        <w:tc>
          <w:tcPr>
            <w:tcW w:w="7060" w:type="dxa"/>
            <w:vAlign w:val="bottom"/>
            <w:shd w:val="clear" w:color="auto" w:fill="DAEBF8"/>
          </w:tcPr>
          <w:p>
            <w:pPr>
              <w:ind w:left="80"/>
              <w:spacing w:after="0"/>
              <w:rPr>
                <w:sz w:val="20"/>
                <w:szCs w:val="20"/>
                <w:color w:val="auto"/>
              </w:rPr>
            </w:pPr>
            <w:r>
              <w:rPr>
                <w:rFonts w:ascii="Arial" w:cs="Arial" w:eastAsia="Arial" w:hAnsi="Arial"/>
                <w:sz w:val="14"/>
                <w:szCs w:val="14"/>
                <w:i w:val="1"/>
                <w:iCs w:val="1"/>
                <w:color w:val="auto"/>
              </w:rPr>
              <w:t>Shares used in calculating:</w:t>
            </w:r>
          </w:p>
        </w:tc>
        <w:tc>
          <w:tcPr>
            <w:tcW w:w="200" w:type="dxa"/>
            <w:vAlign w:val="bottom"/>
            <w:shd w:val="clear" w:color="auto" w:fill="DAEBF8"/>
          </w:tcPr>
          <w:p>
            <w:pPr>
              <w:spacing w:after="0"/>
              <w:rPr>
                <w:sz w:val="19"/>
                <w:szCs w:val="19"/>
                <w:color w:val="auto"/>
              </w:rPr>
            </w:pPr>
          </w:p>
        </w:tc>
        <w:tc>
          <w:tcPr>
            <w:tcW w:w="700" w:type="dxa"/>
            <w:vAlign w:val="bottom"/>
            <w:shd w:val="clear" w:color="auto" w:fill="DAEBF8"/>
          </w:tcPr>
          <w:p>
            <w:pPr>
              <w:spacing w:after="0"/>
              <w:rPr>
                <w:sz w:val="19"/>
                <w:szCs w:val="19"/>
                <w:color w:val="auto"/>
              </w:rPr>
            </w:pPr>
          </w:p>
        </w:tc>
        <w:tc>
          <w:tcPr>
            <w:tcW w:w="240" w:type="dxa"/>
            <w:vAlign w:val="bottom"/>
            <w:shd w:val="clear" w:color="auto" w:fill="DAEBF8"/>
          </w:tcPr>
          <w:p>
            <w:pPr>
              <w:spacing w:after="0"/>
              <w:rPr>
                <w:sz w:val="19"/>
                <w:szCs w:val="19"/>
                <w:color w:val="auto"/>
              </w:rPr>
            </w:pPr>
          </w:p>
        </w:tc>
        <w:tc>
          <w:tcPr>
            <w:tcW w:w="560" w:type="dxa"/>
            <w:vAlign w:val="bottom"/>
            <w:shd w:val="clear" w:color="auto" w:fill="DAEBF8"/>
          </w:tcPr>
          <w:p>
            <w:pPr>
              <w:spacing w:after="0"/>
              <w:rPr>
                <w:sz w:val="19"/>
                <w:szCs w:val="19"/>
                <w:color w:val="auto"/>
              </w:rPr>
            </w:pPr>
          </w:p>
        </w:tc>
      </w:tr>
      <w:tr>
        <w:trPr>
          <w:trHeight w:val="230"/>
        </w:trPr>
        <w:tc>
          <w:tcPr>
            <w:tcW w:w="7060" w:type="dxa"/>
            <w:vAlign w:val="bottom"/>
          </w:tcPr>
          <w:p>
            <w:pPr>
              <w:ind w:left="80"/>
              <w:spacing w:after="0"/>
              <w:rPr>
                <w:sz w:val="20"/>
                <w:szCs w:val="20"/>
                <w:color w:val="auto"/>
              </w:rPr>
            </w:pPr>
            <w:r>
              <w:rPr>
                <w:rFonts w:ascii="Arial" w:cs="Arial" w:eastAsia="Arial" w:hAnsi="Arial"/>
                <w:sz w:val="14"/>
                <w:szCs w:val="14"/>
                <w:color w:val="auto"/>
              </w:rPr>
              <w:t>Non-GAAP net income per share - basic</w:t>
            </w:r>
          </w:p>
        </w:tc>
        <w:tc>
          <w:tcPr>
            <w:tcW w:w="200" w:type="dxa"/>
            <w:vAlign w:val="bottom"/>
          </w:tcPr>
          <w:p>
            <w:pPr>
              <w:spacing w:after="0"/>
              <w:rPr>
                <w:sz w:val="19"/>
                <w:szCs w:val="19"/>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104.6</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107.9</w:t>
            </w:r>
          </w:p>
        </w:tc>
      </w:tr>
      <w:tr>
        <w:trPr>
          <w:trHeight w:val="229"/>
        </w:trPr>
        <w:tc>
          <w:tcPr>
            <w:tcW w:w="7060" w:type="dxa"/>
            <w:vAlign w:val="bottom"/>
            <w:tcBorders>
              <w:bottom w:val="single" w:sz="8" w:color="065BAA"/>
            </w:tcBorders>
            <w:shd w:val="clear" w:color="auto" w:fill="DAEBF8"/>
          </w:tcPr>
          <w:p>
            <w:pPr>
              <w:ind w:left="80"/>
              <w:spacing w:after="0"/>
              <w:rPr>
                <w:sz w:val="20"/>
                <w:szCs w:val="20"/>
                <w:color w:val="auto"/>
              </w:rPr>
            </w:pPr>
            <w:r>
              <w:rPr>
                <w:rFonts w:ascii="Arial" w:cs="Arial" w:eastAsia="Arial" w:hAnsi="Arial"/>
                <w:sz w:val="14"/>
                <w:szCs w:val="14"/>
                <w:color w:val="auto"/>
              </w:rPr>
              <w:t>Non-GAAP net income per share - diluted</w:t>
            </w:r>
          </w:p>
        </w:tc>
        <w:tc>
          <w:tcPr>
            <w:tcW w:w="200" w:type="dxa"/>
            <w:vAlign w:val="bottom"/>
            <w:tcBorders>
              <w:bottom w:val="single" w:sz="8" w:color="065BAA"/>
            </w:tcBorders>
            <w:shd w:val="clear" w:color="auto" w:fill="DAEBF8"/>
          </w:tcPr>
          <w:p>
            <w:pPr>
              <w:spacing w:after="0"/>
              <w:rPr>
                <w:sz w:val="19"/>
                <w:szCs w:val="19"/>
                <w:color w:val="auto"/>
              </w:rPr>
            </w:pPr>
          </w:p>
        </w:tc>
        <w:tc>
          <w:tcPr>
            <w:tcW w:w="700" w:type="dxa"/>
            <w:vAlign w:val="bottom"/>
            <w:tcBorders>
              <w:bottom w:val="single" w:sz="8" w:color="065BAA"/>
            </w:tcBorders>
            <w:shd w:val="clear" w:color="auto" w:fill="DAEBF8"/>
          </w:tcPr>
          <w:p>
            <w:pPr>
              <w:jc w:val="right"/>
              <w:ind w:right="128"/>
              <w:spacing w:after="0"/>
              <w:rPr>
                <w:sz w:val="20"/>
                <w:szCs w:val="20"/>
                <w:color w:val="auto"/>
              </w:rPr>
            </w:pPr>
            <w:r>
              <w:rPr>
                <w:rFonts w:ascii="Arial" w:cs="Arial" w:eastAsia="Arial" w:hAnsi="Arial"/>
                <w:sz w:val="14"/>
                <w:szCs w:val="14"/>
                <w:color w:val="auto"/>
              </w:rPr>
              <w:t>110.3</w:t>
            </w:r>
          </w:p>
        </w:tc>
        <w:tc>
          <w:tcPr>
            <w:tcW w:w="240" w:type="dxa"/>
            <w:vAlign w:val="bottom"/>
            <w:tcBorders>
              <w:bottom w:val="single" w:sz="8" w:color="065BAA"/>
            </w:tcBorders>
            <w:shd w:val="clear" w:color="auto" w:fill="DAEBF8"/>
          </w:tcPr>
          <w:p>
            <w:pPr>
              <w:spacing w:after="0"/>
              <w:rPr>
                <w:sz w:val="19"/>
                <w:szCs w:val="19"/>
                <w:color w:val="auto"/>
              </w:rPr>
            </w:pPr>
          </w:p>
        </w:tc>
        <w:tc>
          <w:tcPr>
            <w:tcW w:w="560" w:type="dxa"/>
            <w:vAlign w:val="bottom"/>
            <w:tcBorders>
              <w:bottom w:val="single" w:sz="8" w:color="065BAA"/>
            </w:tcBorders>
            <w:shd w:val="clear" w:color="auto" w:fill="DAEBF8"/>
          </w:tcPr>
          <w:p>
            <w:pPr>
              <w:jc w:val="right"/>
              <w:ind w:right="8"/>
              <w:spacing w:after="0"/>
              <w:rPr>
                <w:sz w:val="20"/>
                <w:szCs w:val="20"/>
                <w:color w:val="auto"/>
              </w:rPr>
            </w:pPr>
            <w:r>
              <w:rPr>
                <w:rFonts w:ascii="Arial" w:cs="Arial" w:eastAsia="Arial" w:hAnsi="Arial"/>
                <w:sz w:val="14"/>
                <w:szCs w:val="14"/>
                <w:color w:val="auto"/>
              </w:rPr>
              <w:t>116.6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340" w:type="dxa"/>
            <w:vAlign w:val="bottom"/>
            <w:tcBorders>
              <w:right w:val="single" w:sz="8" w:color="CCCCCC"/>
            </w:tcBorders>
          </w:tcPr>
          <w:p>
            <w:pPr>
              <w:spacing w:after="0"/>
              <w:rPr>
                <w:sz w:val="20"/>
                <w:szCs w:val="20"/>
                <w:color w:val="auto"/>
              </w:rPr>
            </w:pPr>
            <w:r>
              <w:rPr>
                <w:rFonts w:ascii="Arial" w:cs="Arial" w:eastAsia="Arial" w:hAnsi="Arial"/>
                <w:sz w:val="14"/>
                <w:szCs w:val="14"/>
                <w:b w:val="1"/>
                <w:bCs w:val="1"/>
                <w:color w:val="065BAA"/>
              </w:rPr>
              <w:t>2026 Proxy Statement and Notice of Annual Shareholder Meeting</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065BAA"/>
              </w:rPr>
              <w:t>111</w:t>
            </w:r>
          </w:p>
        </w:tc>
      </w:tr>
    </w:tbl>
    <w:p>
      <w:pPr>
        <w:sectPr>
          <w:pgSz w:w="11900" w:h="16838" w:orient="portrait"/>
          <w:cols w:equalWidth="0" w:num="1">
            <w:col w:w="9019"/>
          </w:cols>
          <w:pgMar w:left="1440" w:top="657" w:right="1440" w:bottom="1440" w:gutter="0" w:footer="0" w:header="0"/>
        </w:sectPr>
      </w:pPr>
    </w:p>
    <w:bookmarkStart w:id="120" w:name="page121"/>
    <w:bookmarkEnd w:id="1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
      <w:numFmt w:val="bullet"/>
      <w:start w:val="1"/>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
      <w:numFmt w:val="bullet"/>
      <w:start w:val="1"/>
    </w:lvl>
  </w:abstractNum>
  <w:abstractNum w:abstractNumId="4">
    <w:nsid w:val="2A155DBC"/>
    <w:multiLevelType w:val="hybridMultilevel"/>
    <w:lvl w:ilvl="0">
      <w:lvlJc w:val="left"/>
      <w:lvlText w:val="☐"/>
      <w:numFmt w:val="bullet"/>
      <w:start w:val="1"/>
    </w:lvl>
  </w:abstractNum>
  <w:abstractNum w:abstractNumId="5">
    <w:nsid w:val="1D9F6E5F"/>
    <w:multiLevelType w:val="hybridMultilevel"/>
    <w:lvl w:ilvl="0">
      <w:lvlJc w:val="left"/>
      <w:lvlText w:val="•"/>
      <w:numFmt w:val="bullet"/>
      <w:start w:val="1"/>
    </w:lvl>
  </w:abstractNum>
  <w:abstractNum w:abstractNumId="6">
    <w:nsid w:val="97E1B4E"/>
    <w:multiLevelType w:val="hybridMultilevel"/>
    <w:lvl w:ilvl="0">
      <w:lvlJc w:val="left"/>
      <w:lvlText w:val="•"/>
      <w:numFmt w:val="bullet"/>
      <w:start w:val="1"/>
    </w:lvl>
  </w:abstractNum>
  <w:abstractNum w:abstractNumId="7">
    <w:nsid w:val="51088277"/>
    <w:multiLevelType w:val="hybridMultilevel"/>
    <w:lvl w:ilvl="0">
      <w:lvlJc w:val="left"/>
      <w:lvlText w:val="•"/>
      <w:numFmt w:val="bullet"/>
      <w:start w:val="1"/>
    </w:lvl>
  </w:abstractNum>
  <w:abstractNum w:abstractNumId="8">
    <w:nsid w:val="1CA0C5FA"/>
    <w:multiLevelType w:val="hybridMultilevel"/>
    <w:lvl w:ilvl="0">
      <w:lvlJc w:val="left"/>
      <w:lvlText w:val="•"/>
      <w:numFmt w:val="bullet"/>
      <w:start w:val="1"/>
    </w:lvl>
  </w:abstractNum>
  <w:abstractNum w:abstractNumId="9">
    <w:nsid w:val="53584BCB"/>
    <w:multiLevelType w:val="hybridMultilevel"/>
    <w:lvl w:ilvl="0">
      <w:lvlJc w:val="left"/>
      <w:lvlText w:val="1"/>
      <w:numFmt w:val="bullet"/>
      <w:start w:val="1"/>
    </w:lvl>
  </w:abstractNum>
  <w:abstractNum w:abstractNumId="10">
    <w:nsid w:val="415E286C"/>
    <w:multiLevelType w:val="hybridMultilevel"/>
    <w:lvl w:ilvl="0">
      <w:lvlJc w:val="left"/>
      <w:lvlText w:val="2"/>
      <w:numFmt w:val="bullet"/>
      <w:start w:val="1"/>
    </w:lvl>
  </w:abstractNum>
  <w:abstractNum w:abstractNumId="11">
    <w:nsid w:val="7C58FD05"/>
    <w:multiLevelType w:val="hybridMultilevel"/>
    <w:lvl w:ilvl="0">
      <w:lvlJc w:val="left"/>
      <w:lvlText w:val="•"/>
      <w:numFmt w:val="bullet"/>
      <w:start w:val="1"/>
    </w:lvl>
  </w:abstractNum>
  <w:abstractNum w:abstractNumId="12">
    <w:nsid w:val="23D86AAC"/>
    <w:multiLevelType w:val="hybridMultilevel"/>
    <w:lvl w:ilvl="0">
      <w:lvlJc w:val="left"/>
      <w:lvlText w:val="•"/>
      <w:numFmt w:val="bullet"/>
      <w:start w:val="1"/>
    </w:lvl>
  </w:abstractNum>
  <w:abstractNum w:abstractNumId="13">
    <w:nsid w:val="45E6D486"/>
    <w:multiLevelType w:val="hybridMultilevel"/>
    <w:lvl w:ilvl="0">
      <w:lvlJc w:val="left"/>
      <w:lvlText w:val="•"/>
      <w:numFmt w:val="bullet"/>
      <w:start w:val="1"/>
    </w:lvl>
  </w:abstractNum>
  <w:abstractNum w:abstractNumId="14">
    <w:nsid w:val="5C10FE21"/>
    <w:multiLevelType w:val="hybridMultilevel"/>
    <w:lvl w:ilvl="0">
      <w:lvlJc w:val="left"/>
      <w:lvlText w:val="•"/>
      <w:numFmt w:val="bullet"/>
      <w:start w:val="1"/>
    </w:lvl>
  </w:abstractNum>
  <w:abstractNum w:abstractNumId="15">
    <w:nsid w:val="E7FFA2B"/>
    <w:multiLevelType w:val="hybridMultilevel"/>
    <w:lvl w:ilvl="0">
      <w:lvlJc w:val="left"/>
      <w:lvlText w:val="*"/>
      <w:numFmt w:val="bullet"/>
      <w:start w:val="1"/>
    </w:lvl>
  </w:abstractNum>
  <w:abstractNum w:abstractNumId="16">
    <w:nsid w:val="3C5991AA"/>
    <w:multiLevelType w:val="hybridMultilevel"/>
    <w:lvl w:ilvl="0">
      <w:lvlJc w:val="left"/>
      <w:lvlText w:val="•"/>
      <w:numFmt w:val="bullet"/>
      <w:start w:val="1"/>
    </w:lvl>
  </w:abstractNum>
  <w:abstractNum w:abstractNumId="17">
    <w:nsid w:val="4BD8591A"/>
    <w:multiLevelType w:val="hybridMultilevel"/>
    <w:lvl w:ilvl="0">
      <w:lvlJc w:val="left"/>
      <w:lvlText w:val="•"/>
      <w:numFmt w:val="bullet"/>
      <w:start w:val="1"/>
    </w:lvl>
  </w:abstractNum>
  <w:abstractNum w:abstractNumId="18">
    <w:nsid w:val="78DF6A55"/>
    <w:multiLevelType w:val="hybridMultilevel"/>
    <w:lvl w:ilvl="0">
      <w:lvlJc w:val="left"/>
      <w:lvlText w:val="*"/>
      <w:numFmt w:val="bullet"/>
      <w:start w:val="1"/>
    </w:lvl>
  </w:abstractNum>
  <w:abstractNum w:abstractNumId="19">
    <w:nsid w:val="39B7AAA2"/>
    <w:multiLevelType w:val="hybridMultilevel"/>
    <w:lvl w:ilvl="0">
      <w:lvlJc w:val="left"/>
      <w:lvlText w:val="•"/>
      <w:numFmt w:val="bullet"/>
      <w:start w:val="1"/>
    </w:lvl>
  </w:abstractNum>
  <w:abstractNum w:abstractNumId="20">
    <w:nsid w:val="2B0D8DBE"/>
    <w:multiLevelType w:val="hybridMultilevel"/>
    <w:lvl w:ilvl="0">
      <w:lvlJc w:val="left"/>
      <w:lvlText w:val="•"/>
      <w:numFmt w:val="bullet"/>
      <w:start w:val="1"/>
    </w:lvl>
  </w:abstractNum>
  <w:abstractNum w:abstractNumId="21">
    <w:nsid w:val="6C80EC70"/>
    <w:multiLevelType w:val="hybridMultilevel"/>
    <w:lvl w:ilvl="0">
      <w:lvlJc w:val="left"/>
      <w:lvlText w:val="•"/>
      <w:numFmt w:val="bullet"/>
      <w:start w:val="1"/>
    </w:lvl>
  </w:abstractNum>
  <w:abstractNum w:abstractNumId="22">
    <w:nsid w:val="379E21B5"/>
    <w:multiLevelType w:val="hybridMultilevel"/>
    <w:lvl w:ilvl="0">
      <w:lvlJc w:val="left"/>
      <w:lvlText w:val="•"/>
      <w:numFmt w:val="bullet"/>
      <w:start w:val="1"/>
    </w:lvl>
  </w:abstractNum>
  <w:abstractNum w:abstractNumId="23">
    <w:nsid w:val="69E373"/>
    <w:multiLevelType w:val="hybridMultilevel"/>
    <w:lvl w:ilvl="0">
      <w:lvlJc w:val="left"/>
      <w:lvlText w:val="•"/>
      <w:numFmt w:val="bullet"/>
      <w:start w:val="1"/>
    </w:lvl>
  </w:abstractNum>
  <w:abstractNum w:abstractNumId="24">
    <w:nsid w:val="2C27173B"/>
    <w:multiLevelType w:val="hybridMultilevel"/>
    <w:lvl w:ilvl="0">
      <w:lvlJc w:val="left"/>
      <w:lvlText w:val="*"/>
      <w:numFmt w:val="bullet"/>
      <w:start w:val="1"/>
    </w:lvl>
  </w:abstractNum>
  <w:abstractNum w:abstractNumId="25">
    <w:nsid w:val="4C9B0904"/>
    <w:multiLevelType w:val="hybridMultilevel"/>
    <w:lvl w:ilvl="0">
      <w:lvlJc w:val="left"/>
      <w:lvlText w:val="•"/>
      <w:numFmt w:val="bullet"/>
      <w:start w:val="1"/>
    </w:lvl>
  </w:abstractNum>
  <w:abstractNum w:abstractNumId="26">
    <w:nsid w:val="6AA7B75C"/>
    <w:multiLevelType w:val="hybridMultilevel"/>
    <w:lvl w:ilvl="0">
      <w:lvlJc w:val="left"/>
      <w:lvlText w:val="•"/>
      <w:numFmt w:val="bullet"/>
      <w:start w:val="1"/>
    </w:lvl>
  </w:abstractNum>
  <w:abstractNum w:abstractNumId="27">
    <w:nsid w:val="1DF029D3"/>
    <w:multiLevelType w:val="hybridMultilevel"/>
    <w:lvl w:ilvl="0">
      <w:lvlJc w:val="left"/>
      <w:lvlText w:val="•"/>
      <w:numFmt w:val="bullet"/>
      <w:start w:val="1"/>
    </w:lvl>
  </w:abstractNum>
  <w:abstractNum w:abstractNumId="28">
    <w:nsid w:val="5675FF36"/>
    <w:multiLevelType w:val="hybridMultilevel"/>
    <w:lvl w:ilvl="0">
      <w:lvlJc w:val="left"/>
      <w:lvlText w:val="•"/>
      <w:numFmt w:val="bullet"/>
      <w:start w:val="1"/>
    </w:lvl>
  </w:abstractNum>
  <w:abstractNum w:abstractNumId="29">
    <w:nsid w:val="3DD15094"/>
    <w:multiLevelType w:val="hybridMultilevel"/>
    <w:lvl w:ilvl="0">
      <w:lvlJc w:val="left"/>
      <w:lvlText w:val="•"/>
      <w:numFmt w:val="bullet"/>
      <w:start w:val="1"/>
    </w:lvl>
  </w:abstractNum>
  <w:abstractNum w:abstractNumId="30">
    <w:nsid w:val="3DB012B3"/>
    <w:multiLevelType w:val="hybridMultilevel"/>
    <w:lvl w:ilvl="0">
      <w:lvlJc w:val="left"/>
      <w:lvlText w:val="•"/>
      <w:numFmt w:val="bullet"/>
      <w:start w:val="1"/>
    </w:lvl>
  </w:abstractNum>
  <w:abstractNum w:abstractNumId="31">
    <w:nsid w:val="2708C9AF"/>
    <w:multiLevelType w:val="hybridMultilevel"/>
    <w:lvl w:ilvl="0">
      <w:lvlJc w:val="left"/>
      <w:lvlText w:val="•"/>
      <w:numFmt w:val="bullet"/>
      <w:start w:val="1"/>
    </w:lvl>
  </w:abstractNum>
  <w:abstractNum w:abstractNumId="32">
    <w:nsid w:val="5B25ACE2"/>
    <w:multiLevelType w:val="hybridMultilevel"/>
    <w:lvl w:ilvl="0">
      <w:lvlJc w:val="left"/>
      <w:lvlText w:val="•"/>
      <w:numFmt w:val="bullet"/>
      <w:start w:val="1"/>
    </w:lvl>
  </w:abstractNum>
  <w:abstractNum w:abstractNumId="33">
    <w:nsid w:val="175DFCF0"/>
    <w:multiLevelType w:val="hybridMultilevel"/>
    <w:lvl w:ilvl="0">
      <w:lvlJc w:val="left"/>
      <w:lvlText w:val="•"/>
      <w:numFmt w:val="bullet"/>
      <w:start w:val="1"/>
    </w:lvl>
  </w:abstractNum>
  <w:abstractNum w:abstractNumId="34">
    <w:nsid w:val="4F97E3E4"/>
    <w:multiLevelType w:val="hybridMultilevel"/>
    <w:lvl w:ilvl="0">
      <w:lvlJc w:val="left"/>
      <w:lvlText w:val="•"/>
      <w:numFmt w:val="bullet"/>
      <w:start w:val="1"/>
    </w:lvl>
  </w:abstractNum>
  <w:abstractNum w:abstractNumId="35">
    <w:nsid w:val="53B0A9E"/>
    <w:multiLevelType w:val="hybridMultilevel"/>
    <w:lvl w:ilvl="0">
      <w:lvlJc w:val="left"/>
      <w:lvlText w:val="•"/>
      <w:numFmt w:val="bullet"/>
      <w:start w:val="1"/>
    </w:lvl>
  </w:abstractNum>
  <w:abstractNum w:abstractNumId="36">
    <w:nsid w:val="34FD6B4F"/>
    <w:multiLevelType w:val="hybridMultilevel"/>
    <w:lvl w:ilvl="0">
      <w:lvlJc w:val="left"/>
      <w:lvlText w:val="•"/>
      <w:numFmt w:val="bullet"/>
      <w:start w:val="1"/>
    </w:lvl>
  </w:abstractNum>
  <w:abstractNum w:abstractNumId="37">
    <w:nsid w:val="5915FF32"/>
    <w:multiLevelType w:val="hybridMultilevel"/>
    <w:lvl w:ilvl="0">
      <w:lvlJc w:val="left"/>
      <w:lvlText w:val="•"/>
      <w:numFmt w:val="bullet"/>
      <w:start w:val="1"/>
    </w:lvl>
  </w:abstractNum>
  <w:abstractNum w:abstractNumId="38">
    <w:nsid w:val="56438D15"/>
    <w:multiLevelType w:val="hybridMultilevel"/>
    <w:lvl w:ilvl="0">
      <w:lvlJc w:val="left"/>
      <w:lvlText w:val="•"/>
      <w:numFmt w:val="bullet"/>
      <w:start w:val="1"/>
    </w:lvl>
  </w:abstractNum>
  <w:abstractNum w:abstractNumId="39">
    <w:nsid w:val="519E3149"/>
    <w:multiLevelType w:val="hybridMultilevel"/>
    <w:lvl w:ilvl="0">
      <w:lvlJc w:val="left"/>
      <w:lvlText w:val="•"/>
      <w:numFmt w:val="bullet"/>
      <w:start w:val="1"/>
    </w:lvl>
  </w:abstractNum>
  <w:abstractNum w:abstractNumId="40">
    <w:nsid w:val="2C6E4AFD"/>
    <w:multiLevelType w:val="hybridMultilevel"/>
    <w:lvl w:ilvl="0">
      <w:lvlJc w:val="left"/>
      <w:lvlText w:val="•"/>
      <w:numFmt w:val="bullet"/>
      <w:start w:val="1"/>
    </w:lvl>
  </w:abstractNum>
  <w:abstractNum w:abstractNumId="41">
    <w:nsid w:val="17A1B582"/>
    <w:multiLevelType w:val="hybridMultilevel"/>
    <w:lvl w:ilvl="0">
      <w:lvlJc w:val="left"/>
      <w:lvlText w:val="*"/>
      <w:numFmt w:val="bullet"/>
      <w:start w:val="1"/>
    </w:lvl>
  </w:abstractNum>
  <w:abstractNum w:abstractNumId="42">
    <w:nsid w:val="4DF72E4E"/>
    <w:multiLevelType w:val="hybridMultilevel"/>
    <w:lvl w:ilvl="0">
      <w:lvlJc w:val="left"/>
      <w:lvlText w:val="•"/>
      <w:numFmt w:val="bullet"/>
      <w:start w:val="1"/>
    </w:lvl>
  </w:abstractNum>
  <w:abstractNum w:abstractNumId="43">
    <w:nsid w:val="5046B5A9"/>
    <w:multiLevelType w:val="hybridMultilevel"/>
    <w:lvl w:ilvl="0">
      <w:lvlJc w:val="left"/>
      <w:lvlText w:val="•"/>
      <w:numFmt w:val="bullet"/>
      <w:start w:val="1"/>
    </w:lvl>
  </w:abstractNum>
  <w:abstractNum w:abstractNumId="44">
    <w:nsid w:val="5D888A08"/>
    <w:multiLevelType w:val="hybridMultilevel"/>
    <w:lvl w:ilvl="0">
      <w:lvlJc w:val="left"/>
      <w:lvlText w:val="*"/>
      <w:numFmt w:val="bullet"/>
      <w:start w:val="1"/>
    </w:lvl>
  </w:abstractNum>
  <w:abstractNum w:abstractNumId="45">
    <w:nsid w:val="2A082C70"/>
    <w:multiLevelType w:val="hybridMultilevel"/>
    <w:lvl w:ilvl="0">
      <w:lvlJc w:val="left"/>
      <w:lvlText w:val="•"/>
      <w:numFmt w:val="bullet"/>
      <w:start w:val="1"/>
    </w:lvl>
  </w:abstractNum>
  <w:abstractNum w:abstractNumId="46">
    <w:nsid w:val="5EC6AFD4"/>
    <w:multiLevelType w:val="hybridMultilevel"/>
    <w:lvl w:ilvl="0">
      <w:lvlJc w:val="left"/>
      <w:lvlText w:val="*"/>
      <w:numFmt w:val="bullet"/>
      <w:start w:val="1"/>
    </w:lvl>
  </w:abstractNum>
  <w:abstractNum w:abstractNumId="47">
    <w:nsid w:val="19E21BB2"/>
    <w:multiLevelType w:val="hybridMultilevel"/>
    <w:lvl w:ilvl="0">
      <w:lvlJc w:val="left"/>
      <w:lvlText w:val="•"/>
      <w:numFmt w:val="bullet"/>
      <w:start w:val="1"/>
    </w:lvl>
  </w:abstractNum>
  <w:abstractNum w:abstractNumId="48">
    <w:nsid w:val="75E0858A"/>
    <w:multiLevelType w:val="hybridMultilevel"/>
    <w:lvl w:ilvl="0">
      <w:lvlJc w:val="left"/>
      <w:lvlText w:val="•"/>
      <w:numFmt w:val="bullet"/>
      <w:start w:val="1"/>
    </w:lvl>
  </w:abstractNum>
  <w:abstractNum w:abstractNumId="49">
    <w:nsid w:val="57A61A29"/>
    <w:multiLevelType w:val="hybridMultilevel"/>
    <w:lvl w:ilvl="0">
      <w:lvlJc w:val="left"/>
      <w:lvlText w:val="*"/>
      <w:numFmt w:val="bullet"/>
      <w:start w:val="1"/>
    </w:lvl>
  </w:abstractNum>
  <w:abstractNum w:abstractNumId="50">
    <w:nsid w:val="5399C654"/>
    <w:multiLevelType w:val="hybridMultilevel"/>
    <w:lvl w:ilvl="0">
      <w:lvlJc w:val="left"/>
      <w:lvlText w:val="1"/>
      <w:numFmt w:val="bullet"/>
      <w:start w:val="1"/>
    </w:lvl>
  </w:abstractNum>
  <w:abstractNum w:abstractNumId="51">
    <w:nsid w:val="20EE1348"/>
    <w:multiLevelType w:val="hybridMultilevel"/>
    <w:lvl w:ilvl="0">
      <w:lvlJc w:val="left"/>
      <w:lvlText w:val="2"/>
      <w:numFmt w:val="bullet"/>
      <w:start w:val="1"/>
    </w:lvl>
  </w:abstractNum>
  <w:abstractNum w:abstractNumId="52">
    <w:nsid w:val="4427069A"/>
    <w:multiLevelType w:val="hybridMultilevel"/>
    <w:lvl w:ilvl="0">
      <w:lvlJc w:val="left"/>
      <w:lvlText w:val="3"/>
      <w:numFmt w:val="bullet"/>
      <w:start w:val="1"/>
    </w:lvl>
  </w:abstractNum>
  <w:abstractNum w:abstractNumId="53">
    <w:nsid w:val="B37E80A"/>
    <w:multiLevelType w:val="hybridMultilevel"/>
    <w:lvl w:ilvl="0">
      <w:lvlJc w:val="left"/>
      <w:lvlText w:val="4"/>
      <w:numFmt w:val="bullet"/>
      <w:start w:val="1"/>
    </w:lvl>
  </w:abstractNum>
  <w:abstractNum w:abstractNumId="54">
    <w:nsid w:val="2157F6BC"/>
    <w:multiLevelType w:val="hybridMultilevel"/>
    <w:lvl w:ilvl="0">
      <w:lvlJc w:val="left"/>
      <w:lvlText w:val="5"/>
      <w:numFmt w:val="bullet"/>
      <w:start w:val="1"/>
    </w:lvl>
  </w:abstractNum>
  <w:abstractNum w:abstractNumId="55">
    <w:nsid w:val="704E1DD5"/>
    <w:multiLevelType w:val="hybridMultilevel"/>
    <w:lvl w:ilvl="0">
      <w:lvlJc w:val="left"/>
      <w:lvlText w:val="6"/>
      <w:numFmt w:val="bullet"/>
      <w:start w:val="1"/>
    </w:lvl>
  </w:abstractNum>
  <w:abstractNum w:abstractNumId="56">
    <w:nsid w:val="57D2F10E"/>
    <w:multiLevelType w:val="hybridMultilevel"/>
    <w:lvl w:ilvl="0">
      <w:lvlJc w:val="left"/>
      <w:lvlText w:val="*"/>
      <w:numFmt w:val="bullet"/>
      <w:start w:val="1"/>
    </w:lvl>
  </w:abstractNum>
  <w:abstractNum w:abstractNumId="57">
    <w:nsid w:val="BFFAE18"/>
    <w:multiLevelType w:val="hybridMultilevel"/>
    <w:lvl w:ilvl="0">
      <w:lvlJc w:val="left"/>
      <w:lvlText w:val="•"/>
      <w:numFmt w:val="bullet"/>
      <w:start w:val="1"/>
    </w:lvl>
  </w:abstractNum>
  <w:abstractNum w:abstractNumId="58">
    <w:nsid w:val="E3E47A8"/>
    <w:multiLevelType w:val="hybridMultilevel"/>
    <w:lvl w:ilvl="0">
      <w:lvlJc w:val="left"/>
      <w:lvlText w:val="•"/>
      <w:numFmt w:val="bullet"/>
      <w:start w:val="1"/>
    </w:lvl>
  </w:abstractNum>
  <w:abstractNum w:abstractNumId="59">
    <w:nsid w:val="2E48F044"/>
    <w:multiLevelType w:val="hybridMultilevel"/>
    <w:lvl w:ilvl="0">
      <w:lvlJc w:val="left"/>
      <w:lvlText w:val="•"/>
      <w:numFmt w:val="bullet"/>
      <w:start w:val="1"/>
    </w:lvl>
  </w:abstractNum>
  <w:abstractNum w:abstractNumId="60">
    <w:nsid w:val="49D0FEAC"/>
    <w:multiLevelType w:val="hybridMultilevel"/>
    <w:lvl w:ilvl="0">
      <w:lvlJc w:val="left"/>
      <w:lvlText w:val="•"/>
      <w:numFmt w:val="bullet"/>
      <w:start w:val="1"/>
    </w:lvl>
  </w:abstractNum>
  <w:abstractNum w:abstractNumId="61">
    <w:nsid w:val="4BEE5A5B"/>
    <w:multiLevelType w:val="hybridMultilevel"/>
    <w:lvl w:ilvl="0">
      <w:lvlJc w:val="left"/>
      <w:lvlText w:val="•"/>
      <w:numFmt w:val="bullet"/>
      <w:start w:val="1"/>
    </w:lvl>
  </w:abstractNum>
  <w:abstractNum w:abstractNumId="62">
    <w:nsid w:val="5551B9F3"/>
    <w:multiLevelType w:val="hybridMultilevel"/>
    <w:lvl w:ilvl="0">
      <w:lvlJc w:val="left"/>
      <w:lvlText w:val="•"/>
      <w:numFmt w:val="bullet"/>
      <w:start w:val="1"/>
    </w:lvl>
  </w:abstractNum>
  <w:abstractNum w:abstractNumId="63">
    <w:nsid w:val="24F6AB8E"/>
    <w:multiLevelType w:val="hybridMultilevel"/>
    <w:lvl w:ilvl="0">
      <w:lvlJc w:val="left"/>
      <w:lvlText w:val="•"/>
      <w:numFmt w:val="bullet"/>
      <w:start w:val="1"/>
    </w:lvl>
  </w:abstractNum>
  <w:abstractNum w:abstractNumId="64">
    <w:nsid w:val="634C574C"/>
    <w:multiLevelType w:val="hybridMultilevel"/>
    <w:lvl w:ilvl="0">
      <w:lvlJc w:val="left"/>
      <w:lvlText w:val="*"/>
      <w:numFmt w:val="bullet"/>
      <w:start w:val="1"/>
    </w:lvl>
  </w:abstractNum>
  <w:abstractNum w:abstractNumId="65">
    <w:nsid w:val="24E99DD7"/>
    <w:multiLevelType w:val="hybridMultilevel"/>
    <w:lvl w:ilvl="0">
      <w:lvlJc w:val="left"/>
      <w:lvlText w:val="•"/>
      <w:numFmt w:val="bullet"/>
      <w:start w:val="1"/>
    </w:lvl>
    <w:lvl w:ilvl="1">
      <w:lvlJc w:val="left"/>
      <w:lvlText w:val="•"/>
      <w:numFmt w:val="bullet"/>
      <w:start w:val="1"/>
    </w:lvl>
  </w:abstractNum>
  <w:abstractNum w:abstractNumId="66">
    <w:nsid w:val="2A31B62D"/>
    <w:multiLevelType w:val="hybridMultilevel"/>
    <w:lvl w:ilvl="0">
      <w:lvlJc w:val="left"/>
      <w:lvlText w:val="•"/>
      <w:numFmt w:val="bullet"/>
      <w:start w:val="1"/>
    </w:lvl>
  </w:abstractNum>
  <w:abstractNum w:abstractNumId="67">
    <w:nsid w:val="1849C29B"/>
    <w:multiLevelType w:val="hybridMultilevel"/>
    <w:lvl w:ilvl="0">
      <w:lvlJc w:val="left"/>
      <w:lvlText w:val="•"/>
      <w:numFmt w:val="bullet"/>
      <w:start w:val="1"/>
    </w:lvl>
  </w:abstractNum>
  <w:abstractNum w:abstractNumId="68">
    <w:nsid w:val="7DFF9D09"/>
    <w:multiLevelType w:val="hybridMultilevel"/>
    <w:lvl w:ilvl="0">
      <w:lvlJc w:val="left"/>
      <w:lvlText w:val="*"/>
      <w:numFmt w:val="bullet"/>
      <w:start w:val="1"/>
    </w:lvl>
  </w:abstractNum>
  <w:abstractNum w:abstractNumId="69">
    <w:nsid w:val="754342"/>
    <w:multiLevelType w:val="hybridMultilevel"/>
    <w:lvl w:ilvl="0">
      <w:lvlJc w:val="left"/>
      <w:lvlText w:val="•"/>
      <w:numFmt w:val="bullet"/>
      <w:start w:val="1"/>
    </w:lvl>
  </w:abstractNum>
  <w:abstractNum w:abstractNumId="70">
    <w:nsid w:val="69E7F3E5"/>
    <w:multiLevelType w:val="hybridMultilevel"/>
    <w:lvl w:ilvl="0">
      <w:lvlJc w:val="left"/>
      <w:lvlText w:val="•"/>
      <w:numFmt w:val="bullet"/>
      <w:start w:val="1"/>
    </w:lvl>
  </w:abstractNum>
  <w:abstractNum w:abstractNumId="71">
    <w:nsid w:val="2A6DE806"/>
    <w:multiLevelType w:val="hybridMultilevel"/>
    <w:lvl w:ilvl="0">
      <w:lvlJc w:val="left"/>
      <w:lvlText w:val="4"/>
      <w:numFmt w:val="bullet"/>
      <w:start w:val="1"/>
    </w:lvl>
  </w:abstractNum>
  <w:abstractNum w:abstractNumId="72">
    <w:nsid w:val="1816F8C4"/>
    <w:multiLevelType w:val="hybridMultilevel"/>
    <w:lvl w:ilvl="0">
      <w:lvlJc w:val="left"/>
      <w:lvlText w:val="5"/>
      <w:numFmt w:val="bullet"/>
      <w:start w:val="1"/>
    </w:lvl>
  </w:abstractNum>
  <w:abstractNum w:abstractNumId="73">
    <w:nsid w:val="37DF2233"/>
    <w:multiLevelType w:val="hybridMultilevel"/>
    <w:lvl w:ilvl="0">
      <w:lvlJc w:val="left"/>
      <w:lvlText w:val="*"/>
      <w:numFmt w:val="bullet"/>
      <w:start w:val="1"/>
    </w:lvl>
  </w:abstractNum>
  <w:abstractNum w:abstractNumId="74">
    <w:nsid w:val="7AB49DAF"/>
    <w:multiLevelType w:val="hybridMultilevel"/>
    <w:lvl w:ilvl="0">
      <w:lvlJc w:val="left"/>
      <w:lvlText w:val="•"/>
      <w:numFmt w:val="bullet"/>
      <w:start w:val="1"/>
    </w:lvl>
  </w:abstractNum>
  <w:abstractNum w:abstractNumId="75">
    <w:nsid w:val="759F82CD"/>
    <w:multiLevelType w:val="hybridMultilevel"/>
    <w:lvl w:ilvl="0">
      <w:lvlJc w:val="left"/>
      <w:lvlText w:val="•"/>
      <w:numFmt w:val="bullet"/>
      <w:start w:val="1"/>
    </w:lvl>
  </w:abstractNum>
  <w:abstractNum w:abstractNumId="76">
    <w:nsid w:val="61E74EA3"/>
    <w:multiLevelType w:val="hybridMultilevel"/>
    <w:lvl w:ilvl="0">
      <w:lvlJc w:val="left"/>
      <w:lvlText w:val="1"/>
      <w:numFmt w:val="bullet"/>
      <w:start w:val="1"/>
    </w:lvl>
  </w:abstractNum>
  <w:abstractNum w:abstractNumId="77">
    <w:nsid w:val="597B4D84"/>
    <w:multiLevelType w:val="hybridMultilevel"/>
    <w:lvl w:ilvl="0">
      <w:lvlJc w:val="left"/>
      <w:lvlText w:val="2"/>
      <w:numFmt w:val="bullet"/>
      <w:start w:val="1"/>
    </w:lvl>
  </w:abstractNum>
  <w:abstractNum w:abstractNumId="78">
    <w:nsid w:val="F819E7F"/>
    <w:multiLevelType w:val="hybridMultilevel"/>
    <w:lvl w:ilvl="0">
      <w:lvlJc w:val="left"/>
      <w:lvlText w:val="3"/>
      <w:numFmt w:val="bullet"/>
      <w:start w:val="1"/>
    </w:lvl>
  </w:abstractNum>
  <w:abstractNum w:abstractNumId="79">
    <w:nsid w:val="57C7D42D"/>
    <w:multiLevelType w:val="hybridMultilevel"/>
    <w:lvl w:ilvl="0">
      <w:lvlJc w:val="left"/>
      <w:lvlText w:val="4"/>
      <w:numFmt w:val="bullet"/>
      <w:start w:val="1"/>
    </w:lvl>
  </w:abstractNum>
  <w:abstractNum w:abstractNumId="80">
    <w:nsid w:val="312167AD"/>
    <w:multiLevelType w:val="hybridMultilevel"/>
    <w:lvl w:ilvl="0">
      <w:lvlJc w:val="left"/>
      <w:lvlText w:val="5"/>
      <w:numFmt w:val="bullet"/>
      <w:start w:val="1"/>
    </w:lvl>
  </w:abstractNum>
  <w:abstractNum w:abstractNumId="81">
    <w:nsid w:val="631B64D4"/>
    <w:multiLevelType w:val="hybridMultilevel"/>
    <w:lvl w:ilvl="0">
      <w:lvlJc w:val="left"/>
      <w:lvlText w:val="6"/>
      <w:numFmt w:val="bullet"/>
      <w:start w:val="1"/>
    </w:lvl>
  </w:abstractNum>
  <w:abstractNum w:abstractNumId="82">
    <w:nsid w:val="78B5E776"/>
    <w:multiLevelType w:val="hybridMultilevel"/>
    <w:lvl w:ilvl="0">
      <w:lvlJc w:val="left"/>
      <w:lvlText w:val="7"/>
      <w:numFmt w:val="bullet"/>
      <w:start w:val="1"/>
    </w:lvl>
  </w:abstractNum>
  <w:abstractNum w:abstractNumId="83">
    <w:nsid w:val="75486E47"/>
    <w:multiLevelType w:val="hybridMultilevel"/>
    <w:lvl w:ilvl="0">
      <w:lvlJc w:val="left"/>
      <w:lvlText w:val="8"/>
      <w:numFmt w:val="bullet"/>
      <w:start w:val="1"/>
    </w:lvl>
  </w:abstractNum>
  <w:abstractNum w:abstractNumId="84">
    <w:nsid w:val="6E534CDE"/>
    <w:multiLevelType w:val="hybridMultilevel"/>
    <w:lvl w:ilvl="0">
      <w:lvlJc w:val="left"/>
      <w:lvlText w:val="9"/>
      <w:numFmt w:val="bullet"/>
      <w:start w:val="1"/>
    </w:lvl>
  </w:abstractNum>
  <w:abstractNum w:abstractNumId="85">
    <w:nsid w:val="1A0DDE32"/>
    <w:multiLevelType w:val="hybridMultilevel"/>
    <w:lvl w:ilvl="0">
      <w:lvlJc w:val="left"/>
      <w:lvlText w:val="%1"/>
      <w:numFmt w:val="decimal"/>
      <w:start w:val="10"/>
    </w:lvl>
  </w:abstractNum>
  <w:abstractNum w:abstractNumId="86">
    <w:nsid w:val="65968C1C"/>
    <w:multiLevelType w:val="hybridMultilevel"/>
    <w:lvl w:ilvl="0">
      <w:lvlJc w:val="left"/>
      <w:lvlText w:val="1"/>
      <w:numFmt w:val="bullet"/>
      <w:start w:val="1"/>
    </w:lvl>
  </w:abstractNum>
  <w:abstractNum w:abstractNumId="87">
    <w:nsid w:val="46263DEC"/>
    <w:multiLevelType w:val="hybridMultilevel"/>
    <w:lvl w:ilvl="0">
      <w:lvlJc w:val="left"/>
      <w:lvlText w:val="•"/>
      <w:numFmt w:val="bullet"/>
      <w:start w:val="1"/>
    </w:lvl>
  </w:abstractNum>
  <w:abstractNum w:abstractNumId="88">
    <w:nsid w:val="260D8C4A"/>
    <w:multiLevelType w:val="hybridMultilevel"/>
    <w:lvl w:ilvl="0">
      <w:lvlJc w:val="left"/>
      <w:lvlText w:val="•"/>
      <w:numFmt w:val="bullet"/>
      <w:start w:val="1"/>
    </w:lvl>
  </w:abstractNum>
  <w:abstractNum w:abstractNumId="89">
    <w:nsid w:val="73D4D3C4"/>
    <w:multiLevelType w:val="hybridMultilevel"/>
    <w:lvl w:ilvl="0">
      <w:lvlJc w:val="left"/>
      <w:lvlText w:val="•"/>
      <w:numFmt w:val="bullet"/>
      <w:start w:val="1"/>
    </w:lvl>
  </w:abstractNum>
  <w:abstractNum w:abstractNumId="90">
    <w:nsid w:val="746F2E30"/>
    <w:multiLevelType w:val="hybridMultilevel"/>
    <w:lvl w:ilvl="0">
      <w:lvlJc w:val="left"/>
      <w:lvlText w:val="•"/>
      <w:numFmt w:val="bullet"/>
      <w:start w:val="1"/>
    </w:lvl>
  </w:abstractNum>
  <w:abstractNum w:abstractNumId="91">
    <w:nsid w:val="6FDE8AF6"/>
    <w:multiLevelType w:val="hybridMultilevel"/>
    <w:lvl w:ilvl="0">
      <w:lvlJc w:val="left"/>
      <w:lvlText w:val="•"/>
      <w:numFmt w:val="bullet"/>
      <w:start w:val="1"/>
    </w:lvl>
  </w:abstractNum>
  <w:abstractNum w:abstractNumId="92">
    <w:nsid w:val="3FC32E20"/>
    <w:multiLevelType w:val="hybridMultilevel"/>
    <w:lvl w:ilvl="0">
      <w:lvlJc w:val="left"/>
      <w:lvlText w:val="•"/>
      <w:numFmt w:val="bullet"/>
      <w:start w:val="1"/>
    </w:lvl>
  </w:abstractNum>
  <w:abstractNum w:abstractNumId="93">
    <w:nsid w:val="49C0E823"/>
    <w:multiLevelType w:val="hybridMultilevel"/>
    <w:lvl w:ilvl="0">
      <w:lvlJc w:val="left"/>
      <w:lvlText w:val="•"/>
      <w:numFmt w:val="bullet"/>
      <w:start w:val="1"/>
    </w:lvl>
  </w:abstractNum>
  <w:abstractNum w:abstractNumId="94">
    <w:nsid w:val="14D53685"/>
    <w:multiLevelType w:val="hybridMultilevel"/>
    <w:lvl w:ilvl="0">
      <w:lvlJc w:val="left"/>
      <w:lvlText w:val="2"/>
      <w:numFmt w:val="bullet"/>
      <w:start w:val="1"/>
    </w:lvl>
  </w:abstractNum>
  <w:abstractNum w:abstractNumId="95">
    <w:nsid w:val="230F856C"/>
    <w:multiLevelType w:val="hybridMultilevel"/>
    <w:lvl w:ilvl="0">
      <w:lvlJc w:val="left"/>
      <w:lvlText w:val="*"/>
      <w:numFmt w:val="bullet"/>
      <w:start w:val="1"/>
    </w:lvl>
  </w:abstractNum>
  <w:abstractNum w:abstractNumId="96">
    <w:nsid w:val="6EAA85FB"/>
    <w:multiLevelType w:val="hybridMultilevel"/>
    <w:lvl w:ilvl="0">
      <w:lvlJc w:val="left"/>
      <w:lvlText w:val="**"/>
      <w:numFmt w:val="bullet"/>
      <w:start w:val="1"/>
    </w:lvl>
  </w:abstractNum>
  <w:abstractNum w:abstractNumId="97">
    <w:nsid w:val="3F06ECB2"/>
    <w:multiLevelType w:val="hybridMultilevel"/>
    <w:lvl w:ilvl="0">
      <w:lvlJc w:val="left"/>
      <w:lvlText w:val="•"/>
      <w:numFmt w:val="bullet"/>
      <w:start w:val="1"/>
    </w:lvl>
    <w:lvl w:ilvl="1">
      <w:lvlJc w:val="left"/>
      <w:lvlText w:val="\endash "/>
      <w:numFmt w:val="bullet"/>
      <w:start w:val="1"/>
    </w:lvl>
  </w:abstractNum>
  <w:abstractNum w:abstractNumId="98">
    <w:nsid w:val="3B594807"/>
    <w:multiLevelType w:val="hybridMultilevel"/>
    <w:lvl w:ilvl="0">
      <w:lvlJc w:val="left"/>
      <w:lvlText w:val="•"/>
      <w:numFmt w:val="bullet"/>
      <w:start w:val="1"/>
    </w:lvl>
  </w:abstractNum>
  <w:abstractNum w:abstractNumId="99">
    <w:nsid w:val="6CAA2304"/>
    <w:multiLevelType w:val="hybridMultilevel"/>
    <w:lvl w:ilvl="0">
      <w:lvlJc w:val="left"/>
      <w:lvlText w:val="•"/>
      <w:numFmt w:val="bullet"/>
      <w:start w:val="1"/>
    </w:lvl>
  </w:abstractNum>
  <w:abstractNum w:abstractNumId="100">
    <w:nsid w:val="3F7C2FF4"/>
    <w:multiLevelType w:val="hybridMultilevel"/>
    <w:lvl w:ilvl="0">
      <w:lvlJc w:val="left"/>
      <w:lvlText w:val="•"/>
      <w:numFmt w:val="bullet"/>
      <w:start w:val="1"/>
    </w:lvl>
  </w:abstractNum>
  <w:abstractNum w:abstractNumId="101">
    <w:nsid w:val="25413BEC"/>
    <w:multiLevelType w:val="hybridMultilevel"/>
    <w:lvl w:ilvl="0">
      <w:lvlJc w:val="left"/>
      <w:lvlText w:val="3"/>
      <w:numFmt w:val="bullet"/>
      <w:start w:val="1"/>
    </w:lvl>
  </w:abstractNum>
  <w:abstractNum w:abstractNumId="102">
    <w:nsid w:val="17180B0B"/>
    <w:multiLevelType w:val="hybridMultilevel"/>
    <w:lvl w:ilvl="0">
      <w:lvlJc w:val="left"/>
      <w:lvlText w:val="4"/>
      <w:numFmt w:val="bullet"/>
      <w:start w:val="1"/>
    </w:lvl>
  </w:abstractNum>
  <w:abstractNum w:abstractNumId="103">
    <w:nsid w:val="579328B9"/>
    <w:multiLevelType w:val="hybridMultilevel"/>
    <w:lvl w:ilvl="0">
      <w:lvlJc w:val="left"/>
      <w:lvlText w:val="•"/>
      <w:numFmt w:val="bullet"/>
      <w:start w:val="1"/>
    </w:lvl>
  </w:abstractNum>
  <w:abstractNum w:abstractNumId="104">
    <w:nsid w:val="5D205E20"/>
    <w:multiLevelType w:val="hybridMultilevel"/>
    <w:lvl w:ilvl="0">
      <w:lvlJc w:val="left"/>
      <w:lvlText w:val="•"/>
      <w:numFmt w:val="bullet"/>
      <w:start w:val="1"/>
    </w:lvl>
  </w:abstractNum>
  <w:abstractNum w:abstractNumId="105">
    <w:nsid w:val="11CCA8BA"/>
    <w:multiLevelType w:val="hybridMultilevel"/>
    <w:lvl w:ilvl="0">
      <w:lvlJc w:val="left"/>
      <w:lvlText w:val="•"/>
      <w:numFmt w:val="bullet"/>
      <w:start w:val="1"/>
    </w:lvl>
  </w:abstractNum>
  <w:abstractNum w:abstractNumId="106">
    <w:nsid w:val="4D32AB86"/>
    <w:multiLevelType w:val="hybridMultilevel"/>
    <w:lvl w:ilvl="0">
      <w:lvlJc w:val="left"/>
      <w:lvlText w:val="•"/>
      <w:numFmt w:val="bullet"/>
      <w:start w:val="1"/>
    </w:lvl>
  </w:abstractNum>
  <w:abstractNum w:abstractNumId="107">
    <w:nsid w:val="3F07ACC3"/>
    <w:multiLevelType w:val="hybridMultilevel"/>
    <w:lvl w:ilvl="0">
      <w:lvlJc w:val="left"/>
      <w:lvlText w:val="5"/>
      <w:numFmt w:val="bullet"/>
      <w:start w:val="1"/>
    </w:lvl>
  </w:abstractNum>
  <w:abstractNum w:abstractNumId="108">
    <w:nsid w:val="6B47F63E"/>
    <w:multiLevelType w:val="hybridMultilevel"/>
    <w:lvl w:ilvl="0">
      <w:lvlJc w:val="left"/>
      <w:lvlText w:val="6"/>
      <w:numFmt w:val="bullet"/>
      <w:start w:val="1"/>
    </w:lvl>
  </w:abstractNum>
  <w:abstractNum w:abstractNumId="109">
    <w:nsid w:val="5CB44A05"/>
    <w:multiLevelType w:val="hybridMultilevel"/>
    <w:lvl w:ilvl="0">
      <w:lvlJc w:val="left"/>
      <w:lvlText w:val="7"/>
      <w:numFmt w:val="bullet"/>
      <w:start w:val="1"/>
    </w:lvl>
  </w:abstractNum>
  <w:abstractNum w:abstractNumId="110">
    <w:nsid w:val="16CF80F1"/>
    <w:multiLevelType w:val="hybridMultilevel"/>
    <w:lvl w:ilvl="0">
      <w:lvlJc w:val="left"/>
      <w:lvlText w:val="*"/>
      <w:numFmt w:val="bullet"/>
      <w:start w:val="1"/>
    </w:lvl>
  </w:abstractNum>
  <w:abstractNum w:abstractNumId="111">
    <w:nsid w:val="1C695DEC"/>
    <w:multiLevelType w:val="hybridMultilevel"/>
    <w:lvl w:ilvl="0">
      <w:lvlJc w:val="left"/>
      <w:lvlText w:val="•"/>
      <w:numFmt w:val="bullet"/>
      <w:start w:val="1"/>
    </w:lvl>
  </w:abstractNum>
  <w:abstractNum w:abstractNumId="112">
    <w:nsid w:val="3FCFAED9"/>
    <w:multiLevelType w:val="hybridMultilevel"/>
    <w:lvl w:ilvl="0">
      <w:lvlJc w:val="left"/>
      <w:lvlText w:val="•"/>
      <w:numFmt w:val="bullet"/>
      <w:start w:val="1"/>
    </w:lvl>
    <w:lvl w:ilvl="1">
      <w:lvlJc w:val="left"/>
      <w:lvlText w:val="•"/>
      <w:numFmt w:val="bullet"/>
      <w:start w:val="1"/>
    </w:lvl>
  </w:abstractNum>
  <w:abstractNum w:abstractNumId="113">
    <w:nsid w:val="F856867"/>
    <w:multiLevelType w:val="hybridMultilevel"/>
    <w:lvl w:ilvl="0">
      <w:lvlJc w:val="left"/>
      <w:lvlText w:val="•"/>
      <w:numFmt w:val="bullet"/>
      <w:start w:val="1"/>
    </w:lvl>
  </w:abstractNum>
  <w:abstractNum w:abstractNumId="114">
    <w:nsid w:val="11B1CC33"/>
    <w:multiLevelType w:val="hybridMultilevel"/>
    <w:lvl w:ilvl="0">
      <w:lvlJc w:val="left"/>
      <w:lvlText w:val="•"/>
      <w:numFmt w:val="bullet"/>
      <w:start w:val="1"/>
    </w:lvl>
  </w:abstractNum>
  <w:abstractNum w:abstractNumId="115">
    <w:nsid w:val="2E22FBB7"/>
    <w:multiLevelType w:val="hybridMultilevel"/>
    <w:lvl w:ilvl="0">
      <w:lvlJc w:val="left"/>
      <w:lvlText w:val="•"/>
      <w:numFmt w:val="bullet"/>
      <w:start w:val="1"/>
    </w:lvl>
  </w:abstractNum>
  <w:abstractNum w:abstractNumId="116">
    <w:nsid w:val="29934699"/>
    <w:multiLevelType w:val="hybridMultilevel"/>
    <w:lvl w:ilvl="0">
      <w:lvlJc w:val="left"/>
      <w:lvlText w:val="•"/>
      <w:numFmt w:val="bullet"/>
      <w:start w:val="1"/>
    </w:lvl>
  </w:abstractNum>
  <w:abstractNum w:abstractNumId="117">
    <w:nsid w:val="77485850"/>
    <w:multiLevelType w:val="hybridMultilevel"/>
    <w:lvl w:ilvl="0">
      <w:lvlJc w:val="left"/>
      <w:lvlText w:val="•"/>
      <w:numFmt w:val="bullet"/>
      <w:start w:val="1"/>
    </w:lvl>
  </w:abstractNum>
  <w:abstractNum w:abstractNumId="118">
    <w:nsid w:val="744939A3"/>
    <w:multiLevelType w:val="hybridMultilevel"/>
    <w:lvl w:ilvl="0">
      <w:lvlJc w:val="left"/>
      <w:lvlText w:val="•"/>
      <w:numFmt w:val="bullet"/>
      <w:start w:val="1"/>
    </w:lvl>
  </w:abstractNum>
  <w:abstractNum w:abstractNumId="119">
    <w:nsid w:val="4FA0D2E3"/>
    <w:multiLevelType w:val="hybridMultilevel"/>
    <w:lvl w:ilvl="0">
      <w:lvlJc w:val="left"/>
      <w:lvlText w:val="1"/>
      <w:numFmt w:val="bullet"/>
      <w:start w:val="1"/>
    </w:lvl>
  </w:abstractNum>
  <w:abstractNum w:abstractNumId="120">
    <w:nsid w:val="6B1D2C14"/>
    <w:multiLevelType w:val="hybridMultilevel"/>
    <w:lvl w:ilvl="0">
      <w:lvlJc w:val="left"/>
      <w:lvlText w:val="2"/>
      <w:numFmt w:val="bullet"/>
      <w:start w:val="1"/>
    </w:lvl>
  </w:abstractNum>
  <w:abstractNum w:abstractNumId="121">
    <w:nsid w:val="68B867D3"/>
    <w:multiLevelType w:val="hybridMultilevel"/>
    <w:lvl w:ilvl="0">
      <w:lvlJc w:val="left"/>
      <w:lvlText w:val="*"/>
      <w:numFmt w:val="bullet"/>
      <w:start w:val="1"/>
    </w:lvl>
  </w:abstractNum>
  <w:abstractNum w:abstractNumId="122">
    <w:nsid w:val="3F7F5DD9"/>
    <w:multiLevelType w:val="hybridMultilevel"/>
    <w:lvl w:ilvl="0">
      <w:lvlJc w:val="left"/>
      <w:lvlText w:val="(%1)"/>
      <w:numFmt w:val="lowerRoman"/>
      <w:start w:val="3"/>
    </w:lvl>
  </w:abstractNum>
  <w:abstractNum w:abstractNumId="123">
    <w:nsid w:val="2AE05A34"/>
    <w:multiLevelType w:val="hybridMultilevel"/>
    <w:lvl w:ilvl="0">
      <w:lvlJc w:val="left"/>
      <w:lvlText w:val="•"/>
      <w:numFmt w:val="bullet"/>
      <w:start w:val="1"/>
    </w:lvl>
    <w:lvl w:ilvl="1">
      <w:lvlJc w:val="left"/>
      <w:lvlText w:val="(%2)"/>
      <w:numFmt w:val="lowerRoman"/>
      <w:start w:val="1"/>
    </w:lvl>
  </w:abstractNum>
  <w:abstractNum w:abstractNumId="124">
    <w:nsid w:val="32794FF7"/>
    <w:multiLevelType w:val="hybridMultilevel"/>
    <w:lvl w:ilvl="0">
      <w:lvlJc w:val="left"/>
      <w:lvlText w:val="•"/>
      <w:numFmt w:val="bullet"/>
      <w:start w:val="1"/>
    </w:lvl>
  </w:abstractNum>
  <w:abstractNum w:abstractNumId="125">
    <w:nsid w:val="5454945E"/>
    <w:multiLevelType w:val="hybridMultilevel"/>
    <w:lvl w:ilvl="0">
      <w:lvlJc w:val="left"/>
      <w:lvlText w:val="1"/>
      <w:numFmt w:val="bullet"/>
      <w:start w:val="1"/>
    </w:lvl>
  </w:abstractNum>
  <w:abstractNum w:abstractNumId="126">
    <w:nsid w:val="4DEFDFA0"/>
    <w:multiLevelType w:val="hybridMultilevel"/>
    <w:lvl w:ilvl="0">
      <w:lvlJc w:val="left"/>
      <w:lvlText w:val="2"/>
      <w:numFmt w:val="bullet"/>
      <w:start w:val="1"/>
    </w:lvl>
  </w:abstractNum>
  <w:abstractNum w:abstractNumId="127">
    <w:nsid w:val="2123D5F2"/>
    <w:multiLevelType w:val="hybridMultilevel"/>
    <w:lvl w:ilvl="0">
      <w:lvlJc w:val="left"/>
      <w:lvlText w:val="3"/>
      <w:numFmt w:val="bullet"/>
      <w:start w:val="1"/>
    </w:lvl>
  </w:abstractNum>
  <w:abstractNum w:abstractNumId="128">
    <w:nsid w:val="135B8110"/>
    <w:multiLevelType w:val="hybridMultilevel"/>
    <w:lvl w:ilvl="0">
      <w:lvlJc w:val="left"/>
      <w:lvlText w:val="4"/>
      <w:numFmt w:val="bullet"/>
      <w:start w:val="1"/>
    </w:lvl>
  </w:abstractNum>
  <w:abstractNum w:abstractNumId="129">
    <w:nsid w:val="94927A8"/>
    <w:multiLevelType w:val="hybridMultilevel"/>
    <w:lvl w:ilvl="0">
      <w:lvlJc w:val="left"/>
      <w:lvlText w:val="5"/>
      <w:numFmt w:val="bullet"/>
      <w:start w:val="1"/>
    </w:lvl>
  </w:abstractNum>
  <w:abstractNum w:abstractNumId="130">
    <w:nsid w:val="DCDF8F6"/>
    <w:multiLevelType w:val="hybridMultilevel"/>
    <w:lvl w:ilvl="0">
      <w:lvlJc w:val="left"/>
      <w:lvlText w:val="6"/>
      <w:numFmt w:val="bullet"/>
      <w:start w:val="1"/>
    </w:lvl>
  </w:abstractNum>
  <w:abstractNum w:abstractNumId="131">
    <w:nsid w:val="52D7B105"/>
    <w:multiLevelType w:val="hybridMultilevel"/>
    <w:lvl w:ilvl="0">
      <w:lvlJc w:val="left"/>
      <w:lvlText w:val="7"/>
      <w:numFmt w:val="bullet"/>
      <w:start w:val="1"/>
    </w:lvl>
  </w:abstractNum>
  <w:abstractNum w:abstractNumId="132">
    <w:nsid w:val="2E8A6394"/>
    <w:multiLevelType w:val="hybridMultilevel"/>
    <w:lvl w:ilvl="0">
      <w:lvlJc w:val="left"/>
      <w:lvlText w:val="•"/>
      <w:numFmt w:val="bullet"/>
      <w:start w:val="1"/>
    </w:lvl>
  </w:abstractNum>
  <w:abstractNum w:abstractNumId="133">
    <w:nsid w:val="24E60401"/>
    <w:multiLevelType w:val="hybridMultilevel"/>
    <w:lvl w:ilvl="0">
      <w:lvlJc w:val="left"/>
      <w:lvlText w:val="•"/>
      <w:numFmt w:val="bullet"/>
      <w:start w:val="1"/>
    </w:lvl>
  </w:abstractNum>
  <w:abstractNum w:abstractNumId="134">
    <w:nsid w:val="2A6AD9BE"/>
    <w:multiLevelType w:val="hybridMultilevel"/>
    <w:lvl w:ilvl="0">
      <w:lvlJc w:val="left"/>
      <w:lvlText w:val="\endash "/>
      <w:numFmt w:val="bullet"/>
      <w:start w:val="1"/>
    </w:lvl>
  </w:abstractNum>
  <w:abstractNum w:abstractNumId="135">
    <w:nsid w:val="BAAC1B4"/>
    <w:multiLevelType w:val="hybridMultilevel"/>
    <w:lvl w:ilvl="0">
      <w:lvlJc w:val="left"/>
      <w:lvlText w:val="*"/>
      <w:numFmt w:val="bullet"/>
      <w:start w:val="1"/>
    </w:lvl>
  </w:abstractNum>
  <w:abstractNum w:abstractNumId="136">
    <w:nsid w:val="36B2ACBC"/>
    <w:multiLevelType w:val="hybridMultilevel"/>
    <w:lvl w:ilvl="0">
      <w:lvlJc w:val="left"/>
      <w:lvlText w:val="**"/>
      <w:numFmt w:val="bullet"/>
      <w:start w:val="1"/>
    </w:lvl>
  </w:abstractNum>
  <w:abstractNum w:abstractNumId="137">
    <w:nsid w:val="779D8544"/>
    <w:multiLevelType w:val="hybridMultilevel"/>
    <w:lvl w:ilvl="0">
      <w:lvlJc w:val="left"/>
      <w:lvlText w:val="•"/>
      <w:numFmt w:val="bullet"/>
      <w:start w:val="1"/>
    </w:lvl>
  </w:abstractNum>
  <w:abstractNum w:abstractNumId="138">
    <w:nsid w:val="4AB26E78"/>
    <w:multiLevelType w:val="hybridMultilevel"/>
    <w:lvl w:ilvl="0">
      <w:lvlJc w:val="left"/>
      <w:lvlText w:val="•"/>
      <w:numFmt w:val="bullet"/>
      <w:start w:val="1"/>
    </w:lvl>
  </w:abstractNum>
  <w:abstractNum w:abstractNumId="139">
    <w:nsid w:val="21FAA2FA"/>
    <w:multiLevelType w:val="hybridMultilevel"/>
    <w:lvl w:ilvl="0">
      <w:lvlJc w:val="left"/>
      <w:lvlText w:val="•"/>
      <w:numFmt w:val="bullet"/>
      <w:start w:val="1"/>
    </w:lvl>
  </w:abstractNum>
  <w:abstractNum w:abstractNumId="140">
    <w:nsid w:val="5451CF49"/>
    <w:multiLevelType w:val="hybridMultilevel"/>
    <w:lvl w:ilvl="0">
      <w:lvlJc w:val="left"/>
      <w:lvlText w:val="•"/>
      <w:numFmt w:val="bullet"/>
      <w:start w:val="1"/>
    </w:lvl>
  </w:abstractNum>
  <w:abstractNum w:abstractNumId="141">
    <w:nsid w:val="6181EF69"/>
    <w:multiLevelType w:val="hybridMultilevel"/>
    <w:lvl w:ilvl="0">
      <w:lvlJc w:val="left"/>
      <w:lvlText w:val="•"/>
      <w:numFmt w:val="bullet"/>
      <w:start w:val="1"/>
    </w:lvl>
  </w:abstractNum>
  <w:abstractNum w:abstractNumId="142">
    <w:nsid w:val="3E6400E6"/>
    <w:multiLevelType w:val="hybridMultilevel"/>
    <w:lvl w:ilvl="0">
      <w:lvlJc w:val="left"/>
      <w:lvlText w:val="•"/>
      <w:numFmt w:val="bullet"/>
      <w:start w:val="1"/>
    </w:lvl>
  </w:abstractNum>
  <w:abstractNum w:abstractNumId="143">
    <w:nsid w:val="14217E23"/>
    <w:multiLevelType w:val="hybridMultilevel"/>
    <w:lvl w:ilvl="0">
      <w:lvlJc w:val="left"/>
      <w:lvlText w:val="•"/>
      <w:numFmt w:val="bullet"/>
      <w:start w:val="1"/>
    </w:lvl>
  </w:abstractNum>
  <w:abstractNum w:abstractNumId="144">
    <w:nsid w:val="710757D0"/>
    <w:multiLevelType w:val="hybridMultilevel"/>
    <w:lvl w:ilvl="0">
      <w:lvlJc w:val="left"/>
      <w:lvlText w:val="1"/>
      <w:numFmt w:val="bullet"/>
      <w:start w:val="1"/>
    </w:lvl>
  </w:abstractNum>
  <w:abstractNum w:abstractNumId="145">
    <w:nsid w:val="5015CD1A"/>
    <w:multiLevelType w:val="hybridMultilevel"/>
    <w:lvl w:ilvl="0">
      <w:lvlJc w:val="left"/>
      <w:lvlText w:val="1"/>
      <w:numFmt w:val="bullet"/>
      <w:start w:val="1"/>
    </w:lvl>
  </w:abstractNum>
  <w:abstractNum w:abstractNumId="146">
    <w:nsid w:val="424479DA"/>
    <w:multiLevelType w:val="hybridMultilevel"/>
    <w:lvl w:ilvl="0">
      <w:lvlJc w:val="left"/>
      <w:lvlText w:val="2"/>
      <w:numFmt w:val="bullet"/>
      <w:start w:val="1"/>
    </w:lvl>
  </w:abstractNum>
  <w:abstractNum w:abstractNumId="147">
    <w:nsid w:val="1A9A9E69"/>
    <w:multiLevelType w:val="hybridMultilevel"/>
    <w:lvl w:ilvl="0">
      <w:lvlJc w:val="left"/>
      <w:lvlText w:val="3"/>
      <w:numFmt w:val="bullet"/>
      <w:start w:val="1"/>
    </w:lvl>
  </w:abstractNum>
  <w:abstractNum w:abstractNumId="148">
    <w:nsid w:val="475E256A"/>
    <w:multiLevelType w:val="hybridMultilevel"/>
    <w:lvl w:ilvl="0">
      <w:lvlJc w:val="left"/>
      <w:lvlText w:val="4"/>
      <w:numFmt w:val="bullet"/>
      <w:start w:val="1"/>
    </w:lvl>
  </w:abstractNum>
  <w:abstractNum w:abstractNumId="149">
    <w:nsid w:val="368DB37E"/>
    <w:multiLevelType w:val="hybridMultilevel"/>
    <w:lvl w:ilvl="0">
      <w:lvlJc w:val="left"/>
      <w:lvlText w:val="5"/>
      <w:numFmt w:val="bullet"/>
      <w:start w:val="1"/>
    </w:lvl>
  </w:abstractNum>
  <w:abstractNum w:abstractNumId="150">
    <w:nsid w:val="6A3B714C"/>
    <w:multiLevelType w:val="hybridMultilevel"/>
    <w:lvl w:ilvl="0">
      <w:lvlJc w:val="left"/>
      <w:lvlText w:val="6"/>
      <w:numFmt w:val="bullet"/>
      <w:start w:val="1"/>
    </w:lvl>
  </w:abstractNum>
  <w:abstractNum w:abstractNumId="151">
    <w:nsid w:val="327B517E"/>
    <w:multiLevelType w:val="hybridMultilevel"/>
    <w:lvl w:ilvl="0">
      <w:lvlJc w:val="left"/>
      <w:lvlText w:val="7"/>
      <w:numFmt w:val="bullet"/>
      <w:start w:val="1"/>
    </w:lvl>
  </w:abstractNum>
  <w:abstractNum w:abstractNumId="152">
    <w:nsid w:val="1F461B51"/>
    <w:multiLevelType w:val="hybridMultilevel"/>
    <w:lvl w:ilvl="0">
      <w:lvlJc w:val="left"/>
      <w:lvlText w:val="8"/>
      <w:numFmt w:val="bullet"/>
      <w:start w:val="1"/>
    </w:lvl>
  </w:abstractNum>
  <w:abstractNum w:abstractNumId="153">
    <w:nsid w:val="29BACF25"/>
    <w:multiLevelType w:val="hybridMultilevel"/>
    <w:lvl w:ilvl="0">
      <w:lvlJc w:val="left"/>
      <w:lvlText w:val="9"/>
      <w:numFmt w:val="bullet"/>
      <w:start w:val="1"/>
    </w:lvl>
  </w:abstractNum>
  <w:abstractNum w:abstractNumId="154">
    <w:nsid w:val="5D5BABB3"/>
    <w:multiLevelType w:val="hybridMultilevel"/>
    <w:lvl w:ilvl="0">
      <w:lvlJc w:val="left"/>
      <w:lvlText w:val="%1"/>
      <w:numFmt w:val="decimal"/>
      <w:start w:val="10"/>
    </w:lvl>
  </w:abstractNum>
  <w:abstractNum w:abstractNumId="155">
    <w:nsid w:val="51BF6B48"/>
    <w:multiLevelType w:val="hybridMultilevel"/>
    <w:lvl w:ilvl="0">
      <w:lvlJc w:val="left"/>
      <w:lvlText w:val="1"/>
      <w:numFmt w:val="bullet"/>
      <w:start w:val="1"/>
    </w:lvl>
  </w:abstractNum>
  <w:abstractNum w:abstractNumId="156">
    <w:nsid w:val="7E0F6384"/>
    <w:multiLevelType w:val="hybridMultilevel"/>
    <w:lvl w:ilvl="0">
      <w:lvlJc w:val="left"/>
      <w:lvlText w:val="2"/>
      <w:numFmt w:val="bullet"/>
      <w:start w:val="1"/>
    </w:lvl>
  </w:abstractNum>
  <w:abstractNum w:abstractNumId="157">
    <w:nsid w:val="2B4B8B53"/>
    <w:multiLevelType w:val="hybridMultilevel"/>
    <w:lvl w:ilvl="0">
      <w:lvlJc w:val="left"/>
      <w:lvlText w:val="3"/>
      <w:numFmt w:val="bullet"/>
      <w:start w:val="1"/>
    </w:lvl>
  </w:abstractNum>
  <w:abstractNum w:abstractNumId="158">
    <w:nsid w:val="72E3413A"/>
    <w:multiLevelType w:val="hybridMultilevel"/>
    <w:lvl w:ilvl="0">
      <w:lvlJc w:val="left"/>
      <w:lvlText w:val="4"/>
      <w:numFmt w:val="bullet"/>
      <w:start w:val="1"/>
    </w:lvl>
  </w:abstractNum>
  <w:abstractNum w:abstractNumId="159">
    <w:nsid w:val="116AE494"/>
    <w:multiLevelType w:val="hybridMultilevel"/>
    <w:lvl w:ilvl="0">
      <w:lvlJc w:val="left"/>
      <w:lvlText w:val="5"/>
      <w:numFmt w:val="bullet"/>
      <w:start w:val="1"/>
    </w:lvl>
  </w:abstractNum>
  <w:abstractNum w:abstractNumId="160">
    <w:nsid w:val="3494B2FB"/>
    <w:multiLevelType w:val="hybridMultilevel"/>
    <w:lvl w:ilvl="0">
      <w:lvlJc w:val="left"/>
      <w:lvlText w:val="1"/>
      <w:numFmt w:val="bullet"/>
      <w:start w:val="1"/>
    </w:lvl>
  </w:abstractNum>
  <w:abstractNum w:abstractNumId="161">
    <w:nsid w:val="B13A31"/>
    <w:multiLevelType w:val="hybridMultilevel"/>
    <w:lvl w:ilvl="0">
      <w:lvlJc w:val="left"/>
      <w:lvlText w:val="2"/>
      <w:numFmt w:val="bullet"/>
      <w:start w:val="1"/>
    </w:lvl>
  </w:abstractNum>
  <w:abstractNum w:abstractNumId="162">
    <w:nsid w:val="64429599"/>
    <w:multiLevelType w:val="hybridMultilevel"/>
    <w:lvl w:ilvl="0">
      <w:lvlJc w:val="left"/>
      <w:lvlText w:val="3"/>
      <w:numFmt w:val="bullet"/>
      <w:start w:val="1"/>
    </w:lvl>
  </w:abstractNum>
  <w:abstractNum w:abstractNumId="163">
    <w:nsid w:val="631F1690"/>
    <w:multiLevelType w:val="hybridMultilevel"/>
    <w:lvl w:ilvl="0">
      <w:lvlJc w:val="left"/>
      <w:lvlText w:val="4"/>
      <w:numFmt w:val="bullet"/>
      <w:start w:val="1"/>
    </w:lvl>
  </w:abstractNum>
  <w:abstractNum w:abstractNumId="164">
    <w:nsid w:val="25973E32"/>
    <w:multiLevelType w:val="hybridMultilevel"/>
    <w:lvl w:ilvl="0">
      <w:lvlJc w:val="left"/>
      <w:lvlText w:val="5"/>
      <w:numFmt w:val="bullet"/>
      <w:start w:val="1"/>
    </w:lvl>
  </w:abstractNum>
  <w:abstractNum w:abstractNumId="165">
    <w:nsid w:val="EAD6F57"/>
    <w:multiLevelType w:val="hybridMultilevel"/>
    <w:lvl w:ilvl="0">
      <w:lvlJc w:val="left"/>
      <w:lvlText w:val="6"/>
      <w:numFmt w:val="bullet"/>
      <w:start w:val="1"/>
    </w:lvl>
  </w:abstractNum>
  <w:abstractNum w:abstractNumId="166">
    <w:nsid w:val="6EC9D844"/>
    <w:multiLevelType w:val="hybridMultilevel"/>
    <w:lvl w:ilvl="0">
      <w:lvlJc w:val="left"/>
      <w:lvlText w:val="7"/>
      <w:numFmt w:val="bullet"/>
      <w:start w:val="1"/>
    </w:lvl>
  </w:abstractNum>
  <w:abstractNum w:abstractNumId="167">
    <w:nsid w:val="5C49EAEE"/>
    <w:multiLevelType w:val="hybridMultilevel"/>
    <w:lvl w:ilvl="0">
      <w:lvlJc w:val="left"/>
      <w:lvlText w:val="8"/>
      <w:numFmt w:val="bullet"/>
      <w:start w:val="1"/>
    </w:lvl>
  </w:abstractNum>
  <w:abstractNum w:abstractNumId="168">
    <w:nsid w:val="64AF49B"/>
    <w:multiLevelType w:val="hybridMultilevel"/>
    <w:lvl w:ilvl="0">
      <w:lvlJc w:val="left"/>
      <w:lvlText w:val="9"/>
      <w:numFmt w:val="bullet"/>
      <w:start w:val="1"/>
    </w:lvl>
  </w:abstractNum>
  <w:abstractNum w:abstractNumId="169">
    <w:nsid w:val="397C46BC"/>
    <w:multiLevelType w:val="hybridMultilevel"/>
    <w:lvl w:ilvl="0">
      <w:lvlJc w:val="left"/>
      <w:lvlText w:val="1"/>
      <w:numFmt w:val="bullet"/>
      <w:start w:val="1"/>
    </w:lvl>
  </w:abstractNum>
  <w:abstractNum w:abstractNumId="170">
    <w:nsid w:val="7E448DE9"/>
    <w:multiLevelType w:val="hybridMultilevel"/>
    <w:lvl w:ilvl="0">
      <w:lvlJc w:val="left"/>
      <w:lvlText w:val="2"/>
      <w:numFmt w:val="bullet"/>
      <w:start w:val="1"/>
    </w:lvl>
  </w:abstractNum>
  <w:abstractNum w:abstractNumId="171">
    <w:nsid w:val="5A9CC3E5"/>
    <w:multiLevelType w:val="hybridMultilevel"/>
    <w:lvl w:ilvl="0">
      <w:lvlJc w:val="left"/>
      <w:lvlText w:val="3"/>
      <w:numFmt w:val="bullet"/>
      <w:start w:val="1"/>
    </w:lvl>
  </w:abstractNum>
  <w:abstractNum w:abstractNumId="172">
    <w:nsid w:val="1AFE3625"/>
    <w:multiLevelType w:val="hybridMultilevel"/>
    <w:lvl w:ilvl="0">
      <w:lvlJc w:val="left"/>
      <w:lvlText w:val="1"/>
      <w:numFmt w:val="bullet"/>
      <w:start w:val="1"/>
    </w:lvl>
  </w:abstractNum>
  <w:abstractNum w:abstractNumId="173">
    <w:nsid w:val="3CA88ECF"/>
    <w:multiLevelType w:val="hybridMultilevel"/>
    <w:lvl w:ilvl="0">
      <w:lvlJc w:val="left"/>
      <w:lvlText w:val="(%1)"/>
      <w:numFmt w:val="lowerRoman"/>
      <w:start w:val="1"/>
    </w:lvl>
  </w:abstractNum>
  <w:abstractNum w:abstractNumId="174">
    <w:nsid w:val="6EBE4208"/>
    <w:multiLevelType w:val="hybridMultilevel"/>
    <w:lvl w:ilvl="0">
      <w:lvlJc w:val="left"/>
      <w:lvlText w:val="1"/>
      <w:numFmt w:val="bullet"/>
      <w:start w:val="1"/>
    </w:lvl>
  </w:abstractNum>
  <w:abstractNum w:abstractNumId="175">
    <w:nsid w:val="C058DF5"/>
    <w:multiLevelType w:val="hybridMultilevel"/>
    <w:lvl w:ilvl="0">
      <w:lvlJc w:val="left"/>
      <w:lvlText w:val="2"/>
      <w:numFmt w:val="bullet"/>
      <w:start w:val="1"/>
    </w:lvl>
  </w:abstractNum>
  <w:abstractNum w:abstractNumId="176">
    <w:nsid w:val="CBE5BE9"/>
    <w:multiLevelType w:val="hybridMultilevel"/>
    <w:lvl w:ilvl="0">
      <w:lvlJc w:val="left"/>
      <w:lvlText w:val="3"/>
      <w:numFmt w:val="bullet"/>
      <w:start w:val="1"/>
    </w:lvl>
  </w:abstractNum>
  <w:abstractNum w:abstractNumId="177">
    <w:nsid w:val="3102BBE2"/>
    <w:multiLevelType w:val="hybridMultilevel"/>
    <w:lvl w:ilvl="0">
      <w:lvlJc w:val="left"/>
      <w:lvlText w:val="4"/>
      <w:numFmt w:val="bullet"/>
      <w:start w:val="1"/>
    </w:lvl>
  </w:abstractNum>
  <w:abstractNum w:abstractNumId="178">
    <w:nsid w:val="26A02C5E"/>
    <w:multiLevelType w:val="hybridMultilevel"/>
    <w:lvl w:ilvl="0">
      <w:lvlJc w:val="left"/>
      <w:lvlText w:val="5"/>
      <w:numFmt w:val="bullet"/>
      <w:start w:val="1"/>
    </w:lvl>
  </w:abstractNum>
  <w:abstractNum w:abstractNumId="179">
    <w:nsid w:val="541C8153"/>
    <w:multiLevelType w:val="hybridMultilevel"/>
    <w:lvl w:ilvl="0">
      <w:lvlJc w:val="left"/>
      <w:lvlText w:val="6"/>
      <w:numFmt w:val="bullet"/>
      <w:start w:val="1"/>
    </w:lvl>
  </w:abstractNum>
  <w:abstractNum w:abstractNumId="180">
    <w:nsid w:val="67906F60"/>
    <w:multiLevelType w:val="hybridMultilevel"/>
    <w:lvl w:ilvl="0">
      <w:lvlJc w:val="left"/>
      <w:lvlText w:val="7"/>
      <w:numFmt w:val="bullet"/>
      <w:start w:val="1"/>
    </w:lvl>
  </w:abstractNum>
  <w:abstractNum w:abstractNumId="181">
    <w:nsid w:val="10DB9DAA"/>
    <w:multiLevelType w:val="hybridMultilevel"/>
    <w:lvl w:ilvl="0">
      <w:lvlJc w:val="left"/>
      <w:lvlText w:val="8"/>
      <w:numFmt w:val="bullet"/>
      <w:start w:val="1"/>
    </w:lvl>
  </w:abstractNum>
  <w:abstractNum w:abstractNumId="182">
    <w:nsid w:val="697D2D2"/>
    <w:multiLevelType w:val="hybridMultilevel"/>
    <w:lvl w:ilvl="0">
      <w:lvlJc w:val="left"/>
      <w:lvlText w:val="9"/>
      <w:numFmt w:val="bullet"/>
      <w:start w:val="1"/>
    </w:lvl>
  </w:abstractNum>
  <w:abstractNum w:abstractNumId="183">
    <w:nsid w:val="6D68AB2"/>
    <w:multiLevelType w:val="hybridMultilevel"/>
    <w:lvl w:ilvl="0">
      <w:lvlJc w:val="left"/>
      <w:lvlText w:val="%1"/>
      <w:numFmt w:val="decimal"/>
      <w:start w:val="10"/>
    </w:lvl>
  </w:abstractNum>
  <w:abstractNum w:abstractNumId="184">
    <w:nsid w:val="3A966CD0"/>
    <w:multiLevelType w:val="hybridMultilevel"/>
    <w:lvl w:ilvl="0">
      <w:lvlJc w:val="left"/>
      <w:lvlText w:val="1"/>
      <w:numFmt w:val="bullet"/>
      <w:start w:val="1"/>
    </w:lvl>
  </w:abstractNum>
  <w:abstractNum w:abstractNumId="185">
    <w:nsid w:val="63F37E85"/>
    <w:multiLevelType w:val="hybridMultilevel"/>
    <w:lvl w:ilvl="0">
      <w:lvlJc w:val="left"/>
      <w:lvlText w:val="2"/>
      <w:numFmt w:val="bullet"/>
      <w:start w:val="1"/>
    </w:lvl>
  </w:abstractNum>
  <w:abstractNum w:abstractNumId="186">
    <w:nsid w:val="5895F5FA"/>
    <w:multiLevelType w:val="hybridMultilevel"/>
    <w:lvl w:ilvl="0">
      <w:lvlJc w:val="left"/>
      <w:lvlText w:val="3"/>
      <w:numFmt w:val="bullet"/>
      <w:start w:val="1"/>
    </w:lvl>
  </w:abstractNum>
  <w:abstractNum w:abstractNumId="187">
    <w:nsid w:val="38A5D054"/>
    <w:multiLevelType w:val="hybridMultilevel"/>
    <w:lvl w:ilvl="0">
      <w:lvlJc w:val="left"/>
      <w:lvlText w:val="4"/>
      <w:numFmt w:val="bullet"/>
      <w:start w:val="1"/>
    </w:lvl>
  </w:abstractNum>
  <w:abstractNum w:abstractNumId="188">
    <w:nsid w:val="F3F09D8"/>
    <w:multiLevelType w:val="hybridMultilevel"/>
    <w:lvl w:ilvl="0">
      <w:lvlJc w:val="left"/>
      <w:lvlText w:val="5"/>
      <w:numFmt w:val="bullet"/>
      <w:start w:val="1"/>
    </w:lvl>
  </w:abstractNum>
  <w:abstractNum w:abstractNumId="189">
    <w:nsid w:val="4B793735"/>
    <w:multiLevelType w:val="hybridMultilevel"/>
    <w:lvl w:ilvl="0">
      <w:lvlJc w:val="left"/>
      <w:lvlText w:val="3"/>
      <w:numFmt w:val="bullet"/>
      <w:start w:val="1"/>
    </w:lvl>
  </w:abstractNum>
  <w:abstractNum w:abstractNumId="190">
    <w:nsid w:val="4A10B4E8"/>
    <w:multiLevelType w:val="hybridMultilevel"/>
    <w:lvl w:ilvl="0">
      <w:lvlJc w:val="left"/>
      <w:lvlText w:val="•"/>
      <w:numFmt w:val="bullet"/>
      <w:start w:val="1"/>
    </w:lvl>
  </w:abstractNum>
  <w:abstractNum w:abstractNumId="191">
    <w:nsid w:val="43D3BCD4"/>
    <w:multiLevelType w:val="hybridMultilevel"/>
    <w:lvl w:ilvl="0">
      <w:lvlJc w:val="left"/>
      <w:lvlText w:val="(%1)"/>
      <w:numFmt w:val="lowerLetter"/>
      <w:start w:val="1"/>
    </w:lvl>
  </w:abstractNum>
  <w:abstractNum w:abstractNumId="192">
    <w:nsid w:val="4C2A7166"/>
    <w:multiLevelType w:val="hybridMultilevel"/>
    <w:lvl w:ilvl="0">
      <w:lvlJc w:val="left"/>
      <w:lvlText w:val="1"/>
      <w:numFmt w:val="bullet"/>
      <w:start w:val="1"/>
    </w:lvl>
  </w:abstractNum>
  <w:abstractNum w:abstractNumId="193">
    <w:nsid w:val="2E534A82"/>
    <w:multiLevelType w:val="hybridMultilevel"/>
    <w:lvl w:ilvl="0">
      <w:lvlJc w:val="left"/>
      <w:lvlText w:val="2"/>
      <w:numFmt w:val="bullet"/>
      <w:start w:val="1"/>
    </w:lvl>
  </w:abstractNum>
  <w:abstractNum w:abstractNumId="194">
    <w:nsid w:val="26F2D364"/>
    <w:multiLevelType w:val="hybridMultilevel"/>
    <w:lvl w:ilvl="0">
      <w:lvlJc w:val="left"/>
      <w:lvlText w:val="3"/>
      <w:numFmt w:val="bullet"/>
      <w:start w:val="1"/>
    </w:lvl>
  </w:abstractNum>
  <w:abstractNum w:abstractNumId="195">
    <w:nsid w:val="71C1AF98"/>
    <w:multiLevelType w:val="hybridMultilevel"/>
    <w:lvl w:ilvl="0">
      <w:lvlJc w:val="left"/>
      <w:lvlText w:val="4"/>
      <w:numFmt w:val="bullet"/>
      <w:start w:val="1"/>
    </w:lvl>
  </w:abstractNum>
  <w:abstractNum w:abstractNumId="196">
    <w:nsid w:val="3D00B9D9"/>
    <w:multiLevelType w:val="hybridMultilevel"/>
    <w:lvl w:ilvl="0">
      <w:lvlJc w:val="left"/>
      <w:lvlText w:val="5"/>
      <w:numFmt w:val="bullet"/>
      <w:start w:val="1"/>
    </w:lvl>
  </w:abstractNum>
  <w:abstractNum w:abstractNumId="197">
    <w:nsid w:val="15BCABA8"/>
    <w:multiLevelType w:val="hybridMultilevel"/>
    <w:lvl w:ilvl="0">
      <w:lvlJc w:val="left"/>
      <w:lvlText w:val="%1."/>
      <w:numFmt w:val="decimal"/>
      <w:start w:val="1"/>
    </w:lvl>
  </w:abstractNum>
  <w:abstractNum w:abstractNumId="198">
    <w:nsid w:val="4E0B9A87"/>
    <w:multiLevelType w:val="hybridMultilevel"/>
    <w:lvl w:ilvl="0">
      <w:lvlJc w:val="left"/>
      <w:lvlText w:val="1"/>
      <w:numFmt w:val="bullet"/>
      <w:start w:val="1"/>
    </w:lvl>
  </w:abstractNum>
  <w:abstractNum w:abstractNumId="199">
    <w:nsid w:val="434BAE75"/>
    <w:multiLevelType w:val="hybridMultilevel"/>
    <w:lvl w:ilvl="0">
      <w:lvlJc w:val="left"/>
      <w:lvlText w:val="2"/>
      <w:numFmt w:val="bullet"/>
      <w:start w:val="1"/>
    </w:lvl>
  </w:abstractNum>
  <w:abstractNum w:abstractNumId="200">
    <w:nsid w:val="4F38F265"/>
    <w:multiLevelType w:val="hybridMultilevel"/>
    <w:lvl w:ilvl="0">
      <w:lvlJc w:val="left"/>
      <w:lvlText w:val="3"/>
      <w:numFmt w:val="bullet"/>
      <w:start w:val="1"/>
    </w:lvl>
  </w:abstractNum>
  <w:abstractNum w:abstractNumId="201">
    <w:nsid w:val="4C502870"/>
    <w:multiLevelType w:val="hybridMultilevel"/>
    <w:lvl w:ilvl="0">
      <w:lvlJc w:val="left"/>
      <w:lvlText w:val="1"/>
      <w:numFmt w:val="bullet"/>
      <w:start w:val="1"/>
    </w:lvl>
  </w:abstractNum>
  <w:abstractNum w:abstractNumId="202">
    <w:nsid w:val="1DE8725A"/>
    <w:multiLevelType w:val="hybridMultilevel"/>
    <w:lvl w:ilvl="0">
      <w:lvlJc w:val="left"/>
      <w:lvlText w:val="2"/>
      <w:numFmt w:val="bullet"/>
      <w:start w:val="1"/>
    </w:lvl>
  </w:abstractNum>
  <w:abstractNum w:abstractNumId="203">
    <w:nsid w:val="6A37288A"/>
    <w:multiLevelType w:val="hybridMultilevel"/>
    <w:lvl w:ilvl="0">
      <w:lvlJc w:val="left"/>
      <w:lvlText w:val="3"/>
      <w:numFmt w:val="bullet"/>
      <w:start w:val="1"/>
    </w:lvl>
  </w:abstractNum>
  <w:abstractNum w:abstractNumId="204">
    <w:nsid w:val="8F8B73F"/>
    <w:multiLevelType w:val="hybridMultilevel"/>
    <w:lvl w:ilvl="0">
      <w:lvlJc w:val="left"/>
      <w:lvlText w:val="4"/>
      <w:numFmt w:val="bullet"/>
      <w:start w:val="1"/>
    </w:lvl>
  </w:abstractNum>
  <w:abstractNum w:abstractNumId="205">
    <w:nsid w:val="CA6B462"/>
    <w:multiLevelType w:val="hybridMultilevel"/>
    <w:lvl w:ilvl="0">
      <w:lvlJc w:val="left"/>
      <w:lvlText w:val="5"/>
      <w:numFmt w:val="bullet"/>
      <w:start w:val="1"/>
    </w:lvl>
  </w:abstractNum>
  <w:abstractNum w:abstractNumId="206">
    <w:nsid w:val="763CB680"/>
    <w:multiLevelType w:val="hybridMultilevel"/>
    <w:lvl w:ilvl="0">
      <w:lvlJc w:val="left"/>
      <w:lvlText w:val="%1."/>
      <w:numFmt w:val="decimal"/>
      <w:start w:val="1"/>
    </w:lvl>
  </w:abstractNum>
  <w:abstractNum w:abstractNumId="207">
    <w:nsid w:val="15B71329"/>
    <w:multiLevelType w:val="hybridMultilevel"/>
    <w:lvl w:ilvl="0">
      <w:lvlJc w:val="left"/>
      <w:lvlText w:val="(%1)"/>
      <w:numFmt w:val="decimal"/>
      <w:start w:val="1"/>
    </w:lvl>
  </w:abstractNum>
  <w:abstractNum w:abstractNumId="208">
    <w:nsid w:val="3DA97044"/>
    <w:multiLevelType w:val="hybridMultilevel"/>
    <w:lvl w:ilvl="0">
      <w:lvlJc w:val="left"/>
      <w:lvlText w:val="*"/>
      <w:numFmt w:val="bullet"/>
      <w:start w:val="1"/>
    </w:lvl>
  </w:abstractNum>
  <w:abstractNum w:abstractNumId="209">
    <w:nsid w:val="1CDCE2DE"/>
    <w:multiLevelType w:val="hybridMultilevel"/>
    <w:lvl w:ilvl="0">
      <w:lvlJc w:val="left"/>
      <w:lvlText w:val="+"/>
      <w:numFmt w:val="bullet"/>
      <w:start w:val="1"/>
    </w:lvl>
  </w:abstractNum>
  <w:abstractNum w:abstractNumId="210">
    <w:nsid w:val="69D3947C"/>
    <w:multiLevelType w:val="hybridMultilevel"/>
    <w:lvl w:ilvl="0">
      <w:lvlJc w:val="left"/>
      <w:lvlText w:val="•"/>
      <w:numFmt w:val="bullet"/>
      <w:start w:val="1"/>
    </w:lvl>
  </w:abstractNum>
  <w:abstractNum w:abstractNumId="211">
    <w:nsid w:val="2539DFA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2026-04-24T16:12:29Z</dcterms:created>
  <dcterms:modified xsi:type="dcterms:W3CDTF">2026-04-24T16:12:29Z</dcterms:modified>
</cp:coreProperties>
</file>