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722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722360"/>
                    </a:xfrm>
                    <a:prstGeom prst="rect">
                      <a:avLst/>
                    </a:prstGeom>
                    <a:noFill/>
                  </pic:spPr>
                </pic:pic>
              </a:graphicData>
            </a:graphic>
          </wp:anchor>
        </w:drawing>
      </w:r>
    </w:p>
    <w:p>
      <w:pPr>
        <w:spacing w:after="0" w:line="99" w:lineRule="exact"/>
        <w:rPr>
          <w:sz w:val="24"/>
          <w:szCs w:val="24"/>
          <w:color w:val="auto"/>
        </w:rPr>
      </w:pPr>
    </w:p>
    <w:p>
      <w:pPr>
        <w:sectPr>
          <w:pgSz w:w="11900" w:h="16855"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GOLDBERG MURRAY A</w:t>
        </w:r>
      </w:hyperlink>
    </w:p>
    <w:p>
      <w:pPr>
        <w:spacing w:after="0" w:line="318"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6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6"/>
        </w:trPr>
        <w:tc>
          <w:tcPr>
            <w:tcW w:w="4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r>
      <w:tr>
        <w:trPr>
          <w:trHeight w:val="26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66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3"/>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840" w:type="dxa"/>
            <w:vAlign w:val="bottom"/>
            <w:tcBorders>
              <w:bottom w:val="single" w:sz="8" w:color="0000EE"/>
            </w:tcBorders>
            <w:gridSpan w:val="2"/>
          </w:tcPr>
          <w:p>
            <w:pPr>
              <w:spacing w:after="0" w:line="207"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REGENERON PHARMACEUTICALS INC</w:t>
              </w:r>
            </w:hyperlink>
          </w:p>
        </w:tc>
        <w:tc>
          <w:tcPr>
            <w:tcW w:w="8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38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REGN </w:t>
            </w:r>
            <w:r>
              <w:rPr>
                <w:rFonts w:ascii="Arial" w:cs="Arial" w:eastAsia="Arial" w:hAnsi="Arial"/>
                <w:sz w:val="21"/>
                <w:szCs w:val="21"/>
                <w:color w:val="000000"/>
              </w:rPr>
              <w:t>]</w:t>
            </w:r>
          </w:p>
        </w:tc>
        <w:tc>
          <w:tcPr>
            <w:tcW w:w="460" w:type="dxa"/>
            <w:vAlign w:val="bottom"/>
          </w:tcPr>
          <w:p>
            <w:pPr>
              <w:spacing w:after="0"/>
              <w:rPr>
                <w:sz w:val="11"/>
                <w:szCs w:val="11"/>
                <w:color w:val="auto"/>
              </w:rPr>
            </w:pPr>
          </w:p>
        </w:tc>
        <w:tc>
          <w:tcPr>
            <w:tcW w:w="1440" w:type="dxa"/>
            <w:vAlign w:val="bottom"/>
          </w:tcPr>
          <w:p>
            <w:pPr>
              <w:ind w:left="140"/>
              <w:spacing w:after="0" w:line="134"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3"/>
        </w:trPr>
        <w:tc>
          <w:tcPr>
            <w:tcW w:w="180" w:type="dxa"/>
            <w:vAlign w:val="bottom"/>
            <w:gridSpan w:val="2"/>
            <w:vMerge w:val="continue"/>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vMerge w:val="continue"/>
          </w:tcPr>
          <w:p>
            <w:pPr>
              <w:spacing w:after="0"/>
              <w:rPr>
                <w:sz w:val="7"/>
                <w:szCs w:val="7"/>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80" w:type="dxa"/>
            <w:vAlign w:val="bottom"/>
            <w:gridSpan w:val="2"/>
            <w:vMerge w:val="continue"/>
          </w:tcPr>
          <w:p>
            <w:pPr>
              <w:spacing w:after="0"/>
              <w:rPr>
                <w:sz w:val="11"/>
                <w:szCs w:val="11"/>
                <w:color w:val="auto"/>
              </w:rPr>
            </w:pPr>
          </w:p>
        </w:tc>
        <w:tc>
          <w:tcPr>
            <w:tcW w:w="3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7"/>
                <w:szCs w:val="17"/>
                <w:color w:val="0000FF"/>
              </w:rPr>
              <w:t>SVP Fin &amp; Admin CFO Asst Secy</w:t>
            </w:r>
          </w:p>
        </w:tc>
        <w:tc>
          <w:tcPr>
            <w:tcW w:w="0" w:type="dxa"/>
            <w:vAlign w:val="bottom"/>
          </w:tcPr>
          <w:p>
            <w:pPr>
              <w:spacing w:after="0"/>
              <w:rPr>
                <w:sz w:val="1"/>
                <w:szCs w:val="1"/>
                <w:color w:val="auto"/>
              </w:rPr>
            </w:pPr>
          </w:p>
        </w:tc>
      </w:tr>
      <w:tr>
        <w:trPr>
          <w:trHeight w:val="114"/>
        </w:trPr>
        <w:tc>
          <w:tcPr>
            <w:tcW w:w="3900" w:type="dxa"/>
            <w:vAlign w:val="bottom"/>
            <w:gridSpan w:val="3"/>
            <w:vMerge w:val="restart"/>
          </w:tcPr>
          <w:p>
            <w:pPr>
              <w:ind w:left="60"/>
              <w:spacing w:after="0"/>
              <w:rPr>
                <w:sz w:val="20"/>
                <w:szCs w:val="20"/>
                <w:color w:val="auto"/>
              </w:rPr>
            </w:pPr>
            <w:r>
              <w:rPr>
                <w:rFonts w:ascii="Arial" w:cs="Arial" w:eastAsia="Arial" w:hAnsi="Arial"/>
                <w:sz w:val="17"/>
                <w:szCs w:val="17"/>
                <w:color w:val="0000FF"/>
              </w:rPr>
              <w:t>12/14/2012</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55"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5"/>
              <w:spacing w:after="0"/>
              <w:rPr>
                <w:sz w:val="20"/>
                <w:szCs w:val="20"/>
                <w:color w:val="auto"/>
              </w:rPr>
            </w:pPr>
            <w:r>
              <w:rPr>
                <w:rFonts w:ascii="Arial" w:cs="Arial" w:eastAsia="Arial" w:hAnsi="Arial"/>
                <w:sz w:val="17"/>
                <w:szCs w:val="17"/>
                <w:color w:val="0000FF"/>
                <w:w w:val="91"/>
              </w:rPr>
              <w:t>11/21/2012</w:t>
            </w:r>
          </w:p>
        </w:tc>
        <w:tc>
          <w:tcPr>
            <w:tcW w:w="6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1"/>
                <w:vertAlign w:val="subscript"/>
              </w:rPr>
              <w:t>G</w:t>
            </w:r>
            <w:r>
              <w:rPr>
                <w:rFonts w:ascii="Arial" w:cs="Arial" w:eastAsia="Arial" w:hAnsi="Arial"/>
                <w:sz w:val="11"/>
                <w:szCs w:val="11"/>
                <w:color w:val="008000"/>
                <w:w w:val="81"/>
              </w:rPr>
              <w:t>(1)</w:t>
            </w:r>
          </w:p>
        </w:tc>
        <w:tc>
          <w:tcPr>
            <w:tcW w:w="3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7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250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83,727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5"/>
              <w:spacing w:after="0"/>
              <w:rPr>
                <w:sz w:val="20"/>
                <w:szCs w:val="20"/>
                <w:color w:val="auto"/>
              </w:rPr>
            </w:pPr>
            <w:r>
              <w:rPr>
                <w:rFonts w:ascii="Arial" w:cs="Arial" w:eastAsia="Arial" w:hAnsi="Arial"/>
                <w:sz w:val="17"/>
                <w:szCs w:val="17"/>
                <w:color w:val="0000FF"/>
                <w:w w:val="91"/>
              </w:rPr>
              <w:t>12/03/2012</w:t>
            </w:r>
          </w:p>
        </w:tc>
        <w:tc>
          <w:tcPr>
            <w:tcW w:w="6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1"/>
                <w:vertAlign w:val="subscript"/>
              </w:rPr>
              <w:t>G</w:t>
            </w:r>
            <w:r>
              <w:rPr>
                <w:rFonts w:ascii="Arial" w:cs="Arial" w:eastAsia="Arial" w:hAnsi="Arial"/>
                <w:sz w:val="11"/>
                <w:szCs w:val="11"/>
                <w:color w:val="008000"/>
                <w:w w:val="81"/>
              </w:rPr>
              <w:t>(2)</w:t>
            </w:r>
          </w:p>
        </w:tc>
        <w:tc>
          <w:tcPr>
            <w:tcW w:w="3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72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92"/>
              </w:rPr>
              <w:t>14,500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69,227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45"/>
              <w:spacing w:after="0"/>
              <w:rPr>
                <w:sz w:val="20"/>
                <w:szCs w:val="20"/>
                <w:color w:val="auto"/>
              </w:rPr>
            </w:pPr>
            <w:r>
              <w:rPr>
                <w:rFonts w:ascii="Arial" w:cs="Arial" w:eastAsia="Arial" w:hAnsi="Arial"/>
                <w:sz w:val="17"/>
                <w:szCs w:val="17"/>
                <w:color w:val="0000FF"/>
                <w:w w:val="91"/>
              </w:rPr>
              <w:t>12/14/2012</w:t>
            </w:r>
          </w:p>
        </w:tc>
        <w:tc>
          <w:tcPr>
            <w:tcW w:w="6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(3)</w:t>
            </w:r>
          </w:p>
        </w:tc>
        <w:tc>
          <w:tcPr>
            <w:tcW w:w="3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6"/>
              <w:spacing w:after="0"/>
              <w:rPr>
                <w:sz w:val="20"/>
                <w:szCs w:val="20"/>
                <w:color w:val="auto"/>
              </w:rPr>
            </w:pPr>
            <w:r>
              <w:rPr>
                <w:rFonts w:ascii="Arial" w:cs="Arial" w:eastAsia="Arial" w:hAnsi="Arial"/>
                <w:sz w:val="17"/>
                <w:szCs w:val="17"/>
                <w:color w:val="0000FF"/>
              </w:rPr>
              <w:t>4,607</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179.13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64,620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45"/>
              <w:spacing w:after="0"/>
              <w:rPr>
                <w:sz w:val="20"/>
                <w:szCs w:val="20"/>
                <w:color w:val="auto"/>
              </w:rPr>
            </w:pPr>
            <w:r>
              <w:rPr>
                <w:rFonts w:ascii="Arial" w:cs="Arial" w:eastAsia="Arial" w:hAnsi="Arial"/>
                <w:sz w:val="17"/>
                <w:szCs w:val="17"/>
                <w:color w:val="0000FF"/>
                <w:w w:val="91"/>
              </w:rPr>
              <w:t>12/17/2012</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720" w:type="dxa"/>
            <w:vAlign w:val="bottom"/>
          </w:tcPr>
          <w:p>
            <w:pPr>
              <w:jc w:val="right"/>
              <w:ind w:right="6"/>
              <w:spacing w:after="0"/>
              <w:rPr>
                <w:sz w:val="20"/>
                <w:szCs w:val="20"/>
                <w:color w:val="auto"/>
              </w:rPr>
            </w:pPr>
            <w:r>
              <w:rPr>
                <w:rFonts w:ascii="Arial" w:cs="Arial" w:eastAsia="Arial" w:hAnsi="Arial"/>
                <w:sz w:val="17"/>
                <w:szCs w:val="17"/>
                <w:color w:val="0000FF"/>
              </w:rPr>
              <w:t>1,850</w:t>
            </w:r>
          </w:p>
        </w:tc>
        <w:tc>
          <w:tcPr>
            <w:tcW w:w="680" w:type="dxa"/>
            <w:vAlign w:val="bottom"/>
          </w:tcPr>
          <w:p>
            <w:pPr>
              <w:jc w:val="right"/>
              <w:ind w:right="15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20.32</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66,470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vMerge w:val="restart"/>
          </w:tcPr>
          <w:p>
            <w:pPr>
              <w:jc w:val="center"/>
              <w:ind w:left="645"/>
              <w:spacing w:after="0"/>
              <w:rPr>
                <w:sz w:val="20"/>
                <w:szCs w:val="20"/>
                <w:color w:val="auto"/>
              </w:rPr>
            </w:pPr>
            <w:r>
              <w:rPr>
                <w:rFonts w:ascii="Arial" w:cs="Arial" w:eastAsia="Arial" w:hAnsi="Arial"/>
                <w:sz w:val="17"/>
                <w:szCs w:val="17"/>
                <w:color w:val="0000FF"/>
                <w:w w:val="91"/>
              </w:rPr>
              <w:t>12/03/2012</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26"/>
                <w:szCs w:val="26"/>
                <w:color w:val="0000FF"/>
                <w:w w:val="81"/>
                <w:vertAlign w:val="subscript"/>
              </w:rPr>
              <w:t>G</w:t>
            </w:r>
            <w:r>
              <w:rPr>
                <w:rFonts w:ascii="Arial" w:cs="Arial" w:eastAsia="Arial" w:hAnsi="Arial"/>
                <w:sz w:val="11"/>
                <w:szCs w:val="11"/>
                <w:color w:val="008000"/>
                <w:w w:val="81"/>
              </w:rPr>
              <w:t>(2)</w:t>
            </w:r>
          </w:p>
        </w:tc>
        <w:tc>
          <w:tcPr>
            <w:tcW w:w="32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jc w:val="center"/>
              <w:ind w:left="86"/>
              <w:spacing w:after="0"/>
              <w:rPr>
                <w:sz w:val="20"/>
                <w:szCs w:val="20"/>
                <w:color w:val="auto"/>
              </w:rPr>
            </w:pPr>
            <w:r>
              <w:rPr>
                <w:rFonts w:ascii="Arial" w:cs="Arial" w:eastAsia="Arial" w:hAnsi="Arial"/>
                <w:sz w:val="17"/>
                <w:szCs w:val="17"/>
                <w:color w:val="0000FF"/>
                <w:w w:val="92"/>
              </w:rPr>
              <w:t>14,500</w:t>
            </w:r>
          </w:p>
        </w:tc>
        <w:tc>
          <w:tcPr>
            <w:tcW w:w="680" w:type="dxa"/>
            <w:vAlign w:val="bottom"/>
            <w:vMerge w:val="restart"/>
          </w:tcPr>
          <w:p>
            <w:pPr>
              <w:jc w:val="right"/>
              <w:ind w:right="15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ind w:left="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14,500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vMerge w:val="restart"/>
          </w:tcPr>
          <w:p>
            <w:pPr>
              <w:jc w:val="center"/>
              <w:ind w:left="645"/>
              <w:spacing w:after="0"/>
              <w:rPr>
                <w:sz w:val="20"/>
                <w:szCs w:val="20"/>
                <w:color w:val="auto"/>
              </w:rPr>
            </w:pPr>
            <w:r>
              <w:rPr>
                <w:rFonts w:ascii="Arial" w:cs="Arial" w:eastAsia="Arial" w:hAnsi="Arial"/>
                <w:sz w:val="17"/>
                <w:szCs w:val="17"/>
                <w:color w:val="0000FF"/>
                <w:w w:val="91"/>
              </w:rPr>
              <w:t>12/07/2012</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2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jc w:val="right"/>
              <w:ind w:right="6"/>
              <w:spacing w:after="0"/>
              <w:rPr>
                <w:sz w:val="20"/>
                <w:szCs w:val="20"/>
                <w:color w:val="auto"/>
              </w:rPr>
            </w:pPr>
            <w:r>
              <w:rPr>
                <w:rFonts w:ascii="Arial" w:cs="Arial" w:eastAsia="Arial" w:hAnsi="Arial"/>
                <w:sz w:val="17"/>
                <w:szCs w:val="17"/>
                <w:color w:val="0000FF"/>
              </w:rPr>
              <w:t>4,250</w:t>
            </w:r>
          </w:p>
        </w:tc>
        <w:tc>
          <w:tcPr>
            <w:tcW w:w="680" w:type="dxa"/>
            <w:vAlign w:val="bottom"/>
            <w:vMerge w:val="restart"/>
          </w:tcPr>
          <w:p>
            <w:pPr>
              <w:jc w:val="right"/>
              <w:ind w:right="150"/>
              <w:spacing w:after="0"/>
              <w:rPr>
                <w:sz w:val="20"/>
                <w:szCs w:val="20"/>
                <w:color w:val="auto"/>
              </w:rPr>
            </w:pPr>
            <w:r>
              <w:rPr>
                <w:rFonts w:ascii="Arial" w:cs="Arial" w:eastAsia="Arial" w:hAnsi="Arial"/>
                <w:sz w:val="17"/>
                <w:szCs w:val="17"/>
                <w:color w:val="0000FF"/>
              </w:rPr>
              <w:t>D</w:t>
            </w:r>
          </w:p>
        </w:tc>
        <w:tc>
          <w:tcPr>
            <w:tcW w:w="560" w:type="dxa"/>
            <w:vAlign w:val="bottom"/>
            <w:vMerge w:val="restart"/>
          </w:tcPr>
          <w:p>
            <w:pPr>
              <w:jc w:val="center"/>
              <w:ind w:left="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10,250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vMerge w:val="restart"/>
          </w:tcPr>
          <w:p>
            <w:pPr>
              <w:jc w:val="center"/>
              <w:ind w:left="645"/>
              <w:spacing w:after="0"/>
              <w:rPr>
                <w:sz w:val="20"/>
                <w:szCs w:val="20"/>
                <w:color w:val="auto"/>
              </w:rPr>
            </w:pPr>
            <w:r>
              <w:rPr>
                <w:rFonts w:ascii="Arial" w:cs="Arial" w:eastAsia="Arial" w:hAnsi="Arial"/>
                <w:sz w:val="17"/>
                <w:szCs w:val="17"/>
                <w:color w:val="0000FF"/>
                <w:w w:val="91"/>
              </w:rPr>
              <w:t>12/10/2012</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2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jc w:val="right"/>
              <w:ind w:right="6"/>
              <w:spacing w:after="0"/>
              <w:rPr>
                <w:sz w:val="20"/>
                <w:szCs w:val="20"/>
                <w:color w:val="auto"/>
              </w:rPr>
            </w:pPr>
            <w:r>
              <w:rPr>
                <w:rFonts w:ascii="Arial" w:cs="Arial" w:eastAsia="Arial" w:hAnsi="Arial"/>
                <w:sz w:val="17"/>
                <w:szCs w:val="17"/>
                <w:color w:val="0000FF"/>
              </w:rPr>
              <w:t>6,100</w:t>
            </w:r>
          </w:p>
        </w:tc>
        <w:tc>
          <w:tcPr>
            <w:tcW w:w="680" w:type="dxa"/>
            <w:vAlign w:val="bottom"/>
            <w:vMerge w:val="restart"/>
          </w:tcPr>
          <w:p>
            <w:pPr>
              <w:jc w:val="right"/>
              <w:ind w:right="150"/>
              <w:spacing w:after="0"/>
              <w:rPr>
                <w:sz w:val="20"/>
                <w:szCs w:val="20"/>
                <w:color w:val="auto"/>
              </w:rPr>
            </w:pPr>
            <w:r>
              <w:rPr>
                <w:rFonts w:ascii="Arial" w:cs="Arial" w:eastAsia="Arial" w:hAnsi="Arial"/>
                <w:sz w:val="17"/>
                <w:szCs w:val="17"/>
                <w:color w:val="0000FF"/>
              </w:rPr>
              <w:t>D</w:t>
            </w:r>
          </w:p>
        </w:tc>
        <w:tc>
          <w:tcPr>
            <w:tcW w:w="560" w:type="dxa"/>
            <w:vAlign w:val="bottom"/>
            <w:vMerge w:val="restart"/>
          </w:tcPr>
          <w:p>
            <w:pPr>
              <w:jc w:val="center"/>
              <w:ind w:left="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4,150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vMerge w:val="restart"/>
          </w:tcPr>
          <w:p>
            <w:pPr>
              <w:jc w:val="center"/>
              <w:ind w:left="645"/>
              <w:spacing w:after="0"/>
              <w:rPr>
                <w:sz w:val="20"/>
                <w:szCs w:val="20"/>
                <w:color w:val="auto"/>
              </w:rPr>
            </w:pPr>
            <w:r>
              <w:rPr>
                <w:rFonts w:ascii="Arial" w:cs="Arial" w:eastAsia="Arial" w:hAnsi="Arial"/>
                <w:sz w:val="17"/>
                <w:szCs w:val="17"/>
                <w:color w:val="0000FF"/>
                <w:w w:val="91"/>
              </w:rPr>
              <w:t>12/17/2012</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2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jc w:val="right"/>
              <w:ind w:right="6"/>
              <w:spacing w:after="0"/>
              <w:rPr>
                <w:sz w:val="20"/>
                <w:szCs w:val="20"/>
                <w:color w:val="auto"/>
              </w:rPr>
            </w:pPr>
            <w:r>
              <w:rPr>
                <w:rFonts w:ascii="Arial" w:cs="Arial" w:eastAsia="Arial" w:hAnsi="Arial"/>
                <w:sz w:val="17"/>
                <w:szCs w:val="17"/>
                <w:color w:val="0000FF"/>
              </w:rPr>
              <w:t>3,400</w:t>
            </w:r>
          </w:p>
        </w:tc>
        <w:tc>
          <w:tcPr>
            <w:tcW w:w="680" w:type="dxa"/>
            <w:vAlign w:val="bottom"/>
            <w:vMerge w:val="restart"/>
          </w:tcPr>
          <w:p>
            <w:pPr>
              <w:jc w:val="right"/>
              <w:ind w:right="150"/>
              <w:spacing w:after="0"/>
              <w:rPr>
                <w:sz w:val="20"/>
                <w:szCs w:val="20"/>
                <w:color w:val="auto"/>
              </w:rPr>
            </w:pPr>
            <w:r>
              <w:rPr>
                <w:rFonts w:ascii="Arial" w:cs="Arial" w:eastAsia="Arial" w:hAnsi="Arial"/>
                <w:sz w:val="17"/>
                <w:szCs w:val="17"/>
                <w:color w:val="0000FF"/>
              </w:rPr>
              <w:t>D</w:t>
            </w:r>
          </w:p>
        </w:tc>
        <w:tc>
          <w:tcPr>
            <w:tcW w:w="560" w:type="dxa"/>
            <w:vAlign w:val="bottom"/>
            <w:vMerge w:val="restart"/>
          </w:tcPr>
          <w:p>
            <w:pPr>
              <w:jc w:val="center"/>
              <w:ind w:left="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750</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5,560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right"/>
              <w:ind w:righ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2"/>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w w:val="92"/>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tcPr>
          <w:p>
            <w:pPr>
              <w:jc w:val="right"/>
              <w:ind w:right="26"/>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66"/>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1,850</w:t>
            </w:r>
          </w:p>
        </w:tc>
        <w:tc>
          <w:tcPr>
            <w:tcW w:w="60" w:type="dxa"/>
            <w:vAlign w:val="bottom"/>
          </w:tcPr>
          <w:p>
            <w:pPr>
              <w:spacing w:after="0"/>
              <w:rPr>
                <w:sz w:val="12"/>
                <w:szCs w:val="12"/>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20.32</w:t>
            </w: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12/17/2012</w:t>
            </w:r>
          </w:p>
        </w:tc>
        <w:tc>
          <w:tcPr>
            <w:tcW w:w="1140" w:type="dxa"/>
            <w:vAlign w:val="bottom"/>
          </w:tcPr>
          <w:p>
            <w:pPr>
              <w:spacing w:after="0"/>
              <w:rPr>
                <w:sz w:val="5"/>
                <w:szCs w:val="5"/>
                <w:color w:val="auto"/>
              </w:rPr>
            </w:pPr>
          </w:p>
        </w:tc>
        <w:tc>
          <w:tcPr>
            <w:tcW w:w="76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620" w:type="dxa"/>
            <w:vAlign w:val="bottom"/>
          </w:tcPr>
          <w:p>
            <w:pPr>
              <w:spacing w:after="0"/>
              <w:rPr>
                <w:sz w:val="5"/>
                <w:szCs w:val="5"/>
                <w:color w:val="auto"/>
              </w:rPr>
            </w:pPr>
          </w:p>
        </w:tc>
        <w:tc>
          <w:tcPr>
            <w:tcW w:w="42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1,850</w:t>
            </w:r>
          </w:p>
        </w:tc>
        <w:tc>
          <w:tcPr>
            <w:tcW w:w="5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restart"/>
          </w:tcPr>
          <w:p>
            <w:pPr>
              <w:jc w:val="right"/>
              <w:ind w:right="6"/>
              <w:spacing w:after="0" w:line="146" w:lineRule="exact"/>
              <w:rPr>
                <w:sz w:val="20"/>
                <w:szCs w:val="20"/>
                <w:color w:val="auto"/>
              </w:rPr>
            </w:pPr>
            <w:r>
              <w:rPr>
                <w:rFonts w:ascii="Arial" w:cs="Arial" w:eastAsia="Arial" w:hAnsi="Arial"/>
                <w:sz w:val="13"/>
                <w:szCs w:val="13"/>
                <w:color w:val="0000FF"/>
                <w:w w:val="95"/>
              </w:rPr>
              <w:t>12/18/2016</w:t>
            </w: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ind w:left="280"/>
              <w:spacing w:after="0" w:line="146" w:lineRule="exact"/>
              <w:rPr>
                <w:sz w:val="20"/>
                <w:szCs w:val="20"/>
                <w:color w:val="auto"/>
              </w:rPr>
            </w:pPr>
            <w:r>
              <w:rPr>
                <w:rFonts w:ascii="Arial" w:cs="Arial" w:eastAsia="Arial" w:hAnsi="Arial"/>
                <w:sz w:val="13"/>
                <w:szCs w:val="13"/>
                <w:color w:val="0000FF"/>
                <w:w w:val="92"/>
              </w:rPr>
              <w:t>3,071</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21.25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12/14/2012</w:t>
            </w:r>
          </w:p>
        </w:tc>
        <w:tc>
          <w:tcPr>
            <w:tcW w:w="114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20" w:type="dxa"/>
            <w:vAlign w:val="bottom"/>
          </w:tcPr>
          <w:p>
            <w:pPr>
              <w:ind w:left="140"/>
              <w:spacing w:after="0"/>
              <w:rPr>
                <w:sz w:val="20"/>
                <w:szCs w:val="20"/>
                <w:color w:val="auto"/>
              </w:rPr>
            </w:pPr>
            <w:r>
              <w:rPr>
                <w:rFonts w:ascii="Arial" w:cs="Arial" w:eastAsia="Arial" w:hAnsi="Arial"/>
                <w:sz w:val="13"/>
                <w:szCs w:val="13"/>
                <w:color w:val="0000FF"/>
              </w:rPr>
              <w:t>56,250</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008000"/>
              </w:rPr>
              <w:t>(6)</w:t>
            </w:r>
          </w:p>
        </w:tc>
        <w:tc>
          <w:tcPr>
            <w:tcW w:w="320" w:type="dxa"/>
            <w:vAlign w:val="bottom"/>
          </w:tcPr>
          <w:p>
            <w:pPr>
              <w:spacing w:after="0"/>
              <w:rPr>
                <w:sz w:val="18"/>
                <w:szCs w:val="18"/>
                <w:color w:val="auto"/>
              </w:rPr>
            </w:pPr>
          </w:p>
        </w:tc>
        <w:tc>
          <w:tcPr>
            <w:tcW w:w="720" w:type="dxa"/>
            <w:vAlign w:val="bottom"/>
          </w:tcPr>
          <w:p>
            <w:pPr>
              <w:jc w:val="right"/>
              <w:ind w:right="6"/>
              <w:spacing w:after="0"/>
              <w:rPr>
                <w:sz w:val="20"/>
                <w:szCs w:val="20"/>
                <w:color w:val="auto"/>
              </w:rPr>
            </w:pPr>
            <w:r>
              <w:rPr>
                <w:rFonts w:ascii="Arial" w:cs="Arial" w:eastAsia="Arial" w:hAnsi="Arial"/>
                <w:sz w:val="13"/>
                <w:szCs w:val="13"/>
                <w:color w:val="0000FF"/>
                <w:w w:val="95"/>
              </w:rPr>
              <w:t>12/18/2019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56,250</w:t>
            </w:r>
          </w:p>
        </w:tc>
        <w:tc>
          <w:tcPr>
            <w:tcW w:w="60" w:type="dxa"/>
            <w:vAlign w:val="bottom"/>
          </w:tcPr>
          <w:p>
            <w:pPr>
              <w:spacing w:after="0"/>
              <w:rPr>
                <w:sz w:val="18"/>
                <w:szCs w:val="18"/>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color w:val="008000"/>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79,670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jc w:val="right"/>
              <w:ind w:right="150"/>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179.13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12/14/2012</w:t>
            </w:r>
          </w:p>
        </w:tc>
        <w:tc>
          <w:tcPr>
            <w:tcW w:w="1140" w:type="dxa"/>
            <w:vAlign w:val="bottom"/>
          </w:tcPr>
          <w:p>
            <w:pPr>
              <w:spacing w:after="0"/>
              <w:rPr>
                <w:sz w:val="16"/>
                <w:szCs w:val="16"/>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20" w:type="dxa"/>
            <w:vAlign w:val="bottom"/>
          </w:tcPr>
          <w:p>
            <w:pPr>
              <w:ind w:left="140"/>
              <w:spacing w:after="0"/>
              <w:rPr>
                <w:sz w:val="20"/>
                <w:szCs w:val="20"/>
                <w:color w:val="auto"/>
              </w:rPr>
            </w:pPr>
            <w:r>
              <w:rPr>
                <w:rFonts w:ascii="Arial" w:cs="Arial" w:eastAsia="Arial" w:hAnsi="Arial"/>
                <w:sz w:val="13"/>
                <w:szCs w:val="13"/>
                <w:color w:val="0000FF"/>
              </w:rPr>
              <w:t>84,500</w:t>
            </w:r>
          </w:p>
        </w:tc>
        <w:tc>
          <w:tcPr>
            <w:tcW w:w="4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008000"/>
              </w:rPr>
              <w:t>(7)</w:t>
            </w:r>
          </w:p>
        </w:tc>
        <w:tc>
          <w:tcPr>
            <w:tcW w:w="320" w:type="dxa"/>
            <w:vAlign w:val="bottom"/>
          </w:tcPr>
          <w:p>
            <w:pPr>
              <w:spacing w:after="0"/>
              <w:rPr>
                <w:sz w:val="16"/>
                <w:szCs w:val="16"/>
                <w:color w:val="auto"/>
              </w:rPr>
            </w:pPr>
          </w:p>
        </w:tc>
        <w:tc>
          <w:tcPr>
            <w:tcW w:w="720" w:type="dxa"/>
            <w:vAlign w:val="bottom"/>
          </w:tcPr>
          <w:p>
            <w:pPr>
              <w:jc w:val="right"/>
              <w:ind w:right="6"/>
              <w:spacing w:after="0"/>
              <w:rPr>
                <w:sz w:val="20"/>
                <w:szCs w:val="20"/>
                <w:color w:val="auto"/>
              </w:rPr>
            </w:pPr>
            <w:r>
              <w:rPr>
                <w:rFonts w:ascii="Arial" w:cs="Arial" w:eastAsia="Arial" w:hAnsi="Arial"/>
                <w:sz w:val="13"/>
                <w:szCs w:val="13"/>
                <w:color w:val="0000FF"/>
                <w:w w:val="95"/>
              </w:rPr>
              <w:t>12/14/2022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line="194" w:lineRule="exact"/>
              <w:rPr>
                <w:sz w:val="20"/>
                <w:szCs w:val="20"/>
                <w:color w:val="auto"/>
              </w:rPr>
            </w:pPr>
            <w:r>
              <w:rPr>
                <w:rFonts w:ascii="Arial" w:cs="Arial" w:eastAsia="Arial" w:hAnsi="Arial"/>
                <w:sz w:val="17"/>
                <w:szCs w:val="17"/>
                <w:color w:val="0000FF"/>
                <w:w w:val="88"/>
              </w:rPr>
              <w:t>84,500</w:t>
            </w:r>
          </w:p>
        </w:tc>
        <w:tc>
          <w:tcPr>
            <w:tcW w:w="60" w:type="dxa"/>
            <w:vAlign w:val="bottom"/>
          </w:tcPr>
          <w:p>
            <w:pPr>
              <w:spacing w:after="0"/>
              <w:rPr>
                <w:sz w:val="16"/>
                <w:szCs w:val="16"/>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color w:val="008000"/>
              </w:rPr>
              <w:t>(5)</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84,500</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jc w:val="right"/>
              <w:ind w:right="15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4"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Gift of Common Stock to Charitable Foundation.</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Gift of Common Stock by reporting person to spouse.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ectPr>
          <w:pgSz w:w="11900" w:h="16855" w:orient="portrait"/>
          <w:cols w:equalWidth="0" w:num="1">
            <w:col w:w="11520"/>
          </w:cols>
          <w:pgMar w:left="240" w:top="224" w:right="139" w:bottom="0" w:gutter="0" w:footer="0" w:header="0"/>
          <w:type w:val="continuous"/>
        </w:sectPr>
      </w:pPr>
    </w:p>
    <w:bookmarkStart w:id="1" w:name="page2"/>
    <w:bookmarkEnd w:id="1"/>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49" w:lineRule="exact"/>
        <w:rPr>
          <w:rFonts w:ascii="Arial" w:cs="Arial" w:eastAsia="Arial" w:hAnsi="Arial"/>
          <w:sz w:val="13"/>
          <w:szCs w:val="13"/>
          <w:color w:val="008000"/>
        </w:rPr>
      </w:pPr>
    </w:p>
    <w:p>
      <w:pPr>
        <w:ind w:firstLine="6"/>
        <w:spacing w:after="0" w:line="299"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18, 2009, the reporting person was granted an option to purchase 56,250 shares of Common Stock. The option vests, partially or in full, on December 31, 2012, based on the extent to which the company satisfies certain performance criteria during the period ending December 31, 2012. The performance criteria have been met and the option will vest as to all 56,250 shares on December 31, 2012.</w:t>
      </w:r>
    </w:p>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Arial" w:cs="Arial" w:eastAsia="Arial" w:hAnsi="Arial"/>
                <w:sz w:val="17"/>
                <w:szCs w:val="17"/>
                <w:color w:val="0000FF"/>
                <w:w w:val="96"/>
              </w:rPr>
              <w:t>/s/**Murray A. Goldberg</w:t>
            </w:r>
          </w:p>
        </w:tc>
        <w:tc>
          <w:tcPr>
            <w:tcW w:w="34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12/18/2012</w:t>
            </w:r>
          </w:p>
        </w:tc>
      </w:tr>
      <w:tr>
        <w:trPr>
          <w:trHeight w:val="20"/>
        </w:trPr>
        <w:tc>
          <w:tcPr>
            <w:tcW w:w="1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460" w:firstLine="6"/>
        <w:spacing w:after="0" w:line="317"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20"/>
      </w:cols>
      <w:pgMar w:left="28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2019-12-18T10:54:38Z</dcterms:created>
  <dcterms:modified xsi:type="dcterms:W3CDTF">2019-12-18T10:54:38Z</dcterms:modified>
</cp:coreProperties>
</file>