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September 24, 2010</w:t>
      </w:r>
    </w:p>
    <w:p>
      <w:pPr>
        <w:spacing w:after="0" w:line="25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764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646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727646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____________________________</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9"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____________________________</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REGENERON PHARMACEUTICALS,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____________________________</w:t>
      </w:r>
    </w:p>
    <w:p>
      <w:pPr>
        <w:spacing w:after="0" w:line="253" w:lineRule="exact"/>
        <w:rPr>
          <w:sz w:val="24"/>
          <w:szCs w:val="24"/>
          <w:color w:val="auto"/>
        </w:rPr>
      </w:pPr>
    </w:p>
    <w:tbl>
      <w:tblPr>
        <w:tblLayout w:type="fixed"/>
        <w:tblInd w:w="2180" w:type="dxa"/>
        <w:tblCellMar>
          <w:top w:w="0" w:type="dxa"/>
          <w:left w:w="0" w:type="dxa"/>
          <w:bottom w:w="0" w:type="dxa"/>
          <w:right w:w="0" w:type="dxa"/>
        </w:tblCellMar>
      </w:tblPr>
      <w:tr>
        <w:trPr>
          <w:trHeight w:val="228"/>
        </w:trPr>
        <w:tc>
          <w:tcPr>
            <w:tcW w:w="5900" w:type="dxa"/>
            <w:vAlign w:val="bottom"/>
          </w:tcPr>
          <w:p>
            <w:pPr>
              <w:jc w:val="center"/>
              <w:ind w:right="3712"/>
              <w:spacing w:after="0"/>
              <w:rPr>
                <w:sz w:val="20"/>
                <w:szCs w:val="20"/>
                <w:color w:val="auto"/>
              </w:rPr>
            </w:pPr>
            <w:r>
              <w:rPr>
                <w:rFonts w:ascii="Arial" w:cs="Arial" w:eastAsia="Arial" w:hAnsi="Arial"/>
                <w:sz w:val="18"/>
                <w:szCs w:val="18"/>
                <w:b w:val="1"/>
                <w:bCs w:val="1"/>
                <w:color w:val="auto"/>
                <w:w w:val="90"/>
              </w:rPr>
              <w:t>New York</w:t>
            </w:r>
          </w:p>
        </w:tc>
        <w:tc>
          <w:tcPr>
            <w:tcW w:w="1520" w:type="dxa"/>
            <w:vAlign w:val="bottom"/>
          </w:tcPr>
          <w:p>
            <w:pPr>
              <w:jc w:val="center"/>
              <w:ind w:left="112"/>
              <w:spacing w:after="0"/>
              <w:rPr>
                <w:sz w:val="20"/>
                <w:szCs w:val="20"/>
                <w:color w:val="auto"/>
              </w:rPr>
            </w:pPr>
            <w:r>
              <w:rPr>
                <w:rFonts w:ascii="Arial" w:cs="Arial" w:eastAsia="Arial" w:hAnsi="Arial"/>
                <w:sz w:val="18"/>
                <w:szCs w:val="18"/>
                <w:b w:val="1"/>
                <w:bCs w:val="1"/>
                <w:color w:val="auto"/>
                <w:w w:val="87"/>
              </w:rPr>
              <w:t>13-3444607</w:t>
            </w:r>
          </w:p>
        </w:tc>
      </w:tr>
      <w:tr>
        <w:trPr>
          <w:trHeight w:val="243"/>
        </w:trPr>
        <w:tc>
          <w:tcPr>
            <w:tcW w:w="5900" w:type="dxa"/>
            <w:vAlign w:val="bottom"/>
          </w:tcPr>
          <w:p>
            <w:pPr>
              <w:jc w:val="center"/>
              <w:ind w:right="3692"/>
              <w:spacing w:after="0"/>
              <w:rPr>
                <w:sz w:val="20"/>
                <w:szCs w:val="20"/>
                <w:color w:val="auto"/>
              </w:rPr>
            </w:pPr>
            <w:r>
              <w:rPr>
                <w:rFonts w:ascii="Arial" w:cs="Arial" w:eastAsia="Arial" w:hAnsi="Arial"/>
                <w:sz w:val="18"/>
                <w:szCs w:val="18"/>
                <w:color w:val="auto"/>
                <w:w w:val="90"/>
              </w:rPr>
              <w:t>(State or other jurisdiction of</w:t>
            </w:r>
          </w:p>
        </w:tc>
        <w:tc>
          <w:tcPr>
            <w:tcW w:w="1520" w:type="dxa"/>
            <w:vAlign w:val="bottom"/>
          </w:tcPr>
          <w:p>
            <w:pPr>
              <w:jc w:val="center"/>
              <w:ind w:left="112"/>
              <w:spacing w:after="0"/>
              <w:rPr>
                <w:sz w:val="20"/>
                <w:szCs w:val="20"/>
                <w:color w:val="auto"/>
              </w:rPr>
            </w:pPr>
            <w:r>
              <w:rPr>
                <w:rFonts w:ascii="Arial" w:cs="Arial" w:eastAsia="Arial" w:hAnsi="Arial"/>
                <w:sz w:val="18"/>
                <w:szCs w:val="18"/>
                <w:color w:val="auto"/>
                <w:w w:val="90"/>
              </w:rPr>
              <w:t>(I.R.S. Employer</w:t>
            </w:r>
          </w:p>
        </w:tc>
      </w:tr>
      <w:tr>
        <w:trPr>
          <w:trHeight w:val="243"/>
        </w:trPr>
        <w:tc>
          <w:tcPr>
            <w:tcW w:w="5900" w:type="dxa"/>
            <w:vAlign w:val="bottom"/>
          </w:tcPr>
          <w:p>
            <w:pPr>
              <w:jc w:val="center"/>
              <w:ind w:right="3692"/>
              <w:spacing w:after="0"/>
              <w:rPr>
                <w:sz w:val="20"/>
                <w:szCs w:val="20"/>
                <w:color w:val="auto"/>
              </w:rPr>
            </w:pPr>
            <w:r>
              <w:rPr>
                <w:rFonts w:ascii="Arial" w:cs="Arial" w:eastAsia="Arial" w:hAnsi="Arial"/>
                <w:sz w:val="18"/>
                <w:szCs w:val="18"/>
                <w:color w:val="auto"/>
                <w:w w:val="90"/>
              </w:rPr>
              <w:t>incorporation or organization)</w:t>
            </w:r>
          </w:p>
        </w:tc>
        <w:tc>
          <w:tcPr>
            <w:tcW w:w="1520" w:type="dxa"/>
            <w:vAlign w:val="bottom"/>
          </w:tcPr>
          <w:p>
            <w:pPr>
              <w:jc w:val="center"/>
              <w:ind w:left="112"/>
              <w:spacing w:after="0"/>
              <w:rPr>
                <w:sz w:val="20"/>
                <w:szCs w:val="20"/>
                <w:color w:val="auto"/>
              </w:rPr>
            </w:pPr>
            <w:r>
              <w:rPr>
                <w:rFonts w:ascii="Arial" w:cs="Arial" w:eastAsia="Arial" w:hAnsi="Arial"/>
                <w:sz w:val="18"/>
                <w:szCs w:val="18"/>
                <w:color w:val="auto"/>
                <w:w w:val="94"/>
              </w:rPr>
              <w:t>Identification No.)</w:t>
            </w:r>
          </w:p>
        </w:tc>
      </w:tr>
      <w:tr>
        <w:trPr>
          <w:trHeight w:val="460"/>
        </w:trPr>
        <w:tc>
          <w:tcPr>
            <w:tcW w:w="5900" w:type="dxa"/>
            <w:vAlign w:val="bottom"/>
          </w:tcPr>
          <w:p>
            <w:pPr>
              <w:jc w:val="center"/>
              <w:ind w:left="1072"/>
              <w:spacing w:after="0"/>
              <w:rPr>
                <w:sz w:val="20"/>
                <w:szCs w:val="20"/>
                <w:color w:val="auto"/>
              </w:rPr>
            </w:pPr>
            <w:r>
              <w:rPr>
                <w:rFonts w:ascii="Arial" w:cs="Arial" w:eastAsia="Arial" w:hAnsi="Arial"/>
                <w:sz w:val="18"/>
                <w:szCs w:val="18"/>
                <w:b w:val="1"/>
                <w:bCs w:val="1"/>
                <w:color w:val="auto"/>
                <w:w w:val="92"/>
              </w:rPr>
              <w:t>777 Old Saw Mill River Road</w:t>
            </w:r>
          </w:p>
        </w:tc>
        <w:tc>
          <w:tcPr>
            <w:tcW w:w="1520" w:type="dxa"/>
            <w:vAlign w:val="bottom"/>
          </w:tcPr>
          <w:p>
            <w:pPr>
              <w:spacing w:after="0"/>
              <w:rPr>
                <w:sz w:val="24"/>
                <w:szCs w:val="24"/>
                <w:color w:val="auto"/>
              </w:rPr>
            </w:pPr>
          </w:p>
        </w:tc>
      </w:tr>
      <w:tr>
        <w:trPr>
          <w:trHeight w:val="222"/>
        </w:trPr>
        <w:tc>
          <w:tcPr>
            <w:tcW w:w="5900" w:type="dxa"/>
            <w:vAlign w:val="bottom"/>
          </w:tcPr>
          <w:p>
            <w:pPr>
              <w:jc w:val="center"/>
              <w:ind w:left="1092"/>
              <w:spacing w:after="0"/>
              <w:rPr>
                <w:sz w:val="20"/>
                <w:szCs w:val="20"/>
                <w:color w:val="auto"/>
              </w:rPr>
            </w:pPr>
            <w:r>
              <w:rPr>
                <w:rFonts w:ascii="Arial" w:cs="Arial" w:eastAsia="Arial" w:hAnsi="Arial"/>
                <w:sz w:val="18"/>
                <w:szCs w:val="18"/>
                <w:b w:val="1"/>
                <w:bCs w:val="1"/>
                <w:color w:val="auto"/>
                <w:w w:val="91"/>
              </w:rPr>
              <w:t>Tarrytown, NY 10591-6707</w:t>
            </w:r>
          </w:p>
        </w:tc>
        <w:tc>
          <w:tcPr>
            <w:tcW w:w="1520" w:type="dxa"/>
            <w:vAlign w:val="bottom"/>
          </w:tcPr>
          <w:p>
            <w:pPr>
              <w:spacing w:after="0"/>
              <w:rPr>
                <w:sz w:val="19"/>
                <w:szCs w:val="19"/>
                <w:color w:val="auto"/>
              </w:rPr>
            </w:pPr>
          </w:p>
        </w:tc>
      </w:tr>
      <w:tr>
        <w:trPr>
          <w:trHeight w:val="222"/>
        </w:trPr>
        <w:tc>
          <w:tcPr>
            <w:tcW w:w="5900" w:type="dxa"/>
            <w:vAlign w:val="bottom"/>
          </w:tcPr>
          <w:p>
            <w:pPr>
              <w:jc w:val="center"/>
              <w:ind w:left="1072"/>
              <w:spacing w:after="0"/>
              <w:rPr>
                <w:sz w:val="20"/>
                <w:szCs w:val="20"/>
                <w:color w:val="auto"/>
              </w:rPr>
            </w:pPr>
            <w:r>
              <w:rPr>
                <w:rFonts w:ascii="Arial" w:cs="Arial" w:eastAsia="Arial" w:hAnsi="Arial"/>
                <w:sz w:val="18"/>
                <w:szCs w:val="18"/>
                <w:color w:val="auto"/>
                <w:w w:val="90"/>
              </w:rPr>
              <w:t>(Address of principal executive office) (zip code)</w:t>
            </w:r>
          </w:p>
        </w:tc>
        <w:tc>
          <w:tcPr>
            <w:tcW w:w="1520" w:type="dxa"/>
            <w:vAlign w:val="bottom"/>
          </w:tcPr>
          <w:p>
            <w:pPr>
              <w:spacing w:after="0"/>
              <w:rPr>
                <w:sz w:val="19"/>
                <w:szCs w:val="19"/>
                <w:color w:val="auto"/>
              </w:rPr>
            </w:pPr>
          </w:p>
        </w:tc>
      </w:tr>
      <w:tr>
        <w:trPr>
          <w:trHeight w:val="447"/>
        </w:trPr>
        <w:tc>
          <w:tcPr>
            <w:tcW w:w="5900" w:type="dxa"/>
            <w:vAlign w:val="bottom"/>
          </w:tcPr>
          <w:p>
            <w:pPr>
              <w:jc w:val="center"/>
              <w:ind w:left="1092"/>
              <w:spacing w:after="0"/>
              <w:rPr>
                <w:sz w:val="20"/>
                <w:szCs w:val="20"/>
                <w:color w:val="auto"/>
              </w:rPr>
            </w:pPr>
            <w:r>
              <w:rPr>
                <w:rFonts w:ascii="Arial" w:cs="Arial" w:eastAsia="Arial" w:hAnsi="Arial"/>
                <w:sz w:val="18"/>
                <w:szCs w:val="18"/>
                <w:b w:val="1"/>
                <w:bCs w:val="1"/>
                <w:color w:val="auto"/>
                <w:w w:val="87"/>
              </w:rPr>
              <w:t>Regeneron Pharmaceuticals, Inc.</w:t>
            </w:r>
          </w:p>
        </w:tc>
        <w:tc>
          <w:tcPr>
            <w:tcW w:w="1520" w:type="dxa"/>
            <w:vAlign w:val="bottom"/>
          </w:tcPr>
          <w:p>
            <w:pPr>
              <w:spacing w:after="0"/>
              <w:rPr>
                <w:sz w:val="24"/>
                <w:szCs w:val="24"/>
                <w:color w:val="auto"/>
              </w:rPr>
            </w:pPr>
          </w:p>
        </w:tc>
      </w:tr>
      <w:tr>
        <w:trPr>
          <w:trHeight w:val="222"/>
        </w:trPr>
        <w:tc>
          <w:tcPr>
            <w:tcW w:w="5900" w:type="dxa"/>
            <w:vAlign w:val="bottom"/>
          </w:tcPr>
          <w:p>
            <w:pPr>
              <w:jc w:val="center"/>
              <w:ind w:left="1092"/>
              <w:spacing w:after="0"/>
              <w:rPr>
                <w:sz w:val="20"/>
                <w:szCs w:val="20"/>
                <w:color w:val="auto"/>
              </w:rPr>
            </w:pPr>
            <w:r>
              <w:rPr>
                <w:rFonts w:ascii="Arial" w:cs="Arial" w:eastAsia="Arial" w:hAnsi="Arial"/>
                <w:sz w:val="18"/>
                <w:szCs w:val="18"/>
                <w:b w:val="1"/>
                <w:bCs w:val="1"/>
                <w:color w:val="auto"/>
                <w:w w:val="88"/>
              </w:rPr>
              <w:t>Amended and Restated 2000 Long-Term Incentive Plan</w:t>
            </w:r>
          </w:p>
        </w:tc>
        <w:tc>
          <w:tcPr>
            <w:tcW w:w="1520" w:type="dxa"/>
            <w:vAlign w:val="bottom"/>
          </w:tcPr>
          <w:p>
            <w:pPr>
              <w:spacing w:after="0"/>
              <w:rPr>
                <w:sz w:val="19"/>
                <w:szCs w:val="19"/>
                <w:color w:val="auto"/>
              </w:rPr>
            </w:pPr>
          </w:p>
        </w:tc>
      </w:tr>
      <w:tr>
        <w:trPr>
          <w:trHeight w:val="216"/>
        </w:trPr>
        <w:tc>
          <w:tcPr>
            <w:tcW w:w="5900" w:type="dxa"/>
            <w:vAlign w:val="bottom"/>
          </w:tcPr>
          <w:p>
            <w:pPr>
              <w:jc w:val="center"/>
              <w:ind w:left="1092"/>
              <w:spacing w:after="0"/>
              <w:rPr>
                <w:sz w:val="20"/>
                <w:szCs w:val="20"/>
                <w:color w:val="auto"/>
              </w:rPr>
            </w:pPr>
            <w:r>
              <w:rPr>
                <w:rFonts w:ascii="Arial" w:cs="Arial" w:eastAsia="Arial" w:hAnsi="Arial"/>
                <w:sz w:val="18"/>
                <w:szCs w:val="18"/>
                <w:color w:val="auto"/>
                <w:w w:val="93"/>
              </w:rPr>
              <w:t>(Full title of the plan)</w:t>
            </w:r>
          </w:p>
        </w:tc>
        <w:tc>
          <w:tcPr>
            <w:tcW w:w="1520" w:type="dxa"/>
            <w:vAlign w:val="bottom"/>
          </w:tcPr>
          <w:p>
            <w:pPr>
              <w:spacing w:after="0"/>
              <w:rPr>
                <w:sz w:val="18"/>
                <w:szCs w:val="18"/>
                <w:color w:val="auto"/>
              </w:rPr>
            </w:pPr>
          </w:p>
        </w:tc>
      </w:tr>
      <w:tr>
        <w:trPr>
          <w:trHeight w:val="216"/>
        </w:trPr>
        <w:tc>
          <w:tcPr>
            <w:tcW w:w="5900" w:type="dxa"/>
            <w:vAlign w:val="bottom"/>
          </w:tcPr>
          <w:p>
            <w:pPr>
              <w:jc w:val="center"/>
              <w:ind w:left="1072"/>
              <w:spacing w:after="0"/>
              <w:rPr>
                <w:sz w:val="20"/>
                <w:szCs w:val="20"/>
                <w:color w:val="auto"/>
              </w:rPr>
            </w:pPr>
            <w:r>
              <w:rPr>
                <w:rFonts w:ascii="Arial" w:cs="Arial" w:eastAsia="Arial" w:hAnsi="Arial"/>
                <w:sz w:val="18"/>
                <w:szCs w:val="18"/>
                <w:color w:val="auto"/>
                <w:w w:val="87"/>
              </w:rPr>
              <w:t>____________________________</w:t>
            </w:r>
          </w:p>
        </w:tc>
        <w:tc>
          <w:tcPr>
            <w:tcW w:w="1520" w:type="dxa"/>
            <w:vAlign w:val="bottom"/>
          </w:tcPr>
          <w:p>
            <w:pPr>
              <w:spacing w:after="0"/>
              <w:rPr>
                <w:sz w:val="18"/>
                <w:szCs w:val="18"/>
                <w:color w:val="auto"/>
              </w:rPr>
            </w:pPr>
          </w:p>
        </w:tc>
      </w:tr>
      <w:tr>
        <w:trPr>
          <w:trHeight w:val="216"/>
        </w:trPr>
        <w:tc>
          <w:tcPr>
            <w:tcW w:w="5900" w:type="dxa"/>
            <w:vAlign w:val="bottom"/>
          </w:tcPr>
          <w:p>
            <w:pPr>
              <w:jc w:val="center"/>
              <w:ind w:left="1072"/>
              <w:spacing w:after="0"/>
              <w:rPr>
                <w:sz w:val="20"/>
                <w:szCs w:val="20"/>
                <w:color w:val="auto"/>
              </w:rPr>
            </w:pPr>
            <w:r>
              <w:rPr>
                <w:rFonts w:ascii="Arial" w:cs="Arial" w:eastAsia="Arial" w:hAnsi="Arial"/>
                <w:sz w:val="18"/>
                <w:szCs w:val="18"/>
                <w:color w:val="auto"/>
                <w:w w:val="90"/>
              </w:rPr>
              <w:t>Stuart Kolinski, Esq.</w:t>
            </w:r>
          </w:p>
        </w:tc>
        <w:tc>
          <w:tcPr>
            <w:tcW w:w="1520" w:type="dxa"/>
            <w:vAlign w:val="bottom"/>
          </w:tcPr>
          <w:p>
            <w:pPr>
              <w:spacing w:after="0"/>
              <w:rPr>
                <w:sz w:val="18"/>
                <w:szCs w:val="18"/>
                <w:color w:val="auto"/>
              </w:rPr>
            </w:pPr>
          </w:p>
        </w:tc>
      </w:tr>
      <w:tr>
        <w:trPr>
          <w:trHeight w:val="216"/>
        </w:trPr>
        <w:tc>
          <w:tcPr>
            <w:tcW w:w="5900" w:type="dxa"/>
            <w:vAlign w:val="bottom"/>
          </w:tcPr>
          <w:p>
            <w:pPr>
              <w:jc w:val="center"/>
              <w:ind w:left="1072"/>
              <w:spacing w:after="0"/>
              <w:rPr>
                <w:sz w:val="20"/>
                <w:szCs w:val="20"/>
                <w:color w:val="auto"/>
              </w:rPr>
            </w:pPr>
            <w:r>
              <w:rPr>
                <w:rFonts w:ascii="Arial" w:cs="Arial" w:eastAsia="Arial" w:hAnsi="Arial"/>
                <w:sz w:val="18"/>
                <w:szCs w:val="18"/>
                <w:color w:val="auto"/>
                <w:w w:val="86"/>
              </w:rPr>
              <w:t>Senior Vice President, General Counsel and Secretary</w:t>
            </w:r>
          </w:p>
        </w:tc>
        <w:tc>
          <w:tcPr>
            <w:tcW w:w="1520" w:type="dxa"/>
            <w:vAlign w:val="bottom"/>
          </w:tcPr>
          <w:p>
            <w:pPr>
              <w:spacing w:after="0"/>
              <w:rPr>
                <w:sz w:val="18"/>
                <w:szCs w:val="18"/>
                <w:color w:val="auto"/>
              </w:rPr>
            </w:pPr>
          </w:p>
        </w:tc>
      </w:tr>
      <w:tr>
        <w:trPr>
          <w:trHeight w:val="216"/>
        </w:trPr>
        <w:tc>
          <w:tcPr>
            <w:tcW w:w="5900" w:type="dxa"/>
            <w:vAlign w:val="bottom"/>
          </w:tcPr>
          <w:p>
            <w:pPr>
              <w:jc w:val="center"/>
              <w:ind w:left="1072"/>
              <w:spacing w:after="0"/>
              <w:rPr>
                <w:sz w:val="20"/>
                <w:szCs w:val="20"/>
                <w:color w:val="auto"/>
              </w:rPr>
            </w:pPr>
            <w:r>
              <w:rPr>
                <w:rFonts w:ascii="Arial" w:cs="Arial" w:eastAsia="Arial" w:hAnsi="Arial"/>
                <w:sz w:val="18"/>
                <w:szCs w:val="18"/>
                <w:color w:val="auto"/>
                <w:w w:val="86"/>
              </w:rPr>
              <w:t>Regeneron Pharmaceuticals, Inc.</w:t>
            </w:r>
          </w:p>
        </w:tc>
        <w:tc>
          <w:tcPr>
            <w:tcW w:w="1520" w:type="dxa"/>
            <w:vAlign w:val="bottom"/>
          </w:tcPr>
          <w:p>
            <w:pPr>
              <w:spacing w:after="0"/>
              <w:rPr>
                <w:sz w:val="18"/>
                <w:szCs w:val="18"/>
                <w:color w:val="auto"/>
              </w:rPr>
            </w:pPr>
          </w:p>
        </w:tc>
      </w:tr>
      <w:tr>
        <w:trPr>
          <w:trHeight w:val="216"/>
        </w:trPr>
        <w:tc>
          <w:tcPr>
            <w:tcW w:w="5900" w:type="dxa"/>
            <w:vAlign w:val="bottom"/>
          </w:tcPr>
          <w:p>
            <w:pPr>
              <w:jc w:val="center"/>
              <w:ind w:left="1092"/>
              <w:spacing w:after="0"/>
              <w:rPr>
                <w:sz w:val="20"/>
                <w:szCs w:val="20"/>
                <w:color w:val="auto"/>
              </w:rPr>
            </w:pPr>
            <w:r>
              <w:rPr>
                <w:rFonts w:ascii="Arial" w:cs="Arial" w:eastAsia="Arial" w:hAnsi="Arial"/>
                <w:sz w:val="18"/>
                <w:szCs w:val="18"/>
                <w:color w:val="auto"/>
                <w:w w:val="92"/>
              </w:rPr>
              <w:t>777 Old Saw Mill River Road</w:t>
            </w:r>
          </w:p>
        </w:tc>
        <w:tc>
          <w:tcPr>
            <w:tcW w:w="1520" w:type="dxa"/>
            <w:vAlign w:val="bottom"/>
          </w:tcPr>
          <w:p>
            <w:pPr>
              <w:spacing w:after="0"/>
              <w:rPr>
                <w:sz w:val="18"/>
                <w:szCs w:val="18"/>
                <w:color w:val="auto"/>
              </w:rPr>
            </w:pPr>
          </w:p>
        </w:tc>
      </w:tr>
      <w:tr>
        <w:trPr>
          <w:trHeight w:val="216"/>
        </w:trPr>
        <w:tc>
          <w:tcPr>
            <w:tcW w:w="5900" w:type="dxa"/>
            <w:vAlign w:val="bottom"/>
          </w:tcPr>
          <w:p>
            <w:pPr>
              <w:jc w:val="center"/>
              <w:ind w:left="1092"/>
              <w:spacing w:after="0"/>
              <w:rPr>
                <w:sz w:val="20"/>
                <w:szCs w:val="20"/>
                <w:color w:val="auto"/>
              </w:rPr>
            </w:pPr>
            <w:r>
              <w:rPr>
                <w:rFonts w:ascii="Arial" w:cs="Arial" w:eastAsia="Arial" w:hAnsi="Arial"/>
                <w:sz w:val="18"/>
                <w:szCs w:val="18"/>
                <w:color w:val="auto"/>
                <w:w w:val="90"/>
              </w:rPr>
              <w:t>Tarrytown, NY 10591-6707</w:t>
            </w:r>
          </w:p>
        </w:tc>
        <w:tc>
          <w:tcPr>
            <w:tcW w:w="1520" w:type="dxa"/>
            <w:vAlign w:val="bottom"/>
          </w:tcPr>
          <w:p>
            <w:pPr>
              <w:spacing w:after="0"/>
              <w:rPr>
                <w:sz w:val="18"/>
                <w:szCs w:val="18"/>
                <w:color w:val="auto"/>
              </w:rPr>
            </w:pPr>
          </w:p>
        </w:tc>
      </w:tr>
      <w:tr>
        <w:trPr>
          <w:trHeight w:val="222"/>
        </w:trPr>
        <w:tc>
          <w:tcPr>
            <w:tcW w:w="5900" w:type="dxa"/>
            <w:vAlign w:val="bottom"/>
          </w:tcPr>
          <w:p>
            <w:pPr>
              <w:jc w:val="center"/>
              <w:ind w:left="1092"/>
              <w:spacing w:after="0"/>
              <w:rPr>
                <w:sz w:val="20"/>
                <w:szCs w:val="20"/>
                <w:color w:val="auto"/>
              </w:rPr>
            </w:pPr>
            <w:r>
              <w:rPr>
                <w:rFonts w:ascii="Arial" w:cs="Arial" w:eastAsia="Arial" w:hAnsi="Arial"/>
                <w:sz w:val="18"/>
                <w:szCs w:val="18"/>
                <w:color w:val="auto"/>
                <w:w w:val="86"/>
              </w:rPr>
              <w:t>(Name and address of agent for service)</w:t>
            </w:r>
          </w:p>
        </w:tc>
        <w:tc>
          <w:tcPr>
            <w:tcW w:w="1520" w:type="dxa"/>
            <w:vAlign w:val="bottom"/>
          </w:tcPr>
          <w:p>
            <w:pPr>
              <w:spacing w:after="0"/>
              <w:rPr>
                <w:sz w:val="19"/>
                <w:szCs w:val="19"/>
                <w:color w:val="auto"/>
              </w:rPr>
            </w:pPr>
          </w:p>
        </w:tc>
      </w:tr>
      <w:tr>
        <w:trPr>
          <w:trHeight w:val="453"/>
        </w:trPr>
        <w:tc>
          <w:tcPr>
            <w:tcW w:w="5900" w:type="dxa"/>
            <w:vAlign w:val="bottom"/>
          </w:tcPr>
          <w:p>
            <w:pPr>
              <w:jc w:val="center"/>
              <w:ind w:left="1072"/>
              <w:spacing w:after="0"/>
              <w:rPr>
                <w:sz w:val="20"/>
                <w:szCs w:val="20"/>
                <w:color w:val="auto"/>
              </w:rPr>
            </w:pPr>
            <w:r>
              <w:rPr>
                <w:rFonts w:ascii="Arial" w:cs="Arial" w:eastAsia="Arial" w:hAnsi="Arial"/>
                <w:sz w:val="18"/>
                <w:szCs w:val="18"/>
                <w:color w:val="auto"/>
                <w:w w:val="89"/>
              </w:rPr>
              <w:t>(914) 347-7000</w:t>
            </w:r>
          </w:p>
        </w:tc>
        <w:tc>
          <w:tcPr>
            <w:tcW w:w="1520" w:type="dxa"/>
            <w:vAlign w:val="bottom"/>
          </w:tcPr>
          <w:p>
            <w:pPr>
              <w:spacing w:after="0"/>
              <w:rPr>
                <w:sz w:val="24"/>
                <w:szCs w:val="24"/>
                <w:color w:val="auto"/>
              </w:rPr>
            </w:pPr>
          </w:p>
        </w:tc>
      </w:tr>
      <w:tr>
        <w:trPr>
          <w:trHeight w:val="222"/>
        </w:trPr>
        <w:tc>
          <w:tcPr>
            <w:tcW w:w="5900" w:type="dxa"/>
            <w:vAlign w:val="bottom"/>
          </w:tcPr>
          <w:p>
            <w:pPr>
              <w:jc w:val="center"/>
              <w:ind w:left="1072"/>
              <w:spacing w:after="0"/>
              <w:rPr>
                <w:sz w:val="20"/>
                <w:szCs w:val="20"/>
                <w:color w:val="auto"/>
              </w:rPr>
            </w:pPr>
            <w:r>
              <w:rPr>
                <w:rFonts w:ascii="Arial" w:cs="Arial" w:eastAsia="Arial" w:hAnsi="Arial"/>
                <w:sz w:val="18"/>
                <w:szCs w:val="18"/>
                <w:color w:val="auto"/>
                <w:w w:val="88"/>
              </w:rPr>
              <w:t>(Telephone number, including area code, of agent for service)</w:t>
            </w:r>
          </w:p>
        </w:tc>
        <w:tc>
          <w:tcPr>
            <w:tcW w:w="1520" w:type="dxa"/>
            <w:vAlign w:val="bottom"/>
          </w:tcPr>
          <w:p>
            <w:pPr>
              <w:spacing w:after="0"/>
              <w:rPr>
                <w:sz w:val="19"/>
                <w:szCs w:val="19"/>
                <w:color w:val="auto"/>
              </w:rPr>
            </w:pPr>
          </w:p>
        </w:tc>
      </w:tr>
      <w:tr>
        <w:trPr>
          <w:trHeight w:val="459"/>
        </w:trPr>
        <w:tc>
          <w:tcPr>
            <w:tcW w:w="5900" w:type="dxa"/>
            <w:vAlign w:val="bottom"/>
          </w:tcPr>
          <w:p>
            <w:pPr>
              <w:jc w:val="center"/>
              <w:ind w:left="1092"/>
              <w:spacing w:after="0"/>
              <w:rPr>
                <w:sz w:val="20"/>
                <w:szCs w:val="20"/>
                <w:color w:val="auto"/>
              </w:rPr>
            </w:pPr>
            <w:r>
              <w:rPr>
                <w:rFonts w:ascii="Arial" w:cs="Arial" w:eastAsia="Arial" w:hAnsi="Arial"/>
                <w:sz w:val="18"/>
                <w:szCs w:val="18"/>
                <w:color w:val="auto"/>
                <w:w w:val="88"/>
              </w:rPr>
              <w:t>Copies to:</w:t>
            </w:r>
          </w:p>
        </w:tc>
        <w:tc>
          <w:tcPr>
            <w:tcW w:w="1520" w:type="dxa"/>
            <w:vAlign w:val="bottom"/>
          </w:tcPr>
          <w:p>
            <w:pPr>
              <w:spacing w:after="0"/>
              <w:rPr>
                <w:sz w:val="24"/>
                <w:szCs w:val="24"/>
                <w:color w:val="auto"/>
              </w:rPr>
            </w:pPr>
          </w:p>
        </w:tc>
      </w:tr>
      <w:tr>
        <w:trPr>
          <w:trHeight w:val="453"/>
        </w:trPr>
        <w:tc>
          <w:tcPr>
            <w:tcW w:w="5900" w:type="dxa"/>
            <w:vAlign w:val="bottom"/>
          </w:tcPr>
          <w:p>
            <w:pPr>
              <w:jc w:val="center"/>
              <w:ind w:left="1072"/>
              <w:spacing w:after="0"/>
              <w:rPr>
                <w:sz w:val="20"/>
                <w:szCs w:val="20"/>
                <w:color w:val="auto"/>
              </w:rPr>
            </w:pPr>
            <w:r>
              <w:rPr>
                <w:rFonts w:ascii="Arial" w:cs="Arial" w:eastAsia="Arial" w:hAnsi="Arial"/>
                <w:sz w:val="18"/>
                <w:szCs w:val="18"/>
                <w:color w:val="auto"/>
                <w:w w:val="89"/>
              </w:rPr>
              <w:t>David J. Goldschmidt, Esq.</w:t>
            </w:r>
          </w:p>
        </w:tc>
        <w:tc>
          <w:tcPr>
            <w:tcW w:w="1520" w:type="dxa"/>
            <w:vAlign w:val="bottom"/>
          </w:tcPr>
          <w:p>
            <w:pPr>
              <w:spacing w:after="0"/>
              <w:rPr>
                <w:sz w:val="24"/>
                <w:szCs w:val="24"/>
                <w:color w:val="auto"/>
              </w:rPr>
            </w:pPr>
          </w:p>
        </w:tc>
      </w:tr>
      <w:tr>
        <w:trPr>
          <w:trHeight w:val="216"/>
        </w:trPr>
        <w:tc>
          <w:tcPr>
            <w:tcW w:w="5900" w:type="dxa"/>
            <w:vAlign w:val="bottom"/>
          </w:tcPr>
          <w:p>
            <w:pPr>
              <w:jc w:val="center"/>
              <w:ind w:left="1072"/>
              <w:spacing w:after="0"/>
              <w:rPr>
                <w:sz w:val="20"/>
                <w:szCs w:val="20"/>
                <w:color w:val="auto"/>
              </w:rPr>
            </w:pPr>
            <w:r>
              <w:rPr>
                <w:rFonts w:ascii="Arial" w:cs="Arial" w:eastAsia="Arial" w:hAnsi="Arial"/>
                <w:sz w:val="18"/>
                <w:szCs w:val="18"/>
                <w:color w:val="auto"/>
                <w:w w:val="89"/>
              </w:rPr>
              <w:t>Skadden, Arps, Slate, Meagher &amp; Flom LLP</w:t>
            </w:r>
          </w:p>
        </w:tc>
        <w:tc>
          <w:tcPr>
            <w:tcW w:w="1520" w:type="dxa"/>
            <w:vAlign w:val="bottom"/>
          </w:tcPr>
          <w:p>
            <w:pPr>
              <w:spacing w:after="0"/>
              <w:rPr>
                <w:sz w:val="18"/>
                <w:szCs w:val="18"/>
                <w:color w:val="auto"/>
              </w:rPr>
            </w:pPr>
          </w:p>
        </w:tc>
      </w:tr>
      <w:tr>
        <w:trPr>
          <w:trHeight w:val="216"/>
        </w:trPr>
        <w:tc>
          <w:tcPr>
            <w:tcW w:w="5900" w:type="dxa"/>
            <w:vAlign w:val="bottom"/>
          </w:tcPr>
          <w:p>
            <w:pPr>
              <w:jc w:val="center"/>
              <w:ind w:left="1072"/>
              <w:spacing w:after="0"/>
              <w:rPr>
                <w:sz w:val="20"/>
                <w:szCs w:val="20"/>
                <w:color w:val="auto"/>
              </w:rPr>
            </w:pPr>
            <w:r>
              <w:rPr>
                <w:rFonts w:ascii="Arial" w:cs="Arial" w:eastAsia="Arial" w:hAnsi="Arial"/>
                <w:sz w:val="18"/>
                <w:szCs w:val="18"/>
                <w:color w:val="auto"/>
                <w:w w:val="86"/>
              </w:rPr>
              <w:t>4 Times Square</w:t>
            </w:r>
          </w:p>
        </w:tc>
        <w:tc>
          <w:tcPr>
            <w:tcW w:w="1520" w:type="dxa"/>
            <w:vAlign w:val="bottom"/>
          </w:tcPr>
          <w:p>
            <w:pPr>
              <w:spacing w:after="0"/>
              <w:rPr>
                <w:sz w:val="18"/>
                <w:szCs w:val="18"/>
                <w:color w:val="auto"/>
              </w:rPr>
            </w:pPr>
          </w:p>
        </w:tc>
      </w:tr>
      <w:tr>
        <w:trPr>
          <w:trHeight w:val="216"/>
        </w:trPr>
        <w:tc>
          <w:tcPr>
            <w:tcW w:w="5900" w:type="dxa"/>
            <w:vAlign w:val="bottom"/>
          </w:tcPr>
          <w:p>
            <w:pPr>
              <w:jc w:val="center"/>
              <w:ind w:left="1092"/>
              <w:spacing w:after="0"/>
              <w:rPr>
                <w:sz w:val="20"/>
                <w:szCs w:val="20"/>
                <w:color w:val="auto"/>
              </w:rPr>
            </w:pPr>
            <w:r>
              <w:rPr>
                <w:rFonts w:ascii="Arial" w:cs="Arial" w:eastAsia="Arial" w:hAnsi="Arial"/>
                <w:sz w:val="18"/>
                <w:szCs w:val="18"/>
                <w:color w:val="auto"/>
                <w:w w:val="91"/>
              </w:rPr>
              <w:t>New York, NY 10036-6522</w:t>
            </w:r>
          </w:p>
        </w:tc>
        <w:tc>
          <w:tcPr>
            <w:tcW w:w="1520" w:type="dxa"/>
            <w:vAlign w:val="bottom"/>
          </w:tcPr>
          <w:p>
            <w:pPr>
              <w:spacing w:after="0"/>
              <w:rPr>
                <w:sz w:val="18"/>
                <w:szCs w:val="18"/>
                <w:color w:val="auto"/>
              </w:rPr>
            </w:pPr>
          </w:p>
        </w:tc>
      </w:tr>
      <w:tr>
        <w:trPr>
          <w:trHeight w:val="222"/>
        </w:trPr>
        <w:tc>
          <w:tcPr>
            <w:tcW w:w="5900" w:type="dxa"/>
            <w:vAlign w:val="bottom"/>
          </w:tcPr>
          <w:p>
            <w:pPr>
              <w:jc w:val="center"/>
              <w:ind w:left="1072"/>
              <w:spacing w:after="0"/>
              <w:rPr>
                <w:sz w:val="20"/>
                <w:szCs w:val="20"/>
                <w:color w:val="auto"/>
              </w:rPr>
            </w:pPr>
            <w:r>
              <w:rPr>
                <w:rFonts w:ascii="Arial" w:cs="Arial" w:eastAsia="Arial" w:hAnsi="Arial"/>
                <w:sz w:val="18"/>
                <w:szCs w:val="18"/>
                <w:color w:val="auto"/>
                <w:w w:val="89"/>
              </w:rPr>
              <w:t>(212) 735-3000</w:t>
            </w:r>
          </w:p>
        </w:tc>
        <w:tc>
          <w:tcPr>
            <w:tcW w:w="1520" w:type="dxa"/>
            <w:vAlign w:val="bottom"/>
          </w:tcPr>
          <w:p>
            <w:pPr>
              <w:spacing w:after="0"/>
              <w:rPr>
                <w:sz w:val="19"/>
                <w:szCs w:val="19"/>
                <w:color w:val="auto"/>
              </w:rPr>
            </w:pPr>
          </w:p>
        </w:tc>
      </w:tr>
    </w:tbl>
    <w:p>
      <w:pPr>
        <w:spacing w:after="0" w:line="237"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x Accelerated filer o Non-Accelerated filer o Smaller reporting company o</w:t>
      </w:r>
    </w:p>
    <w:p>
      <w:pPr>
        <w:spacing w:after="0" w:line="15"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CALCULATION OF REGISTRATION FEE</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460" w:type="dxa"/>
            <w:vAlign w:val="bottom"/>
            <w:tcBorders>
              <w:top w:val="single" w:sz="8" w:color="auto"/>
              <w:left w:val="single" w:sz="8" w:color="auto"/>
              <w:right w:val="single" w:sz="8" w:color="auto"/>
            </w:tcBorders>
          </w:tcPr>
          <w:p>
            <w:pPr>
              <w:spacing w:after="0"/>
              <w:rPr>
                <w:sz w:val="18"/>
                <w:szCs w:val="18"/>
                <w:color w:val="auto"/>
              </w:rPr>
            </w:pPr>
          </w:p>
        </w:tc>
        <w:tc>
          <w:tcPr>
            <w:tcW w:w="2220" w:type="dxa"/>
            <w:vAlign w:val="bottom"/>
            <w:tcBorders>
              <w:top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Proposed Maximum</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Proposed Maximum</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Amount of</w:t>
            </w:r>
          </w:p>
        </w:tc>
      </w:tr>
      <w:tr>
        <w:trPr>
          <w:trHeight w:val="243"/>
        </w:trPr>
        <w:tc>
          <w:tcPr>
            <w:tcW w:w="2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Securities</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Amount to be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Offering Price</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Aggregate Offering</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Registration</w:t>
            </w:r>
          </w:p>
        </w:tc>
      </w:tr>
      <w:tr>
        <w:trPr>
          <w:trHeight w:val="243"/>
        </w:trPr>
        <w:tc>
          <w:tcPr>
            <w:tcW w:w="2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to be Registered</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Registered (1)(2)</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 (3)</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Price (3)</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(4) (5)</w:t>
            </w:r>
          </w:p>
        </w:tc>
      </w:tr>
      <w:tr>
        <w:trPr>
          <w:trHeight w:val="41"/>
        </w:trPr>
        <w:tc>
          <w:tcPr>
            <w:tcW w:w="2460" w:type="dxa"/>
            <w:vAlign w:val="bottom"/>
            <w:tcBorders>
              <w:left w:val="single" w:sz="8" w:color="auto"/>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196"/>
        </w:trPr>
        <w:tc>
          <w:tcPr>
            <w:tcW w:w="2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88"/>
              </w:rPr>
              <w:t>Common Stock, par value $0.001 per share</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6"/>
              </w:rPr>
              <w:t>490,832</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$25.92</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6"/>
              </w:rPr>
              <w:t>$12,722,365.44</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6"/>
              </w:rPr>
              <w:t>$907.10</w:t>
            </w:r>
          </w:p>
        </w:tc>
      </w:tr>
      <w:tr>
        <w:trPr>
          <w:trHeight w:val="41"/>
        </w:trPr>
        <w:tc>
          <w:tcPr>
            <w:tcW w:w="2460" w:type="dxa"/>
            <w:vAlign w:val="bottom"/>
            <w:tcBorders>
              <w:left w:val="single" w:sz="8" w:color="auto"/>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30"/>
        </w:trPr>
        <w:tc>
          <w:tcPr>
            <w:tcW w:w="2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Total Registration Fee Payable (5)</w:t>
            </w:r>
          </w:p>
        </w:tc>
        <w:tc>
          <w:tcPr>
            <w:tcW w:w="222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w:t>
            </w:r>
          </w:p>
        </w:tc>
      </w:tr>
    </w:tbl>
    <w:p>
      <w:pPr>
        <w:spacing w:after="0" w:line="235" w:lineRule="exact"/>
        <w:rPr>
          <w:sz w:val="20"/>
          <w:szCs w:val="20"/>
          <w:color w:val="auto"/>
        </w:rPr>
      </w:pPr>
    </w:p>
    <w:p>
      <w:pPr>
        <w:ind w:left="300" w:right="160" w:hanging="292"/>
        <w:spacing w:after="0" w:line="255" w:lineRule="auto"/>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this Registration Statement also covers, in addition to the number of shares stated above, an indeterminate number of additional shares of Common Stock, par value $0.001 per share (“Common Stock”), of the Registrant which may become issuable under the Registrant’s Amended and Restated 2000 Long-Term Incentive Plan (the “2000 Plan”) by reason of certain corporate transactions or events, including any stock dividend, stock split or any other similar transaction effected which results in an increase in the number of the Registrant’s outstanding shares of Common Stock.</w:t>
      </w:r>
    </w:p>
    <w:p>
      <w:pPr>
        <w:spacing w:after="0" w:line="223" w:lineRule="exact"/>
        <w:rPr>
          <w:rFonts w:ascii="Arial" w:cs="Arial" w:eastAsia="Arial" w:hAnsi="Arial"/>
          <w:sz w:val="18"/>
          <w:szCs w:val="18"/>
          <w:color w:val="auto"/>
        </w:rPr>
      </w:pPr>
    </w:p>
    <w:p>
      <w:pPr>
        <w:ind w:left="300" w:right="80" w:hanging="292"/>
        <w:spacing w:after="0" w:line="286" w:lineRule="auto"/>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 is filing this Registration Statement to register the issuance of an additional aggregate of 490,832 shares of Common Stock previously registered for issuance, and subject to outstanding awards granted, under the Registrant’s 1990 Long-Term Incentive Plan, as amended and restated (the “1990 Plan”), which awards were forfeited, expired, or were cancelled without delivery of shares of Common Stock (the “Additional Excess Shares”). Pursuant to the terms of the 2000 Plan, the Additional Excess Shares are available for issuance under the 2000 Plan, which is the successor plan to the 1990 Plan. The number of shares available for issuance under the 2000 Plan will be increased from time to time by, and this Registration Statement also covers, up to 3,979 additional shares of Common Stock of the Registrant subject to currently outstanding awards granted under the 1990 Plan, upon and to the ex tent that such awards are forfeited, expire or are cancelled without delivery of shares of Common Stock after the date hereof and, pursuant to the terms of the 2000 Plan, are thereupon automatically re-allocated to, and become issuable under, the 2000 Plan (the “Carry Over Shares” and, together with the Additional Excess Shares, the “Shares”). The Registrant ceased making awards under the 1990 Plan when the Registrant's shareholders approved the 2000 Plan. Shares issuable under the 1990 Plan were previously registered under the Securities Act of 1933, as amended (the "Securities Act") pursuant to Registration Statements on Form S-8 filed with the Securities and Exchange Commission (the “SEC”) having the following file numbers and filing dates: 333-50480 (August 5, 1992), 333-85330 (October 19, 1994), 333- 97176 (September 20, 1995), 333-33891 (August 19, 1997) and 333-80663 (June 15, 1999) (together, the “Prior Registration Statements”).</w:t>
      </w:r>
    </w:p>
    <w:p>
      <w:pPr>
        <w:spacing w:after="0" w:line="201" w:lineRule="exact"/>
        <w:rPr>
          <w:rFonts w:ascii="Arial" w:cs="Arial" w:eastAsia="Arial" w:hAnsi="Arial"/>
          <w:sz w:val="16"/>
          <w:szCs w:val="16"/>
          <w:color w:val="auto"/>
        </w:rPr>
      </w:pPr>
    </w:p>
    <w:p>
      <w:pPr>
        <w:ind w:left="300" w:right="40" w:hanging="292"/>
        <w:spacing w:after="0" w:line="256" w:lineRule="auto"/>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490,832 Additional Excess Shares currently available for issuance under the 2000 Plan, and up to 3,979 Carry Over Shares which may become available for issuance under the 2000 Plan, as described in Note 2 above, and estimated in accordance with paragraphs (c) and (h) of Rule 457 under the Securities Act solely for the purpose of calculating the registration fee based upon the average of the high and low sales prices per share of Common Stock as reported on the Nasdaq Global Market on September 23, 2010.</w:t>
      </w:r>
    </w:p>
    <w:p>
      <w:pPr>
        <w:spacing w:after="0" w:line="224" w:lineRule="exact"/>
        <w:rPr>
          <w:rFonts w:ascii="Arial" w:cs="Arial" w:eastAsia="Arial" w:hAnsi="Arial"/>
          <w:sz w:val="18"/>
          <w:szCs w:val="18"/>
          <w:color w:val="auto"/>
        </w:rPr>
      </w:pPr>
    </w:p>
    <w:p>
      <w:pPr>
        <w:ind w:left="300" w:right="160" w:hanging="292"/>
        <w:spacing w:after="0" w:line="298" w:lineRule="auto"/>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registration fee has been calculated pursuant to Section 6(b) of the Securities Act by multiplying .00007130 by the proposed maximum aggregate offering price (as computed in accordance with Rule 457 under the Securities Act solely for the purpose of determining the registration fee of the securities registered hereby). As the applicable filing fees for the Additional Excess Shares and the Carry Over Shares were paid in connection with the registration of such shares pursuant to the Prior Registration Statements, no additional registration fee is due with the filing of this Registration Statement.</w:t>
      </w:r>
    </w:p>
    <w:p>
      <w:pPr>
        <w:spacing w:after="0" w:line="193" w:lineRule="exact"/>
        <w:rPr>
          <w:rFonts w:ascii="Arial" w:cs="Arial" w:eastAsia="Arial" w:hAnsi="Arial"/>
          <w:sz w:val="16"/>
          <w:szCs w:val="16"/>
          <w:color w:val="auto"/>
        </w:rPr>
      </w:pPr>
    </w:p>
    <w:p>
      <w:pPr>
        <w:ind w:left="300" w:right="100" w:hanging="292"/>
        <w:spacing w:after="0" w:line="287" w:lineRule="auto"/>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accordance with Instruction E to the General Instructions to Form S-8 and Interpretations 89 and 90 under Section G of the Manual of Publicly Available Telephone Interpretations of the SEC Division of Corporation Finance (July 1997), the Additional Excess Shares and the Carry Over Shares being registered hereunder are shares that were previously registered for issuance under the 1990 Plan pursuant to the Prior Registration Statements. By means of post-effective amendments to the Prior Registration Statements filed on the date hereof, the Registrant is de-registering the Additional Excess Shares, effective upon the filing of such post-effective amendments, and the Carry Over Shares, effective automatically upon and to the extent of the Carry Over Shares becoming eligible for issuance under the 2000 Plan pursuant to the terms thereof and the applicable award agreement(s). Upo n such de-registration, the Additional Excess Shares are being, and the Carry Over Shares will be, re-allocated and carried forward to this Registration Statement, and the associated registration fees previously paid in respect of the registration of such Shares pursuant to the Prior Registration Statements are hereby carried forward and applied to the registration fee applicable to this Registration Statement. After giving effect to such carry forward of such previously paid registration fees as described above, no additional registration fee is due with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85"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This Registration Statement on Form S-8 registers the issuance of an additional 490,832 shares of Common Stock (the “Additional Excess Shares”) authorized for issuance under the Registrant’s Amended and Restated 2000 Long-Term Incentive Plan (the “2000 Plan”) as a result of the forfeiture, expiration, or cancellation without delivery of shares of Common Stock of awards previously granted under the Registrant’s 1990 Long-Term Incentive Plan, as amended and restated (the “1990 Plan”), and the re-allocation of such Additional Excess Shares to the 2000 Plan in accordance with its terms and the carry forward of such Additional Excess Shares to this Registration Statement. This Registration Statement also registers up to 3,979 additional shares of Common Stock currentl y subject to awards granted under the 1990 Plan, to the extent that such awards are forfeited, expire or are cancelled without delivery of shares of Common Stock after the date hereof and, pursuant to the terms of the 2000 Plan, are thereupon automatically re-allocated to, and become issuable under, the 2000 Plan.</w:t>
      </w:r>
    </w:p>
    <w:p>
      <w:pPr>
        <w:spacing w:after="0" w:line="226" w:lineRule="exact"/>
        <w:rPr>
          <w:sz w:val="20"/>
          <w:szCs w:val="20"/>
          <w:color w:val="auto"/>
        </w:rPr>
      </w:pPr>
    </w:p>
    <w:p>
      <w:pPr>
        <w:ind w:firstLine="270"/>
        <w:spacing w:after="0" w:line="323" w:lineRule="auto"/>
        <w:rPr>
          <w:sz w:val="20"/>
          <w:szCs w:val="20"/>
          <w:color w:val="auto"/>
        </w:rPr>
      </w:pPr>
      <w:r>
        <w:rPr>
          <w:rFonts w:ascii="Arial" w:cs="Arial" w:eastAsia="Arial" w:hAnsi="Arial"/>
          <w:sz w:val="15"/>
          <w:szCs w:val="15"/>
          <w:color w:val="auto"/>
        </w:rPr>
        <w:t>This registration statement is being filed pursuant to General Instruction E of Form S-8 under the Securities Act (“Instruction E”), and includes the registration statement facing page, this page, the signature page, an exhibit index and relevant opinions and consents. Pursuant to Instruction E, the contents of the Registrant’s Registration Statements on Form S-8 (File Nos. 333-61132, 333-97375, 333-119257 and 333-151941) filed with the Securities and Exchange Commission on May 17, 2001, July 30, 2002, September 24, 2004 and June 26, 2008, respectively, are incorporated by reference into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85"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Greenburgh, State of New York, on September 24, 2010.</w:t>
      </w: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PHARMACEUTICALS, INC.</w:t>
      </w:r>
    </w:p>
    <w:p>
      <w:pPr>
        <w:spacing w:after="0" w:line="279"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19685</wp:posOffset>
            </wp:positionV>
            <wp:extent cx="33445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POWER OF ATTORNEY AND SIGNATURES</w:t>
      </w:r>
    </w:p>
    <w:p>
      <w:pPr>
        <w:spacing w:after="0" w:line="285" w:lineRule="exact"/>
        <w:rPr>
          <w:sz w:val="20"/>
          <w:szCs w:val="20"/>
          <w:color w:val="auto"/>
        </w:rPr>
      </w:pPr>
    </w:p>
    <w:p>
      <w:pPr>
        <w:ind w:right="60" w:firstLine="270"/>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Leonard S. Schleifer, President and Chief Executive Officer, and Murray A. Goldberg, Senior Vice President, Finance &amp; Administration, Chief Financial Officer, Treasurer, and Assistant Secretary and each of them, his true and lawful attorney-in-fact and agent, with full power of substitution and resubstitution, for him and in his name, place and stead, in any and all capacities therewith, to sign any and all amendments (including post-effective amendments) to this Registration Statement,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in connection therewith, as fully to all intents and purposes as he might or could do in person, hereby ratifying and confirming all that each said attorney-in-fact and agent, or their or his substitute or substitutes, may lawfully do or cause to be done by virtue hereof.</w:t>
      </w:r>
    </w:p>
    <w:p>
      <w:pPr>
        <w:spacing w:after="0" w:line="19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September 24,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6400" w:type="dxa"/>
            <w:vAlign w:val="bottom"/>
            <w:gridSpan w:val="3"/>
          </w:tcPr>
          <w:p>
            <w:pPr>
              <w:jc w:val="center"/>
              <w:ind w:left="1032"/>
              <w:spacing w:after="0"/>
              <w:rPr>
                <w:sz w:val="20"/>
                <w:szCs w:val="20"/>
                <w:color w:val="auto"/>
              </w:rPr>
            </w:pPr>
            <w:r>
              <w:rPr>
                <w:rFonts w:ascii="Arial" w:cs="Arial" w:eastAsia="Arial" w:hAnsi="Arial"/>
                <w:sz w:val="18"/>
                <w:szCs w:val="18"/>
                <w:b w:val="1"/>
                <w:bCs w:val="1"/>
                <w:color w:val="auto"/>
                <w:w w:val="97"/>
              </w:rPr>
              <w:t>Title</w:t>
            </w:r>
          </w:p>
        </w:tc>
      </w:tr>
      <w:tr>
        <w:trPr>
          <w:trHeight w:val="20"/>
        </w:trPr>
        <w:tc>
          <w:tcPr>
            <w:tcW w:w="2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62"/>
        </w:trPr>
        <w:tc>
          <w:tcPr>
            <w:tcW w:w="2160" w:type="dxa"/>
            <w:vAlign w:val="bottom"/>
          </w:tcPr>
          <w:p>
            <w:pPr>
              <w:spacing w:after="0"/>
              <w:rPr>
                <w:sz w:val="20"/>
                <w:szCs w:val="20"/>
                <w:color w:val="auto"/>
              </w:rPr>
            </w:pPr>
            <w:r>
              <w:rPr>
                <w:rFonts w:ascii="Arial" w:cs="Arial" w:eastAsia="Arial" w:hAnsi="Arial"/>
                <w:sz w:val="18"/>
                <w:szCs w:val="18"/>
                <w:color w:val="auto"/>
              </w:rPr>
              <w:t>/s/ Leonard S. Schleifer</w:t>
            </w:r>
          </w:p>
        </w:tc>
        <w:tc>
          <w:tcPr>
            <w:tcW w:w="7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6400" w:type="dxa"/>
            <w:vAlign w:val="bottom"/>
            <w:gridSpan w:val="3"/>
          </w:tcPr>
          <w:p>
            <w:pPr>
              <w:jc w:val="center"/>
              <w:ind w:left="1032"/>
              <w:spacing w:after="0"/>
              <w:rPr>
                <w:sz w:val="20"/>
                <w:szCs w:val="20"/>
                <w:color w:val="auto"/>
              </w:rPr>
            </w:pPr>
            <w:r>
              <w:rPr>
                <w:rFonts w:ascii="Arial" w:cs="Arial" w:eastAsia="Arial" w:hAnsi="Arial"/>
                <w:sz w:val="18"/>
                <w:szCs w:val="18"/>
                <w:color w:val="auto"/>
                <w:w w:val="89"/>
              </w:rPr>
              <w:t>President, Chief Executive Officer, and</w:t>
            </w:r>
          </w:p>
        </w:tc>
      </w:tr>
      <w:tr>
        <w:trPr>
          <w:trHeight w:val="252"/>
        </w:trPr>
        <w:tc>
          <w:tcPr>
            <w:tcW w:w="2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6400" w:type="dxa"/>
            <w:vAlign w:val="bottom"/>
            <w:gridSpan w:val="3"/>
          </w:tcPr>
          <w:p>
            <w:pPr>
              <w:jc w:val="center"/>
              <w:ind w:left="1032"/>
              <w:spacing w:after="0"/>
              <w:rPr>
                <w:sz w:val="20"/>
                <w:szCs w:val="20"/>
                <w:color w:val="auto"/>
              </w:rPr>
            </w:pPr>
            <w:r>
              <w:rPr>
                <w:rFonts w:ascii="Arial" w:cs="Arial" w:eastAsia="Arial" w:hAnsi="Arial"/>
                <w:sz w:val="18"/>
                <w:szCs w:val="18"/>
                <w:color w:val="auto"/>
                <w:w w:val="92"/>
              </w:rPr>
              <w:t xml:space="preserve">Director </w:t>
            </w:r>
            <w:r>
              <w:rPr>
                <w:rFonts w:ascii="Arial" w:cs="Arial" w:eastAsia="Arial" w:hAnsi="Arial"/>
                <w:sz w:val="18"/>
                <w:szCs w:val="18"/>
                <w:i w:val="1"/>
                <w:iCs w:val="1"/>
                <w:color w:val="auto"/>
                <w:w w:val="92"/>
              </w:rPr>
              <w:t>(Principal Executive Officer)</w:t>
            </w:r>
          </w:p>
        </w:tc>
      </w:tr>
      <w:tr>
        <w:trPr>
          <w:trHeight w:val="228"/>
        </w:trPr>
        <w:tc>
          <w:tcPr>
            <w:tcW w:w="5040" w:type="dxa"/>
            <w:vAlign w:val="bottom"/>
            <w:gridSpan w:val="3"/>
          </w:tcPr>
          <w:p>
            <w:pPr>
              <w:spacing w:after="0"/>
              <w:rPr>
                <w:sz w:val="20"/>
                <w:szCs w:val="20"/>
                <w:color w:val="auto"/>
              </w:rPr>
            </w:pPr>
            <w:r>
              <w:rPr>
                <w:rFonts w:ascii="Arial" w:cs="Arial" w:eastAsia="Arial" w:hAnsi="Arial"/>
                <w:sz w:val="18"/>
                <w:szCs w:val="18"/>
                <w:color w:val="auto"/>
              </w:rPr>
              <w:t>Leonard S. Schleifer, M.D., Ph.D.</w:t>
            </w:r>
          </w:p>
        </w:tc>
        <w:tc>
          <w:tcPr>
            <w:tcW w:w="3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86"/>
        </w:trPr>
        <w:tc>
          <w:tcPr>
            <w:tcW w:w="5040" w:type="dxa"/>
            <w:vAlign w:val="bottom"/>
            <w:gridSpan w:val="3"/>
          </w:tcPr>
          <w:p>
            <w:pPr>
              <w:spacing w:after="0"/>
              <w:rPr>
                <w:sz w:val="20"/>
                <w:szCs w:val="20"/>
                <w:color w:val="auto"/>
              </w:rPr>
            </w:pPr>
            <w:r>
              <w:rPr>
                <w:rFonts w:ascii="Arial" w:cs="Arial" w:eastAsia="Arial" w:hAnsi="Arial"/>
                <w:sz w:val="18"/>
                <w:szCs w:val="18"/>
                <w:color w:val="auto"/>
              </w:rPr>
              <w:t>/s/ Murray A. Goldberg</w:t>
            </w:r>
          </w:p>
        </w:tc>
        <w:tc>
          <w:tcPr>
            <w:tcW w:w="6400" w:type="dxa"/>
            <w:vAlign w:val="bottom"/>
            <w:gridSpan w:val="3"/>
          </w:tcPr>
          <w:p>
            <w:pPr>
              <w:jc w:val="center"/>
              <w:ind w:left="1032"/>
              <w:spacing w:after="0"/>
              <w:rPr>
                <w:sz w:val="20"/>
                <w:szCs w:val="20"/>
                <w:color w:val="auto"/>
              </w:rPr>
            </w:pPr>
            <w:r>
              <w:rPr>
                <w:rFonts w:ascii="Arial" w:cs="Arial" w:eastAsia="Arial" w:hAnsi="Arial"/>
                <w:sz w:val="18"/>
                <w:szCs w:val="18"/>
                <w:color w:val="auto"/>
                <w:w w:val="89"/>
              </w:rPr>
              <w:t>Senior Vice President, Finance &amp;</w:t>
            </w:r>
          </w:p>
        </w:tc>
      </w:tr>
      <w:tr>
        <w:trPr>
          <w:trHeight w:val="252"/>
        </w:trPr>
        <w:tc>
          <w:tcPr>
            <w:tcW w:w="2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6400" w:type="dxa"/>
            <w:vAlign w:val="bottom"/>
            <w:gridSpan w:val="3"/>
          </w:tcPr>
          <w:p>
            <w:pPr>
              <w:jc w:val="center"/>
              <w:ind w:left="1032"/>
              <w:spacing w:after="0"/>
              <w:rPr>
                <w:sz w:val="20"/>
                <w:szCs w:val="20"/>
                <w:color w:val="auto"/>
              </w:rPr>
            </w:pPr>
            <w:r>
              <w:rPr>
                <w:rFonts w:ascii="Arial" w:cs="Arial" w:eastAsia="Arial" w:hAnsi="Arial"/>
                <w:sz w:val="18"/>
                <w:szCs w:val="18"/>
                <w:color w:val="auto"/>
                <w:w w:val="92"/>
              </w:rPr>
              <w:t>Administration, Chief Financial Officer,</w:t>
            </w:r>
          </w:p>
        </w:tc>
      </w:tr>
      <w:tr>
        <w:trPr>
          <w:trHeight w:val="228"/>
        </w:trPr>
        <w:tc>
          <w:tcPr>
            <w:tcW w:w="5040" w:type="dxa"/>
            <w:vAlign w:val="bottom"/>
            <w:gridSpan w:val="3"/>
          </w:tcPr>
          <w:p>
            <w:pPr>
              <w:spacing w:after="0"/>
              <w:rPr>
                <w:sz w:val="20"/>
                <w:szCs w:val="20"/>
                <w:color w:val="auto"/>
              </w:rPr>
            </w:pPr>
            <w:r>
              <w:rPr>
                <w:rFonts w:ascii="Arial" w:cs="Arial" w:eastAsia="Arial" w:hAnsi="Arial"/>
                <w:sz w:val="18"/>
                <w:szCs w:val="18"/>
                <w:color w:val="auto"/>
              </w:rPr>
              <w:t>Murray A. Goldberg</w:t>
            </w:r>
          </w:p>
        </w:tc>
        <w:tc>
          <w:tcPr>
            <w:tcW w:w="6400" w:type="dxa"/>
            <w:vAlign w:val="bottom"/>
            <w:gridSpan w:val="3"/>
          </w:tcPr>
          <w:p>
            <w:pPr>
              <w:jc w:val="center"/>
              <w:ind w:left="1032"/>
              <w:spacing w:after="0"/>
              <w:rPr>
                <w:sz w:val="20"/>
                <w:szCs w:val="20"/>
                <w:color w:val="auto"/>
              </w:rPr>
            </w:pPr>
            <w:r>
              <w:rPr>
                <w:rFonts w:ascii="Arial" w:cs="Arial" w:eastAsia="Arial" w:hAnsi="Arial"/>
                <w:sz w:val="18"/>
                <w:szCs w:val="18"/>
                <w:color w:val="auto"/>
                <w:w w:val="86"/>
              </w:rPr>
              <w:t>Treasurer, and Assistant Secretary</w:t>
            </w:r>
          </w:p>
        </w:tc>
      </w:tr>
      <w:tr>
        <w:trPr>
          <w:trHeight w:val="243"/>
        </w:trPr>
        <w:tc>
          <w:tcPr>
            <w:tcW w:w="2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6400" w:type="dxa"/>
            <w:vAlign w:val="bottom"/>
            <w:gridSpan w:val="3"/>
          </w:tcPr>
          <w:p>
            <w:pPr>
              <w:jc w:val="center"/>
              <w:ind w:left="1032"/>
              <w:spacing w:after="0"/>
              <w:rPr>
                <w:sz w:val="20"/>
                <w:szCs w:val="20"/>
                <w:color w:val="auto"/>
              </w:rPr>
            </w:pPr>
            <w:r>
              <w:rPr>
                <w:rFonts w:ascii="Arial" w:cs="Arial" w:eastAsia="Arial" w:hAnsi="Arial"/>
                <w:sz w:val="18"/>
                <w:szCs w:val="18"/>
                <w:i w:val="1"/>
                <w:iCs w:val="1"/>
                <w:color w:val="auto"/>
                <w:w w:val="94"/>
              </w:rPr>
              <w:t>(Principal Financial Officer)</w:t>
            </w:r>
          </w:p>
        </w:tc>
      </w:tr>
      <w:tr>
        <w:trPr>
          <w:trHeight w:val="486"/>
        </w:trPr>
        <w:tc>
          <w:tcPr>
            <w:tcW w:w="5040" w:type="dxa"/>
            <w:vAlign w:val="bottom"/>
            <w:gridSpan w:val="3"/>
          </w:tcPr>
          <w:p>
            <w:pPr>
              <w:spacing w:after="0"/>
              <w:rPr>
                <w:sz w:val="20"/>
                <w:szCs w:val="20"/>
                <w:color w:val="auto"/>
              </w:rPr>
            </w:pPr>
            <w:r>
              <w:rPr>
                <w:rFonts w:ascii="Arial" w:cs="Arial" w:eastAsia="Arial" w:hAnsi="Arial"/>
                <w:sz w:val="18"/>
                <w:szCs w:val="18"/>
                <w:color w:val="auto"/>
              </w:rPr>
              <w:t>/s/ Douglas S. McCorkle</w:t>
            </w:r>
          </w:p>
        </w:tc>
        <w:tc>
          <w:tcPr>
            <w:tcW w:w="6400" w:type="dxa"/>
            <w:vAlign w:val="bottom"/>
            <w:gridSpan w:val="3"/>
          </w:tcPr>
          <w:p>
            <w:pPr>
              <w:jc w:val="center"/>
              <w:ind w:left="1032"/>
              <w:spacing w:after="0"/>
              <w:rPr>
                <w:sz w:val="20"/>
                <w:szCs w:val="20"/>
                <w:color w:val="auto"/>
              </w:rPr>
            </w:pPr>
            <w:r>
              <w:rPr>
                <w:rFonts w:ascii="Arial" w:cs="Arial" w:eastAsia="Arial" w:hAnsi="Arial"/>
                <w:sz w:val="18"/>
                <w:szCs w:val="18"/>
                <w:color w:val="auto"/>
                <w:w w:val="88"/>
              </w:rPr>
              <w:t>Vice President, Controller and Assistant</w:t>
            </w:r>
          </w:p>
        </w:tc>
      </w:tr>
      <w:tr>
        <w:trPr>
          <w:trHeight w:val="252"/>
        </w:trPr>
        <w:tc>
          <w:tcPr>
            <w:tcW w:w="2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6400" w:type="dxa"/>
            <w:vAlign w:val="bottom"/>
            <w:gridSpan w:val="3"/>
          </w:tcPr>
          <w:p>
            <w:pPr>
              <w:jc w:val="center"/>
              <w:ind w:left="1032"/>
              <w:spacing w:after="0"/>
              <w:rPr>
                <w:sz w:val="20"/>
                <w:szCs w:val="20"/>
                <w:color w:val="auto"/>
              </w:rPr>
            </w:pPr>
            <w:r>
              <w:rPr>
                <w:rFonts w:ascii="Arial" w:cs="Arial" w:eastAsia="Arial" w:hAnsi="Arial"/>
                <w:sz w:val="18"/>
                <w:szCs w:val="18"/>
                <w:color w:val="auto"/>
                <w:w w:val="91"/>
              </w:rPr>
              <w:t xml:space="preserve">Treasurer </w:t>
            </w:r>
            <w:r>
              <w:rPr>
                <w:rFonts w:ascii="Arial" w:cs="Arial" w:eastAsia="Arial" w:hAnsi="Arial"/>
                <w:sz w:val="18"/>
                <w:szCs w:val="18"/>
                <w:i w:val="1"/>
                <w:iCs w:val="1"/>
                <w:color w:val="auto"/>
                <w:w w:val="91"/>
              </w:rPr>
              <w:t>(Principal Accounting Officer)</w:t>
            </w:r>
          </w:p>
        </w:tc>
      </w:tr>
      <w:tr>
        <w:trPr>
          <w:trHeight w:val="228"/>
        </w:trPr>
        <w:tc>
          <w:tcPr>
            <w:tcW w:w="5040" w:type="dxa"/>
            <w:vAlign w:val="bottom"/>
            <w:gridSpan w:val="3"/>
          </w:tcPr>
          <w:p>
            <w:pPr>
              <w:spacing w:after="0"/>
              <w:rPr>
                <w:sz w:val="20"/>
                <w:szCs w:val="20"/>
                <w:color w:val="auto"/>
              </w:rPr>
            </w:pPr>
            <w:r>
              <w:rPr>
                <w:rFonts w:ascii="Arial" w:cs="Arial" w:eastAsia="Arial" w:hAnsi="Arial"/>
                <w:sz w:val="18"/>
                <w:szCs w:val="18"/>
                <w:color w:val="auto"/>
              </w:rPr>
              <w:t>Douglas S. McCorkle</w:t>
            </w:r>
          </w:p>
        </w:tc>
        <w:tc>
          <w:tcPr>
            <w:tcW w:w="3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86"/>
        </w:trPr>
        <w:tc>
          <w:tcPr>
            <w:tcW w:w="5040" w:type="dxa"/>
            <w:vAlign w:val="bottom"/>
            <w:gridSpan w:val="3"/>
          </w:tcPr>
          <w:p>
            <w:pPr>
              <w:spacing w:after="0"/>
              <w:rPr>
                <w:sz w:val="20"/>
                <w:szCs w:val="20"/>
                <w:color w:val="auto"/>
              </w:rPr>
            </w:pPr>
            <w:r>
              <w:rPr>
                <w:rFonts w:ascii="Arial" w:cs="Arial" w:eastAsia="Arial" w:hAnsi="Arial"/>
                <w:sz w:val="18"/>
                <w:szCs w:val="18"/>
                <w:color w:val="auto"/>
              </w:rPr>
              <w:t>/s/ George D. Yancopoulos</w:t>
            </w:r>
          </w:p>
        </w:tc>
        <w:tc>
          <w:tcPr>
            <w:tcW w:w="6400" w:type="dxa"/>
            <w:vAlign w:val="bottom"/>
            <w:gridSpan w:val="3"/>
          </w:tcPr>
          <w:p>
            <w:pPr>
              <w:jc w:val="center"/>
              <w:ind w:left="1032"/>
              <w:spacing w:after="0"/>
              <w:rPr>
                <w:sz w:val="20"/>
                <w:szCs w:val="20"/>
                <w:color w:val="auto"/>
              </w:rPr>
            </w:pPr>
            <w:r>
              <w:rPr>
                <w:rFonts w:ascii="Arial" w:cs="Arial" w:eastAsia="Arial" w:hAnsi="Arial"/>
                <w:sz w:val="18"/>
                <w:szCs w:val="18"/>
                <w:color w:val="auto"/>
                <w:w w:val="90"/>
              </w:rPr>
              <w:t>Executive Vice President, Chief Scientific</w:t>
            </w:r>
          </w:p>
        </w:tc>
      </w:tr>
      <w:tr>
        <w:trPr>
          <w:trHeight w:val="252"/>
        </w:trPr>
        <w:tc>
          <w:tcPr>
            <w:tcW w:w="2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6400" w:type="dxa"/>
            <w:vAlign w:val="bottom"/>
            <w:gridSpan w:val="3"/>
          </w:tcPr>
          <w:p>
            <w:pPr>
              <w:jc w:val="center"/>
              <w:ind w:left="1032"/>
              <w:spacing w:after="0"/>
              <w:rPr>
                <w:sz w:val="20"/>
                <w:szCs w:val="20"/>
                <w:color w:val="auto"/>
              </w:rPr>
            </w:pPr>
            <w:r>
              <w:rPr>
                <w:rFonts w:ascii="Arial" w:cs="Arial" w:eastAsia="Arial" w:hAnsi="Arial"/>
                <w:sz w:val="18"/>
                <w:szCs w:val="18"/>
                <w:color w:val="auto"/>
                <w:w w:val="86"/>
              </w:rPr>
              <w:t>Officer, President, Regeneron Research</w:t>
            </w:r>
          </w:p>
        </w:tc>
      </w:tr>
      <w:tr>
        <w:trPr>
          <w:trHeight w:val="228"/>
        </w:trPr>
        <w:tc>
          <w:tcPr>
            <w:tcW w:w="5040" w:type="dxa"/>
            <w:vAlign w:val="bottom"/>
            <w:gridSpan w:val="3"/>
          </w:tcPr>
          <w:p>
            <w:pPr>
              <w:spacing w:after="0"/>
              <w:rPr>
                <w:sz w:val="20"/>
                <w:szCs w:val="20"/>
                <w:color w:val="auto"/>
              </w:rPr>
            </w:pPr>
            <w:r>
              <w:rPr>
                <w:rFonts w:ascii="Arial" w:cs="Arial" w:eastAsia="Arial" w:hAnsi="Arial"/>
                <w:sz w:val="18"/>
                <w:szCs w:val="18"/>
                <w:color w:val="auto"/>
              </w:rPr>
              <w:t>George D. Yancopoulos, M.D., Ph.D.</w:t>
            </w:r>
          </w:p>
        </w:tc>
        <w:tc>
          <w:tcPr>
            <w:tcW w:w="6400" w:type="dxa"/>
            <w:vAlign w:val="bottom"/>
            <w:gridSpan w:val="3"/>
          </w:tcPr>
          <w:p>
            <w:pPr>
              <w:jc w:val="center"/>
              <w:ind w:left="1032"/>
              <w:spacing w:after="0"/>
              <w:rPr>
                <w:sz w:val="20"/>
                <w:szCs w:val="20"/>
                <w:color w:val="auto"/>
              </w:rPr>
            </w:pPr>
            <w:r>
              <w:rPr>
                <w:rFonts w:ascii="Arial" w:cs="Arial" w:eastAsia="Arial" w:hAnsi="Arial"/>
                <w:sz w:val="18"/>
                <w:szCs w:val="18"/>
                <w:color w:val="auto"/>
                <w:w w:val="88"/>
              </w:rPr>
              <w:t>Laboratories, and Director</w:t>
            </w:r>
          </w:p>
        </w:tc>
      </w:tr>
      <w:tr>
        <w:trPr>
          <w:trHeight w:val="486"/>
        </w:trPr>
        <w:tc>
          <w:tcPr>
            <w:tcW w:w="5040" w:type="dxa"/>
            <w:vAlign w:val="bottom"/>
            <w:gridSpan w:val="3"/>
          </w:tcPr>
          <w:p>
            <w:pPr>
              <w:spacing w:after="0"/>
              <w:rPr>
                <w:sz w:val="20"/>
                <w:szCs w:val="20"/>
                <w:color w:val="auto"/>
              </w:rPr>
            </w:pPr>
            <w:r>
              <w:rPr>
                <w:rFonts w:ascii="Arial" w:cs="Arial" w:eastAsia="Arial" w:hAnsi="Arial"/>
                <w:sz w:val="18"/>
                <w:szCs w:val="18"/>
                <w:color w:val="auto"/>
              </w:rPr>
              <w:t>/s/ P. Roy Vagelos</w:t>
            </w:r>
          </w:p>
        </w:tc>
        <w:tc>
          <w:tcPr>
            <w:tcW w:w="6400" w:type="dxa"/>
            <w:vAlign w:val="bottom"/>
            <w:gridSpan w:val="3"/>
          </w:tcPr>
          <w:p>
            <w:pPr>
              <w:jc w:val="center"/>
              <w:ind w:left="1032"/>
              <w:spacing w:after="0"/>
              <w:rPr>
                <w:sz w:val="20"/>
                <w:szCs w:val="20"/>
                <w:color w:val="auto"/>
              </w:rPr>
            </w:pPr>
            <w:r>
              <w:rPr>
                <w:rFonts w:ascii="Arial" w:cs="Arial" w:eastAsia="Arial" w:hAnsi="Arial"/>
                <w:sz w:val="18"/>
                <w:szCs w:val="18"/>
                <w:color w:val="auto"/>
                <w:w w:val="88"/>
              </w:rPr>
              <w:t>Chairman of the Board</w:t>
            </w:r>
          </w:p>
        </w:tc>
      </w:tr>
      <w:tr>
        <w:trPr>
          <w:trHeight w:val="259"/>
        </w:trPr>
        <w:tc>
          <w:tcPr>
            <w:tcW w:w="2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c>
          <w:tcPr>
            <w:tcW w:w="3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60" w:type="dxa"/>
            <w:vAlign w:val="bottom"/>
          </w:tcPr>
          <w:p>
            <w:pPr>
              <w:spacing w:after="0"/>
              <w:rPr>
                <w:sz w:val="22"/>
                <w:szCs w:val="22"/>
                <w:color w:val="auto"/>
              </w:rPr>
            </w:pPr>
          </w:p>
        </w:tc>
      </w:tr>
      <w:tr>
        <w:trPr>
          <w:trHeight w:val="221"/>
        </w:trPr>
        <w:tc>
          <w:tcPr>
            <w:tcW w:w="5040" w:type="dxa"/>
            <w:vAlign w:val="bottom"/>
            <w:gridSpan w:val="3"/>
          </w:tcPr>
          <w:p>
            <w:pPr>
              <w:spacing w:after="0"/>
              <w:rPr>
                <w:sz w:val="20"/>
                <w:szCs w:val="20"/>
                <w:color w:val="auto"/>
              </w:rPr>
            </w:pPr>
            <w:r>
              <w:rPr>
                <w:rFonts w:ascii="Arial" w:cs="Arial" w:eastAsia="Arial" w:hAnsi="Arial"/>
                <w:sz w:val="18"/>
                <w:szCs w:val="18"/>
                <w:color w:val="auto"/>
              </w:rPr>
              <w:t>P. Roy Vagelos, M.D.</w:t>
            </w:r>
          </w:p>
        </w:tc>
        <w:tc>
          <w:tcPr>
            <w:tcW w:w="3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86"/>
        </w:trPr>
        <w:tc>
          <w:tcPr>
            <w:tcW w:w="5040" w:type="dxa"/>
            <w:vAlign w:val="bottom"/>
            <w:gridSpan w:val="3"/>
          </w:tcPr>
          <w:p>
            <w:pPr>
              <w:spacing w:after="0"/>
              <w:rPr>
                <w:sz w:val="20"/>
                <w:szCs w:val="20"/>
                <w:color w:val="auto"/>
              </w:rPr>
            </w:pPr>
            <w:r>
              <w:rPr>
                <w:rFonts w:ascii="Arial" w:cs="Arial" w:eastAsia="Arial" w:hAnsi="Arial"/>
                <w:sz w:val="18"/>
                <w:szCs w:val="18"/>
                <w:color w:val="auto"/>
              </w:rPr>
              <w:t>/s/ Charles A. Baker</w:t>
            </w:r>
          </w:p>
        </w:tc>
        <w:tc>
          <w:tcPr>
            <w:tcW w:w="6400" w:type="dxa"/>
            <w:vAlign w:val="bottom"/>
            <w:gridSpan w:val="3"/>
          </w:tcPr>
          <w:p>
            <w:pPr>
              <w:jc w:val="center"/>
              <w:ind w:left="1032"/>
              <w:spacing w:after="0"/>
              <w:rPr>
                <w:sz w:val="20"/>
                <w:szCs w:val="20"/>
                <w:color w:val="auto"/>
              </w:rPr>
            </w:pPr>
            <w:r>
              <w:rPr>
                <w:rFonts w:ascii="Arial" w:cs="Arial" w:eastAsia="Arial" w:hAnsi="Arial"/>
                <w:sz w:val="18"/>
                <w:szCs w:val="18"/>
                <w:color w:val="auto"/>
                <w:w w:val="95"/>
              </w:rPr>
              <w:t>Director</w:t>
            </w:r>
          </w:p>
        </w:tc>
      </w:tr>
      <w:tr>
        <w:trPr>
          <w:trHeight w:val="259"/>
        </w:trPr>
        <w:tc>
          <w:tcPr>
            <w:tcW w:w="2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c>
          <w:tcPr>
            <w:tcW w:w="3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60" w:type="dxa"/>
            <w:vAlign w:val="bottom"/>
          </w:tcPr>
          <w:p>
            <w:pPr>
              <w:spacing w:after="0"/>
              <w:rPr>
                <w:sz w:val="22"/>
                <w:szCs w:val="22"/>
                <w:color w:val="auto"/>
              </w:rPr>
            </w:pPr>
          </w:p>
        </w:tc>
      </w:tr>
      <w:tr>
        <w:trPr>
          <w:trHeight w:val="221"/>
        </w:trPr>
        <w:tc>
          <w:tcPr>
            <w:tcW w:w="5040" w:type="dxa"/>
            <w:vAlign w:val="bottom"/>
            <w:gridSpan w:val="3"/>
          </w:tcPr>
          <w:p>
            <w:pPr>
              <w:spacing w:after="0"/>
              <w:rPr>
                <w:sz w:val="20"/>
                <w:szCs w:val="20"/>
                <w:color w:val="auto"/>
              </w:rPr>
            </w:pPr>
            <w:r>
              <w:rPr>
                <w:rFonts w:ascii="Arial" w:cs="Arial" w:eastAsia="Arial" w:hAnsi="Arial"/>
                <w:sz w:val="18"/>
                <w:szCs w:val="18"/>
                <w:color w:val="auto"/>
              </w:rPr>
              <w:t>Charles A. Baker</w:t>
            </w:r>
          </w:p>
        </w:tc>
        <w:tc>
          <w:tcPr>
            <w:tcW w:w="3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86"/>
        </w:trPr>
        <w:tc>
          <w:tcPr>
            <w:tcW w:w="5040" w:type="dxa"/>
            <w:vAlign w:val="bottom"/>
            <w:gridSpan w:val="3"/>
          </w:tcPr>
          <w:p>
            <w:pPr>
              <w:spacing w:after="0"/>
              <w:rPr>
                <w:sz w:val="20"/>
                <w:szCs w:val="20"/>
                <w:color w:val="auto"/>
              </w:rPr>
            </w:pPr>
            <w:r>
              <w:rPr>
                <w:rFonts w:ascii="Arial" w:cs="Arial" w:eastAsia="Arial" w:hAnsi="Arial"/>
                <w:sz w:val="18"/>
                <w:szCs w:val="18"/>
                <w:color w:val="auto"/>
              </w:rPr>
              <w:t>/s/ Michael S. Brown</w:t>
            </w:r>
          </w:p>
        </w:tc>
        <w:tc>
          <w:tcPr>
            <w:tcW w:w="6400" w:type="dxa"/>
            <w:vAlign w:val="bottom"/>
            <w:gridSpan w:val="3"/>
          </w:tcPr>
          <w:p>
            <w:pPr>
              <w:jc w:val="center"/>
              <w:ind w:left="1032"/>
              <w:spacing w:after="0"/>
              <w:rPr>
                <w:sz w:val="20"/>
                <w:szCs w:val="20"/>
                <w:color w:val="auto"/>
              </w:rPr>
            </w:pPr>
            <w:r>
              <w:rPr>
                <w:rFonts w:ascii="Arial" w:cs="Arial" w:eastAsia="Arial" w:hAnsi="Arial"/>
                <w:sz w:val="18"/>
                <w:szCs w:val="18"/>
                <w:color w:val="auto"/>
                <w:w w:val="95"/>
              </w:rPr>
              <w:t>Director</w:t>
            </w:r>
          </w:p>
        </w:tc>
      </w:tr>
      <w:tr>
        <w:trPr>
          <w:trHeight w:val="259"/>
        </w:trPr>
        <w:tc>
          <w:tcPr>
            <w:tcW w:w="2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c>
          <w:tcPr>
            <w:tcW w:w="3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60" w:type="dxa"/>
            <w:vAlign w:val="bottom"/>
          </w:tcPr>
          <w:p>
            <w:pPr>
              <w:spacing w:after="0"/>
              <w:rPr>
                <w:sz w:val="22"/>
                <w:szCs w:val="22"/>
                <w:color w:val="auto"/>
              </w:rPr>
            </w:pPr>
          </w:p>
        </w:tc>
      </w:tr>
      <w:tr>
        <w:trPr>
          <w:trHeight w:val="221"/>
        </w:trPr>
        <w:tc>
          <w:tcPr>
            <w:tcW w:w="5040" w:type="dxa"/>
            <w:vAlign w:val="bottom"/>
            <w:gridSpan w:val="3"/>
          </w:tcPr>
          <w:p>
            <w:pPr>
              <w:spacing w:after="0"/>
              <w:rPr>
                <w:sz w:val="20"/>
                <w:szCs w:val="20"/>
                <w:color w:val="auto"/>
              </w:rPr>
            </w:pPr>
            <w:r>
              <w:rPr>
                <w:rFonts w:ascii="Arial" w:cs="Arial" w:eastAsia="Arial" w:hAnsi="Arial"/>
                <w:sz w:val="18"/>
                <w:szCs w:val="18"/>
                <w:color w:val="auto"/>
              </w:rPr>
              <w:t>Michael S. Brown, M.D.</w:t>
            </w:r>
          </w:p>
        </w:tc>
        <w:tc>
          <w:tcPr>
            <w:tcW w:w="3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86"/>
        </w:trPr>
        <w:tc>
          <w:tcPr>
            <w:tcW w:w="5040" w:type="dxa"/>
            <w:vAlign w:val="bottom"/>
            <w:gridSpan w:val="3"/>
          </w:tcPr>
          <w:p>
            <w:pPr>
              <w:spacing w:after="0"/>
              <w:rPr>
                <w:sz w:val="20"/>
                <w:szCs w:val="20"/>
                <w:color w:val="auto"/>
              </w:rPr>
            </w:pPr>
            <w:r>
              <w:rPr>
                <w:rFonts w:ascii="Arial" w:cs="Arial" w:eastAsia="Arial" w:hAnsi="Arial"/>
                <w:sz w:val="18"/>
                <w:szCs w:val="18"/>
                <w:color w:val="auto"/>
              </w:rPr>
              <w:t>/s/ Alfred G. Gilman</w:t>
            </w:r>
          </w:p>
        </w:tc>
        <w:tc>
          <w:tcPr>
            <w:tcW w:w="6400" w:type="dxa"/>
            <w:vAlign w:val="bottom"/>
            <w:gridSpan w:val="3"/>
          </w:tcPr>
          <w:p>
            <w:pPr>
              <w:jc w:val="center"/>
              <w:ind w:left="1032"/>
              <w:spacing w:after="0"/>
              <w:rPr>
                <w:sz w:val="20"/>
                <w:szCs w:val="20"/>
                <w:color w:val="auto"/>
              </w:rPr>
            </w:pPr>
            <w:r>
              <w:rPr>
                <w:rFonts w:ascii="Arial" w:cs="Arial" w:eastAsia="Arial" w:hAnsi="Arial"/>
                <w:sz w:val="18"/>
                <w:szCs w:val="18"/>
                <w:color w:val="auto"/>
                <w:w w:val="95"/>
              </w:rPr>
              <w:t>Director</w:t>
            </w:r>
          </w:p>
        </w:tc>
      </w:tr>
      <w:tr>
        <w:trPr>
          <w:trHeight w:val="259"/>
        </w:trPr>
        <w:tc>
          <w:tcPr>
            <w:tcW w:w="2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c>
          <w:tcPr>
            <w:tcW w:w="3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60" w:type="dxa"/>
            <w:vAlign w:val="bottom"/>
          </w:tcPr>
          <w:p>
            <w:pPr>
              <w:spacing w:after="0"/>
              <w:rPr>
                <w:sz w:val="22"/>
                <w:szCs w:val="22"/>
                <w:color w:val="auto"/>
              </w:rPr>
            </w:pPr>
          </w:p>
        </w:tc>
      </w:tr>
      <w:tr>
        <w:trPr>
          <w:trHeight w:val="221"/>
        </w:trPr>
        <w:tc>
          <w:tcPr>
            <w:tcW w:w="5040" w:type="dxa"/>
            <w:vAlign w:val="bottom"/>
            <w:gridSpan w:val="3"/>
          </w:tcPr>
          <w:p>
            <w:pPr>
              <w:spacing w:after="0"/>
              <w:rPr>
                <w:sz w:val="20"/>
                <w:szCs w:val="20"/>
                <w:color w:val="auto"/>
              </w:rPr>
            </w:pPr>
            <w:r>
              <w:rPr>
                <w:rFonts w:ascii="Arial" w:cs="Arial" w:eastAsia="Arial" w:hAnsi="Arial"/>
                <w:sz w:val="18"/>
                <w:szCs w:val="18"/>
                <w:color w:val="auto"/>
              </w:rPr>
              <w:t>Alfred G. Gilman, M.D., Ph.D.</w:t>
            </w:r>
          </w:p>
        </w:tc>
        <w:tc>
          <w:tcPr>
            <w:tcW w:w="3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86"/>
        </w:trPr>
        <w:tc>
          <w:tcPr>
            <w:tcW w:w="5040" w:type="dxa"/>
            <w:vAlign w:val="bottom"/>
            <w:gridSpan w:val="3"/>
          </w:tcPr>
          <w:p>
            <w:pPr>
              <w:spacing w:after="0"/>
              <w:rPr>
                <w:sz w:val="20"/>
                <w:szCs w:val="20"/>
                <w:color w:val="auto"/>
              </w:rPr>
            </w:pPr>
            <w:r>
              <w:rPr>
                <w:rFonts w:ascii="Arial" w:cs="Arial" w:eastAsia="Arial" w:hAnsi="Arial"/>
                <w:sz w:val="18"/>
                <w:szCs w:val="18"/>
                <w:color w:val="auto"/>
              </w:rPr>
              <w:t>/s/ Joseph L. Goldstein</w:t>
            </w:r>
          </w:p>
        </w:tc>
        <w:tc>
          <w:tcPr>
            <w:tcW w:w="6400" w:type="dxa"/>
            <w:vAlign w:val="bottom"/>
            <w:gridSpan w:val="3"/>
          </w:tcPr>
          <w:p>
            <w:pPr>
              <w:jc w:val="center"/>
              <w:ind w:left="1032"/>
              <w:spacing w:after="0"/>
              <w:rPr>
                <w:sz w:val="20"/>
                <w:szCs w:val="20"/>
                <w:color w:val="auto"/>
              </w:rPr>
            </w:pPr>
            <w:r>
              <w:rPr>
                <w:rFonts w:ascii="Arial" w:cs="Arial" w:eastAsia="Arial" w:hAnsi="Arial"/>
                <w:sz w:val="18"/>
                <w:szCs w:val="18"/>
                <w:color w:val="auto"/>
                <w:w w:val="95"/>
              </w:rPr>
              <w:t>Director</w:t>
            </w:r>
          </w:p>
        </w:tc>
      </w:tr>
      <w:tr>
        <w:trPr>
          <w:trHeight w:val="259"/>
        </w:trPr>
        <w:tc>
          <w:tcPr>
            <w:tcW w:w="2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c>
          <w:tcPr>
            <w:tcW w:w="3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60" w:type="dxa"/>
            <w:vAlign w:val="bottom"/>
          </w:tcPr>
          <w:p>
            <w:pPr>
              <w:spacing w:after="0"/>
              <w:rPr>
                <w:sz w:val="22"/>
                <w:szCs w:val="22"/>
                <w:color w:val="auto"/>
              </w:rPr>
            </w:pPr>
          </w:p>
        </w:tc>
      </w:tr>
      <w:tr>
        <w:trPr>
          <w:trHeight w:val="221"/>
        </w:trPr>
        <w:tc>
          <w:tcPr>
            <w:tcW w:w="5040" w:type="dxa"/>
            <w:vAlign w:val="bottom"/>
            <w:gridSpan w:val="3"/>
          </w:tcPr>
          <w:p>
            <w:pPr>
              <w:spacing w:after="0"/>
              <w:rPr>
                <w:sz w:val="20"/>
                <w:szCs w:val="20"/>
                <w:color w:val="auto"/>
              </w:rPr>
            </w:pPr>
            <w:r>
              <w:rPr>
                <w:rFonts w:ascii="Arial" w:cs="Arial" w:eastAsia="Arial" w:hAnsi="Arial"/>
                <w:sz w:val="18"/>
                <w:szCs w:val="18"/>
                <w:color w:val="auto"/>
              </w:rPr>
              <w:t>Joseph L. Goldstein, M.D.</w:t>
            </w:r>
          </w:p>
        </w:tc>
        <w:tc>
          <w:tcPr>
            <w:tcW w:w="3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86"/>
        </w:trPr>
        <w:tc>
          <w:tcPr>
            <w:tcW w:w="5040" w:type="dxa"/>
            <w:vAlign w:val="bottom"/>
            <w:gridSpan w:val="3"/>
          </w:tcPr>
          <w:p>
            <w:pPr>
              <w:spacing w:after="0"/>
              <w:rPr>
                <w:sz w:val="20"/>
                <w:szCs w:val="20"/>
                <w:color w:val="auto"/>
              </w:rPr>
            </w:pPr>
            <w:r>
              <w:rPr>
                <w:rFonts w:ascii="Arial" w:cs="Arial" w:eastAsia="Arial" w:hAnsi="Arial"/>
                <w:sz w:val="18"/>
                <w:szCs w:val="18"/>
                <w:color w:val="auto"/>
              </w:rPr>
              <w:t>/s/ Arthur F. Ryan</w:t>
            </w:r>
          </w:p>
        </w:tc>
        <w:tc>
          <w:tcPr>
            <w:tcW w:w="6400" w:type="dxa"/>
            <w:vAlign w:val="bottom"/>
            <w:gridSpan w:val="3"/>
          </w:tcPr>
          <w:p>
            <w:pPr>
              <w:jc w:val="center"/>
              <w:ind w:left="1032"/>
              <w:spacing w:after="0"/>
              <w:rPr>
                <w:sz w:val="20"/>
                <w:szCs w:val="20"/>
                <w:color w:val="auto"/>
              </w:rPr>
            </w:pPr>
            <w:r>
              <w:rPr>
                <w:rFonts w:ascii="Arial" w:cs="Arial" w:eastAsia="Arial" w:hAnsi="Arial"/>
                <w:sz w:val="18"/>
                <w:szCs w:val="18"/>
                <w:color w:val="auto"/>
                <w:w w:val="95"/>
              </w:rPr>
              <w:t>Director</w:t>
            </w:r>
          </w:p>
        </w:tc>
      </w:tr>
      <w:tr>
        <w:trPr>
          <w:trHeight w:val="259"/>
        </w:trPr>
        <w:tc>
          <w:tcPr>
            <w:tcW w:w="2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c>
          <w:tcPr>
            <w:tcW w:w="3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60" w:type="dxa"/>
            <w:vAlign w:val="bottom"/>
          </w:tcPr>
          <w:p>
            <w:pPr>
              <w:spacing w:after="0"/>
              <w:rPr>
                <w:sz w:val="22"/>
                <w:szCs w:val="22"/>
                <w:color w:val="auto"/>
              </w:rPr>
            </w:pPr>
          </w:p>
        </w:tc>
      </w:tr>
      <w:tr>
        <w:trPr>
          <w:trHeight w:val="221"/>
        </w:trPr>
        <w:tc>
          <w:tcPr>
            <w:tcW w:w="5040" w:type="dxa"/>
            <w:vAlign w:val="bottom"/>
            <w:gridSpan w:val="3"/>
          </w:tcPr>
          <w:p>
            <w:pPr>
              <w:spacing w:after="0"/>
              <w:rPr>
                <w:sz w:val="20"/>
                <w:szCs w:val="20"/>
                <w:color w:val="auto"/>
              </w:rPr>
            </w:pPr>
            <w:r>
              <w:rPr>
                <w:rFonts w:ascii="Arial" w:cs="Arial" w:eastAsia="Arial" w:hAnsi="Arial"/>
                <w:sz w:val="18"/>
                <w:szCs w:val="18"/>
                <w:color w:val="auto"/>
              </w:rPr>
              <w:t>Arthur F. Ryan</w:t>
            </w:r>
          </w:p>
        </w:tc>
        <w:tc>
          <w:tcPr>
            <w:tcW w:w="3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86"/>
        </w:trPr>
        <w:tc>
          <w:tcPr>
            <w:tcW w:w="5040" w:type="dxa"/>
            <w:vAlign w:val="bottom"/>
            <w:gridSpan w:val="3"/>
          </w:tcPr>
          <w:p>
            <w:pPr>
              <w:spacing w:after="0"/>
              <w:rPr>
                <w:sz w:val="20"/>
                <w:szCs w:val="20"/>
                <w:color w:val="auto"/>
              </w:rPr>
            </w:pPr>
            <w:r>
              <w:rPr>
                <w:rFonts w:ascii="Arial" w:cs="Arial" w:eastAsia="Arial" w:hAnsi="Arial"/>
                <w:sz w:val="18"/>
                <w:szCs w:val="18"/>
                <w:color w:val="auto"/>
              </w:rPr>
              <w:t>/s/ Eric M. Shooter</w:t>
            </w:r>
          </w:p>
        </w:tc>
        <w:tc>
          <w:tcPr>
            <w:tcW w:w="6400" w:type="dxa"/>
            <w:vAlign w:val="bottom"/>
            <w:gridSpan w:val="3"/>
          </w:tcPr>
          <w:p>
            <w:pPr>
              <w:jc w:val="center"/>
              <w:ind w:left="1032"/>
              <w:spacing w:after="0"/>
              <w:rPr>
                <w:sz w:val="20"/>
                <w:szCs w:val="20"/>
                <w:color w:val="auto"/>
              </w:rPr>
            </w:pPr>
            <w:r>
              <w:rPr>
                <w:rFonts w:ascii="Arial" w:cs="Arial" w:eastAsia="Arial" w:hAnsi="Arial"/>
                <w:sz w:val="18"/>
                <w:szCs w:val="18"/>
                <w:color w:val="auto"/>
                <w:w w:val="95"/>
              </w:rPr>
              <w:t>Director</w:t>
            </w:r>
          </w:p>
        </w:tc>
      </w:tr>
      <w:tr>
        <w:trPr>
          <w:trHeight w:val="259"/>
        </w:trPr>
        <w:tc>
          <w:tcPr>
            <w:tcW w:w="2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c>
          <w:tcPr>
            <w:tcW w:w="3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60" w:type="dxa"/>
            <w:vAlign w:val="bottom"/>
          </w:tcPr>
          <w:p>
            <w:pPr>
              <w:spacing w:after="0"/>
              <w:rPr>
                <w:sz w:val="22"/>
                <w:szCs w:val="22"/>
                <w:color w:val="auto"/>
              </w:rPr>
            </w:pPr>
          </w:p>
        </w:tc>
      </w:tr>
      <w:tr>
        <w:trPr>
          <w:trHeight w:val="221"/>
        </w:trPr>
        <w:tc>
          <w:tcPr>
            <w:tcW w:w="5040" w:type="dxa"/>
            <w:vAlign w:val="bottom"/>
            <w:gridSpan w:val="3"/>
          </w:tcPr>
          <w:p>
            <w:pPr>
              <w:spacing w:after="0"/>
              <w:rPr>
                <w:sz w:val="20"/>
                <w:szCs w:val="20"/>
                <w:color w:val="auto"/>
              </w:rPr>
            </w:pPr>
            <w:r>
              <w:rPr>
                <w:rFonts w:ascii="Arial" w:cs="Arial" w:eastAsia="Arial" w:hAnsi="Arial"/>
                <w:sz w:val="18"/>
                <w:szCs w:val="18"/>
                <w:color w:val="auto"/>
              </w:rPr>
              <w:t>Eric M. Shooter, Ph.D.</w:t>
            </w:r>
          </w:p>
        </w:tc>
        <w:tc>
          <w:tcPr>
            <w:tcW w:w="3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86"/>
        </w:trPr>
        <w:tc>
          <w:tcPr>
            <w:tcW w:w="5040" w:type="dxa"/>
            <w:vAlign w:val="bottom"/>
            <w:gridSpan w:val="3"/>
          </w:tcPr>
          <w:p>
            <w:pPr>
              <w:spacing w:after="0"/>
              <w:rPr>
                <w:sz w:val="20"/>
                <w:szCs w:val="20"/>
                <w:color w:val="auto"/>
              </w:rPr>
            </w:pPr>
            <w:r>
              <w:rPr>
                <w:rFonts w:ascii="Arial" w:cs="Arial" w:eastAsia="Arial" w:hAnsi="Arial"/>
                <w:sz w:val="18"/>
                <w:szCs w:val="18"/>
                <w:color w:val="auto"/>
              </w:rPr>
              <w:t>/s/ George L. Sing</w:t>
            </w:r>
          </w:p>
        </w:tc>
        <w:tc>
          <w:tcPr>
            <w:tcW w:w="6400" w:type="dxa"/>
            <w:vAlign w:val="bottom"/>
            <w:gridSpan w:val="3"/>
          </w:tcPr>
          <w:p>
            <w:pPr>
              <w:jc w:val="center"/>
              <w:ind w:left="1032"/>
              <w:spacing w:after="0"/>
              <w:rPr>
                <w:sz w:val="20"/>
                <w:szCs w:val="20"/>
                <w:color w:val="auto"/>
              </w:rPr>
            </w:pPr>
            <w:r>
              <w:rPr>
                <w:rFonts w:ascii="Arial" w:cs="Arial" w:eastAsia="Arial" w:hAnsi="Arial"/>
                <w:sz w:val="18"/>
                <w:szCs w:val="18"/>
                <w:color w:val="auto"/>
                <w:w w:val="95"/>
              </w:rPr>
              <w:t>Director</w:t>
            </w:r>
          </w:p>
        </w:tc>
      </w:tr>
      <w:tr>
        <w:trPr>
          <w:trHeight w:val="259"/>
        </w:trPr>
        <w:tc>
          <w:tcPr>
            <w:tcW w:w="2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c>
          <w:tcPr>
            <w:tcW w:w="3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60" w:type="dxa"/>
            <w:vAlign w:val="bottom"/>
          </w:tcPr>
          <w:p>
            <w:pPr>
              <w:spacing w:after="0"/>
              <w:rPr>
                <w:sz w:val="22"/>
                <w:szCs w:val="22"/>
                <w:color w:val="auto"/>
              </w:rPr>
            </w:pPr>
          </w:p>
        </w:tc>
      </w:tr>
      <w:tr>
        <w:trPr>
          <w:trHeight w:val="221"/>
        </w:trPr>
        <w:tc>
          <w:tcPr>
            <w:tcW w:w="5040" w:type="dxa"/>
            <w:vAlign w:val="bottom"/>
            <w:gridSpan w:val="3"/>
          </w:tcPr>
          <w:p>
            <w:pPr>
              <w:spacing w:after="0"/>
              <w:rPr>
                <w:sz w:val="20"/>
                <w:szCs w:val="20"/>
                <w:color w:val="auto"/>
              </w:rPr>
            </w:pPr>
            <w:r>
              <w:rPr>
                <w:rFonts w:ascii="Arial" w:cs="Arial" w:eastAsia="Arial" w:hAnsi="Arial"/>
                <w:sz w:val="18"/>
                <w:szCs w:val="18"/>
                <w:color w:val="auto"/>
              </w:rPr>
              <w:t>George L. Sing</w:t>
            </w:r>
          </w:p>
        </w:tc>
        <w:tc>
          <w:tcPr>
            <w:tcW w:w="3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77"/>
        </w:trPr>
        <w:tc>
          <w:tcPr>
            <w:tcW w:w="21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08" w:right="21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8"/>
          <w:szCs w:val="18"/>
          <w:b w:val="1"/>
          <w:bCs w:val="1"/>
          <w:color w:val="auto"/>
        </w:rPr>
        <w:t>EXHIBIT INDEX</w:t>
      </w: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Regeneron Pharmaceuticals, Inc.</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36"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6"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filed February 11, 2008 with the New York Secretary of State (1)</w:t>
      </w:r>
    </w:p>
    <w:p>
      <w:pPr>
        <w:spacing w:after="0" w:line="36"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By-Laws of the Company, currently in effect (amended through November 9, 2007)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Common Stock certificate (3)</w:t>
      </w:r>
    </w:p>
    <w:p>
      <w:pPr>
        <w:spacing w:after="0" w:line="36"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w:t>
      </w:r>
    </w:p>
    <w:p>
      <w:pPr>
        <w:spacing w:after="0" w:line="36"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Skadden, Arps, Slate, Meagher &amp; Flom LLP (contained in the opinion filed as Exhibit 5.1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340" w:right="4640" w:firstLine="127"/>
        <w:spacing w:after="0" w:line="269" w:lineRule="auto"/>
        <w:tabs>
          <w:tab w:leader="none" w:pos="917" w:val="left"/>
        </w:tabs>
        <w:numPr>
          <w:ilvl w:val="0"/>
          <w:numId w:val="2"/>
        </w:numPr>
        <w:rPr>
          <w:rFonts w:ascii="Arial" w:cs="Arial" w:eastAsia="Arial" w:hAnsi="Arial"/>
          <w:sz w:val="18"/>
          <w:szCs w:val="18"/>
          <w:color w:val="auto"/>
        </w:rPr>
      </w:pPr>
      <w:r>
        <w:rPr>
          <w:rFonts w:ascii="Arial" w:cs="Arial" w:eastAsia="Arial" w:hAnsi="Arial"/>
          <w:sz w:val="18"/>
          <w:szCs w:val="18"/>
          <w:color w:val="auto"/>
        </w:rPr>
        <w:t>Power of Attorney (included on the signature page of this Registration Statement) 99.1 Amended and Restated 2000 Long-Term Incentive Plan (4)</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254"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Incorporated by reference to Annual Report on Form 10-K for the fiscal year ended December 31, 2007 filed with the Commission on February 27, 2008.</w:t>
      </w:r>
    </w:p>
    <w:p>
      <w:pPr>
        <w:spacing w:after="0" w:line="275" w:lineRule="exact"/>
        <w:rPr>
          <w:rFonts w:ascii="Arial" w:cs="Arial" w:eastAsia="Arial" w:hAnsi="Arial"/>
          <w:sz w:val="16"/>
          <w:szCs w:val="16"/>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with the Commission on November 13, 2007.</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Exhibit (a) to Registration Statement on Form 8-A filed with the Commission on February 20, 1991.</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with the Commission on June 17,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611"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[Skadden, Arps, Slate, Meagher &amp; Flom LLP New York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24,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10591-6707</w:t>
      </w:r>
    </w:p>
    <w:p>
      <w:pPr>
        <w:spacing w:after="0" w:line="2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9" w:lineRule="exact"/>
        <w:rPr>
          <w:sz w:val="20"/>
          <w:szCs w:val="20"/>
          <w:color w:val="auto"/>
        </w:rPr>
      </w:pPr>
    </w:p>
    <w:p>
      <w:pPr>
        <w:ind w:right="20" w:firstLine="270"/>
        <w:spacing w:after="0" w:line="309" w:lineRule="auto"/>
        <w:rPr>
          <w:sz w:val="20"/>
          <w:szCs w:val="20"/>
          <w:color w:val="auto"/>
        </w:rPr>
      </w:pPr>
      <w:r>
        <w:rPr>
          <w:rFonts w:ascii="Arial" w:cs="Arial" w:eastAsia="Arial" w:hAnsi="Arial"/>
          <w:sz w:val="15"/>
          <w:szCs w:val="15"/>
          <w:color w:val="auto"/>
        </w:rPr>
        <w:t>We have acted as special counsel to Regeneron Pharmaceuticals, Inc., a New York corporation (the "Company"), in connection with the preparation of the Company’s Registration Statement on Form S-8 in the form to be filed with the Securities and Exchange Commission (the “Commission”) on the date hereof (the “Registration Statement”) for the purpose of registering with the Commission, under the Securities Act of 1933, as amended (the “Securities Act”), the issuance of an additional aggregate of 490,832 shares (the “Additional Shares”) of the Company’s common stock, par value $0.001 per share (the “Common Stock”), authorized for issuance under the Company’s Amended and Restated 2000 Long-Term Incentive Plan (the “200 0 Plan”). The Registration Statement also covers up to 3,979 additional shares of Common Stock subject to outstanding awards granted under the Company’s 1990 Long-Term Incentive Plan, as amended and restated (the “1990 Plan”), to the extent that, after the date hereof, such awards are forfeited, expire, or are cancelled without delivery of any shares of Common Stock (the “Carry Over Shares” and, together with the Additional Shares, the “Shares”). Under the terms of the 2000 Plan, upon and to the extent of such forfeiture, expiration or cancellation of such awards under the 1990 Plan, the Carry Over Shares will become available for issuance under the 2000 Plan.</w:t>
      </w:r>
    </w:p>
    <w:p>
      <w:pPr>
        <w:spacing w:after="0" w:line="2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w:t>
      </w:r>
    </w:p>
    <w:p>
      <w:pPr>
        <w:spacing w:after="0" w:line="279"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In connection with this opinion, we have examined and relied on originals or copies, certified or otherwise identified to our satisfaction, of (i) the Registration Statement; (ii) the 1990 Plan, (iii) the 2000 Plan; (iv) the Restated Certificate of Incorporation of the Company as currently in effect, certified by the Secretary of the Company; (v) the By-Laws of the Company as currently in effect, certified by the Secretary of the Company; (vi) a specimen certificate representing the Common Stock; (vii) certain resolutions adopted on June 13, 2008 by the Board of Directors of the Company relating to the 2000 Plan; (viii) certain resolutions duly adopted on June 13, 2008 by the shareholders of the Company relating to the 2000 Plan as certi fied by the Inspector of Elections of the Company’s 2008 Annual Meeting of Shareholders; and (ix) certain resolutions adopted on September 16, 2010 by the Board of Directors of the Company relating to the Shares, the filing of the Registration Statement and certain related matters. We have also examined originals or copies, certified or otherwise identified to our satisfaction, of such records of the Company and such other documents, certificates and records as we have deemed necessary or appropriate as a basis for the opinion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73"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In making our examination of executed documents, we have assumed that the parties thereto, other than the Company, had the power, corporate or other, to enter into and perform all obligations thereunder and we have also assumed the due authorization by all requisite action, corporate or other, and execution and delivery by such parties of such documents and the validity and binding effect thereof on such parties. As to any facts material to the opinion exp ressed herein which we have not independently established or verified, we have relied upon statements and representations of officers and other representatives of the Company and others.</w:t>
      </w:r>
    </w:p>
    <w:p>
      <w:pPr>
        <w:spacing w:after="0" w:line="226" w:lineRule="exact"/>
        <w:rPr>
          <w:sz w:val="20"/>
          <w:szCs w:val="20"/>
          <w:color w:val="auto"/>
        </w:rPr>
      </w:pPr>
    </w:p>
    <w:p>
      <w:pPr>
        <w:ind w:right="40" w:firstLine="270"/>
        <w:spacing w:after="0" w:line="254" w:lineRule="auto"/>
        <w:rPr>
          <w:sz w:val="20"/>
          <w:szCs w:val="20"/>
          <w:color w:val="auto"/>
        </w:rPr>
      </w:pPr>
      <w:r>
        <w:rPr>
          <w:rFonts w:ascii="Arial" w:cs="Arial" w:eastAsia="Arial" w:hAnsi="Arial"/>
          <w:sz w:val="18"/>
          <w:szCs w:val="18"/>
          <w:color w:val="auto"/>
        </w:rPr>
        <w:t>In rendering the opinion set forth below, we have assumed that the certificates representing the Shares will be manually signed by one of the authorized officers of the transfer agent and registrar for the Common Stock and registered by such transfer agent and registrar and will conform to the specimen thereof examined by us. We have also assumed that each award agreement setting forth the terms of each grant of options exercisable for Shares or other award of Shares under the 2000 Plan will be consistent with the 2000 Plan, duly authorized, and if applicable, validly executed and delivered by the parties thereto, and that the Shares subject to such grants or awards will be issued in accordance with the terms of the 2000 Plan for consideration in an amount at least equal to the par value of such Shares.</w:t>
      </w:r>
    </w:p>
    <w:p>
      <w:pPr>
        <w:spacing w:after="0" w:line="252" w:lineRule="exact"/>
        <w:rPr>
          <w:sz w:val="20"/>
          <w:szCs w:val="20"/>
          <w:color w:val="auto"/>
        </w:rPr>
      </w:pPr>
    </w:p>
    <w:p>
      <w:pPr>
        <w:ind w:right="40" w:firstLine="270"/>
        <w:spacing w:after="0" w:line="268" w:lineRule="auto"/>
        <w:rPr>
          <w:sz w:val="20"/>
          <w:szCs w:val="20"/>
          <w:color w:val="auto"/>
        </w:rPr>
      </w:pPr>
      <w:r>
        <w:rPr>
          <w:rFonts w:ascii="Arial" w:cs="Arial" w:eastAsia="Arial" w:hAnsi="Arial"/>
          <w:sz w:val="18"/>
          <w:szCs w:val="18"/>
          <w:color w:val="auto"/>
        </w:rPr>
        <w:t>Members of our firm are admitted to the Bar in the State of New York. We do not express any opinion as to the laws of any jurisdiction other than the State of New York, and we do not express any opinion as to the effect of any other laws on the opinion stated herein.</w:t>
      </w:r>
    </w:p>
    <w:p>
      <w:pPr>
        <w:spacing w:after="0" w:line="240"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Based upon the foregoing and subject to the limitations, qualifications, exceptions and assumptions set forth herein, we are of the opinion that the Shares have been duly authorized for issuance by the Company and, when such Shares are issued, delivered and paid for in full in accordance with the terms and conditions of the 2000 Plan and any applicable award agreement, such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7"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73"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In giving this consent, we do not thereby admit that we are included in the category of persons whose consent is required under Section 7 of the Securities Act or the rules and regulations of the Commission promulgated thereunder.</w:t>
      </w:r>
    </w:p>
    <w:p>
      <w:pPr>
        <w:spacing w:after="0" w:line="23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060"/>
          </w:cols>
          <w:pgMar w:left="240" w:top="617" w:right="59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23.1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February 18, 2010 relating to the financial statements and the effectiveness of internal control over financial reporting, which appears in Regeneron Pharmaceutical Inc.’s Annual Report on Form 10-K for the year ended December 31,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2019-12-10T09:38:32Z</dcterms:created>
  <dcterms:modified xsi:type="dcterms:W3CDTF">2019-12-10T09:38:32Z</dcterms:modified>
</cp:coreProperties>
</file>