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512"/>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t>SCHEDULE TO</w:t>
      </w:r>
    </w:p>
    <w:p>
      <w:pPr>
        <w:spacing w:after="0" w:line="40"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Tender Offer Statement Pursuant to Section 14(d)(1) or 13(e)(1)</w:t>
      </w:r>
    </w:p>
    <w:p>
      <w:pPr>
        <w:spacing w:after="0" w:line="7"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t>CHECKMATE PHARMACEUTICALS, INC.</w:t>
      </w:r>
    </w:p>
    <w:p>
      <w:pPr>
        <w:spacing w:after="0" w:line="40"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194"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t>SCANDINAVIAN ACQUISITION SUB, INC.</w:t>
      </w:r>
    </w:p>
    <w:p>
      <w:pPr>
        <w:spacing w:after="0" w:line="40"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194"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t>REGENERON PHARMACEUTICALS, INC.</w:t>
      </w:r>
    </w:p>
    <w:p>
      <w:pPr>
        <w:spacing w:after="0" w:line="40"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7"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(Names of Filing Persons)</w:t>
      </w:r>
    </w:p>
    <w:p>
      <w:pPr>
        <w:spacing w:after="0" w:line="203"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162818108</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3"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Joseph J. LaRosa, Esq.</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777 Old Saw Mill River Road</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Tarrytown, New York 10591-6707</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(914) 847-7000</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 on Behalf of Filing Persons)</w:t>
      </w:r>
    </w:p>
    <w:p>
      <w:pPr>
        <w:spacing w:after="0" w:line="214"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r>
        <w:rPr>
          <w:rFonts w:ascii="Times New Roman" w:cs="Times New Roman" w:eastAsia="Times New Roman" w:hAnsi="Times New Roman"/>
          <w:sz w:val="18"/>
          <w:szCs w:val="18"/>
          <w:color w:val="auto"/>
        </w:rPr>
        <w:t>:</w:t>
      </w:r>
    </w:p>
    <w:p>
      <w:pPr>
        <w:spacing w:after="0" w:line="225"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Andrew R. Brownstein, Esq.</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Victor Goldfeld, Esq.</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John L. Robinson, Esq.</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Wachtell, Lipton, Rosen &amp; Katz</w:t>
      </w:r>
    </w:p>
    <w:p>
      <w:pPr>
        <w:jc w:val="center"/>
        <w:ind w:right="-591"/>
        <w:spacing w:after="0" w:line="192" w:lineRule="auto"/>
        <w:rPr>
          <w:sz w:val="20"/>
          <w:szCs w:val="20"/>
          <w:color w:val="auto"/>
        </w:rPr>
      </w:pPr>
      <w:r>
        <w:rPr>
          <w:rFonts w:ascii="Times New Roman" w:cs="Times New Roman" w:eastAsia="Times New Roman" w:hAnsi="Times New Roman"/>
          <w:sz w:val="18"/>
          <w:szCs w:val="18"/>
          <w:b w:val="1"/>
          <w:bCs w:val="1"/>
          <w:color w:val="auto"/>
        </w:rPr>
        <w:t>51 West 52</w:t>
      </w:r>
      <w:r>
        <w:rPr>
          <w:rFonts w:ascii="Times New Roman" w:cs="Times New Roman" w:eastAsia="Times New Roman" w:hAnsi="Times New Roman"/>
          <w:sz w:val="29"/>
          <w:szCs w:val="29"/>
          <w:b w:val="1"/>
          <w:bCs w:val="1"/>
          <w:color w:val="auto"/>
          <w:vertAlign w:val="superscript"/>
        </w:rPr>
        <w:t>nd</w:t>
      </w:r>
      <w:r>
        <w:rPr>
          <w:rFonts w:ascii="Times New Roman" w:cs="Times New Roman" w:eastAsia="Times New Roman" w:hAnsi="Times New Roman"/>
          <w:sz w:val="18"/>
          <w:szCs w:val="18"/>
          <w:b w:val="1"/>
          <w:bCs w:val="1"/>
          <w:color w:val="auto"/>
        </w:rPr>
        <w:t xml:space="preserve"> Street</w:t>
      </w: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New York, NY 10019</w:t>
      </w:r>
    </w:p>
    <w:p>
      <w:pPr>
        <w:spacing w:after="0" w:line="7"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(212) 403-1000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142875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332" w:right="1520" w:hanging="332"/>
        <w:spacing w:after="0" w:line="484" w:lineRule="auto"/>
        <w:tabs>
          <w:tab w:leader="none" w:pos="33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29" w:lineRule="exact"/>
        <w:rPr>
          <w:sz w:val="24"/>
          <w:szCs w:val="24"/>
          <w:color w:val="auto"/>
        </w:rPr>
      </w:pPr>
    </w:p>
    <w:p>
      <w:pPr>
        <w:ind w:left="652" w:right="6400" w:hanging="4"/>
        <w:spacing w:after="0" w:line="462" w:lineRule="auto"/>
        <w:tabs>
          <w:tab w:leader="none" w:pos="976"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third-party tender offer subject to Rule 14d-1. o issuer tender offer subject to Rule 13e-4.</w:t>
      </w:r>
    </w:p>
    <w:p>
      <w:pPr>
        <w:spacing w:after="0" w:line="1" w:lineRule="exact"/>
        <w:rPr>
          <w:rFonts w:ascii="Arial" w:cs="Arial" w:eastAsia="Arial" w:hAnsi="Arial"/>
          <w:sz w:val="18"/>
          <w:szCs w:val="18"/>
          <w:color w:val="auto"/>
        </w:rPr>
      </w:pPr>
    </w:p>
    <w:p>
      <w:pPr>
        <w:jc w:val="both"/>
        <w:ind w:left="652" w:right="6240"/>
        <w:spacing w:after="0" w:line="532" w:lineRule="auto"/>
        <w:rPr>
          <w:rFonts w:ascii="Arial" w:cs="Arial" w:eastAsia="Arial" w:hAnsi="Arial"/>
          <w:sz w:val="18"/>
          <w:szCs w:val="18"/>
          <w:color w:val="auto"/>
        </w:rPr>
      </w:pPr>
      <w:r>
        <w:rPr>
          <w:rFonts w:ascii="Times New Roman" w:cs="Times New Roman" w:eastAsia="Times New Roman" w:hAnsi="Times New Roman"/>
          <w:sz w:val="18"/>
          <w:szCs w:val="18"/>
          <w:color w:val="auto"/>
        </w:rPr>
        <w:t>o going-private transaction subject to Rule 13e-3. o amendment to Schedule 13D under Rule 13d-2.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972" w:hanging="324"/>
        <w:spacing w:after="0"/>
        <w:tabs>
          <w:tab w:leader="none" w:pos="9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471805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52"/>
          </w:cols>
          <w:pgMar w:left="328" w:top="745" w:right="919" w:bottom="866" w:gutter="0" w:footer="0" w:header="0"/>
        </w:sectPr>
      </w:pPr>
    </w:p>
    <w:bookmarkStart w:id="1" w:name="page2"/>
    <w:bookmarkEnd w:id="1"/>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This Amendment No. 1 (this “Amendment”) amends and supplements the Tender Offer Statement on Schedule TO filed by Scandinavian Acquisition Sub, Inc., a Delaware corporation (“Purchaser”) and a wholly owned subsidiary of Regeneron Pharmaceuticals, Inc., a New York corporation (“Regeneron”), with the U.S. Securities and Exchange Commission on May 2, 2022 (together with any subsequent amendments and supplements thereto, the “Schedule TO”). The Schedule TO relates to the offer by Purchaser to purchase all of the outstanding shares of common stock, par value $0.0001 per share (“Shares”), of Checkmate Pharmaceuticals, Inc., a Delaware corporation (“Checkmate”), at a price of $10.50 per share, to be paid to the seller in cash, without interest, and subject to reduction for any applicable withholding taxes, upon the terms and conditions set forth in the offer to purchase, dated May 2, 2022 (the “Offer to Purchase”), a copy of which is attached as Exhibit (a)(1)(A), and in the related letter of transmittal (the “Letter of Transmittal”), a copy of which is attached as Exhibit (a)(1)(B), which, as each may be amended or supplemented from time to time, collectively constitute the “Offer.”</w:t>
      </w:r>
    </w:p>
    <w:p>
      <w:pPr>
        <w:spacing w:after="0" w:line="17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this Amendment, the information set forth in the Schedule TO remains unchanged and is incorporated herein by reference to the extent relevant to the items in this Amendment. Capitalized terms used but not defined herein have the meanings ascribed to them in the Schedule 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 through 9 and Item 11</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in the Offer to Purchase under “The Tender Offer—Section 16—Certain Legal Matters; Regulatory Approvals” and Items 1 through 9 and Item 11 of the Schedule TO, to the extent such Items incorporate by reference the information contained in the Offer to Purchase, are hereby amended and supplemented as follows:</w:t>
      </w:r>
    </w:p>
    <w:p>
      <w:pPr>
        <w:spacing w:after="0" w:line="174"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18"/>
          <w:szCs w:val="18"/>
          <w:color w:val="auto"/>
        </w:rPr>
        <w:t>The following paragraph replaces in its entirety the first paragraph in the subsection entitled “</w:t>
      </w:r>
      <w:r>
        <w:rPr>
          <w:rFonts w:ascii="Times New Roman" w:cs="Times New Roman" w:eastAsia="Times New Roman" w:hAnsi="Times New Roman"/>
          <w:sz w:val="18"/>
          <w:szCs w:val="18"/>
          <w:i w:val="1"/>
          <w:iCs w:val="1"/>
          <w:color w:val="auto"/>
        </w:rPr>
        <w:t>Compliance with the HSR Act</w:t>
      </w:r>
      <w:r>
        <w:rPr>
          <w:rFonts w:ascii="Times New Roman" w:cs="Times New Roman" w:eastAsia="Times New Roman" w:hAnsi="Times New Roman"/>
          <w:sz w:val="18"/>
          <w:szCs w:val="18"/>
          <w:color w:val="auto"/>
        </w:rPr>
        <w:t>” which begins on page 52 of the Offer to Purchase:</w:t>
      </w:r>
    </w:p>
    <w:p>
      <w:pPr>
        <w:spacing w:after="0" w:line="16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HSR Act, and the related rules and regulations promulgated thereunder, certain transactions, including the Offer, may not be consummated until notifications have been given and information has been furnished to the FTC and the DOJ and all statutory waiting period requirements have been satisfied. On April 25, 2022, each of Regeneron and Checkmate filed Notification and Report Forms under the HSR Act with the FTC and the DOJ in connection with the purchase of Shares in the Offer. At 11:59 p.m., Eastern Time, on May 10, 2022, the waiting period applicable to the Offer under the HSR Act expired. Accordingly, the portion of the conditions to the Offer relating to the expiration or termination of the waiting period under the HSR Act has been satisfied.”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 is added at the end of such section on page 54 of the Offer to Purchase:</w:t>
      </w:r>
    </w:p>
    <w:p>
      <w:pPr>
        <w:spacing w:after="0" w:line="22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Securityholder Litigation.</w:t>
      </w:r>
      <w:r>
        <w:rPr>
          <w:rFonts w:ascii="Times New Roman" w:cs="Times New Roman" w:eastAsia="Times New Roman" w:hAnsi="Times New Roman"/>
          <w:sz w:val="18"/>
          <w:szCs w:val="18"/>
          <w:color w:val="auto"/>
        </w:rPr>
        <w:t xml:space="preserve"> On May 5, 2022, a complaint was filed in the United States District Court for the Eastern District of New York captioned </w:t>
      </w:r>
      <w:r>
        <w:rPr>
          <w:rFonts w:ascii="Times New Roman" w:cs="Times New Roman" w:eastAsia="Times New Roman" w:hAnsi="Times New Roman"/>
          <w:sz w:val="18"/>
          <w:szCs w:val="18"/>
          <w:i w:val="1"/>
          <w:iCs w:val="1"/>
          <w:color w:val="auto"/>
        </w:rPr>
        <w:t>Hopkins v. Checkmate Pharmaceuticals, Inc., et al.</w:t>
      </w:r>
      <w:r>
        <w:rPr>
          <w:rFonts w:ascii="Times New Roman" w:cs="Times New Roman" w:eastAsia="Times New Roman" w:hAnsi="Times New Roman"/>
          <w:sz w:val="18"/>
          <w:szCs w:val="18"/>
          <w:color w:val="auto"/>
        </w:rPr>
        <w:t>, 1:22-cv-02582 (E.D.N.Y.) (which we refer to as the “Merger Action”). The Merger Action alleges that the Schedule 14D-9 misrepresents and/or omits certain purportedly material information relating to the analyses performed by Checkmate’s financial advisor in connection with the Merger. The Merger Action asserts violations of Sections 14(d) and 14(e) of the Exchange Act, and Rule 14d-9 promulgated thereunder, against all defendants (Checkmate and the Checkmate Board of Directors), and violations of Section 20(a) of the Exchange Act against Checkmate’s directors. The Merger Action seeks, among other things, an injunction enjoining the consummation of the Merger, costs of the action, including plaintiffs’ attorneys’ fees and experts’ fees, and other relief the court may deem just and proper. Checkmate has also received a demand letter from a purported Checkmate shareholder (which we refer to as the “Demand”) requesting that Checkmate provide additional disclosures in connection with the Merger. The defendants believe the claims asserted in the Merger Action and the Demand are without merit. Additional lawsuits may be filed against Checkmate, the Checkmate Board of Directors, Regeneron and/or Purchaser, and additional demand letters may be received, in connection with the transactions contemplated by the Merger Agreement, including the Offer and the Merger (which we refer to as the “Transactions”), the Schedule TO and the Schedule 14D-9. If additional similar complaints are filed or additional similar demand letters are received, absent new or significantly different allegations, Purchaser will not necessarily disclose such additional filings or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Summary Term Sheet.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1001</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the Offer to Purchase under the caption SUMMARY TERM SHEET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Subject Company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1002</w:t>
      </w:r>
    </w:p>
    <w:p>
      <w:pPr>
        <w:spacing w:after="0" w:line="227" w:lineRule="exact"/>
        <w:rPr>
          <w:sz w:val="20"/>
          <w:szCs w:val="20"/>
          <w:color w:val="auto"/>
        </w:rPr>
      </w:pPr>
    </w:p>
    <w:p>
      <w:pPr>
        <w:ind w:left="1540" w:hanging="884"/>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Name and Address. </w:t>
      </w:r>
      <w:r>
        <w:rPr>
          <w:rFonts w:ascii="Times New Roman" w:cs="Times New Roman" w:eastAsia="Times New Roman" w:hAnsi="Times New Roman"/>
          <w:sz w:val="18"/>
          <w:szCs w:val="18"/>
          <w:color w:val="auto"/>
        </w:rPr>
        <w:t>The name, address, and telephone number of the subject company’s principal executive offices are as follows: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Checkmate Pharmaceuticals,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245 Main Street, 2nd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(617) 682-3625</w:t>
      </w:r>
    </w:p>
    <w:p>
      <w:pPr>
        <w:spacing w:after="0" w:line="20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(b)-(c)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Trading Market and Price</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INTRODUCTION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6 (“Price Range of Shares; Dividends”)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Identity and Background of Filing Person.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1003</w:t>
      </w:r>
    </w:p>
    <w:p>
      <w:pPr>
        <w:spacing w:after="0" w:line="227"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(a)-(c) </w:t>
      </w:r>
      <w:r>
        <w:rPr>
          <w:rFonts w:ascii="Times New Roman" w:cs="Times New Roman" w:eastAsia="Times New Roman" w:hAnsi="Times New Roman"/>
          <w:sz w:val="18"/>
          <w:szCs w:val="18"/>
          <w:i w:val="1"/>
          <w:iCs w:val="1"/>
          <w:color w:val="auto"/>
        </w:rPr>
        <w:t>Name and Address; Business and Background of Entities; and Business and Background of Natural Persons</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8 (“Certain Information Concerning Regeneron and Purchaser”)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SCHEDULE I — Information Relating to Regeneron and Purchaser</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Terms of the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1004</w:t>
      </w:r>
    </w:p>
    <w:p>
      <w:pPr>
        <w:spacing w:after="0" w:line="227" w:lineRule="exact"/>
        <w:rPr>
          <w:sz w:val="20"/>
          <w:szCs w:val="20"/>
          <w:color w:val="auto"/>
        </w:rPr>
      </w:pPr>
    </w:p>
    <w:p>
      <w:pPr>
        <w:ind w:left="1540" w:hanging="884"/>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Terms. </w:t>
      </w:r>
      <w:r>
        <w:rPr>
          <w:rFonts w:ascii="Times New Roman" w:cs="Times New Roman" w:eastAsia="Times New Roman" w:hAnsi="Times New Roman"/>
          <w:sz w:val="18"/>
          <w:szCs w:val="18"/>
          <w:color w:val="auto"/>
        </w:rPr>
        <w:t>The information set forth in the Offer to Purchase is incorporated herein by reference.</w:t>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Past Contacts, Transactions, Negotiations and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1005</w:t>
      </w:r>
    </w:p>
    <w:p>
      <w:pPr>
        <w:spacing w:after="0" w:line="227" w:lineRule="exact"/>
        <w:rPr>
          <w:sz w:val="20"/>
          <w:szCs w:val="20"/>
          <w:color w:val="auto"/>
        </w:rPr>
      </w:pPr>
    </w:p>
    <w:p>
      <w:pPr>
        <w:ind w:left="5520" w:right="100" w:hanging="4864"/>
        <w:spacing w:after="0" w:line="785" w:lineRule="auto"/>
        <w:tabs>
          <w:tab w:leader="none" w:pos="157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0" w:right="599" w:bottom="1440" w:gutter="0" w:footer="0" w:header="0"/>
        </w:sectPr>
      </w:pPr>
    </w:p>
    <w:bookmarkStart w:id="3" w:name="page4"/>
    <w:bookmarkEnd w:id="3"/>
    <w:p>
      <w:pPr>
        <w:ind w:left="660"/>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Checkmate”)</w:t>
      </w:r>
    </w:p>
    <w:p>
      <w:pPr>
        <w:spacing w:after="0" w:line="223" w:lineRule="exact"/>
        <w:rPr>
          <w:sz w:val="20"/>
          <w:szCs w:val="20"/>
          <w:color w:val="auto"/>
        </w:rPr>
      </w:pPr>
    </w:p>
    <w:p>
      <w:pPr>
        <w:ind w:left="1540" w:hanging="884"/>
        <w:spacing w:after="0"/>
        <w:tabs>
          <w:tab w:leader="none" w:pos="1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Significant Corporate Events</w:t>
      </w:r>
      <w:r>
        <w:rPr>
          <w:rFonts w:ascii="Times New Roman" w:cs="Times New Roman" w:eastAsia="Times New Roman" w:hAnsi="Times New Roman"/>
          <w:sz w:val="17"/>
          <w:szCs w:val="17"/>
          <w:color w:val="auto"/>
        </w:rPr>
        <w:t>. The information set forth in the Offer to Purchase under the following captions is incorporated herein</w:t>
      </w:r>
    </w:p>
    <w:p>
      <w:pPr>
        <w:spacing w:after="0" w:line="4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by reference: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Checkmate”)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—Section 11 (“The Merger Agreement; Other Agreements”)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12 (“Purpose of the Offer; Plans for Checkmate”)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Purposes of the Transaction and Plans or Proposals.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1006</w:t>
      </w:r>
    </w:p>
    <w:p>
      <w:pPr>
        <w:spacing w:after="0" w:line="227" w:lineRule="exact"/>
        <w:rPr>
          <w:sz w:val="20"/>
          <w:szCs w:val="20"/>
          <w:color w:val="auto"/>
        </w:rPr>
      </w:pPr>
    </w:p>
    <w:p>
      <w:pPr>
        <w:ind w:left="660" w:right="400" w:hanging="4"/>
        <w:spacing w:after="0" w:line="500" w:lineRule="auto"/>
        <w:tabs>
          <w:tab w:leader="none" w:pos="15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Purposes</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TENDER OFFER — Section 12 (“Purpose of the Offer; Plans for Checkmate”)</w:t>
      </w:r>
    </w:p>
    <w:p>
      <w:pPr>
        <w:spacing w:after="0" w:line="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p>
    <w:p>
      <w:pPr>
        <w:spacing w:after="0" w:line="2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9 (“Source and Amount of Funds”)</w:t>
      </w:r>
    </w:p>
    <w:p>
      <w:pPr>
        <w:spacing w:after="0" w:line="225" w:lineRule="exact"/>
        <w:rPr>
          <w:rFonts w:ascii="Times New Roman" w:cs="Times New Roman" w:eastAsia="Times New Roman" w:hAnsi="Times New Roman"/>
          <w:sz w:val="18"/>
          <w:szCs w:val="18"/>
          <w:color w:val="auto"/>
        </w:rPr>
      </w:pPr>
    </w:p>
    <w:p>
      <w:pPr>
        <w:ind w:left="660" w:right="20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10 (“Background of the Offer; Past Contacts or Negotiations with Checkmate”) THE TENDER OFFER — Section 11 (“The Merger Agreement; Other Agreements”)</w:t>
      </w:r>
    </w:p>
    <w:p>
      <w:pPr>
        <w:spacing w:after="0" w:line="1" w:lineRule="exact"/>
        <w:rPr>
          <w:rFonts w:ascii="Times New Roman" w:cs="Times New Roman" w:eastAsia="Times New Roman" w:hAnsi="Times New Roman"/>
          <w:sz w:val="18"/>
          <w:szCs w:val="18"/>
          <w:color w:val="auto"/>
        </w:rPr>
      </w:pPr>
    </w:p>
    <w:p>
      <w:pPr>
        <w:ind w:left="660" w:right="424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12 (“Purpose of the Offer; Plans for Checkmate”) THE TENDER OFFER — Section 13 (“Certain Effects of the Offer”)</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14 (“Dividends and Distributions”)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Source and Amount of Funds or Other Consideration.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1007</w:t>
      </w:r>
    </w:p>
    <w:p>
      <w:pPr>
        <w:spacing w:after="0" w:line="227" w:lineRule="exact"/>
        <w:rPr>
          <w:sz w:val="20"/>
          <w:szCs w:val="20"/>
          <w:color w:val="auto"/>
        </w:rPr>
      </w:pPr>
    </w:p>
    <w:p>
      <w:pPr>
        <w:ind w:left="1400" w:hanging="74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Source of Funds</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p>
    <w:p>
      <w:pPr>
        <w:spacing w:after="0" w:line="2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9 (“Source and Amount of Funds”)</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320" w:top="904" w:right="55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Checkmate”)</w:t>
      </w:r>
    </w:p>
    <w:p>
      <w:pPr>
        <w:spacing w:after="0" w:line="223" w:lineRule="exact"/>
        <w:rPr>
          <w:sz w:val="20"/>
          <w:szCs w:val="20"/>
          <w:color w:val="auto"/>
        </w:rPr>
      </w:pPr>
    </w:p>
    <w:p>
      <w:pPr>
        <w:ind w:left="1400" w:hanging="744"/>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The Offer is not subject to a financing condition.</w:t>
      </w:r>
    </w:p>
    <w:p>
      <w:pPr>
        <w:spacing w:after="0" w:line="225" w:lineRule="exact"/>
        <w:rPr>
          <w:sz w:val="20"/>
          <w:szCs w:val="20"/>
          <w:color w:val="auto"/>
        </w:rPr>
      </w:pPr>
    </w:p>
    <w:p>
      <w:pPr>
        <w:ind w:left="1400" w:hanging="744"/>
        <w:spacing w:after="0"/>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Borrowed Funds</w:t>
      </w:r>
      <w:r>
        <w:rPr>
          <w:rFonts w:ascii="Times New Roman" w:cs="Times New Roman" w:eastAsia="Times New Roman" w:hAnsi="Times New Roman"/>
          <w:sz w:val="17"/>
          <w:szCs w:val="17"/>
          <w:color w:val="auto"/>
        </w:rPr>
        <w:t>. The information set forth in the Offer to Purchase under the following captions is incorporated herein by reference:</w:t>
      </w:r>
    </w:p>
    <w:p>
      <w:pPr>
        <w:spacing w:after="0" w:line="238"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SUMMARY TERM SHEET</w:t>
      </w:r>
    </w:p>
    <w:p>
      <w:pPr>
        <w:spacing w:after="0" w:line="225"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TENDER OFFER — Section 9 (“Source and Amount of Funds”)</w:t>
      </w:r>
    </w:p>
    <w:p>
      <w:pPr>
        <w:spacing w:after="0" w:line="225" w:lineRule="exact"/>
        <w:rPr>
          <w:rFonts w:ascii="Times New Roman" w:cs="Times New Roman" w:eastAsia="Times New Roman" w:hAnsi="Times New Roman"/>
          <w:sz w:val="17"/>
          <w:szCs w:val="17"/>
          <w:color w:val="auto"/>
        </w:rPr>
      </w:pPr>
    </w:p>
    <w:p>
      <w:pPr>
        <w:ind w:left="660" w:right="2040"/>
        <w:spacing w:after="0" w:line="50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TENDER OFFER — Section 10 (“Background of the Offer; Past Contacts or Negotiations with Checkmate”) THE TENDER OFFER — Section 11 (“The Merger Agreement; Other Agreements”)</w:t>
      </w:r>
    </w:p>
    <w:p>
      <w:pPr>
        <w:spacing w:after="0" w:line="1"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TENDER OFFER — Section 15 (“Conditions of the Offer”)</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Interest in Securities of the Subject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1008</w:t>
      </w:r>
    </w:p>
    <w:p>
      <w:pPr>
        <w:spacing w:after="0" w:line="227" w:lineRule="exact"/>
        <w:rPr>
          <w:sz w:val="20"/>
          <w:szCs w:val="20"/>
          <w:color w:val="auto"/>
        </w:rPr>
      </w:pPr>
    </w:p>
    <w:p>
      <w:pPr>
        <w:ind w:left="1400" w:hanging="74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Ownership</w:t>
      </w:r>
      <w:r>
        <w:rPr>
          <w:rFonts w:ascii="Times New Roman" w:cs="Times New Roman" w:eastAsia="Times New Roman" w:hAnsi="Times New Roman"/>
          <w:sz w:val="18"/>
          <w:szCs w:val="18"/>
          <w:color w:val="auto"/>
        </w:rPr>
        <w:t>. The information set forth in the Offer to Purchase under the following captions is incorporated herein by</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400" w:hanging="74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Transactions</w:t>
      </w:r>
      <w:r>
        <w:rPr>
          <w:rFonts w:ascii="Times New Roman" w:cs="Times New Roman" w:eastAsia="Times New Roman" w:hAnsi="Times New Roman"/>
          <w:sz w:val="18"/>
          <w:szCs w:val="18"/>
          <w:color w:val="auto"/>
        </w:rPr>
        <w:t>. None.</w:t>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Persons/Assets Retained, Employed, Compensated or Used.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1009</w:t>
      </w:r>
    </w:p>
    <w:p>
      <w:pPr>
        <w:spacing w:after="0" w:line="227" w:lineRule="exact"/>
        <w:rPr>
          <w:sz w:val="20"/>
          <w:szCs w:val="20"/>
          <w:color w:val="auto"/>
        </w:rPr>
      </w:pPr>
    </w:p>
    <w:p>
      <w:pPr>
        <w:ind w:right="220" w:firstLine="656"/>
        <w:spacing w:after="0" w:line="284" w:lineRule="auto"/>
        <w:tabs>
          <w:tab w:leader="none" w:pos="13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Solicitations or Recommendations</w:t>
      </w:r>
      <w:r>
        <w:rPr>
          <w:rFonts w:ascii="Times New Roman" w:cs="Times New Roman" w:eastAsia="Times New Roman" w:hAnsi="Times New Roman"/>
          <w:sz w:val="18"/>
          <w:szCs w:val="18"/>
          <w:color w:val="auto"/>
        </w:rPr>
        <w:t>. The information set forth in the Offer to Purchase under the following captions is incorporated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by reference: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3 (“Procedures for Accepting the Offer and Tendering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Checkmate”)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18 (“Fees and Expenses”)</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1010</w:t>
      </w:r>
    </w:p>
    <w:p>
      <w:pPr>
        <w:spacing w:after="0" w:line="227" w:lineRule="exact"/>
        <w:rPr>
          <w:sz w:val="20"/>
          <w:szCs w:val="20"/>
          <w:color w:val="auto"/>
        </w:rPr>
      </w:pPr>
    </w:p>
    <w:p>
      <w:pPr>
        <w:ind w:left="1400" w:hanging="744"/>
        <w:spacing w:after="0"/>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Not Applicable.</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 Forma Information</w:t>
      </w:r>
      <w:r>
        <w:rPr>
          <w:rFonts w:ascii="Times New Roman" w:cs="Times New Roman" w:eastAsia="Times New Roman" w:hAnsi="Times New Roman"/>
          <w:sz w:val="18"/>
          <w:szCs w:val="18"/>
          <w:color w:val="auto"/>
        </w:rPr>
        <w:t>. Not Applicable.</w:t>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1011</w:t>
      </w:r>
    </w:p>
    <w:p>
      <w:pPr>
        <w:spacing w:after="0" w:line="227" w:lineRule="exact"/>
        <w:rPr>
          <w:sz w:val="20"/>
          <w:szCs w:val="20"/>
          <w:color w:val="auto"/>
        </w:rPr>
      </w:pPr>
    </w:p>
    <w:p>
      <w:pPr>
        <w:ind w:firstLine="656"/>
        <w:spacing w:after="0" w:line="284" w:lineRule="auto"/>
        <w:tabs>
          <w:tab w:leader="none" w:pos="138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Regulatory Requirements and Legal Proceedings</w:t>
      </w:r>
      <w:r>
        <w:rPr>
          <w:rFonts w:ascii="Times New Roman" w:cs="Times New Roman" w:eastAsia="Times New Roman" w:hAnsi="Times New Roman"/>
          <w:sz w:val="18"/>
          <w:szCs w:val="18"/>
          <w:color w:val="auto"/>
        </w:rPr>
        <w:t>. The information set forth in the Offer to Purchase under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captions is incorporated herein by reference: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Checkmate”)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11 (“The Merger Agreement; Other Agreements”)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12 (“Purpose of the Offer; Plans for Checkmate”)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13 (“Certain Effects of the Offer”)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16 (“Certain Legal Matters; Regulatory Approvals”)</w:t>
      </w:r>
    </w:p>
    <w:p>
      <w:pPr>
        <w:spacing w:after="0" w:line="223" w:lineRule="exact"/>
        <w:rPr>
          <w:sz w:val="20"/>
          <w:szCs w:val="20"/>
          <w:color w:val="auto"/>
        </w:rPr>
      </w:pPr>
    </w:p>
    <w:p>
      <w:pPr>
        <w:ind w:left="1400" w:hanging="744"/>
        <w:spacing w:after="0"/>
        <w:tabs>
          <w:tab w:leader="none" w:pos="14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Material Information</w:t>
      </w:r>
      <w:r>
        <w:rPr>
          <w:rFonts w:ascii="Times New Roman" w:cs="Times New Roman" w:eastAsia="Times New Roman" w:hAnsi="Times New Roman"/>
          <w:sz w:val="17"/>
          <w:szCs w:val="17"/>
          <w:color w:val="auto"/>
        </w:rPr>
        <w:t>. The information set forth in the Offer to Purchase and the Letter of Transmittal is incorporated herein by</w:t>
      </w:r>
    </w:p>
    <w:p>
      <w:pPr>
        <w:spacing w:after="0" w:line="4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reference.</w:t>
      </w: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900" w:right="5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10300" w:type="dxa"/>
            <w:vAlign w:val="bottom"/>
            <w:gridSpan w:val="19"/>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r>
      <w:tr>
        <w:trPr>
          <w:trHeight w:val="432"/>
        </w:trPr>
        <w:tc>
          <w:tcPr>
            <w:tcW w:w="112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Regulation M-A Item 1016</w:t>
            </w:r>
          </w:p>
        </w:tc>
      </w:tr>
      <w:tr>
        <w:trPr>
          <w:trHeight w:val="432"/>
        </w:trPr>
        <w:tc>
          <w:tcPr>
            <w:tcW w:w="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gridSpan w:val="13"/>
          </w:tcPr>
          <w:p>
            <w:pPr>
              <w:ind w:left="17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720" w:type="dxa"/>
            <w:vAlign w:val="bottom"/>
            <w:gridSpan w:val="2"/>
          </w:tcPr>
          <w:p>
            <w:pPr>
              <w:spacing w:after="0" w:line="169" w:lineRule="exact"/>
              <w:rPr>
                <w:rFonts w:ascii="Times New Roman" w:cs="Times New Roman" w:eastAsia="Times New Roman" w:hAnsi="Times New Roman"/>
                <w:sz w:val="18"/>
                <w:szCs w:val="18"/>
                <w:color w:val="0000EE"/>
                <w:w w:val="90"/>
              </w:rPr>
            </w:pPr>
            <w:hyperlink r:id="rId21">
              <w:r>
                <w:rPr>
                  <w:rFonts w:ascii="Times New Roman" w:cs="Times New Roman" w:eastAsia="Times New Roman" w:hAnsi="Times New Roman"/>
                  <w:sz w:val="18"/>
                  <w:szCs w:val="18"/>
                  <w:color w:val="0000EE"/>
                  <w:w w:val="90"/>
                </w:rPr>
                <w:t>(a)(1)(A)*</w:t>
              </w:r>
            </w:hyperlink>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16"/>
          </w:tcPr>
          <w:p>
            <w:pPr>
              <w:spacing w:after="0" w:line="169"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Offer to Purchase, dated May 2, 2022.</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Times New Roman" w:cs="Times New Roman" w:eastAsia="Times New Roman" w:hAnsi="Times New Roman"/>
                <w:sz w:val="18"/>
                <w:szCs w:val="18"/>
                <w:color w:val="0000EE"/>
                <w:w w:val="91"/>
              </w:rPr>
            </w:pPr>
            <w:hyperlink r:id="rId22">
              <w:r>
                <w:rPr>
                  <w:rFonts w:ascii="Times New Roman" w:cs="Times New Roman" w:eastAsia="Times New Roman" w:hAnsi="Times New Roman"/>
                  <w:sz w:val="18"/>
                  <w:szCs w:val="18"/>
                  <w:color w:val="0000EE"/>
                  <w:w w:val="91"/>
                </w:rPr>
                <w:t>(a)(1)(B)*</w:t>
              </w:r>
            </w:hyperlink>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17"/>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Letter of Transmittal.</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Times New Roman" w:cs="Times New Roman" w:eastAsia="Times New Roman" w:hAnsi="Times New Roman"/>
                <w:sz w:val="18"/>
                <w:szCs w:val="18"/>
                <w:color w:val="0000EE"/>
                <w:w w:val="91"/>
              </w:rPr>
            </w:pPr>
            <w:hyperlink r:id="rId23">
              <w:r>
                <w:rPr>
                  <w:rFonts w:ascii="Times New Roman" w:cs="Times New Roman" w:eastAsia="Times New Roman" w:hAnsi="Times New Roman"/>
                  <w:sz w:val="18"/>
                  <w:szCs w:val="18"/>
                  <w:color w:val="0000EE"/>
                  <w:w w:val="91"/>
                </w:rPr>
                <w:t>(a)(1)(C)*</w:t>
              </w:r>
            </w:hyperlink>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17"/>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Letter to Brokers, Dealers, Commercial Banks, Trust Companies and Other Nominees.</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Times New Roman" w:cs="Times New Roman" w:eastAsia="Times New Roman" w:hAnsi="Times New Roman"/>
                <w:sz w:val="18"/>
                <w:szCs w:val="18"/>
                <w:color w:val="0000EE"/>
                <w:w w:val="90"/>
              </w:rPr>
            </w:pPr>
            <w:hyperlink r:id="rId24">
              <w:r>
                <w:rPr>
                  <w:rFonts w:ascii="Times New Roman" w:cs="Times New Roman" w:eastAsia="Times New Roman" w:hAnsi="Times New Roman"/>
                  <w:sz w:val="18"/>
                  <w:szCs w:val="18"/>
                  <w:color w:val="0000EE"/>
                  <w:w w:val="90"/>
                </w:rPr>
                <w:t>(a)(1)(D)*</w:t>
              </w:r>
            </w:hyperlink>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17"/>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Letter to Clients for Use by Brokers, Dealers, Commercial Banks, Trust Companies and Other Nominees.</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Times New Roman" w:cs="Times New Roman" w:eastAsia="Times New Roman" w:hAnsi="Times New Roman"/>
                <w:sz w:val="18"/>
                <w:szCs w:val="18"/>
                <w:color w:val="0000EE"/>
                <w:w w:val="93"/>
              </w:rPr>
            </w:pPr>
            <w:hyperlink r:id="rId25">
              <w:r>
                <w:rPr>
                  <w:rFonts w:ascii="Times New Roman" w:cs="Times New Roman" w:eastAsia="Times New Roman" w:hAnsi="Times New Roman"/>
                  <w:sz w:val="18"/>
                  <w:szCs w:val="18"/>
                  <w:color w:val="0000EE"/>
                  <w:w w:val="93"/>
                </w:rPr>
                <w:t>(a)(1)(E)*</w:t>
              </w:r>
            </w:hyperlink>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17"/>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 xml:space="preserve">Summary Advertisement as published in </w:t>
              </w:r>
              <w:r>
                <w:rPr>
                  <w:rFonts w:ascii="Times New Roman" w:cs="Times New Roman" w:eastAsia="Times New Roman" w:hAnsi="Times New Roman"/>
                  <w:sz w:val="18"/>
                  <w:szCs w:val="18"/>
                  <w:i w:val="1"/>
                  <w:iCs w:val="1"/>
                  <w:color w:val="0000EE"/>
                </w:rPr>
                <w:t>The New York Times</w:t>
              </w:r>
              <w:r>
                <w:rPr>
                  <w:rFonts w:ascii="Times New Roman" w:cs="Times New Roman" w:eastAsia="Times New Roman" w:hAnsi="Times New Roman"/>
                  <w:sz w:val="18"/>
                  <w:szCs w:val="18"/>
                  <w:color w:val="0000EE"/>
                </w:rPr>
                <w:t xml:space="preserve"> on May 2, 2022</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rFonts w:ascii="Times New Roman" w:cs="Times New Roman" w:eastAsia="Times New Roman" w:hAnsi="Times New Roman"/>
                <w:sz w:val="18"/>
                <w:szCs w:val="18"/>
                <w:color w:val="0000EE"/>
                <w:w w:val="94"/>
              </w:rPr>
            </w:pPr>
            <w:hyperlink r:id="rId26">
              <w:r>
                <w:rPr>
                  <w:rFonts w:ascii="Times New Roman" w:cs="Times New Roman" w:eastAsia="Times New Roman" w:hAnsi="Times New Roman"/>
                  <w:sz w:val="18"/>
                  <w:szCs w:val="18"/>
                  <w:color w:val="0000EE"/>
                  <w:w w:val="94"/>
                </w:rPr>
                <w:t>(a)(1)(F)*</w:t>
              </w:r>
            </w:hyperlink>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17"/>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Joint Press Release issued by Regeneron Pharmaceuticals, Inc. and Checkmate Pharmaceuticals, Inc. on April 19, 2022 (incorporated</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4400" w:type="dxa"/>
            <w:vAlign w:val="bottom"/>
            <w:gridSpan w:val="4"/>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17"/>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by reference to Exhibit 99.1 to the Schedule TO-C filed by Regeneron Pharmaceuticals, Inc. with the U.S. Securities and Exchange</w:t>
              </w:r>
            </w:hyperlink>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Commission on April 19, 2022).</w:t>
              </w:r>
            </w:hyperlink>
          </w:p>
        </w:tc>
        <w:tc>
          <w:tcPr>
            <w:tcW w:w="7100" w:type="dxa"/>
            <w:vAlign w:val="bottom"/>
            <w:tcBorders>
              <w:top w:val="single" w:sz="8" w:color="0000EE"/>
            </w:tcBorders>
            <w:gridSpan w:val="11"/>
          </w:tcPr>
          <w:p>
            <w:pPr>
              <w:spacing w:after="0"/>
              <w:rPr>
                <w:sz w:val="17"/>
                <w:szCs w:val="17"/>
                <w:color w:val="auto"/>
              </w:rPr>
            </w:pPr>
          </w:p>
        </w:tc>
        <w:tc>
          <w:tcPr>
            <w:tcW w:w="320" w:type="dxa"/>
            <w:vAlign w:val="bottom"/>
            <w:gridSpan w:val="3"/>
          </w:tcPr>
          <w:p>
            <w:pPr>
              <w:spacing w:after="0"/>
              <w:rPr>
                <w:sz w:val="17"/>
                <w:szCs w:val="17"/>
                <w:color w:val="auto"/>
              </w:rPr>
            </w:pPr>
          </w:p>
        </w:tc>
      </w:tr>
      <w:tr>
        <w:trPr>
          <w:trHeight w:val="196"/>
        </w:trPr>
        <w:tc>
          <w:tcPr>
            <w:tcW w:w="720" w:type="dxa"/>
            <w:vAlign w:val="bottom"/>
            <w:gridSpan w:val="2"/>
          </w:tcPr>
          <w:p>
            <w:pPr>
              <w:spacing w:after="0" w:line="196" w:lineRule="exact"/>
              <w:rPr>
                <w:rFonts w:ascii="Times New Roman" w:cs="Times New Roman" w:eastAsia="Times New Roman" w:hAnsi="Times New Roman"/>
                <w:sz w:val="18"/>
                <w:szCs w:val="18"/>
                <w:color w:val="0000EE"/>
                <w:w w:val="90"/>
              </w:rPr>
            </w:pPr>
            <w:hyperlink r:id="rId27">
              <w:r>
                <w:rPr>
                  <w:rFonts w:ascii="Times New Roman" w:cs="Times New Roman" w:eastAsia="Times New Roman" w:hAnsi="Times New Roman"/>
                  <w:sz w:val="18"/>
                  <w:szCs w:val="18"/>
                  <w:color w:val="0000EE"/>
                  <w:w w:val="90"/>
                </w:rPr>
                <w:t>(a)(1)(G)*</w:t>
              </w:r>
            </w:hyperlink>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17"/>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Social Media Posts from April 19, 2022 (incorporated by reference to Exhibit 99.2 to the Schedule TO-C filed by Regeneron</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gridSpan w:val="6"/>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Pharmaceuticals, Inc. with the U.S. Securities and Exchange Commission on April 19, 2022).</w:t>
              </w:r>
            </w:hyperlink>
          </w:p>
        </w:tc>
        <w:tc>
          <w:tcPr>
            <w:tcW w:w="3020" w:type="dxa"/>
            <w:vAlign w:val="bottom"/>
            <w:gridSpan w:val="10"/>
          </w:tcPr>
          <w:p>
            <w:pPr>
              <w:spacing w:after="0"/>
              <w:rPr>
                <w:sz w:val="17"/>
                <w:szCs w:val="17"/>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r:id="rId28">
              <w:r>
                <w:rPr>
                  <w:rFonts w:ascii="Times New Roman" w:cs="Times New Roman" w:eastAsia="Times New Roman" w:hAnsi="Times New Roman"/>
                  <w:sz w:val="18"/>
                  <w:szCs w:val="18"/>
                  <w:color w:val="0000EE"/>
                  <w:w w:val="97"/>
                </w:rPr>
                <w:t>(d)(1)*</w:t>
              </w:r>
            </w:hyperlink>
          </w:p>
        </w:tc>
        <w:tc>
          <w:tcPr>
            <w:tcW w:w="4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17"/>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Agreement and Plan of Merger among Checkmate Pharmaceuticals, Inc., Regeneron Pharmaceuticals, Inc., and Scandinavian</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0" w:type="dxa"/>
            <w:vAlign w:val="bottom"/>
            <w:gridSpan w:val="8"/>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7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Acquisition Sub, Inc., dated April 18, 2022 (incorporated by reference to Exhibit 2.1 to the Form 8-K filed by Checkmate</w:t>
              </w:r>
            </w:hyperlink>
          </w:p>
        </w:tc>
        <w:tc>
          <w:tcPr>
            <w:tcW w:w="1000" w:type="dxa"/>
            <w:vAlign w:val="bottom"/>
            <w:gridSpan w:val="7"/>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Pharmaceuticals, Inc. with the U.S. Securities and Exchange Commission on April 19, 2022).</w:t>
              </w:r>
            </w:hyperlink>
          </w:p>
        </w:tc>
        <w:tc>
          <w:tcPr>
            <w:tcW w:w="3020" w:type="dxa"/>
            <w:vAlign w:val="bottom"/>
            <w:gridSpan w:val="10"/>
          </w:tcPr>
          <w:p>
            <w:pPr>
              <w:spacing w:after="0"/>
              <w:rPr>
                <w:sz w:val="17"/>
                <w:szCs w:val="17"/>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r:id="rId29">
              <w:r>
                <w:rPr>
                  <w:rFonts w:ascii="Times New Roman" w:cs="Times New Roman" w:eastAsia="Times New Roman" w:hAnsi="Times New Roman"/>
                  <w:sz w:val="18"/>
                  <w:szCs w:val="18"/>
                  <w:color w:val="0000EE"/>
                  <w:w w:val="97"/>
                </w:rPr>
                <w:t>(d)(2)*</w:t>
              </w:r>
            </w:hyperlink>
          </w:p>
        </w:tc>
        <w:tc>
          <w:tcPr>
            <w:tcW w:w="4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17"/>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Confidentiality Agreement dated March 22, 2022, between Checkmate Pharmaceuticals, Inc. and Regeneron Pharmaceuticals, Inc.</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0" w:type="dxa"/>
            <w:vAlign w:val="bottom"/>
            <w:gridSpan w:val="8"/>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r:id="rId30">
              <w:r>
                <w:rPr>
                  <w:rFonts w:ascii="Times New Roman" w:cs="Times New Roman" w:eastAsia="Times New Roman" w:hAnsi="Times New Roman"/>
                  <w:sz w:val="18"/>
                  <w:szCs w:val="18"/>
                  <w:color w:val="0000EE"/>
                  <w:w w:val="97"/>
                </w:rPr>
                <w:t>(d)(3)*</w:t>
              </w:r>
            </w:hyperlink>
          </w:p>
        </w:tc>
        <w:tc>
          <w:tcPr>
            <w:tcW w:w="4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17"/>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Tender and Support Agreement, dated as of April 18, 2022, by and among Regeneron Pharmaceuticals, Inc., Scandinavian Acquisition</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0" w:type="dxa"/>
            <w:vAlign w:val="bottom"/>
            <w:gridSpan w:val="8"/>
            <w:shd w:val="clear" w:color="auto" w:fill="0000EE"/>
          </w:tcPr>
          <w:p>
            <w:pPr>
              <w:spacing w:after="0" w:line="20" w:lineRule="exact"/>
              <w:rPr>
                <w:sz w:val="1"/>
                <w:szCs w:val="1"/>
                <w:color w:val="auto"/>
              </w:rPr>
            </w:pPr>
          </w:p>
        </w:tc>
        <w:tc>
          <w:tcPr>
            <w:tcW w:w="188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Sub, Inc. and certain Stockholders of Checkmate Pharmaceuticals, Inc.(incorporated by reference to Exhibit 99.1 to the Form 8-K filed</w:t>
              </w:r>
            </w:hyperlink>
          </w:p>
        </w:tc>
        <w:tc>
          <w:tcPr>
            <w:tcW w:w="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by Checkmate Pharmaceuticals, Inc. with the U.S. Securities and Exchange Commission on April 19, 2022).</w:t>
              </w:r>
            </w:hyperlink>
          </w:p>
        </w:tc>
        <w:tc>
          <w:tcPr>
            <w:tcW w:w="1940" w:type="dxa"/>
            <w:vAlign w:val="bottom"/>
            <w:gridSpan w:val="8"/>
          </w:tcPr>
          <w:p>
            <w:pPr>
              <w:spacing w:after="0"/>
              <w:rPr>
                <w:sz w:val="17"/>
                <w:szCs w:val="17"/>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r:id="rId31">
              <w:r>
                <w:rPr>
                  <w:rFonts w:ascii="Times New Roman" w:cs="Times New Roman" w:eastAsia="Times New Roman" w:hAnsi="Times New Roman"/>
                  <w:sz w:val="18"/>
                  <w:szCs w:val="18"/>
                  <w:color w:val="0000EE"/>
                  <w:w w:val="97"/>
                </w:rPr>
                <w:t>(d)(4)*</w:t>
              </w:r>
            </w:hyperlink>
          </w:p>
        </w:tc>
        <w:tc>
          <w:tcPr>
            <w:tcW w:w="4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17"/>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Exclusivity Agreement, dated March 22, 2022, by and between Regeneron Pharmaceuticals, Inc. and Checkmate Pharmaceuticals, Inc.</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9" w:lineRule="exact"/>
        <w:rPr>
          <w:sz w:val="20"/>
          <w:szCs w:val="20"/>
          <w:color w:val="auto"/>
        </w:rPr>
      </w:pPr>
    </w:p>
    <w:p>
      <w:pPr>
        <w:ind w:left="1480" w:hanging="1472"/>
        <w:spacing w:after="0"/>
        <w:tabs>
          <w:tab w:leader="none" w:pos="1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7" w:lineRule="exact"/>
        <w:rPr>
          <w:rFonts w:ascii="Times New Roman" w:cs="Times New Roman" w:eastAsia="Times New Roman" w:hAnsi="Times New Roman"/>
          <w:sz w:val="18"/>
          <w:szCs w:val="18"/>
          <w:color w:val="auto"/>
        </w:rPr>
      </w:pPr>
    </w:p>
    <w:p>
      <w:pPr>
        <w:ind w:left="1480" w:hanging="1472"/>
        <w:spacing w:after="0"/>
        <w:tabs>
          <w:tab w:leader="none" w:pos="1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9" w:lineRule="exact"/>
        <w:rPr>
          <w:sz w:val="20"/>
          <w:szCs w:val="20"/>
          <w:color w:val="auto"/>
        </w:rPr>
      </w:pPr>
    </w:p>
    <w:p>
      <w:pPr>
        <w:spacing w:after="0"/>
        <w:tabs>
          <w:tab w:leader="none" w:pos="14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107*</w:t>
      </w:r>
      <w:r>
        <w:rPr>
          <w:sz w:val="20"/>
          <w:szCs w:val="20"/>
          <w:color w:val="auto"/>
        </w:rPr>
        <w:tab/>
      </w:r>
      <w:hyperlink r:id="rId32">
        <w:r>
          <w:rPr>
            <w:rFonts w:ascii="Times New Roman" w:cs="Times New Roman" w:eastAsia="Times New Roman" w:hAnsi="Times New Roman"/>
            <w:sz w:val="18"/>
            <w:szCs w:val="18"/>
            <w:u w:val="single" w:color="auto"/>
            <w:color w:val="0000EE"/>
          </w:rPr>
          <w:t>Filing fee table</w:t>
        </w:r>
      </w:hyperlink>
    </w:p>
    <w:p>
      <w:pPr>
        <w:spacing w:after="0" w:line="207" w:lineRule="exact"/>
        <w:rPr>
          <w:sz w:val="20"/>
          <w:szCs w:val="20"/>
          <w:color w:val="auto"/>
        </w:rPr>
      </w:pPr>
    </w:p>
    <w:p>
      <w:pPr>
        <w:ind w:left="640" w:hanging="63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i w:val="1"/>
          <w:iCs w:val="1"/>
          <w:color w:val="auto"/>
        </w:rPr>
        <w:t>Information Required by Schedule 13E-3.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their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11,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SCANDINAVIAN ACQUISITION SUB,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Nouhad Husseini</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Nouhad Husseini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198"/>
        </w:trPr>
        <w:tc>
          <w:tcPr>
            <w:tcW w:w="620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Joseph J. LaRosa</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o"/>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o"/>
      <w:numFmt w:val="bullet"/>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2"/>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3"/>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2"/>
    </w:lvl>
  </w:abstractNum>
  <w:abstractNum w:abstractNumId="11">
    <w:nsid w:val="6B68079A"/>
    <w:multiLevelType w:val="hybridMultilevel"/>
    <w:lvl w:ilvl="0">
      <w:lvlJc w:val="left"/>
      <w:lvlText w:val="(%1)"/>
      <w:numFmt w:val="lowerLetter"/>
      <w:start w:val="4"/>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2"/>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3"/>
    </w:lvl>
  </w:abstractNum>
  <w:abstractNum w:abstractNumId="18">
    <w:nsid w:val="257130A3"/>
    <w:multiLevelType w:val="hybridMultilevel"/>
    <w:lvl w:ilvl="0">
      <w:lvlJc w:val="left"/>
      <w:lvlText w:val="(%1)"/>
      <w:numFmt w:val="lowerLetter"/>
      <w:start w:val="7"/>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21" Type="http://schemas.openxmlformats.org/officeDocument/2006/relationships/hyperlink" Target="http://www.sec.gov/Archives/edgar/data/872589/000110465922054147/tm2213969d1_ex99-a1a.htm" TargetMode="External"/><Relationship Id="rId22" Type="http://schemas.openxmlformats.org/officeDocument/2006/relationships/hyperlink" Target="http://www.sec.gov/Archives/edgar/data/872589/000110465922054147/tm2213969d1_ex99-a1b.htm" TargetMode="External"/><Relationship Id="rId23" Type="http://schemas.openxmlformats.org/officeDocument/2006/relationships/hyperlink" Target="http://www.sec.gov/Archives/edgar/data/872589/000110465922054147/tm2213969d1_ex99-a1c.htm" TargetMode="External"/><Relationship Id="rId24" Type="http://schemas.openxmlformats.org/officeDocument/2006/relationships/hyperlink" Target="http://www.sec.gov/Archives/edgar/data/872589/000110465922054147/tm2213969d1_ex99-a1d.htm" TargetMode="External"/><Relationship Id="rId25" Type="http://schemas.openxmlformats.org/officeDocument/2006/relationships/hyperlink" Target="http://www.sec.gov/Archives/edgar/data/872589/000110465922054147/tm2213969d2_ex99-a1e.htm" TargetMode="External"/><Relationship Id="rId26" Type="http://schemas.openxmlformats.org/officeDocument/2006/relationships/hyperlink" Target="http://www.sec.gov/Archives/edgar/data/872589/000110465922047376/tm2213041d1_ex99-1.htm" TargetMode="External"/><Relationship Id="rId27" Type="http://schemas.openxmlformats.org/officeDocument/2006/relationships/hyperlink" Target="http://www.sec.gov/Archives/edgar/data/872589/000110465922047376/tm2213041d1_ex99-2.htm" TargetMode="External"/><Relationship Id="rId28" Type="http://schemas.openxmlformats.org/officeDocument/2006/relationships/hyperlink" Target="http://www.sec.gov/Archives/edgar/data/0001651431/000119312522109610/d345620dex21.htm" TargetMode="External"/><Relationship Id="rId29" Type="http://schemas.openxmlformats.org/officeDocument/2006/relationships/hyperlink" Target="http://www.sec.gov/Archives/edgar/data/872589/000110465922054147/tm2213969d2_ex99-d2.htm" TargetMode="External"/><Relationship Id="rId30" Type="http://schemas.openxmlformats.org/officeDocument/2006/relationships/hyperlink" Target="http://www.sec.gov/Archives/edgar/data/0001651431/000119312522109610/d345620dex991.htm" TargetMode="External"/><Relationship Id="rId31" Type="http://schemas.openxmlformats.org/officeDocument/2006/relationships/hyperlink" Target="http://www.sec.gov/Archives/edgar/data/872589/000110465922054147/tm2213969d2_ex99-d4.htm" TargetMode="External"/><Relationship Id="rId32" Type="http://schemas.openxmlformats.org/officeDocument/2006/relationships/hyperlink" Target="http://www.sec.gov/Archives/edgar/data/872589/000110465922054147/tm2213969d2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2022-05-11T16:07:04Z</dcterms:created>
  <dcterms:modified xsi:type="dcterms:W3CDTF">2022-05-11T16:07:04Z</dcterms:modified>
</cp:coreProperties>
</file>