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180" w:hanging="1335"/>
        <w:spacing w:after="0"/>
        <w:tabs>
          <w:tab w:leader="none" w:pos="2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21" w:lineRule="exact"/>
        <w:rPr>
          <w:sz w:val="20"/>
          <w:szCs w:val="20"/>
          <w:color w:val="auto"/>
        </w:rPr>
      </w:pPr>
    </w:p>
    <w:p>
      <w:pPr>
        <w:ind w:left="2180" w:hanging="1297"/>
        <w:spacing w:after="0"/>
        <w:tabs>
          <w:tab w:leader="none" w:pos="2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3" w:lineRule="exact"/>
        <w:rPr>
          <w:sz w:val="20"/>
          <w:szCs w:val="20"/>
          <w:color w:val="auto"/>
        </w:rPr>
      </w:pPr>
    </w:p>
    <w:p>
      <w:pPr>
        <w:ind w:left="2180"/>
        <w:spacing w:after="0"/>
        <w:tabs>
          <w:tab w:leader="none" w:pos="4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6920" w:type="dxa"/>
            <w:vAlign w:val="bottom"/>
          </w:tcPr>
          <w:p>
            <w:pPr>
              <w:jc w:val="center"/>
              <w:ind w:left="18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540" w:type="dxa"/>
            <w:vAlign w:val="bottom"/>
          </w:tcPr>
          <w:p>
            <w:pPr>
              <w:spacing w:after="0"/>
              <w:rPr>
                <w:sz w:val="19"/>
                <w:szCs w:val="19"/>
                <w:color w:val="auto"/>
              </w:rPr>
            </w:pP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2"/>
              </w:rPr>
              <w:t>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91"/>
              </w:rPr>
              <w:t>(State or other jurisdiction of</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6920" w:type="dxa"/>
            <w:vAlign w:val="bottom"/>
          </w:tcPr>
          <w:p>
            <w:pPr>
              <w:jc w:val="center"/>
              <w:ind w:right="2912"/>
              <w:spacing w:after="0"/>
              <w:rPr>
                <w:sz w:val="20"/>
                <w:szCs w:val="20"/>
                <w:color w:val="auto"/>
              </w:rPr>
            </w:pPr>
            <w:r>
              <w:rPr>
                <w:rFonts w:ascii="Arial" w:cs="Arial" w:eastAsia="Arial" w:hAnsi="Arial"/>
                <w:sz w:val="18"/>
                <w:szCs w:val="18"/>
                <w:i w:val="1"/>
                <w:iCs w:val="1"/>
                <w:color w:val="auto"/>
                <w:w w:val="92"/>
              </w:rPr>
              <w:t>incorporation or organization)</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91"/>
              </w:rPr>
              <w:t>Identification No)</w:t>
            </w: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10591-6707</w:t>
            </w:r>
          </w:p>
        </w:tc>
      </w:tr>
      <w:tr>
        <w:trPr>
          <w:trHeight w:val="222"/>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9"/>
              </w:rPr>
              <w:t>(914) 347-7000</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None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Common Stock — par value $.001 per share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Preferred Share Purchase Rights expiring October 18, 2006</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bl>
    <w:p>
      <w:pPr>
        <w:spacing w:after="0" w:line="237" w:lineRule="exact"/>
        <w:rPr>
          <w:sz w:val="20"/>
          <w:szCs w:val="20"/>
          <w:color w:val="auto"/>
        </w:rPr>
      </w:pPr>
    </w:p>
    <w:p>
      <w:pPr>
        <w:ind w:right="46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At March 12, 2002, the aggregate market value of voting stock held by non-affiliates of the Registrant totaled approximately $872,990,000 based on the last sale price as reported by The Nasdaq Stock Market.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March 12, 2002: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jc w:val="center"/>
              <w:spacing w:after="0"/>
              <w:rPr>
                <w:sz w:val="20"/>
                <w:szCs w:val="20"/>
                <w:color w:val="auto"/>
              </w:rPr>
            </w:pPr>
            <w:r>
              <w:rPr>
                <w:rFonts w:ascii="Arial" w:cs="Arial" w:eastAsia="Arial" w:hAnsi="Arial"/>
                <w:sz w:val="14"/>
                <w:szCs w:val="14"/>
                <w:b w:val="1"/>
                <w:bCs w:val="1"/>
                <w:color w:val="auto"/>
                <w:w w:val="85"/>
              </w:rPr>
              <w:t>Class of Common Stock</w:t>
            </w:r>
          </w:p>
        </w:tc>
        <w:tc>
          <w:tcPr>
            <w:tcW w:w="340" w:type="dxa"/>
            <w:vAlign w:val="bottom"/>
          </w:tcPr>
          <w:p>
            <w:pPr>
              <w:spacing w:after="0"/>
              <w:rPr>
                <w:sz w:val="15"/>
                <w:szCs w:val="15"/>
                <w:color w:val="auto"/>
              </w:rPr>
            </w:pPr>
          </w:p>
        </w:tc>
        <w:tc>
          <w:tcPr>
            <w:tcW w:w="4440" w:type="dxa"/>
            <w:vAlign w:val="bottom"/>
          </w:tcPr>
          <w:p>
            <w:pPr>
              <w:ind w:left="1700"/>
              <w:spacing w:after="0"/>
              <w:rPr>
                <w:sz w:val="20"/>
                <w:szCs w:val="20"/>
                <w:color w:val="auto"/>
              </w:rPr>
            </w:pPr>
            <w:r>
              <w:rPr>
                <w:rFonts w:ascii="Arial" w:cs="Arial" w:eastAsia="Arial" w:hAnsi="Arial"/>
                <w:sz w:val="14"/>
                <w:szCs w:val="14"/>
                <w:b w:val="1"/>
                <w:bCs w:val="1"/>
                <w:color w:val="auto"/>
              </w:rPr>
              <w:t>Number of Shares</w:t>
            </w:r>
          </w:p>
        </w:tc>
      </w:tr>
      <w:tr>
        <w:trPr>
          <w:trHeight w:val="95"/>
        </w:trPr>
        <w:tc>
          <w:tcPr>
            <w:tcW w:w="6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r>
      <w:tr>
        <w:trPr>
          <w:trHeight w:val="309"/>
        </w:trPr>
        <w:tc>
          <w:tcPr>
            <w:tcW w:w="6640" w:type="dxa"/>
            <w:vAlign w:val="bottom"/>
          </w:tcPr>
          <w:p>
            <w:pPr>
              <w:jc w:val="center"/>
              <w:spacing w:after="0"/>
              <w:rPr>
                <w:sz w:val="20"/>
                <w:szCs w:val="20"/>
                <w:color w:val="auto"/>
              </w:rPr>
            </w:pPr>
            <w:r>
              <w:rPr>
                <w:rFonts w:ascii="Arial" w:cs="Arial" w:eastAsia="Arial" w:hAnsi="Arial"/>
                <w:sz w:val="18"/>
                <w:szCs w:val="18"/>
                <w:color w:val="auto"/>
                <w:w w:val="87"/>
              </w:rPr>
              <w:t>Class A Stock, $.001 par value</w:t>
            </w:r>
          </w:p>
        </w:tc>
        <w:tc>
          <w:tcPr>
            <w:tcW w:w="4780" w:type="dxa"/>
            <w:vAlign w:val="bottom"/>
            <w:gridSpan w:val="2"/>
          </w:tcPr>
          <w:p>
            <w:pPr>
              <w:jc w:val="right"/>
              <w:ind w:right="1812"/>
              <w:spacing w:after="0"/>
              <w:rPr>
                <w:sz w:val="20"/>
                <w:szCs w:val="20"/>
                <w:color w:val="auto"/>
              </w:rPr>
            </w:pPr>
            <w:r>
              <w:rPr>
                <w:rFonts w:ascii="Arial" w:cs="Arial" w:eastAsia="Arial" w:hAnsi="Arial"/>
                <w:sz w:val="18"/>
                <w:szCs w:val="18"/>
                <w:color w:val="auto"/>
              </w:rPr>
              <w:t>2,516,186</w:t>
            </w:r>
          </w:p>
        </w:tc>
      </w:tr>
      <w:tr>
        <w:trPr>
          <w:trHeight w:val="222"/>
        </w:trPr>
        <w:tc>
          <w:tcPr>
            <w:tcW w:w="664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780" w:type="dxa"/>
            <w:vAlign w:val="bottom"/>
            <w:gridSpan w:val="2"/>
          </w:tcPr>
          <w:p>
            <w:pPr>
              <w:jc w:val="right"/>
              <w:ind w:right="1752"/>
              <w:spacing w:after="0"/>
              <w:rPr>
                <w:sz w:val="20"/>
                <w:szCs w:val="20"/>
                <w:color w:val="auto"/>
              </w:rPr>
            </w:pPr>
            <w:r>
              <w:rPr>
                <w:rFonts w:ascii="Arial" w:cs="Arial" w:eastAsia="Arial" w:hAnsi="Arial"/>
                <w:sz w:val="18"/>
                <w:szCs w:val="18"/>
                <w:color w:val="auto"/>
              </w:rPr>
              <w:t>41,447,640</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122" w:right="239" w:bottom="0" w:gutter="0" w:footer="0" w:header="0"/>
        </w:sectPr>
      </w:pPr>
    </w:p>
    <w:bookmarkStart w:id="2" w:name="page3"/>
    <w:bookmarkEnd w:id="2"/>
    <w:p>
      <w:pPr>
        <w:ind w:firstLine="324"/>
        <w:spacing w:after="0" w:line="332" w:lineRule="auto"/>
        <w:rPr>
          <w:sz w:val="20"/>
          <w:szCs w:val="20"/>
          <w:color w:val="auto"/>
        </w:rPr>
      </w:pPr>
      <w:r>
        <w:rPr>
          <w:rFonts w:ascii="Arial" w:cs="Arial" w:eastAsia="Arial" w:hAnsi="Arial"/>
          <w:sz w:val="16"/>
          <w:szCs w:val="16"/>
          <w:color w:val="auto"/>
        </w:rPr>
        <w:t>The Registrant’s definitive proxy statement to be filed in connection with solicitation of proxies for its Annual Meeting of Shareholders to be held on June 14, 2002, is incorporated by reference into Part III of this Form 10-K. Exhibit index is located on pages 28 to 30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58" w:right="85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30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94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spacing w:after="0"/>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Item 9. Changes in and Disagreements with Accountants on Accounting and Financial Disclosure</w:t>
        </w:r>
      </w:hyperlink>
    </w:p>
    <w:p>
      <w:pPr>
        <w:spacing w:after="0" w:line="232"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III</w:t>
        </w:r>
      </w:hyperlink>
    </w:p>
    <w:p>
      <w:pPr>
        <w:ind w:left="32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10. Directors and Officers of the Registrant</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11. Executive Compensation</w:t>
        </w:r>
      </w:hyperlink>
    </w:p>
    <w:p>
      <w:pPr>
        <w:ind w:left="320" w:right="2740"/>
        <w:spacing w:after="0" w:line="241" w:lineRule="auto"/>
        <w:rPr>
          <w:rFonts w:ascii="Arial" w:cs="Arial" w:eastAsia="Arial" w:hAnsi="Arial"/>
          <w:sz w:val="21"/>
          <w:szCs w:val="21"/>
          <w:u w:val="single" w:color="auto"/>
          <w:color w:val="0000EE"/>
        </w:rPr>
      </w:pPr>
      <w:hyperlink w:anchor="page32">
        <w:r>
          <w:rPr>
            <w:rFonts w:ascii="Arial" w:cs="Arial" w:eastAsia="Arial" w:hAnsi="Arial"/>
            <w:sz w:val="21"/>
            <w:szCs w:val="21"/>
            <w:u w:val="single" w:color="auto"/>
            <w:color w:val="0000EE"/>
          </w:rPr>
          <w:t>Item 12. Security Ownership of Certain Beneficial Owners and Management</w:t>
        </w:r>
      </w:hyperlink>
      <w:r>
        <w:rPr>
          <w:rFonts w:ascii="Arial" w:cs="Arial" w:eastAsia="Arial" w:hAnsi="Arial"/>
          <w:sz w:val="21"/>
          <w:szCs w:val="21"/>
          <w:u w:val="single" w:color="auto"/>
          <w:color w:val="0000EE"/>
        </w:rPr>
        <w:t xml:space="preserve"> </w:t>
      </w:r>
      <w:hyperlink w:anchor="page32">
        <w:r>
          <w:rPr>
            <w:rFonts w:ascii="Arial" w:cs="Arial" w:eastAsia="Arial" w:hAnsi="Arial"/>
            <w:sz w:val="21"/>
            <w:szCs w:val="21"/>
            <w:u w:val="single" w:color="auto"/>
            <w:color w:val="0000EE"/>
          </w:rPr>
          <w:t>Item 13. Certain Relationships and Related Transactions</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ind w:right="2840" w:firstLine="311"/>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14. Exhibits, Financial Statement Schedules and Reports on Form 8-K</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REPORT OF INDEPENDENT ACCOUNTANTS</w:t>
        </w:r>
      </w:hyperlink>
    </w:p>
    <w:p>
      <w:pPr>
        <w:spacing w:after="0" w:line="1"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REGENERON PHARMACEUTICALS, INC. BALANCE SHEETS</w:t>
        </w:r>
      </w:hyperlink>
      <w:r>
        <w:rPr>
          <w:rFonts w:ascii="Arial" w:cs="Arial" w:eastAsia="Arial" w:hAnsi="Arial"/>
          <w:sz w:val="22"/>
          <w:szCs w:val="22"/>
          <w:u w:val="single" w:color="auto"/>
          <w:color w:val="0000EE"/>
        </w:rPr>
        <w:t xml:space="preserve"> </w:t>
      </w:r>
      <w:hyperlink w:anchor="page40">
        <w:r>
          <w:rPr>
            <w:rFonts w:ascii="Arial" w:cs="Arial" w:eastAsia="Arial" w:hAnsi="Arial"/>
            <w:sz w:val="22"/>
            <w:szCs w:val="22"/>
            <w:u w:val="single" w:color="auto"/>
            <w:color w:val="0000EE"/>
          </w:rPr>
          <w:t>REGENERON PHARMACEUTICALS, INC. STATEMENTS OF OPERATIONS</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REGENERON PHARMACEUTICALS, INC. STATEMENTS OF STOCKHOLDERS’ EQUITY</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REGENERON PHARMACEUTICALS, INC. STATEMENTS OF STOCKHOLDERS’ EQUITY --(Continued)</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REGENERON PHARMACEUTICALS, INC. STATEMENTS OF CASH FLOWS</w:t>
        </w:r>
      </w:hyperlink>
    </w:p>
    <w:p>
      <w:pPr>
        <w:spacing w:after="0" w:line="233"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NOTES TO FINANCIAL STATEMENTS For the Years Ended December 31, 2001, 2000 and 1999</w:t>
        </w:r>
      </w:hyperlink>
    </w:p>
    <w:p>
      <w:pPr>
        <w:spacing w:after="0" w:line="231" w:lineRule="auto"/>
        <w:rPr>
          <w:rFonts w:ascii="Arial" w:cs="Arial" w:eastAsia="Arial" w:hAnsi="Arial"/>
          <w:sz w:val="22"/>
          <w:szCs w:val="22"/>
          <w:u w:val="single" w:color="auto"/>
          <w:color w:val="0000EE"/>
        </w:rPr>
      </w:pPr>
      <w:hyperlink w:anchor="page65">
        <w:r>
          <w:rPr>
            <w:rFonts w:ascii="Arial" w:cs="Arial" w:eastAsia="Arial" w:hAnsi="Arial"/>
            <w:sz w:val="22"/>
            <w:szCs w:val="22"/>
            <w:u w:val="single" w:color="auto"/>
            <w:color w:val="0000EE"/>
          </w:rPr>
          <w:t>REPORT OF ERNST &amp; YOUNG LLP, INDEPENDENT AUDITORS</w:t>
        </w:r>
      </w:hyperlink>
    </w:p>
    <w:p>
      <w:pPr>
        <w:spacing w:after="0" w:line="231" w:lineRule="auto"/>
        <w:rPr>
          <w:rFonts w:ascii="Arial" w:cs="Arial" w:eastAsia="Arial" w:hAnsi="Arial"/>
          <w:sz w:val="22"/>
          <w:szCs w:val="22"/>
          <w:u w:val="single" w:color="auto"/>
          <w:color w:val="0000EE"/>
        </w:rPr>
      </w:pPr>
      <w:hyperlink w:anchor="page66">
        <w:r>
          <w:rPr>
            <w:rFonts w:ascii="Arial" w:cs="Arial" w:eastAsia="Arial" w:hAnsi="Arial"/>
            <w:sz w:val="22"/>
            <w:szCs w:val="22"/>
            <w:u w:val="single" w:color="auto"/>
            <w:color w:val="0000EE"/>
          </w:rPr>
          <w:t>BALANCE SHEETS</w:t>
        </w:r>
      </w:hyperlink>
    </w:p>
    <w:p>
      <w:pPr>
        <w:spacing w:after="0" w:line="230" w:lineRule="auto"/>
        <w:rPr>
          <w:rFonts w:ascii="Arial" w:cs="Arial" w:eastAsia="Arial" w:hAnsi="Arial"/>
          <w:sz w:val="22"/>
          <w:szCs w:val="22"/>
          <w:u w:val="single" w:color="auto"/>
          <w:color w:val="0000EE"/>
        </w:rPr>
      </w:pPr>
      <w:hyperlink w:anchor="page67">
        <w:r>
          <w:rPr>
            <w:rFonts w:ascii="Arial" w:cs="Arial" w:eastAsia="Arial" w:hAnsi="Arial"/>
            <w:sz w:val="22"/>
            <w:szCs w:val="22"/>
            <w:u w:val="single" w:color="auto"/>
            <w:color w:val="0000EE"/>
          </w:rPr>
          <w:t>STATEMENTS OF OPERATIONS</w:t>
        </w:r>
      </w:hyperlink>
    </w:p>
    <w:p>
      <w:pPr>
        <w:spacing w:after="0" w:line="231"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STATEMENTS OF CHANGES IN PARTNERS’ CAPITAL (DEFICIT)</w:t>
        </w:r>
      </w:hyperlink>
    </w:p>
    <w:p>
      <w:pPr>
        <w:spacing w:after="0" w:line="230" w:lineRule="auto"/>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STATEMENTS OF CASH FLOWS</w:t>
        </w:r>
      </w:hyperlink>
    </w:p>
    <w:p>
      <w:pPr>
        <w:spacing w:after="0" w:line="231" w:lineRule="auto"/>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NOTES TO FINANCIAL STATEMENTS</w:t>
        </w:r>
      </w:hyperlink>
    </w:p>
    <w:p>
      <w:pPr>
        <w:spacing w:after="0" w:line="231" w:lineRule="auto"/>
        <w:rPr>
          <w:sz w:val="20"/>
          <w:szCs w:val="20"/>
          <w:color w:val="auto"/>
        </w:rPr>
      </w:pPr>
      <w:r>
        <w:rPr>
          <w:rFonts w:ascii="Arial" w:cs="Arial" w:eastAsia="Arial" w:hAnsi="Arial"/>
          <w:sz w:val="22"/>
          <w:szCs w:val="22"/>
          <w:u w:val="single" w:color="auto"/>
          <w:color w:val="0000EE"/>
        </w:rPr>
        <w:t>CERTIFICATE OF AMENDMENT OF CERTIFICATE OF INCORP.</w:t>
      </w:r>
    </w:p>
    <w:p>
      <w:pPr>
        <w:spacing w:after="0" w:line="230" w:lineRule="auto"/>
        <w:rPr>
          <w:sz w:val="20"/>
          <w:szCs w:val="20"/>
          <w:color w:val="auto"/>
        </w:rPr>
      </w:pPr>
      <w:r>
        <w:rPr>
          <w:rFonts w:ascii="Arial" w:cs="Arial" w:eastAsia="Arial" w:hAnsi="Arial"/>
          <w:sz w:val="22"/>
          <w:szCs w:val="22"/>
          <w:u w:val="single" w:color="auto"/>
          <w:color w:val="0000EE"/>
        </w:rPr>
        <w:t>2000 LONG-TERM INCENTIVE PLAN.</w:t>
      </w:r>
    </w:p>
    <w:p>
      <w:pPr>
        <w:spacing w:after="0" w:line="1" w:lineRule="exact"/>
        <w:rPr>
          <w:rFonts w:ascii="Arial" w:cs="Arial" w:eastAsia="Arial" w:hAnsi="Arial"/>
          <w:sz w:val="22"/>
          <w:szCs w:val="22"/>
          <w:u w:val="single" w:color="auto"/>
          <w:color w:val="0000EE"/>
        </w:rPr>
      </w:pPr>
    </w:p>
    <w:p>
      <w:pPr>
        <w:ind w:right="4840"/>
        <w:spacing w:after="0" w:line="249" w:lineRule="auto"/>
        <w:rPr>
          <w:sz w:val="20"/>
          <w:szCs w:val="20"/>
          <w:color w:val="auto"/>
        </w:rPr>
      </w:pPr>
      <w:r>
        <w:rPr>
          <w:rFonts w:ascii="Arial" w:cs="Arial" w:eastAsia="Arial" w:hAnsi="Arial"/>
          <w:sz w:val="21"/>
          <w:szCs w:val="21"/>
          <w:u w:val="single" w:color="auto"/>
          <w:color w:val="0000EE"/>
        </w:rPr>
        <w:t>CONSENT OF PRICEWATERHOUSECOOPERS LLP CONSENT OF ERNST &amp; YOUNG LLP POWER OF ATTORNEY</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123190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80"/>
          </w:cols>
          <w:pgMar w:left="820" w:top="112" w:right="1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drugs entails risk and significant expense. Since inception we have not generated any sales or profits from the commercialization of any of our product candidates.</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188" w:lineRule="exact"/>
        <w:rPr>
          <w:sz w:val="20"/>
          <w:szCs w:val="20"/>
          <w:color w:val="auto"/>
        </w:rPr>
      </w:pPr>
    </w:p>
    <w:p>
      <w:pPr>
        <w:ind w:left="460" w:right="160" w:hanging="101"/>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In September 2001, we reported that patients who completed 36 weeks of follow-up after cessation of AXOKINE treatment, on average, maintained the weight loss observed in the twelve-week treatment period. In July 2001, we initiated a Phase III clinical program of AXOKINE in overweight and obese patients. In January 2002, we announced that we had completed enrollment for a pivotal trial that includes approximately 2,000 patients in 65 sites across the United States.</w:t>
      </w:r>
    </w:p>
    <w:p>
      <w:pPr>
        <w:spacing w:after="0" w:line="194" w:lineRule="exact"/>
        <w:rPr>
          <w:rFonts w:ascii="Arial" w:cs="Arial" w:eastAsia="Arial" w:hAnsi="Arial"/>
          <w:sz w:val="16"/>
          <w:szCs w:val="16"/>
          <w:color w:val="auto"/>
        </w:rPr>
      </w:pPr>
    </w:p>
    <w:p>
      <w:pPr>
        <w:ind w:left="460" w:right="500" w:hanging="101"/>
        <w:spacing w:after="0" w:line="339"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PEGYLATED AXOKINE: </w:t>
      </w:r>
      <w:r>
        <w:rPr>
          <w:rFonts w:ascii="Arial" w:cs="Arial" w:eastAsia="Arial" w:hAnsi="Arial"/>
          <w:sz w:val="16"/>
          <w:szCs w:val="16"/>
          <w:color w:val="auto"/>
        </w:rPr>
        <w:t>Chemically modified version of AXOKINE that is being developed as a more potent, longer-acting form of the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Pegylated AXOKINE currently is in late-stage preclinical development and we anticipate initiating a Phase I clinical trial in mid-2002.</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101"/>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antagonist for the interleukin-1 (called IL1) cytokine. IL1 is thought to play a major</w:t>
      </w:r>
      <w:r>
        <w:rPr>
          <w:rFonts w:ascii="Arial" w:cs="Arial" w:eastAsia="Arial" w:hAnsi="Arial"/>
          <w:sz w:val="18"/>
          <w:szCs w:val="18"/>
          <w:b w:val="1"/>
          <w:bCs w:val="1"/>
          <w:color w:val="auto"/>
        </w:rPr>
        <w:t xml:space="preserve"> </w:t>
      </w:r>
      <w:r>
        <w:rPr>
          <w:rFonts w:ascii="Arial" w:cs="Arial" w:eastAsia="Arial" w:hAnsi="Arial"/>
          <w:sz w:val="18"/>
          <w:szCs w:val="18"/>
          <w:color w:val="auto"/>
        </w:rPr>
        <w:t>role in rheumatoid arthritis and other inflammatory diseases. In December 2000, we initiated a Phase I study to assess the safety and tolerability of the IL1 Trap in patients with rheumatoid arthritis. In January 2002, we reported positive preliminary results from the trial. Patients treated with the IL1 Trap experienced dose-dependent improvements in tender and swollen joints and CRP (C-Reactive Protein) levels, as well as the composite ACR (American College of Rheumatology) measure of disease activity. We expect to initiate a Phase II study for the IL1 Trap in patients with rheumatoid arthritis in mid-2002.</w:t>
      </w:r>
    </w:p>
    <w:p>
      <w:pPr>
        <w:spacing w:after="0" w:line="220" w:lineRule="exact"/>
        <w:rPr>
          <w:rFonts w:ascii="Arial" w:cs="Arial" w:eastAsia="Arial" w:hAnsi="Arial"/>
          <w:sz w:val="18"/>
          <w:szCs w:val="18"/>
          <w:color w:val="auto"/>
        </w:rPr>
      </w:pPr>
    </w:p>
    <w:p>
      <w:pPr>
        <w:ind w:left="460" w:right="20" w:hanging="101"/>
        <w:spacing w:after="0" w:line="31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INTERLEUKIN-4/ INTERLEUKIN-13 CYTOKINE TRAP (IL4/ IL13 Trap): </w:t>
      </w:r>
      <w:r>
        <w:rPr>
          <w:rFonts w:ascii="Arial" w:cs="Arial" w:eastAsia="Arial" w:hAnsi="Arial"/>
          <w:sz w:val="16"/>
          <w:szCs w:val="16"/>
          <w:color w:val="auto"/>
        </w:rPr>
        <w:t>Protein-based antagonist for the interleukin-4 and interleukin-13 (called</w:t>
      </w:r>
      <w:r>
        <w:rPr>
          <w:rFonts w:ascii="Arial" w:cs="Arial" w:eastAsia="Arial" w:hAnsi="Arial"/>
          <w:sz w:val="16"/>
          <w:szCs w:val="16"/>
          <w:b w:val="1"/>
          <w:bCs w:val="1"/>
          <w:color w:val="auto"/>
        </w:rPr>
        <w:t xml:space="preserve"> </w:t>
      </w:r>
      <w:r>
        <w:rPr>
          <w:rFonts w:ascii="Arial" w:cs="Arial" w:eastAsia="Arial" w:hAnsi="Arial"/>
          <w:sz w:val="16"/>
          <w:szCs w:val="16"/>
          <w:color w:val="auto"/>
        </w:rPr>
        <w:t>IL4 and IL13) cytokines which are thought to play a major role in diseases such as asthma, allergic disorders, and other inflammatory diseases. We expect to initiate a Phase I clinical trial of a dual IL4/ IL13 Trap for asthma/allergy-related conditions in mid-2002.</w:t>
      </w:r>
    </w:p>
    <w:p>
      <w:pPr>
        <w:spacing w:after="0" w:line="178" w:lineRule="exact"/>
        <w:rPr>
          <w:rFonts w:ascii="Arial" w:cs="Arial" w:eastAsia="Arial" w:hAnsi="Arial"/>
          <w:sz w:val="16"/>
          <w:szCs w:val="16"/>
          <w:color w:val="auto"/>
        </w:rPr>
      </w:pPr>
    </w:p>
    <w:p>
      <w:pPr>
        <w:ind w:left="460" w:right="20" w:hanging="101"/>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antagonist to Vascular Endothelial Growth Factor (called VEGF, also known as Vascular Permeability Factor or VPF). VEGF</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for the growth of blood vessels that are needed for tumors to grow and is a potent regulator of vascular permeability and leak. In November 2001, we initiated a Phase I clinical trial designed to assess the safety and tolerability of VEGF Trap in patients with solid tumor malignancies and patients with non-Hodgkin’s lymphoma.</w:t>
      </w:r>
    </w:p>
    <w:p>
      <w:pPr>
        <w:spacing w:after="0" w:line="217" w:lineRule="exact"/>
        <w:rPr>
          <w:rFonts w:ascii="Arial" w:cs="Arial" w:eastAsia="Arial" w:hAnsi="Arial"/>
          <w:sz w:val="18"/>
          <w:szCs w:val="18"/>
          <w:color w:val="auto"/>
        </w:rPr>
      </w:pPr>
    </w:p>
    <w:p>
      <w:pPr>
        <w:ind w:left="460" w:right="60" w:hanging="101"/>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22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Programs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120" w:type="dxa"/>
            <w:vAlign w:val="bottom"/>
          </w:tcPr>
          <w:p>
            <w:pPr>
              <w:ind w:left="1100"/>
              <w:spacing w:after="0"/>
              <w:rPr>
                <w:sz w:val="20"/>
                <w:szCs w:val="20"/>
                <w:color w:val="auto"/>
              </w:rPr>
            </w:pPr>
            <w:r>
              <w:rPr>
                <w:rFonts w:ascii="Arial" w:cs="Arial" w:eastAsia="Arial" w:hAnsi="Arial"/>
                <w:sz w:val="14"/>
                <w:szCs w:val="14"/>
                <w:b w:val="1"/>
                <w:bCs w:val="1"/>
                <w:color w:val="auto"/>
              </w:rPr>
              <w:t>Program and Product Candidate</w:t>
            </w:r>
          </w:p>
        </w:tc>
        <w:tc>
          <w:tcPr>
            <w:tcW w:w="260" w:type="dxa"/>
            <w:vAlign w:val="bottom"/>
          </w:tcPr>
          <w:p>
            <w:pPr>
              <w:spacing w:after="0"/>
              <w:rPr>
                <w:sz w:val="15"/>
                <w:szCs w:val="15"/>
                <w:color w:val="auto"/>
              </w:rPr>
            </w:pPr>
          </w:p>
        </w:tc>
        <w:tc>
          <w:tcPr>
            <w:tcW w:w="3380" w:type="dxa"/>
            <w:vAlign w:val="bottom"/>
          </w:tcPr>
          <w:p>
            <w:pPr>
              <w:ind w:left="1120"/>
              <w:spacing w:after="0"/>
              <w:rPr>
                <w:sz w:val="20"/>
                <w:szCs w:val="20"/>
                <w:color w:val="auto"/>
              </w:rPr>
            </w:pPr>
            <w:r>
              <w:rPr>
                <w:rFonts w:ascii="Arial" w:cs="Arial" w:eastAsia="Arial" w:hAnsi="Arial"/>
                <w:sz w:val="14"/>
                <w:szCs w:val="14"/>
                <w:b w:val="1"/>
                <w:bCs w:val="1"/>
                <w:color w:val="auto"/>
              </w:rPr>
              <w:t>Targeted Indication</w:t>
            </w:r>
          </w:p>
        </w:tc>
        <w:tc>
          <w:tcPr>
            <w:tcW w:w="280" w:type="dxa"/>
            <w:vAlign w:val="bottom"/>
          </w:tcPr>
          <w:p>
            <w:pPr>
              <w:spacing w:after="0"/>
              <w:rPr>
                <w:sz w:val="15"/>
                <w:szCs w:val="15"/>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Stage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AXOKINE®</w:t>
            </w:r>
          </w:p>
        </w:tc>
        <w:tc>
          <w:tcPr>
            <w:tcW w:w="36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Obesity</w:t>
            </w:r>
          </w:p>
        </w:tc>
        <w:tc>
          <w:tcPr>
            <w:tcW w:w="1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Pegylated AXOKINE</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Obesity</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Preclinical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IL1 Trap</w:t>
            </w:r>
          </w:p>
        </w:tc>
        <w:tc>
          <w:tcPr>
            <w:tcW w:w="36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Rheumatoid arthritis</w:t>
            </w:r>
          </w:p>
        </w:tc>
        <w:tc>
          <w:tcPr>
            <w:tcW w:w="1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IL4/13 Trap</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Asthma and allergic disorders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Preclinical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Traps for other cytokines</w:t>
            </w:r>
          </w:p>
        </w:tc>
        <w:tc>
          <w:tcPr>
            <w:tcW w:w="36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Multiple diseases</w:t>
            </w:r>
          </w:p>
        </w:tc>
        <w:tc>
          <w:tcPr>
            <w:tcW w:w="1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Research</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VEGF Trap</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Cancer and related conditions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Angiopoietin-1</w:t>
            </w:r>
          </w:p>
        </w:tc>
        <w:tc>
          <w:tcPr>
            <w:tcW w:w="36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Vascular leak and edema</w:t>
            </w:r>
          </w:p>
        </w:tc>
        <w:tc>
          <w:tcPr>
            <w:tcW w:w="1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Preclinical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Ephrins, Angiopoietin-2</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Cancer and ischemia</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Research</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Regeneron Orphan Receptors (RORs)</w:t>
            </w:r>
          </w:p>
        </w:tc>
        <w:tc>
          <w:tcPr>
            <w:tcW w:w="36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9"/>
              </w:rPr>
              <w:t>Osteoarthritis and other cartilage diseases</w:t>
            </w:r>
          </w:p>
        </w:tc>
        <w:tc>
          <w:tcPr>
            <w:tcW w:w="1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Research</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gridSpan w:val="2"/>
          </w:tcPr>
          <w:p>
            <w:pPr>
              <w:ind w:left="4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AXOKINE. </w:t>
      </w:r>
      <w:r>
        <w:rPr>
          <w:rFonts w:ascii="Arial" w:cs="Arial" w:eastAsia="Arial" w:hAnsi="Arial"/>
          <w:sz w:val="18"/>
          <w:szCs w:val="18"/>
          <w:color w:val="auto"/>
        </w:rPr>
        <w:t>AXOKINE is our patented second generation ciliary neurotrophic factor, called CNTF. We are developing AXOKINE for the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obesity.</w:t>
      </w:r>
    </w:p>
    <w:p>
      <w:pPr>
        <w:spacing w:after="0" w:line="21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infarction are estimated to contribute to about 300,000 deaths yearly, ranking second only to smoking as a cause of preventable death. Health care expenditures for obesity-related conditions now total over $200 billion a year in the United States. Current treatment of obesity consists of diet, exercise, and other lifestyle changes, and a limited number of drugs. There are two approved drugs currently indicated for the treatment of obesity — sibutramine (Meridia®, a registered trademark of Knoll Pharmaceutical Company) and orlistat (Xenical®, a registered trademark of Hoffmann-LaRoche, Inc.). According to their approved product labels, over a twelve-month treatment period, these drugs, at their approved starting doses, have produced weight loss of between approximately five and nine pounds as compared to patients taking placebo.</w:t>
      </w:r>
    </w:p>
    <w:p>
      <w:pPr>
        <w:spacing w:after="0" w:line="199" w:lineRule="exact"/>
        <w:rPr>
          <w:sz w:val="20"/>
          <w:szCs w:val="20"/>
          <w:color w:val="auto"/>
        </w:rPr>
      </w:pPr>
    </w:p>
    <w:p>
      <w:pPr>
        <w:jc w:val="both"/>
        <w:ind w:right="340" w:firstLine="324"/>
        <w:spacing w:after="0" w:line="284" w:lineRule="auto"/>
        <w:rPr>
          <w:sz w:val="20"/>
          <w:szCs w:val="20"/>
          <w:color w:val="auto"/>
        </w:rPr>
      </w:pPr>
      <w:r>
        <w:rPr>
          <w:rFonts w:ascii="Arial" w:cs="Arial" w:eastAsia="Arial" w:hAnsi="Arial"/>
          <w:sz w:val="16"/>
          <w:szCs w:val="16"/>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two-week “run-in period,” all subjects received twelve weeks of daily treatment, administered under the skin by patient self-injection. A total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80" w:type="dxa"/>
            <w:vAlign w:val="bottom"/>
            <w:gridSpan w:val="3"/>
          </w:tcPr>
          <w:p>
            <w:pPr>
              <w:ind w:left="1000"/>
              <w:spacing w:after="0"/>
              <w:rPr>
                <w:sz w:val="20"/>
                <w:szCs w:val="20"/>
                <w:color w:val="auto"/>
              </w:rPr>
            </w:pPr>
            <w:r>
              <w:rPr>
                <w:rFonts w:ascii="Arial" w:cs="Arial" w:eastAsia="Arial" w:hAnsi="Arial"/>
                <w:sz w:val="14"/>
                <w:szCs w:val="14"/>
                <w:b w:val="1"/>
                <w:bCs w:val="1"/>
                <w:color w:val="auto"/>
              </w:rPr>
              <w:t>Completer Analysis</w:t>
            </w: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60" w:type="dxa"/>
            <w:vAlign w:val="bottom"/>
            <w:gridSpan w:val="3"/>
          </w:tcPr>
          <w:p>
            <w:pPr>
              <w:ind w:left="820"/>
              <w:spacing w:after="0"/>
              <w:rPr>
                <w:sz w:val="20"/>
                <w:szCs w:val="20"/>
                <w:color w:val="auto"/>
              </w:rPr>
            </w:pPr>
            <w:r>
              <w:rPr>
                <w:rFonts w:ascii="Arial" w:cs="Arial" w:eastAsia="Arial" w:hAnsi="Arial"/>
                <w:sz w:val="14"/>
                <w:szCs w:val="14"/>
                <w:b w:val="1"/>
                <w:bCs w:val="1"/>
                <w:color w:val="auto"/>
                <w:w w:val="90"/>
              </w:rPr>
              <w:t>Last Observed Value Analysis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Mean Weight Change</w:t>
            </w: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Mean Weight Change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from Baseline</w:t>
            </w:r>
          </w:p>
        </w:tc>
        <w:tc>
          <w:tcPr>
            <w:tcW w:w="19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 value (relative</w:t>
            </w:r>
          </w:p>
        </w:tc>
        <w:tc>
          <w:tcPr>
            <w:tcW w:w="1280" w:type="dxa"/>
            <w:vAlign w:val="bottom"/>
          </w:tcPr>
          <w:p>
            <w:pPr>
              <w:spacing w:after="0"/>
              <w:rPr>
                <w:sz w:val="12"/>
                <w:szCs w:val="12"/>
                <w:color w:val="auto"/>
              </w:rPr>
            </w:pPr>
          </w:p>
        </w:tc>
        <w:tc>
          <w:tcPr>
            <w:tcW w:w="26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from Baseline</w:t>
            </w:r>
          </w:p>
        </w:tc>
        <w:tc>
          <w:tcPr>
            <w:tcW w:w="1720" w:type="dxa"/>
            <w:vAlign w:val="bottom"/>
          </w:tcPr>
          <w:p>
            <w:pPr>
              <w:jc w:val="center"/>
              <w:ind w:right="459"/>
              <w:spacing w:after="0" w:line="149" w:lineRule="exact"/>
              <w:rPr>
                <w:sz w:val="20"/>
                <w:szCs w:val="20"/>
                <w:color w:val="auto"/>
              </w:rPr>
            </w:pPr>
            <w:r>
              <w:rPr>
                <w:rFonts w:ascii="Arial" w:cs="Arial" w:eastAsia="Arial" w:hAnsi="Arial"/>
                <w:sz w:val="14"/>
                <w:szCs w:val="14"/>
                <w:b w:val="1"/>
                <w:bCs w:val="1"/>
                <w:color w:val="auto"/>
                <w:w w:val="88"/>
              </w:rPr>
              <w:t>p value (relative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(pounds)</w:t>
            </w:r>
          </w:p>
        </w:tc>
        <w:tc>
          <w:tcPr>
            <w:tcW w:w="1960" w:type="dxa"/>
            <w:vAlign w:val="bottom"/>
          </w:tcPr>
          <w:p>
            <w:pPr>
              <w:ind w:left="480"/>
              <w:spacing w:after="0"/>
              <w:rPr>
                <w:sz w:val="20"/>
                <w:szCs w:val="20"/>
                <w:color w:val="auto"/>
              </w:rPr>
            </w:pPr>
            <w:r>
              <w:rPr>
                <w:rFonts w:ascii="Arial" w:cs="Arial" w:eastAsia="Arial" w:hAnsi="Arial"/>
                <w:sz w:val="14"/>
                <w:szCs w:val="14"/>
                <w:b w:val="1"/>
                <w:bCs w:val="1"/>
                <w:color w:val="auto"/>
              </w:rPr>
              <w:t>to placebo)</w:t>
            </w:r>
          </w:p>
        </w:tc>
        <w:tc>
          <w:tcPr>
            <w:tcW w:w="1280" w:type="dxa"/>
            <w:vAlign w:val="bottom"/>
          </w:tcPr>
          <w:p>
            <w:pPr>
              <w:spacing w:after="0"/>
              <w:rPr>
                <w:sz w:val="15"/>
                <w:szCs w:val="15"/>
                <w:color w:val="auto"/>
              </w:rPr>
            </w:pPr>
          </w:p>
        </w:tc>
        <w:tc>
          <w:tcPr>
            <w:tcW w:w="26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3"/>
              </w:rPr>
              <w:t>(pounds)</w:t>
            </w:r>
          </w:p>
        </w:tc>
        <w:tc>
          <w:tcPr>
            <w:tcW w:w="1720" w:type="dxa"/>
            <w:vAlign w:val="bottom"/>
          </w:tcPr>
          <w:p>
            <w:pPr>
              <w:jc w:val="center"/>
              <w:ind w:right="459"/>
              <w:spacing w:after="0"/>
              <w:rPr>
                <w:sz w:val="20"/>
                <w:szCs w:val="20"/>
                <w:color w:val="auto"/>
              </w:rPr>
            </w:pPr>
            <w:r>
              <w:rPr>
                <w:rFonts w:ascii="Arial" w:cs="Arial" w:eastAsia="Arial" w:hAnsi="Arial"/>
                <w:sz w:val="14"/>
                <w:szCs w:val="14"/>
                <w:b w:val="1"/>
                <w:bCs w:val="1"/>
                <w:color w:val="auto"/>
                <w:w w:val="82"/>
              </w:rPr>
              <w:t>to placebo)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28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Placebo</w:t>
            </w:r>
          </w:p>
        </w:tc>
        <w:tc>
          <w:tcPr>
            <w:tcW w:w="1860" w:type="dxa"/>
            <w:vAlign w:val="bottom"/>
            <w:shd w:val="clear" w:color="auto" w:fill="EEEEEE"/>
          </w:tcPr>
          <w:p>
            <w:pPr>
              <w:jc w:val="right"/>
              <w:ind w:right="64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Placebo</w:t>
            </w:r>
          </w:p>
        </w:tc>
        <w:tc>
          <w:tcPr>
            <w:tcW w:w="1860" w:type="dxa"/>
            <w:vAlign w:val="bottom"/>
            <w:shd w:val="clear" w:color="auto" w:fill="EEEEEE"/>
          </w:tcPr>
          <w:p>
            <w:pPr>
              <w:jc w:val="right"/>
              <w:ind w:right="642"/>
              <w:spacing w:after="0"/>
              <w:rPr>
                <w:sz w:val="20"/>
                <w:szCs w:val="20"/>
                <w:color w:val="auto"/>
              </w:rPr>
            </w:pPr>
            <w:r>
              <w:rPr>
                <w:rFonts w:ascii="Arial" w:cs="Arial" w:eastAsia="Arial" w:hAnsi="Arial"/>
                <w:sz w:val="18"/>
                <w:szCs w:val="18"/>
                <w:color w:val="auto"/>
              </w:rPr>
              <w:t>+0.6</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EEEEEE"/>
          </w:tcPr>
          <w:p>
            <w:pPr>
              <w:jc w:val="center"/>
              <w:ind w:right="492"/>
              <w:spacing w:after="0"/>
              <w:rPr>
                <w:sz w:val="20"/>
                <w:szCs w:val="20"/>
                <w:color w:val="auto"/>
              </w:rPr>
            </w:pPr>
            <w:r>
              <w:rPr>
                <w:rFonts w:ascii="Arial" w:cs="Arial" w:eastAsia="Arial" w:hAnsi="Arial"/>
                <w:sz w:val="18"/>
                <w:szCs w:val="18"/>
                <w:color w:val="auto"/>
                <w:w w:val="91"/>
              </w:rPr>
              <w:t>(n=19)</w:t>
            </w:r>
          </w:p>
        </w:tc>
        <w:tc>
          <w:tcPr>
            <w:tcW w:w="18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9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(n=31)</w:t>
            </w:r>
          </w:p>
        </w:tc>
        <w:tc>
          <w:tcPr>
            <w:tcW w:w="18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720" w:type="dxa"/>
            <w:vAlign w:val="bottom"/>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tcPr>
          <w:p>
            <w:pPr>
              <w:jc w:val="center"/>
              <w:ind w:right="432"/>
              <w:spacing w:after="0"/>
              <w:rPr>
                <w:sz w:val="20"/>
                <w:szCs w:val="20"/>
                <w:color w:val="auto"/>
              </w:rPr>
            </w:pPr>
            <w:r>
              <w:rPr>
                <w:rFonts w:ascii="Arial" w:cs="Arial" w:eastAsia="Arial" w:hAnsi="Arial"/>
                <w:sz w:val="18"/>
                <w:szCs w:val="18"/>
                <w:color w:val="auto"/>
                <w:w w:val="88"/>
              </w:rPr>
              <w:t>0.3 mcg/kg</w:t>
            </w:r>
          </w:p>
        </w:tc>
        <w:tc>
          <w:tcPr>
            <w:tcW w:w="1860" w:type="dxa"/>
            <w:vAlign w:val="bottom"/>
          </w:tcPr>
          <w:p>
            <w:pPr>
              <w:jc w:val="right"/>
              <w:ind w:right="64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Arial" w:cs="Arial" w:eastAsia="Arial" w:hAnsi="Arial"/>
                <w:sz w:val="18"/>
                <w:szCs w:val="18"/>
                <w:color w:val="auto"/>
              </w:rPr>
              <w:t>0.3</w:t>
            </w:r>
          </w:p>
        </w:tc>
        <w:tc>
          <w:tcPr>
            <w:tcW w:w="1860" w:type="dxa"/>
            <w:vAlign w:val="bottom"/>
          </w:tcPr>
          <w:p>
            <w:pPr>
              <w:jc w:val="right"/>
              <w:ind w:right="64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jc w:val="center"/>
              <w:ind w:right="492"/>
              <w:spacing w:after="0"/>
              <w:rPr>
                <w:sz w:val="20"/>
                <w:szCs w:val="20"/>
                <w:color w:val="auto"/>
              </w:rPr>
            </w:pPr>
            <w:r>
              <w:rPr>
                <w:rFonts w:ascii="Arial" w:cs="Arial" w:eastAsia="Arial" w:hAnsi="Arial"/>
                <w:sz w:val="18"/>
                <w:szCs w:val="18"/>
                <w:color w:val="auto"/>
                <w:w w:val="91"/>
              </w:rPr>
              <w:t>(n=23)</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ind w:left="400"/>
              <w:spacing w:after="0"/>
              <w:rPr>
                <w:sz w:val="20"/>
                <w:szCs w:val="20"/>
                <w:color w:val="auto"/>
              </w:rPr>
            </w:pPr>
            <w:r>
              <w:rPr>
                <w:rFonts w:ascii="Arial" w:cs="Arial" w:eastAsia="Arial" w:hAnsi="Arial"/>
                <w:sz w:val="18"/>
                <w:szCs w:val="18"/>
                <w:color w:val="auto"/>
              </w:rPr>
              <w:t>mcg/kg</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ind w:left="480"/>
              <w:spacing w:after="0"/>
              <w:rPr>
                <w:sz w:val="20"/>
                <w:szCs w:val="20"/>
                <w:color w:val="auto"/>
              </w:rPr>
            </w:pPr>
            <w:r>
              <w:rPr>
                <w:rFonts w:ascii="Arial" w:cs="Arial" w:eastAsia="Arial" w:hAnsi="Arial"/>
                <w:sz w:val="18"/>
                <w:szCs w:val="18"/>
                <w:color w:val="auto"/>
              </w:rPr>
              <w:t>p = 0.01</w:t>
            </w:r>
          </w:p>
        </w:tc>
        <w:tc>
          <w:tcPr>
            <w:tcW w:w="1280" w:type="dxa"/>
            <w:vAlign w:val="bottom"/>
          </w:tcPr>
          <w:p>
            <w:pPr>
              <w:ind w:left="400"/>
              <w:spacing w:after="0"/>
              <w:rPr>
                <w:sz w:val="20"/>
                <w:szCs w:val="20"/>
                <w:color w:val="auto"/>
              </w:rPr>
            </w:pPr>
            <w:r>
              <w:rPr>
                <w:rFonts w:ascii="Arial" w:cs="Arial" w:eastAsia="Arial" w:hAnsi="Arial"/>
                <w:sz w:val="18"/>
                <w:szCs w:val="18"/>
                <w:color w:val="auto"/>
              </w:rPr>
              <w:t>(n=31)</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ind w:left="240"/>
              <w:spacing w:after="0"/>
              <w:rPr>
                <w:sz w:val="20"/>
                <w:szCs w:val="20"/>
                <w:color w:val="auto"/>
              </w:rPr>
            </w:pPr>
            <w:r>
              <w:rPr>
                <w:rFonts w:ascii="Arial" w:cs="Arial" w:eastAsia="Arial" w:hAnsi="Arial"/>
                <w:sz w:val="18"/>
                <w:szCs w:val="18"/>
                <w:color w:val="auto"/>
              </w:rPr>
              <w:t>p = 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EEEEEE"/>
          </w:tcPr>
          <w:p>
            <w:pPr>
              <w:jc w:val="center"/>
              <w:ind w:right="432"/>
              <w:spacing w:after="0"/>
              <w:rPr>
                <w:sz w:val="20"/>
                <w:szCs w:val="20"/>
                <w:color w:val="auto"/>
              </w:rPr>
            </w:pPr>
            <w:r>
              <w:rPr>
                <w:rFonts w:ascii="Arial" w:cs="Arial" w:eastAsia="Arial" w:hAnsi="Arial"/>
                <w:sz w:val="18"/>
                <w:szCs w:val="18"/>
                <w:color w:val="auto"/>
                <w:w w:val="88"/>
              </w:rPr>
              <w:t>1.0 mcg/kg</w:t>
            </w:r>
          </w:p>
        </w:tc>
        <w:tc>
          <w:tcPr>
            <w:tcW w:w="1860" w:type="dxa"/>
            <w:vAlign w:val="bottom"/>
            <w:shd w:val="clear" w:color="auto" w:fill="EEEEEE"/>
          </w:tcPr>
          <w:p>
            <w:pPr>
              <w:jc w:val="right"/>
              <w:ind w:right="642"/>
              <w:spacing w:after="0"/>
              <w:rPr>
                <w:sz w:val="20"/>
                <w:szCs w:val="20"/>
                <w:color w:val="auto"/>
              </w:rPr>
            </w:pPr>
            <w:r>
              <w:rPr>
                <w:rFonts w:ascii="Arial" w:cs="Arial" w:eastAsia="Arial" w:hAnsi="Arial"/>
                <w:sz w:val="18"/>
                <w:szCs w:val="18"/>
                <w:color w:val="auto"/>
              </w:rPr>
              <w:t>-8.9</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1.0</w:t>
            </w:r>
          </w:p>
        </w:tc>
        <w:tc>
          <w:tcPr>
            <w:tcW w:w="1860" w:type="dxa"/>
            <w:vAlign w:val="bottom"/>
            <w:shd w:val="clear" w:color="auto" w:fill="EEEEEE"/>
          </w:tcPr>
          <w:p>
            <w:pPr>
              <w:jc w:val="right"/>
              <w:ind w:right="642"/>
              <w:spacing w:after="0"/>
              <w:rPr>
                <w:sz w:val="20"/>
                <w:szCs w:val="20"/>
                <w:color w:val="auto"/>
              </w:rPr>
            </w:pPr>
            <w:r>
              <w:rPr>
                <w:rFonts w:ascii="Arial" w:cs="Arial" w:eastAsia="Arial" w:hAnsi="Arial"/>
                <w:sz w:val="18"/>
                <w:szCs w:val="18"/>
                <w:color w:val="auto"/>
              </w:rPr>
              <w:t>-7.5</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EEEEEE"/>
          </w:tcPr>
          <w:p>
            <w:pPr>
              <w:jc w:val="center"/>
              <w:ind w:right="492"/>
              <w:spacing w:after="0"/>
              <w:rPr>
                <w:sz w:val="20"/>
                <w:szCs w:val="20"/>
                <w:color w:val="auto"/>
              </w:rPr>
            </w:pPr>
            <w:r>
              <w:rPr>
                <w:rFonts w:ascii="Arial" w:cs="Arial" w:eastAsia="Arial" w:hAnsi="Arial"/>
                <w:sz w:val="18"/>
                <w:szCs w:val="18"/>
                <w:color w:val="auto"/>
                <w:w w:val="91"/>
              </w:rPr>
              <w:t>(n=26)</w:t>
            </w:r>
          </w:p>
        </w:tc>
        <w:tc>
          <w:tcPr>
            <w:tcW w:w="1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mcg/kg</w:t>
            </w:r>
          </w:p>
        </w:tc>
        <w:tc>
          <w:tcPr>
            <w:tcW w:w="1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EEEEEE"/>
          </w:tcPr>
          <w:p>
            <w:pPr>
              <w:spacing w:after="0"/>
              <w:rPr>
                <w:sz w:val="19"/>
                <w:szCs w:val="19"/>
                <w:color w:val="auto"/>
              </w:rPr>
            </w:pPr>
          </w:p>
        </w:tc>
        <w:tc>
          <w:tcPr>
            <w:tcW w:w="18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9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p&lt; 0.0001</w:t>
            </w:r>
          </w:p>
        </w:tc>
        <w:tc>
          <w:tcPr>
            <w:tcW w:w="1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(n=37)</w:t>
            </w:r>
          </w:p>
        </w:tc>
        <w:tc>
          <w:tcPr>
            <w:tcW w:w="18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720" w:type="dxa"/>
            <w:vAlign w:val="bottom"/>
            <w:shd w:val="clear" w:color="auto" w:fill="EEEEEE"/>
          </w:tcPr>
          <w:p>
            <w:pPr>
              <w:jc w:val="center"/>
              <w:ind w:right="459"/>
              <w:spacing w:after="0"/>
              <w:rPr>
                <w:sz w:val="20"/>
                <w:szCs w:val="20"/>
                <w:color w:val="auto"/>
              </w:rPr>
            </w:pPr>
            <w:r>
              <w:rPr>
                <w:rFonts w:ascii="Arial" w:cs="Arial" w:eastAsia="Arial" w:hAnsi="Arial"/>
                <w:sz w:val="18"/>
                <w:szCs w:val="18"/>
                <w:color w:val="auto"/>
                <w:w w:val="86"/>
              </w:rPr>
              <w:t>p&lt; 0.0001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tcPr>
          <w:p>
            <w:pPr>
              <w:jc w:val="center"/>
              <w:ind w:right="432"/>
              <w:spacing w:after="0"/>
              <w:rPr>
                <w:sz w:val="20"/>
                <w:szCs w:val="20"/>
                <w:color w:val="auto"/>
              </w:rPr>
            </w:pPr>
            <w:r>
              <w:rPr>
                <w:rFonts w:ascii="Arial" w:cs="Arial" w:eastAsia="Arial" w:hAnsi="Arial"/>
                <w:sz w:val="18"/>
                <w:szCs w:val="18"/>
                <w:color w:val="auto"/>
                <w:w w:val="88"/>
              </w:rPr>
              <w:t>2.0 mcg/kg</w:t>
            </w:r>
          </w:p>
        </w:tc>
        <w:tc>
          <w:tcPr>
            <w:tcW w:w="1860" w:type="dxa"/>
            <w:vAlign w:val="bottom"/>
          </w:tcPr>
          <w:p>
            <w:pPr>
              <w:jc w:val="right"/>
              <w:ind w:right="642"/>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Arial" w:cs="Arial" w:eastAsia="Arial" w:hAnsi="Arial"/>
                <w:sz w:val="18"/>
                <w:szCs w:val="18"/>
                <w:color w:val="auto"/>
              </w:rPr>
              <w:t>2.0</w:t>
            </w:r>
          </w:p>
        </w:tc>
        <w:tc>
          <w:tcPr>
            <w:tcW w:w="1860" w:type="dxa"/>
            <w:vAlign w:val="bottom"/>
          </w:tcPr>
          <w:p>
            <w:pPr>
              <w:jc w:val="right"/>
              <w:ind w:right="642"/>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jc w:val="center"/>
              <w:ind w:right="492"/>
              <w:spacing w:after="0"/>
              <w:rPr>
                <w:sz w:val="20"/>
                <w:szCs w:val="20"/>
                <w:color w:val="auto"/>
              </w:rPr>
            </w:pPr>
            <w:r>
              <w:rPr>
                <w:rFonts w:ascii="Arial" w:cs="Arial" w:eastAsia="Arial" w:hAnsi="Arial"/>
                <w:sz w:val="18"/>
                <w:szCs w:val="18"/>
                <w:color w:val="auto"/>
                <w:w w:val="91"/>
              </w:rPr>
              <w:t>(n=19)</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ind w:left="400"/>
              <w:spacing w:after="0"/>
              <w:rPr>
                <w:sz w:val="20"/>
                <w:szCs w:val="20"/>
                <w:color w:val="auto"/>
              </w:rPr>
            </w:pPr>
            <w:r>
              <w:rPr>
                <w:rFonts w:ascii="Arial" w:cs="Arial" w:eastAsia="Arial" w:hAnsi="Arial"/>
                <w:sz w:val="18"/>
                <w:szCs w:val="18"/>
                <w:color w:val="auto"/>
              </w:rPr>
              <w:t>mcg/kg</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ind w:left="480"/>
              <w:spacing w:after="0"/>
              <w:rPr>
                <w:sz w:val="20"/>
                <w:szCs w:val="20"/>
                <w:color w:val="auto"/>
              </w:rPr>
            </w:pPr>
            <w:r>
              <w:rPr>
                <w:rFonts w:ascii="Arial" w:cs="Arial" w:eastAsia="Arial" w:hAnsi="Arial"/>
                <w:sz w:val="18"/>
                <w:szCs w:val="18"/>
                <w:color w:val="auto"/>
              </w:rPr>
              <w:t>p&lt; 0.0001</w:t>
            </w:r>
          </w:p>
        </w:tc>
        <w:tc>
          <w:tcPr>
            <w:tcW w:w="1280" w:type="dxa"/>
            <w:vAlign w:val="bottom"/>
          </w:tcPr>
          <w:p>
            <w:pPr>
              <w:ind w:left="400"/>
              <w:spacing w:after="0"/>
              <w:rPr>
                <w:sz w:val="20"/>
                <w:szCs w:val="20"/>
                <w:color w:val="auto"/>
              </w:rPr>
            </w:pPr>
            <w:r>
              <w:rPr>
                <w:rFonts w:ascii="Arial" w:cs="Arial" w:eastAsia="Arial" w:hAnsi="Arial"/>
                <w:sz w:val="18"/>
                <w:szCs w:val="18"/>
                <w:color w:val="auto"/>
              </w:rPr>
              <w:t>(n=33)</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center"/>
              <w:ind w:right="459"/>
              <w:spacing w:after="0"/>
              <w:rPr>
                <w:sz w:val="20"/>
                <w:szCs w:val="20"/>
                <w:color w:val="auto"/>
              </w:rPr>
            </w:pPr>
            <w:r>
              <w:rPr>
                <w:rFonts w:ascii="Arial" w:cs="Arial" w:eastAsia="Arial" w:hAnsi="Arial"/>
                <w:sz w:val="18"/>
                <w:szCs w:val="18"/>
                <w:color w:val="auto"/>
                <w:w w:val="86"/>
              </w:rPr>
              <w:t>p&lt; 0.0001</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224" w:lineRule="exact"/>
        <w:rPr>
          <w:sz w:val="20"/>
          <w:szCs w:val="20"/>
          <w:color w:val="auto"/>
        </w:rPr>
      </w:pPr>
    </w:p>
    <w:p>
      <w:pPr>
        <w:ind w:right="400" w:firstLine="324"/>
        <w:spacing w:after="0" w:line="286" w:lineRule="auto"/>
        <w:rPr>
          <w:sz w:val="20"/>
          <w:szCs w:val="20"/>
          <w:color w:val="auto"/>
        </w:rPr>
      </w:pPr>
      <w:r>
        <w:rPr>
          <w:rFonts w:ascii="Arial" w:cs="Arial" w:eastAsia="Arial" w:hAnsi="Arial"/>
          <w:sz w:val="16"/>
          <w:szCs w:val="16"/>
          <w:color w:val="auto"/>
        </w:rPr>
        <w:t>The trial established the optimal dose of AXOKINE to be 1.0 mcg/kg daily. Patients who received the optimal dose of AXOKINE over the twelve-week treatment period averaged 10 pounds more weight loss than patients on placebo. Moreover, 46% of these patients in the optimal dose group lost at least</w:t>
      </w:r>
    </w:p>
    <w:p>
      <w:pPr>
        <w:ind w:right="220"/>
        <w:spacing w:after="0" w:line="261" w:lineRule="auto"/>
        <w:rPr>
          <w:sz w:val="20"/>
          <w:szCs w:val="20"/>
          <w:color w:val="auto"/>
        </w:rPr>
      </w:pPr>
      <w:r>
        <w:rPr>
          <w:rFonts w:ascii="Arial" w:cs="Arial" w:eastAsia="Arial" w:hAnsi="Arial"/>
          <w:sz w:val="18"/>
          <w:szCs w:val="18"/>
          <w:color w:val="auto"/>
        </w:rPr>
        <w:t>10 pounds, compared to just 5% of the patients who received placebo. Nausea was shown not to be a factor that determined average weight loss in this Phase II Study.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38 patients in the fifth group who received 1.0 mcg/kg of AXOKINE daily for eight weeks followed by the four week blinded withdrawal period lost weight during the treatment period and did not regain weight while taking placebo during the withdrawal period.</w:t>
      </w:r>
    </w:p>
    <w:p>
      <w:pPr>
        <w:spacing w:after="0" w:line="21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 related and occurred in less than 10% of all patients receiving AXOKINE.</w:t>
      </w:r>
    </w:p>
    <w:p>
      <w:pPr>
        <w:spacing w:after="0" w:line="22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September 2001, we reported that the 45 patients who completed 36 weeks of follow-up after cessation of treatment, on average, maintained the weight loss observed in the twelve-week treatment period.</w:t>
      </w:r>
    </w:p>
    <w:p>
      <w:pPr>
        <w:spacing w:after="0" w:line="21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July 2001, we initiated a Phase III clinical program of AXOKINE in overweight and obese patients. We announced in January 2002 that the initial trial was fully enrolled with approximately 2,000 patients at 65 sites across the United States. This trial is a double-blind, randomized, placebo-controlled study. It will have a twelve-month treatment period, in which patients will receive daily subcutaneous self-injections of placebo or AXOKINE at a dose of 1.0 microgram (mcg) per kilogram (kg) of body weight. The treatment period will be followed by a twelve-month open-label safety extension phase, during which all patients will receive AXOKINE. Endpoints of the study are based on changes in body weight versus baseline during the treatment period. As part of the overall Phase III program, Regeneron will conduct additional confirmatory and ancillary studies of AXOKINE in obese and obese diabetic patients. These studies will vary in duration and size and are planned to be completed within a similar time frame as the initial pivotal study described above. The Phase III program is expected to enroll over 4,000 subjects in total.</w:t>
      </w:r>
    </w:p>
    <w:p>
      <w:pPr>
        <w:spacing w:after="0" w:line="199" w:lineRule="exact"/>
        <w:rPr>
          <w:sz w:val="20"/>
          <w:szCs w:val="20"/>
          <w:color w:val="auto"/>
        </w:rPr>
      </w:pPr>
    </w:p>
    <w:p>
      <w:pPr>
        <w:jc w:val="both"/>
        <w:ind w:right="600" w:firstLine="324"/>
        <w:spacing w:after="0" w:line="259" w:lineRule="auto"/>
        <w:rPr>
          <w:sz w:val="20"/>
          <w:szCs w:val="20"/>
          <w:color w:val="auto"/>
        </w:rPr>
      </w:pPr>
      <w:r>
        <w:rPr>
          <w:rFonts w:ascii="Arial" w:cs="Arial" w:eastAsia="Arial" w:hAnsi="Arial"/>
          <w:sz w:val="18"/>
          <w:szCs w:val="18"/>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i w:val="1"/>
          <w:iCs w:val="1"/>
          <w:color w:val="auto"/>
        </w:rPr>
        <w:t xml:space="preserve">Pegylated AXOKINE. </w:t>
      </w:r>
      <w:r>
        <w:rPr>
          <w:rFonts w:ascii="Arial" w:cs="Arial" w:eastAsia="Arial" w:hAnsi="Arial"/>
          <w:sz w:val="18"/>
          <w:szCs w:val="18"/>
          <w:color w:val="auto"/>
        </w:rPr>
        <w:t>We are developing a pegylated version of AXOKINE (pegAXOKINE) as a more potent, longer-acting form of the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PegAXOKINE may allow for less frequent and/or lower dosing in patients. PegAXOKINE currently is in late-stage preclinical development and we anticipate initiating a Phase I clinical trial in mid-2002. Shearwater Corporation, now a subsidiary of Inhale Therapeutics Systems, Inc., has contracted with us to develop and supply the pegylated reagent for this product candidate.</w:t>
      </w:r>
    </w:p>
    <w:p>
      <w:pPr>
        <w:spacing w:after="0" w:line="224"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i w:val="1"/>
          <w:iCs w:val="1"/>
          <w:color w:val="auto"/>
        </w:rPr>
        <w:t xml:space="preserve">Cytokine Traps. </w:t>
      </w:r>
      <w:r>
        <w:rPr>
          <w:rFonts w:ascii="Arial" w:cs="Arial" w:eastAsia="Arial" w:hAnsi="Arial"/>
          <w:sz w:val="16"/>
          <w:szCs w:val="16"/>
          <w:color w:val="auto"/>
        </w:rPr>
        <w:t>Our research on the CNTF class of neurotrophic factors led to the discovery that CNTF, although it is a neurotrophic factor, belongs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19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1994, our scientists made a breakthrough in understanding how receptors work for an entire class of interleukins in the human body. Based on this finding, we developed a family of antagonists referred to as “Cytokine Traps.” This family includes Cytokine Traps for IL1, IL4, and IL6 and a single Trap that blocks both IL4 and IL13. Because these Traps mimic the body’s natural receptors, they are effective at catching and holding the cytokines. With the cytokines trapped, the immune system responds as if the perceived threat is under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preclinical studies, these Cytokine Traps are more potent than other antagonists, potentially allowing lower levels of these drug candidates to be used. Moreover, because these Cytokine Traps are comprised entirely of natural human-derived protein sequences, they may be less likely to induce an immune reaction in humans. Because pathological levels of IL1, IL4, IL6, and IL13 seem to contribute to a variety of diseases, these Cytokine Traps have the potential to be important therapeutic agents.</w:t>
      </w:r>
    </w:p>
    <w:p>
      <w:pPr>
        <w:spacing w:after="0" w:line="218" w:lineRule="exact"/>
        <w:rPr>
          <w:sz w:val="20"/>
          <w:szCs w:val="20"/>
          <w:color w:val="auto"/>
        </w:rPr>
      </w:pPr>
    </w:p>
    <w:p>
      <w:pPr>
        <w:ind w:firstLine="324"/>
        <w:spacing w:after="0" w:line="326" w:lineRule="auto"/>
        <w:rPr>
          <w:sz w:val="20"/>
          <w:szCs w:val="20"/>
          <w:color w:val="auto"/>
        </w:rPr>
      </w:pPr>
      <w:r>
        <w:rPr>
          <w:rFonts w:ascii="Arial" w:cs="Arial" w:eastAsia="Arial" w:hAnsi="Arial"/>
          <w:sz w:val="15"/>
          <w:szCs w:val="15"/>
          <w:b w:val="1"/>
          <w:bCs w:val="1"/>
          <w:color w:val="auto"/>
        </w:rPr>
        <w:t xml:space="preserve">IL1 Trap. </w:t>
      </w:r>
      <w:r>
        <w:rPr>
          <w:rFonts w:ascii="Arial" w:cs="Arial" w:eastAsia="Arial" w:hAnsi="Arial"/>
          <w:sz w:val="15"/>
          <w:szCs w:val="15"/>
          <w:color w:val="auto"/>
        </w:rPr>
        <w:t>In December 2000, we initiated a Phase I study of the IL1 Trap to assess its safety and tolerability in patients with rheumatoid arthritis. The</w:t>
      </w:r>
      <w:r>
        <w:rPr>
          <w:rFonts w:ascii="Arial" w:cs="Arial" w:eastAsia="Arial" w:hAnsi="Arial"/>
          <w:sz w:val="15"/>
          <w:szCs w:val="15"/>
          <w:b w:val="1"/>
          <w:bCs w:val="1"/>
          <w:color w:val="auto"/>
        </w:rPr>
        <w:t xml:space="preserve"> </w:t>
      </w:r>
      <w:r>
        <w:rPr>
          <w:rFonts w:ascii="Arial" w:cs="Arial" w:eastAsia="Arial" w:hAnsi="Arial"/>
          <w:sz w:val="15"/>
          <w:szCs w:val="15"/>
          <w:color w:val="auto"/>
        </w:rPr>
        <w:t>placebo-controlled, double-blind, dose-escalation study was conducted at several centers in the United States and included a single dose phase and a multiple dose phase. In January 2002, we reported positive preliminary results from the trial. In the trial, the IL1 Trap was evaluated in four groups of 15-20 patients suffering from active rheumatoid arthritis. Each group received six weekly doses of IL1 Trap at one of the following dose levels: 0, 200, 400 or 800 milligrams/kilogram.</w:t>
      </w:r>
    </w:p>
    <w:p>
      <w:pPr>
        <w:spacing w:after="0" w:line="17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preliminary results indicated that patients treated with the IL1 Trap experienced dose dependent improvements in tender and swollen joints and CRP levels, as well as the composite ACR measure of disease activity. Patients in the highest dose group experienced the largest improvement in swollen and tender joint counts, with approximately 70% of patients in the group (compared with approximately 46% of placebo-treated patients) experiencing at least a 20% average improvement in both swollen and tender joint counts, and approximately 49% (compared with approximately 19% of placebo-treated patients) experiencing a 50% average improvement in both swollen and tender joint counts during the treatment period. Similarly, blood levels of CRP, a well-validated and objective indicator of inflammation in rheumatoid arthritis, declined in a dose-dependent manner, with approximately 74% of patients in the highest dose group (compared with approximately 36% of placebo-treated patients) experiencing at least a 20% average improvement and approximately 49% (compared with approximately 16% of placebo-treated patients) experiencing at least a 50% average improvement during the treatment period. More than 50% of patients receiving the highest dose responded at the ACR-20 level (i.e., an improvement in ACR score of 20% or more), compared with approximately 30% of placebo-treated patients.</w:t>
      </w:r>
    </w:p>
    <w:p>
      <w:pPr>
        <w:spacing w:after="0" w:line="204"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We expect to initiate a Phase II study of the IL1 Trap in patients with rheumatoid arthritis in mid-2002. The IL1 Trap is also being evaluated for potential uses in treating other inflammatory diseases.</w:t>
      </w:r>
    </w:p>
    <w:p>
      <w:pPr>
        <w:spacing w:after="0" w:line="21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Rheumatoid arthritis is a chronic disease in which the immune system attacks the tissue that lines and cushions joints. Over time, the cartilage, bone, and ligaments of the joint erode, leading to progressive 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18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b w:val="1"/>
          <w:bCs w:val="1"/>
          <w:color w:val="auto"/>
        </w:rPr>
        <w:t xml:space="preserve">IL4/IL13 Trap. </w:t>
      </w:r>
      <w:r>
        <w:rPr>
          <w:rFonts w:ascii="Arial" w:cs="Arial" w:eastAsia="Arial" w:hAnsi="Arial"/>
          <w:sz w:val="16"/>
          <w:szCs w:val="16"/>
          <w:color w:val="auto"/>
        </w:rPr>
        <w:t>Antagonists for IL4 and IL13 may be therapeutically useful in a number of allergy and asthma-related conditions, including as an adjunct to</w:t>
      </w:r>
      <w:r>
        <w:rPr>
          <w:rFonts w:ascii="Arial" w:cs="Arial" w:eastAsia="Arial" w:hAnsi="Arial"/>
          <w:sz w:val="16"/>
          <w:szCs w:val="16"/>
          <w:b w:val="1"/>
          <w:bCs w:val="1"/>
          <w:color w:val="auto"/>
        </w:rPr>
        <w:t xml:space="preserve"> </w:t>
      </w:r>
      <w:r>
        <w:rPr>
          <w:rFonts w:ascii="Arial" w:cs="Arial" w:eastAsia="Arial" w:hAnsi="Arial"/>
          <w:sz w:val="16"/>
          <w:szCs w:val="16"/>
          <w:color w:val="auto"/>
        </w:rPr>
        <w:t>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 allergy-related conditions in mid-2002.</w:t>
      </w:r>
    </w:p>
    <w:p>
      <w:pPr>
        <w:spacing w:after="0" w:line="190"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19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b w:val="1"/>
          <w:bCs w:val="1"/>
          <w:color w:val="auto"/>
        </w:rPr>
        <w:t xml:space="preserve">Other Cytokine Traps. </w:t>
      </w:r>
      <w:r>
        <w:rPr>
          <w:rFonts w:ascii="Arial" w:cs="Arial" w:eastAsia="Arial" w:hAnsi="Arial"/>
          <w:sz w:val="18"/>
          <w:szCs w:val="18"/>
          <w:color w:val="auto"/>
        </w:rPr>
        <w:t>We have research programs underway for other Cytokine Traps. Our research regarding protein-based cytokine antagonists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molecular and cellular research to improve or modify Cytokine Trap technology, process development efforts to produce experimental and clinical research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supplies, and in vivo and in vitro studies to further understand and demonstrate the efficacy of the Cytokine Traps.</w:t>
      </w:r>
    </w:p>
    <w:p>
      <w:pPr>
        <w:spacing w:after="0" w:line="25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i w:val="1"/>
          <w:iCs w:val="1"/>
          <w:color w:val="auto"/>
        </w:rPr>
        <w:t xml:space="preserve">VEGF Trap and Angiopoietins. </w:t>
      </w:r>
      <w:r>
        <w:rPr>
          <w:rFonts w:ascii="Arial" w:cs="Arial" w:eastAsia="Arial" w:hAnsi="Arial"/>
          <w:sz w:val="16"/>
          <w:szCs w:val="16"/>
          <w:color w:val="auto"/>
        </w:rPr>
        <w:t>A plentiful blood supply is required to nourish every tissue and organ of the body. Diseases such as diabetes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201"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22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22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2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November 2001, we initiated a Phase I clinical trial designed to assess the safety and tolerability of VEGF Trap in patients with solid tumor malignancies and patients with non-Hodgkin’s lymphoma. The Phase I trial is an open-label study in patients with advanced tumors and will evaluate the VEGF Trap in increasing dose levels. The study is being conducted at a clinical site in New York City.</w:t>
      </w:r>
    </w:p>
    <w:p>
      <w:pPr>
        <w:spacing w:after="0" w:line="22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21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Cartilage Growth Factor System and Osteoarthritis. </w:t>
      </w:r>
      <w:r>
        <w:rPr>
          <w:rFonts w:ascii="Arial" w:cs="Arial" w:eastAsia="Arial" w:hAnsi="Arial"/>
          <w:sz w:val="18"/>
          <w:szCs w:val="18"/>
          <w:color w:val="auto"/>
        </w:rPr>
        <w:t>Osteoarthritis results from the wearing down of the articular cartilage surfaces that cover joints. Thus,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25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Muscle Atrophy and Related Disorders. </w:t>
      </w:r>
      <w:r>
        <w:rPr>
          <w:rFonts w:ascii="Arial" w:cs="Arial" w:eastAsia="Arial" w:hAnsi="Arial"/>
          <w:sz w:val="18"/>
          <w:szCs w:val="18"/>
          <w:color w:val="auto"/>
        </w:rPr>
        <w:t>Muscle atrophy occurs in many neuromuscular diseases and also when muscle is unused, as often occurs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i w:val="1"/>
          <w:iCs w:val="1"/>
          <w:color w:val="auto"/>
        </w:rPr>
        <w:t xml:space="preserve">NT-3. </w:t>
      </w:r>
      <w:r>
        <w:rPr>
          <w:rFonts w:ascii="Arial" w:cs="Arial" w:eastAsia="Arial" w:hAnsi="Arial"/>
          <w:sz w:val="16"/>
          <w:szCs w:val="16"/>
          <w:color w:val="auto"/>
        </w:rPr>
        <w:t>The clinical development of NT-3 by Amgen-Regeneron Partners, a general partnership equally owned by us and Amgen, is currently focused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constipating conditions. In 2000 and 2001, we, on behalf of Amgen-Regeneron Partners, conducted Phase II studies of NT-3 in patients with functional constipation and in spinal cord injury patients with bowel dysfunction. There are no ongoing development activities for NT-3 at this time. Amgen-Regeneron Partners has been developing NT-3 in the United States under a license from Takeda Chemical Industries, Ltd.</w:t>
      </w:r>
    </w:p>
    <w:p>
      <w:pPr>
        <w:spacing w:after="0" w:line="194"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i w:val="1"/>
          <w:iCs w:val="1"/>
          <w:color w:val="auto"/>
        </w:rPr>
        <w:t xml:space="preserve">Other Early Stage Programs: Fibrosis and G-Protein Coupled Receptors. </w:t>
      </w:r>
      <w:r>
        <w:rPr>
          <w:rFonts w:ascii="Arial" w:cs="Arial" w:eastAsia="Arial" w:hAnsi="Arial"/>
          <w:sz w:val="16"/>
          <w:szCs w:val="16"/>
          <w:color w:val="auto"/>
        </w:rPr>
        <w:t>Fibrotic diseases, such as cirrhosis, result from the excess production of fibrous</w:t>
      </w:r>
      <w:r>
        <w:rPr>
          <w:rFonts w:ascii="Arial" w:cs="Arial" w:eastAsia="Arial" w:hAnsi="Arial"/>
          <w:sz w:val="16"/>
          <w:szCs w:val="16"/>
          <w:i w:val="1"/>
          <w:iCs w:val="1"/>
          <w:color w:val="auto"/>
        </w:rPr>
        <w:t xml:space="preserve"> </w:t>
      </w:r>
      <w:r>
        <w:rPr>
          <w:rFonts w:ascii="Arial" w:cs="Arial" w:eastAsia="Arial" w:hAnsi="Arial"/>
          <w:sz w:val="16"/>
          <w:szCs w:val="16"/>
          <w:color w:val="auto"/>
        </w:rPr>
        <w:t>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19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the scientists at Procter &amp; Gamble.</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the scientists at Procter &amp; Gamble.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Platforms</w:t>
      </w:r>
    </w:p>
    <w:p>
      <w:pPr>
        <w:spacing w:after="0" w:line="258"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Targeted Genomics™</w:t>
      </w:r>
      <w:r>
        <w:rPr>
          <w:rFonts w:ascii="Arial" w:cs="Arial" w:eastAsia="Arial" w:hAnsi="Arial"/>
          <w:sz w:val="18"/>
          <w:szCs w:val="18"/>
          <w:color w:val="auto"/>
        </w:rPr>
        <w:t>: In contrast to basic genomics approaches, which attempt to identify every gene in a cell or genome, we use Targeted Genomics</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High Throughput Functionomics™</w:t>
      </w:r>
      <w:r>
        <w:rPr>
          <w:rFonts w:ascii="Arial" w:cs="Arial" w:eastAsia="Arial" w:hAnsi="Arial"/>
          <w:sz w:val="18"/>
          <w:szCs w:val="18"/>
          <w:color w:val="auto"/>
        </w:rPr>
        <w:t>: A major challenge facing the biopharmaceutical industry in the post-genomic era involves the efficient assignment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i w:val="1"/>
          <w:iCs w:val="1"/>
          <w:color w:val="auto"/>
        </w:rPr>
        <w:t>Designer Protein Therapeutics™</w:t>
      </w:r>
      <w:r>
        <w:rPr>
          <w:rFonts w:ascii="Arial" w:cs="Arial" w:eastAsia="Arial" w:hAnsi="Arial"/>
          <w:sz w:val="16"/>
          <w:szCs w:val="16"/>
          <w:color w:val="auto"/>
        </w:rPr>
        <w:t>: In cases in which the natural gene product is itself not a product candidate, we utilize our Designer Protein Therapeutics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Relationships</w:t>
      </w:r>
    </w:p>
    <w:p>
      <w:pPr>
        <w:spacing w:after="0" w:line="258"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14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products. In connection with the collaboration, Procter &amp; Gamble made Regeneron equity purchases of $42.9 million in June 1997 and $17.1 million in August 2000. These equity purchases were in addition to a purchase by Procter &amp; Gamble of $10.0 million of our common stock that was completed in March 1997. Procter &amp; Gamble also agreed to provide funding in support of our research efforts related to the collaboration, of which we received $59.1 million through December 31, 2001. Beginning in September 1997, Procter &amp; Gamble also provided research support for our AXOKINE program, which ended during the third quarter of 1999. As a result, Procter &amp; Gamble will be entitled to receive a small royalty on any sales of AXOKINE.</w:t>
      </w:r>
    </w:p>
    <w:p>
      <w:pPr>
        <w:spacing w:after="0" w:line="201"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extends Procter &amp; Gamble’s obligation to fund our research under the new collaboration agreement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will independently perform research on targets included in the collaboration.</w:t>
      </w:r>
    </w:p>
    <w:p>
      <w:pPr>
        <w:spacing w:after="0" w:line="199"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and Procter &amp; Gamble divided rights to the programs from the 1997 collaboration agreement that are no longer part of the companies’ collaboration. Procter &amp; Gamble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research support from Procter &amp; Gamble is $2.5 million per quarter (before adjustments for inflation) through December 2005.</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i w:val="1"/>
          <w:iCs w:val="1"/>
          <w:color w:val="auto"/>
        </w:rPr>
        <w:t xml:space="preserve">Medarex. </w:t>
      </w:r>
      <w:r>
        <w:rPr>
          <w:rFonts w:ascii="Arial" w:cs="Arial" w:eastAsia="Arial" w:hAnsi="Arial"/>
          <w:sz w:val="16"/>
          <w:szCs w:val="16"/>
          <w:color w:val="auto"/>
        </w:rPr>
        <w:t>In March 2000, we entered into a collaboration under a binding memorandum of understanding with Medarex to discover,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 human antibodies as therapeutics. We contribute our expertise in discovering and characterizing proteins as drug targets, and Medarex contributes its HuMAb-Mouse™ technology to create fully human antibody products for those targets. We and Medarex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20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Under the agreement, Medarex and we will share all development, manufacturing, and clinical costs of jointly developed products and all net profits and losses. Each of us has the right to opt out of the joint development of the antigen target and receive instead certain milestones and royalty payments on net sales. The agreement terminates upon the earlier of three years or the date on which neither party is exploiting any jointly developed products. The agreement is also subject to termination if either party enters bankruptcy or breaches its material obligations thereunder.</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 xml:space="preserve">Emisphere. </w:t>
      </w:r>
      <w:r>
        <w:rPr>
          <w:rFonts w:ascii="Arial" w:cs="Arial" w:eastAsia="Arial" w:hAnsi="Arial"/>
          <w:sz w:val="16"/>
          <w:szCs w:val="16"/>
          <w:color w:val="auto"/>
        </w:rPr>
        <w:t>In March 2000, we signed an agreement with Emisphere Technologies, Inc. to establish a research and development collaboration to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Emisphere’s oral drug delivery technology for AXOKINE. In preliminary preclinical pharmacokinetic studies, the Emisphere technology was able to achieve measurable blood levels of AXOKINE. Under the terms of the agreement, we will support research at Emisphere and make license and milestone payments based on the satisfaction of pre-determined criteria during the development of orally delivered AXOKINE. The parties established a steering committee to determine these milestones, which trigger either payment obligations or termination rights for either party. The first of these milestones is based on the status of the program as of May 31, 2002. The steering committee meets on at least a quarterly basis to review the results of the program. In addition, the agreement is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199" w:lineRule="exact"/>
        <w:rPr>
          <w:sz w:val="20"/>
          <w:szCs w:val="20"/>
          <w:color w:val="auto"/>
        </w:rPr>
      </w:pPr>
    </w:p>
    <w:p>
      <w:pPr>
        <w:ind w:right="60" w:firstLine="324"/>
        <w:spacing w:after="0" w:line="282" w:lineRule="auto"/>
        <w:rPr>
          <w:sz w:val="20"/>
          <w:szCs w:val="20"/>
          <w:color w:val="auto"/>
        </w:rPr>
      </w:pPr>
      <w:r>
        <w:rPr>
          <w:rFonts w:ascii="Arial" w:cs="Arial" w:eastAsia="Arial" w:hAnsi="Arial"/>
          <w:sz w:val="16"/>
          <w:szCs w:val="16"/>
          <w:i w:val="1"/>
          <w:iCs w:val="1"/>
          <w:color w:val="auto"/>
        </w:rPr>
        <w:t xml:space="preserve">Shearwater. </w:t>
      </w:r>
      <w:r>
        <w:rPr>
          <w:rFonts w:ascii="Arial" w:cs="Arial" w:eastAsia="Arial" w:hAnsi="Arial"/>
          <w:sz w:val="16"/>
          <w:szCs w:val="16"/>
          <w:color w:val="auto"/>
        </w:rPr>
        <w:t>In December 2000, we entered into a license and supply agreement with Shearwater Corporation, now a subsidiary of Inhale Therapeutics</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Inc.,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 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 to expire patent covering Shearwater’s pegylated reagent. In addition, each party shall have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AXOKINE.</w:t>
      </w:r>
    </w:p>
    <w:p>
      <w:pPr>
        <w:spacing w:after="0" w:line="2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Amgen. </w:t>
      </w:r>
      <w:r>
        <w:rPr>
          <w:rFonts w:ascii="Arial" w:cs="Arial" w:eastAsia="Arial" w:hAnsi="Arial"/>
          <w:sz w:val="16"/>
          <w:szCs w:val="16"/>
          <w:color w:val="auto"/>
        </w:rPr>
        <w:t>Amgen-Regeneron Partners has the development rights to NT-3 and brain-derived neurotrophic factor, or BDNF, in the United States.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fund 50% of the development costs of Amgen-Regeneron Partners to maintain 50% of the commercialization rights. Assuming equal capital contributions to Amgen-Regeneron Partners, we and Amgen share any profits or losses of Amgen-Regeneron Partners equally. Under our agreement with Amgen, we are attempting to develop NT-3 with Amgen and, if such effort is successful, commercialize, market, and distribute NT-3 in the United States through Amgen-Regeneron Partners. Our agreement with Amgen will continue for the longer of the life of the patents covering NT-3 or fifteen years from the date on which NT-3 is approved for commercial marketing in any country. The agreement is also subject to termination if either party enters bankruptcy or breaches its material obligations thereunder. During the term of the agreement, there are restrictions on the ability of either party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independently conduct research or development of NT-3 without the other party. Our aggregate capital contribution to Amgen-Regeneron Partners from the partnership’s inception in June 1993 through December 31, 2001 was $57.9 million. We do not expect to make capital contributions to the partnership in 2002 since there are no ongoing development activities for NT-3 at this time, but additional contributions may be required, depending upon, among other things, whether and how Amgen-Regeneron Partners proceeds with the development of NT-3.</w:t>
      </w:r>
    </w:p>
    <w:p>
      <w:pPr>
        <w:spacing w:after="0" w:line="19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a review of available clinical trial data, we and Amgen discontinued the development of BDNF for the treatment of ALS in January 2001.</w:t>
      </w:r>
    </w:p>
    <w:p>
      <w:pPr>
        <w:spacing w:after="0" w:line="27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i w:val="1"/>
          <w:iCs w:val="1"/>
          <w:color w:val="auto"/>
        </w:rPr>
        <w:t xml:space="preserve">Sumitomo. </w:t>
      </w:r>
      <w:r>
        <w:rPr>
          <w:rFonts w:ascii="Arial" w:cs="Arial" w:eastAsia="Arial" w:hAnsi="Arial"/>
          <w:sz w:val="16"/>
          <w:szCs w:val="16"/>
          <w:color w:val="auto"/>
        </w:rPr>
        <w:t>In March 1989, Sumitomo Chemical Company, Ltd. entered into a Technology Development Agreement with us and paid us $5.6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Sumitomo Chemical purchased $4.4 million of our equity. In connection with this agreement, we granted Sumitomo Chemical a limited right of first negotiation, over a fifteen-year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in Japan on terms and conditions no more favorable to a third party licensee than those offered to Sumitomo Chemical. We are obligated periodically to inform and, if requested, to meet with Sumitomo Chemical management about our progress in research and development. This agreement will expire on the earlier of March 20, 2004 or the date that Sumitomo Chemical licenses three-product candidates from us, provided that the parties may extend the agreement for an additional five-year term.</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BDNF is licensed to Sumitomo Pharmaceuticals Company, Ltd. (a subsidiary of Sumitomo Chemical) for development in Japan. We recognized revenue from Sumitomo Pharmaceuticals related to BDNF of $0.2 million in 2001, $7.6 million in 2000, and $0.1 million in 1999. In light of the discontinuation of BDNF development for ALS, we do not expect to receive further payments from Sumitomo Pharmaceuticals for research progress payments, contract research and development, or contract manufacturing.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213" w:lineRule="exact"/>
        <w:rPr>
          <w:sz w:val="20"/>
          <w:szCs w:val="20"/>
          <w:color w:val="auto"/>
        </w:rPr>
      </w:pPr>
    </w:p>
    <w:p>
      <w:pPr>
        <w:ind w:right="680" w:firstLine="324"/>
        <w:spacing w:after="0" w:line="332" w:lineRule="auto"/>
        <w:rPr>
          <w:sz w:val="20"/>
          <w:szCs w:val="20"/>
          <w:color w:val="auto"/>
        </w:rPr>
      </w:pPr>
      <w:r>
        <w:rPr>
          <w:rFonts w:ascii="Arial" w:cs="Arial" w:eastAsia="Arial" w:hAnsi="Arial"/>
          <w:sz w:val="16"/>
          <w:szCs w:val="16"/>
          <w:color w:val="auto"/>
        </w:rPr>
        <w:t>In 1993, we purchased our 100,000 square foot Rensselaer, New York manufacturing facility, which is being used to manufacture drugs for our own preclinical and clinical studies. We also use the facility to manufacture a product for Merck &amp; Co., Inc. under a long-term contract.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we dedicate approximately 230 people to our manufacturing operations at these facilities.</w:t>
      </w:r>
    </w:p>
    <w:p>
      <w:pPr>
        <w:spacing w:after="0" w:line="2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1995, we entered into a long-term manufacturing agreement with Merck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are manufacturing intermediate for Merck for six years, with certain minimum order quantities each year. The Merck Agreement is expected to extend to 2005 and may be terminated at any time by Merck with prior notice. Merck agreed to reimburse us for the capital costs to modify the facility and for the cost of our activities performed on behalf of Merck prior to the start of production. Merck also agreed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 an annual facility fee of $1.0 million, subject to annual adjustment for inflation, reimburse us for certain manufacturing costs, pay us a variable fee based on the quantity of intermediate supplied to Merck, and make certain additional payments. We recognized contract manufacturing revenue related to the Merck Agreement of $9.8 million in 2001, $12.5 million in 2000, and $10.0 million in 1999.</w:t>
      </w:r>
    </w:p>
    <w:p>
      <w:pPr>
        <w:spacing w:after="0" w:line="2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Among the conditions for regulatory marketing approval of a drug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Hoffmann-LaRoche, Abbott Laboratories, Merck,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9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AXOKINE</w:t>
      </w:r>
      <w:r>
        <w:rPr>
          <w:rFonts w:ascii="Arial" w:cs="Arial" w:eastAsia="Arial" w:hAnsi="Arial"/>
          <w:sz w:val="16"/>
          <w:szCs w:val="16"/>
          <w:color w:val="auto"/>
        </w:rPr>
        <w:t>: There is substantial competition in the discovery and development of treatments for obesity, as well as established, cost-effective,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and over-the-counter treatments for this condition. For example, Hoffmann-LaRoche and Abbott Laboratories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injectible form, while the currently available marketed drugs for the treatment of obesity are delivered in oral dosage forms, which generally are favored by patients over injectible drugs. Therefore, even if AXOKINE is approved for sale, the fact that it must be delivered by injection may severely limit its market acceptance among patients and physicians.</w:t>
      </w:r>
    </w:p>
    <w:p>
      <w:pPr>
        <w:spacing w:after="0" w:line="199" w:lineRule="exact"/>
        <w:rPr>
          <w:sz w:val="20"/>
          <w:szCs w:val="20"/>
          <w:color w:val="auto"/>
        </w:rPr>
      </w:pPr>
    </w:p>
    <w:p>
      <w:pPr>
        <w:ind w:right="120" w:firstLine="324"/>
        <w:spacing w:after="0" w:line="318" w:lineRule="auto"/>
        <w:rPr>
          <w:sz w:val="20"/>
          <w:szCs w:val="20"/>
          <w:color w:val="auto"/>
        </w:rPr>
      </w:pPr>
      <w:r>
        <w:rPr>
          <w:rFonts w:ascii="Arial" w:cs="Arial" w:eastAsia="Arial" w:hAnsi="Arial"/>
          <w:sz w:val="15"/>
          <w:szCs w:val="15"/>
          <w:i w:val="1"/>
          <w:iCs w:val="1"/>
          <w:color w:val="auto"/>
        </w:rPr>
        <w:t>Cytokine Traps</w:t>
      </w:r>
      <w:r>
        <w:rPr>
          <w:rFonts w:ascii="Arial" w:cs="Arial" w:eastAsia="Arial" w:hAnsi="Arial"/>
          <w:sz w:val="15"/>
          <w:szCs w:val="15"/>
          <w:color w:val="auto"/>
        </w:rPr>
        <w:t>: Similarly, marketed products for the treatment of rheumatoid arthritis and asthma are available as either oral or inhaled drugs, whereas our</w:t>
      </w:r>
      <w:r>
        <w:rPr>
          <w:rFonts w:ascii="Arial" w:cs="Arial" w:eastAsia="Arial" w:hAnsi="Arial"/>
          <w:sz w:val="15"/>
          <w:szCs w:val="15"/>
          <w:i w:val="1"/>
          <w:iCs w:val="1"/>
          <w:color w:val="auto"/>
        </w:rPr>
        <w:t xml:space="preserve"> </w:t>
      </w:r>
      <w:r>
        <w:rPr>
          <w:rFonts w:ascii="Arial" w:cs="Arial" w:eastAsia="Arial" w:hAnsi="Arial"/>
          <w:sz w:val="15"/>
          <w:szCs w:val="15"/>
          <w:color w:val="auto"/>
        </w:rPr>
        <w:t>Cytokine Traps currently are only planned for clinical trials as injectibles. The markets for both rheumatoid arthritis and asthma are very competitive. Several new, highly successful drugs recently became available for these disease states. Examples include the TNF-antagonists Enbrel® (a registered trademark of Immunex Corporation) and Remicade® (a registered trademark of Centocor) and the IL1 receptor antagonist Kineret® (a registered trademark of Amgen) for rheumatoid arthritis, and the leukotriene-modifier Singulair® (a registered trademark of Merck), as well as various inexpensive corticosteroid drugs, for asthma.</w:t>
      </w:r>
    </w:p>
    <w:p>
      <w:pPr>
        <w:spacing w:after="0" w:line="18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VEGF Trap</w:t>
      </w:r>
      <w:r>
        <w:rPr>
          <w:rFonts w:ascii="Arial" w:cs="Arial" w:eastAsia="Arial" w:hAnsi="Arial"/>
          <w:sz w:val="18"/>
          <w:szCs w:val="18"/>
          <w:color w:val="auto"/>
        </w:rPr>
        <w:t>: Many companies are developing drugs designed to block the actions of VEGF specifically and angiogenesis in general. A variety of approaches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developmental drugs may be at a more advanced stage of development than our product candidate. For example, Genentech, Inc. is developing an antibody to VEGF that is currently in Phase III clinical testing.</w:t>
      </w:r>
    </w:p>
    <w:p>
      <w:pPr>
        <w:spacing w:after="0" w:line="213"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Other Areas</w:t>
      </w:r>
      <w:r>
        <w:rPr>
          <w:rFonts w:ascii="Arial" w:cs="Arial" w:eastAsia="Arial" w:hAnsi="Arial"/>
          <w:sz w:val="15"/>
          <w:szCs w:val="15"/>
          <w:color w:val="auto"/>
        </w:rPr>
        <w:t>: Many pharmaceutical and biotechnology companies are attempting to discover and develop small-molecule based therapeutics, similar in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66 U.S. patents and we have approximately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Angiopoietins, and NT-3,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99"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In September 2000, Immunex Corporation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pending the outcome of the Opposition.</w:t>
      </w:r>
    </w:p>
    <w:p>
      <w:pPr>
        <w:spacing w:after="0" w:line="22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Other parties could allege to have blocking patent rights to our Traps in clinical development. Although we do not believe our Traps infringe these patents, the third parties with rights to these patents could initiate litigation that has the potential to interfere with our ability to develop, manufacture, or sell our clinical candidates, which would severely harm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would severely harm our business.</w:t>
      </w:r>
    </w:p>
    <w:p>
      <w:pPr>
        <w:spacing w:after="0" w:line="213"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197"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reasonably predicted.</w:t>
      </w:r>
    </w:p>
    <w:p>
      <w:pPr>
        <w:spacing w:after="0" w:line="19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Clinical trials are conducted in accordance with certain standards under protocols that detail the objectives of the study, the parameters to be used to monitor safety, and the efficacy criteria to be evaluated. Each protocol must be submitted to the FDA. 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We cannot assure you that the results of preclinical studies or early stage clinical trials will predict long-term safety or efficacy of our compounds when they are tested or used more broadly in humans. Various federal and state statutes and regulations also govern or influence the research, manufacture, safety, labeling, storage, record keeping, marketing, transport, or other aspects of such products.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marketing of our products and our ability to receive product or royalty revenue.</w:t>
      </w:r>
    </w:p>
    <w:p>
      <w:pPr>
        <w:spacing w:after="0" w:line="20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As of December 31, 2001, we had 575 full-time employees, 105 of whom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We conduct our research, development, manufacturing, and administrative activities at our own facilities. We currently lease approximately 171,000 square feet, and sublease approximately 9,000 square feet, of office, laboratory, and manufacturing space in Tarrytown, New York. The current monthly base rental charge is $309,175 plus additional rental charges for utilities, taxes, and operating expenses, as defined. The lease and sublease expire on June 30, 2003 and December 31, 2002, respectively, and we have renewal options to extend the agreements for an additional five-year period. We own the Rensselaer facility, consisting of two buildings totaling approximately 104,000 square feet of research, manufacturing, office, and warehouse space.</w:t>
      </w:r>
    </w:p>
    <w:p>
      <w:pPr>
        <w:spacing w:after="0" w:line="197"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In 2002, we expect to lease additional space in both our Tarrytown and Rensselaer locations, and incur approximately $50 million in capital expenditures for our expanded manufacturing and research and development activities. In the future, we may locate, lease, operate, or purchase additional facilities in which to conduct expanded research and development activities and manufacturing and commercial operations.</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pending the outcome of the Opposition. In addition to this patent challenge, we have from time to time been subject to legal claims arising in connection with our business. While the ultimate results of the patent challenge and legal claims cannot be predicted with certainty, at December 31, 2001, there were no asserted claims against us which, in the opinion of management, if adversely decided, would have a material adverse effect on our financial position or results of operations.</w:t>
      </w:r>
    </w:p>
    <w:p>
      <w:pPr>
        <w:spacing w:after="0" w:line="200" w:lineRule="exact"/>
        <w:rPr>
          <w:sz w:val="20"/>
          <w:szCs w:val="20"/>
          <w:color w:val="auto"/>
        </w:rPr>
      </w:pP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On December 17, 2001, we conducted a Special Meeting of Shareholders pursuant to due notice. A quorum being present either in person or by proxy, the shareholders voted on the following matter: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increase the number of shares of Common Stock Regeneron is authorized to issue from 60,000,000 to 160,000,000.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other matters were voted on. The number of votes cast was For: 56,417,213, Against: 4,105,742, and Abstain: 27,120.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Listed below are our executive officers as of February 28, 2002.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3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Leonard S. Schleifer, M.D.,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President, Chief Executive Officer, and Founder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Executive Vice President and Chief Scientific Officer, and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Regeneron Research Laboratories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Murray A. Goldberg</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57</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9"/>
              </w:rPr>
              <w:t>Senior Vice President, Finance &amp; Administration,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Officer, Treasurer, and Assistant Secretary</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3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Randall G. Rupp,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54</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Senior Vice President, Manufacturing and Process Sciences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Neil Stahl,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Senior Vice President, Preclinical Development and Biomolecular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Science</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Information with regard to our directors is incorporated by reference to the Regeneron Pharmaceuticals, Inc. Proxy Statement to be filed in connection with solicitation of proxies for our Annual Meeting of Shareholders to be held on June 14, 2002.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213"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32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$57.38</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32.63</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36.25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41.69</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$40.25</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38.00</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35.30</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29.93</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As of March 12, 2002, there were 625 shareholders of record of our Common Stock and 60 shareholders of record of our Class A Stock. The closing bid price for the Common Stock on that date was $26.29.</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2001, 2000, and 1999 and at December 31, 2001 and 2000 are derived from and should be read in conjunction with our audited financial statements, including the notes thereto, included elsewhere in this report. The selected financial data for the years ended December 31, 1998 and 1997 and at December 31, 1999, 1998, and 1997 are derived from our audited financial statements not included in this report.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5"/>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1998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1997</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research and development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12,071</w:t>
            </w:r>
          </w:p>
        </w:tc>
        <w:tc>
          <w:tcPr>
            <w:tcW w:w="2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36,478</w:t>
            </w:r>
          </w:p>
        </w:tc>
        <w:tc>
          <w:tcPr>
            <w:tcW w:w="2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24,539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19,714</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17,400</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Research progress payments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16,598</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9,960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9,113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4,458</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21,973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59,276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34,499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38,327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26,858</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91,540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60,559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48,291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39,989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32,057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15,566</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2,617</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107,656</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84,552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58,333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50,906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40,541</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(85,683)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(25,276)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(23,834)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(12,579)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(13,683)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13,162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Loss in Amgen-Regeneron Partners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(4,575)</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(4,159)</w:t>
            </w: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(3,403)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9,503</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3,624</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2,104</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00" w:type="dxa"/>
            <w:vAlign w:val="bottom"/>
            <w:gridSpan w:val="2"/>
            <w:vMerge w:val="restart"/>
          </w:tcPr>
          <w:p>
            <w:pPr>
              <w:ind w:left="580"/>
              <w:spacing w:after="0"/>
              <w:rPr>
                <w:sz w:val="20"/>
                <w:szCs w:val="20"/>
                <w:color w:val="auto"/>
              </w:rPr>
            </w:pPr>
            <w:r>
              <w:rPr>
                <w:rFonts w:ascii="Arial" w:cs="Arial" w:eastAsia="Arial" w:hAnsi="Arial"/>
                <w:sz w:val="18"/>
                <w:szCs w:val="18"/>
                <w:color w:val="auto"/>
                <w:w w:val="97"/>
              </w:rPr>
              <w:t>Net loss before cumulative effect of a change in</w:t>
            </w: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accounting principle</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(21,652)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(23,070)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(11,579)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adopting Staff Accounting</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Bulletin 101 (“SAB 101”)</w:t>
            </w:r>
          </w:p>
        </w:tc>
        <w:tc>
          <w:tcPr>
            <w:tcW w:w="3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(1,563)</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(76,180)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(23,215)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(23,070)</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(8,625)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(11,579)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w w:val="96"/>
              </w:rPr>
              <w:t>Net loss before cumulative effect of a change</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in accounting principle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adopting SAB 101</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Net loss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Pro forma amounts assuming SAB 101</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is applied retroactively:</w:t>
            </w:r>
          </w:p>
        </w:tc>
        <w:tc>
          <w:tcPr>
            <w:tcW w:w="3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(22,699)</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(11,208)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(0.73)</w:t>
            </w: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374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2001</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2000</w:t>
            </w:r>
          </w:p>
        </w:tc>
        <w:tc>
          <w:tcPr>
            <w:tcW w:w="13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1999</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1998</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1997</w:t>
            </w: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50"/>
        </w:trPr>
        <w:tc>
          <w:tcPr>
            <w:tcW w:w="3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Cash, cash equivalents, marketable 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and restricted marketable securities (current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and non-current)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$438,383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$154,370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$ 93,599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$113,530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$128,041</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495,397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208,274</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136,999</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156,915</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168,380</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w w:val="93"/>
              </w:rPr>
              <w:t>Capital lease obligations and notes payable, long-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term portion</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200,150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2,731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3,066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3,752</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266,355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182,130</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109,532</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131,227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138,897</w:t>
            </w:r>
          </w:p>
        </w:tc>
      </w:tr>
    </w:tbl>
    <w:p>
      <w:pPr>
        <w:spacing w:after="0" w:line="2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any sales or profits from the commercialization of any of our product candidates.</w:t>
      </w:r>
    </w:p>
    <w:p>
      <w:pPr>
        <w:spacing w:after="0" w:line="224"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Below is a summary of our leading clinical programs, as well as product candidates that are expected to enter clinical trials over the next year. We retain sole ownership and marketing rights for each of these programs and currently are developing them independent of any corporate partners.</w:t>
      </w:r>
    </w:p>
    <w:p>
      <w:pPr>
        <w:spacing w:after="0" w:line="133" w:lineRule="exact"/>
        <w:rPr>
          <w:sz w:val="20"/>
          <w:szCs w:val="20"/>
          <w:color w:val="auto"/>
        </w:rPr>
      </w:pPr>
    </w:p>
    <w:p>
      <w:pPr>
        <w:ind w:left="460" w:right="80" w:hanging="101"/>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In September 2001, we reported that patients who completed 36 weeks of follow-up after cessation of treatment, on average, maintained the weight loss observed in the twelve-week treatment period. In July 2001, we initiated a Phase III clinical program of AXOKINE in overweight and obese patients. In January 2002, we announced that we had completed enrollment for a pivotal trial that includes approximately 2,000 patients in 65 sites across the United States.</w:t>
      </w:r>
    </w:p>
    <w:p>
      <w:pPr>
        <w:spacing w:after="0" w:line="194" w:lineRule="exact"/>
        <w:rPr>
          <w:rFonts w:ascii="Arial" w:cs="Arial" w:eastAsia="Arial" w:hAnsi="Arial"/>
          <w:sz w:val="16"/>
          <w:szCs w:val="16"/>
          <w:color w:val="auto"/>
        </w:rPr>
      </w:pPr>
    </w:p>
    <w:p>
      <w:pPr>
        <w:ind w:left="460" w:right="480" w:hanging="101"/>
        <w:spacing w:after="0" w:line="33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PEGYLATED AXOKINE: </w:t>
      </w:r>
      <w:r>
        <w:rPr>
          <w:rFonts w:ascii="Arial" w:cs="Arial" w:eastAsia="Arial" w:hAnsi="Arial"/>
          <w:sz w:val="16"/>
          <w:szCs w:val="16"/>
          <w:color w:val="auto"/>
        </w:rPr>
        <w:t>Chemically modified version of AXOKINE that is being developed as a more potent, longer-acting form of the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Pegylated AXOKINE currently is in late-stage preclinical development and we anticipate initiating a Phase I clinical trial in mid-2002.</w:t>
      </w:r>
    </w:p>
    <w:p>
      <w:pPr>
        <w:spacing w:after="0" w:line="155" w:lineRule="exact"/>
        <w:rPr>
          <w:rFonts w:ascii="Arial" w:cs="Arial" w:eastAsia="Arial" w:hAnsi="Arial"/>
          <w:sz w:val="16"/>
          <w:szCs w:val="16"/>
          <w:color w:val="auto"/>
        </w:rPr>
      </w:pPr>
    </w:p>
    <w:p>
      <w:pPr>
        <w:ind w:left="460" w:right="80" w:hanging="101"/>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antagonist for the interleukin-1 (called IL1) cytokine. IL1 is thought to play a major</w:t>
      </w:r>
      <w:r>
        <w:rPr>
          <w:rFonts w:ascii="Arial" w:cs="Arial" w:eastAsia="Arial" w:hAnsi="Arial"/>
          <w:sz w:val="18"/>
          <w:szCs w:val="18"/>
          <w:b w:val="1"/>
          <w:bCs w:val="1"/>
          <w:color w:val="auto"/>
        </w:rPr>
        <w:t xml:space="preserve"> </w:t>
      </w:r>
      <w:r>
        <w:rPr>
          <w:rFonts w:ascii="Arial" w:cs="Arial" w:eastAsia="Arial" w:hAnsi="Arial"/>
          <w:sz w:val="18"/>
          <w:szCs w:val="18"/>
          <w:color w:val="auto"/>
        </w:rPr>
        <w:t>role in rheumatoid arthritis and other inflammatory diseases. In December 2000, we initiated a Phase I study to assess the safety and tolerability of the IL1 Trap in patients with rheumatoid arthritis. In January 2002, we reported positive preliminary results from the trial. Patients treated with the IL1 Trap experienced dose-dependent improvements in tender and swollen joints and CRP (C-Reactive Protein) levels, as well as the composite ACR (American College of Rheumatology) measure of disease activity. We expect to initiate a Phase II study for the IL1 Trap in patients with rheumatoid arthritis in mid-2002.</w:t>
      </w:r>
    </w:p>
    <w:p>
      <w:pPr>
        <w:spacing w:after="0" w:line="220" w:lineRule="exact"/>
        <w:rPr>
          <w:rFonts w:ascii="Arial" w:cs="Arial" w:eastAsia="Arial" w:hAnsi="Arial"/>
          <w:sz w:val="18"/>
          <w:szCs w:val="18"/>
          <w:color w:val="auto"/>
        </w:rPr>
      </w:pPr>
    </w:p>
    <w:p>
      <w:pPr>
        <w:ind w:left="460" w:hanging="101"/>
        <w:spacing w:after="0" w:line="31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INTERLEUKIN-4/ INTERLEUKIN-13 CYTOKINE TRAP (IL4/ IL13 Trap): </w:t>
      </w:r>
      <w:r>
        <w:rPr>
          <w:rFonts w:ascii="Arial" w:cs="Arial" w:eastAsia="Arial" w:hAnsi="Arial"/>
          <w:sz w:val="16"/>
          <w:szCs w:val="16"/>
          <w:color w:val="auto"/>
        </w:rPr>
        <w:t>Protein-based antagonist for the interleukin-4 and interleukin-13 (called</w:t>
      </w:r>
      <w:r>
        <w:rPr>
          <w:rFonts w:ascii="Arial" w:cs="Arial" w:eastAsia="Arial" w:hAnsi="Arial"/>
          <w:sz w:val="16"/>
          <w:szCs w:val="16"/>
          <w:b w:val="1"/>
          <w:bCs w:val="1"/>
          <w:color w:val="auto"/>
        </w:rPr>
        <w:t xml:space="preserve"> </w:t>
      </w:r>
      <w:r>
        <w:rPr>
          <w:rFonts w:ascii="Arial" w:cs="Arial" w:eastAsia="Arial" w:hAnsi="Arial"/>
          <w:sz w:val="16"/>
          <w:szCs w:val="16"/>
          <w:color w:val="auto"/>
        </w:rPr>
        <w:t>IL4 and IL13) cytokines which are thought to play a major role in diseases such as asthma, allergic disorders, and other inflammatory diseases. We expect to initiate a Phase I clinical trial of a dual IL4/ IL13 Trap for asthma/allergy-related conditions in mid-2002.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antagonist to Vascular Endothelial Growth Factor (called VEGF, also known as Vascular Permeability Factor or VPF). VEGF</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for the growth of blood vessels that are needed for tumors to grow and is a potent regulator of vascular permeability and leak. In November 2001, we initiated a Phase I clinical trial designed to assess the safety and tolerability of VEGF Trap in patients with solid tumor malignancies and patients with non-Hodgkin’s lymphoma.</w:t>
      </w:r>
    </w:p>
    <w:p>
      <w:pPr>
        <w:spacing w:after="0" w:line="217" w:lineRule="exact"/>
        <w:rPr>
          <w:rFonts w:ascii="Arial" w:cs="Arial" w:eastAsia="Arial" w:hAnsi="Arial"/>
          <w:sz w:val="18"/>
          <w:szCs w:val="18"/>
          <w:color w:val="auto"/>
        </w:rPr>
      </w:pPr>
    </w:p>
    <w:p>
      <w:pPr>
        <w:ind w:left="460" w:right="40" w:hanging="101"/>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22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Procter &amp; Gamble in muscle diseases and other fields. We are also collaborating with Medarex to discover, develop, and commercialize certain human antibodies as therapeutics. In partnership with Amgen,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9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From inception on January 8, 1988 through December 31, 2001, we had a cumulative loss of $299.7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Years Ended December 31, 2001 and 2000. </w:t>
      </w:r>
      <w:r>
        <w:rPr>
          <w:rFonts w:ascii="Arial" w:cs="Arial" w:eastAsia="Arial" w:hAnsi="Arial"/>
          <w:sz w:val="16"/>
          <w:szCs w:val="16"/>
          <w:color w:val="auto"/>
        </w:rPr>
        <w:t>Our total revenue decreased to $22.0 million in 2001 from $59.3 million in 2000. Contract research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revenue decreased to $12.1 million in 2001 from $36.5 million in 2000. Under our long-term collaboration agreement with Procter &amp; Gamble,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payments decreased effective in the first quarter of 2001 to $2.5 million per quarter (before adjustments for inflation) from $7.1 million per quarter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two quarters of 2000 and $6.8 million per quarter for last two quarters of 2000. In addition, revenue from Amgen-Regeneron Partners decreased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 2001 from $6.2 million in 2000 due to the cessation of clinical trial activity on brain derived neurotrophic factor, or BDNF, in January 2001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substantial completion of our Phase II studies of NT-3. In 2000, research progress payments consisted of two non-recurring payments totaling $3.5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Procter &amp; Gamble related to our long-term collaboration agreement and a non-recurring payment of $3.0 million (reduced by $0.3 million of Japanese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from Sumitomo Pharmaceuticals related to the development of BDNF in Japan. Contract manufacturing revenue decreased to $9.9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compared to $16.6 million in 2000. Contract manufacturing revenue related to our long-term agreement with Merck to manufacture a vaccine intermediate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our Rensselaer, New York facility decreased to $9.8 million in 2001 from $12.5 million in 2000, primarily because intermediate manufactured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half of 2001 will not be shipped to Merck until 2002. Revenue and the related manufacturing expense will be recognized as the product is shipped,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acceptance by Merck. Contract manufacturing revenue in 2000 also included $4.1 million related to the manufacture of clinical supplies of BDNF for Sumitomo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 research and development agreement. Production of BDNF clinical supplies for Sumitomo Pharmaceuticals was discontinued in January 2001.</w:t>
      </w:r>
    </w:p>
    <w:p>
      <w:pPr>
        <w:spacing w:after="0" w:line="2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total operating expenses increased to $107.7 million in 2001 from $84.6 million in 2000. Research and development expenses increased to $91.5 million in 2001 from $60.6 million in 2000, primarily as a result of higher staffing and increased activity in our preclinical and clinical development programs. This increased activity relates, in part, to the initiation of a Phase III clinical program of AXOKINE in July 2001 and a Phase I study of the IL1 Trap in December 2000. Research and development expenses were 85% of total operating expenses in 2001, compared to 72% in 2000. Contract manufacturing expenses decreased to $6.5 million in 2001 from $15.6 million in 2000. In addition to the above-described effect of not shipping vaccine intermediate manufactured for Merck in the second half of 2001 until 2002, the decrease was due, in part, to higher costs in 2000 associated with initiating commercial production at our Rensselaer facility of both intermediate for Merck and BDNF for clinical use by Sumitomo Pharmaceuticals. General and administrative expenses increased to $9.6 million in 2001 from $8.4 million in 2000, due primarily to higher administrative staffing to support a larger and more diversified company.</w:t>
      </w:r>
    </w:p>
    <w:p>
      <w:pPr>
        <w:spacing w:after="0" w:line="19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Investment income in 2001 increased to $13.2 million from $8.5 million in 2000 due primarily to interest earned on the net proceeds of $192.7 million from our private placement of $200 million aggregate principal amount of convertible senior subordinated notes in October 2001 and $156.7 million from our public offering in March and April 2001. The loss in Amgen-Regeneron Partners decreased to $1.0 million in 2001 from $4.6 million in 2000 due to the partnership’s cessation of clinical trial activity on BDNF in January 2001 and the substantial completion of Phase II studies of NT-3. Interest expense increased to $2.7 million in 2001 from $0.3 million in 2000 due to interest incurred on the convertible notes issued in October 2001. These notes bear interest at 5.5% per annum, payable semi-annually.</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During the fourth quarter of 2000, we changed our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(SAB 101), effective as of January 1, 2000. The cumulative effect of adopting SAB 101 as of January 1, 2000 was to increase our net loss by $1.6 million, or $0.04 per share, with a corresponding increase to deferred revenue that is being recognized in subsequent periods. The SAB 101 adjustment relates to a portion of a 1989 payment received from Sumitomo Chemical in consideration for a fifteen year limited right of first negotiation to license up to three of our product candidates in Japan. In 2001 and 2000, we recognized contract research and development revenue of $0.4 million per year that was included in the cumulative effect adjustment as of January 1, 2000.</w:t>
      </w:r>
    </w:p>
    <w:p>
      <w:pPr>
        <w:spacing w:after="0" w:line="201"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net loss in 2001 was $76.2 million, or $1.81 per share (basic and diluted), compared to a net loss of $23.2 million, or $0.66 per share (basic and diluted), in 2000.</w:t>
      </w:r>
    </w:p>
    <w:p>
      <w:pPr>
        <w:spacing w:after="0" w:line="213"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i w:val="1"/>
          <w:iCs w:val="1"/>
          <w:color w:val="auto"/>
        </w:rPr>
        <w:t xml:space="preserve">Years Ended December 31, 2000 and 1999. </w:t>
      </w:r>
      <w:r>
        <w:rPr>
          <w:rFonts w:ascii="Arial" w:cs="Arial" w:eastAsia="Arial" w:hAnsi="Arial"/>
          <w:sz w:val="16"/>
          <w:szCs w:val="16"/>
          <w:color w:val="auto"/>
        </w:rPr>
        <w:t>Our total revenue increased to $59.3 million in 2000 from $34.5 million in 1999. Contract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revenue increased to $36.5 million in 2000 from $24.5 million in 1999. Contract research and development revenue from Procter &amp; Gamble increased to $28.3 million in 2000 from $20.8 million in 1999 as increased revenue under the companies’ collaboration agreement more than offset the termination of Procter &amp; Gamble payments related to AXOKINE research in the third quarter of 1999 after Procter &amp; Gamble returned the product rights to AXOKINE to us. Revenue from Amgen-Regeneron Partners increased to $6.2 million in 2000 from $3.6 million in 1999 due to increased clinical trial activity on BDNF and NT-3. In 2000, research progress payments consisted of two non-recurring payments totaling $3.5 million from Procter &amp; Gamble related to our long-term collaboration agreement and a non-recurring payment of $3.0 million (reduced by $0.3 million of Japanese withholding tax) from Sumitomo Pharmaceuticals related to the development of BDNF in Japan. Contract manufacturing revenue increased to $16.6 million in 2000, compared to $10.0 million in 1999. Contract manufacturing revenue related to our long-term agreement with Merck to manufacture a vaccine intermediate increased to $12.5 million in 2000 from $10.0 million in 1999. In 1999, Merck revenue was primarily compensation for services rendered related to preparing for commercial production, which began in the fourth quarter of 1999. In 2000, Merck revenue primarily consisted of payments related to commercial production. In addition, contract manufacturing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in 2000 included $4.1 million related to the manufacture of clinical supplies of BDNF for Sumitomo Pharmaceuticals in connection with a research and development agreement.</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total operating expenses increased to $84.6 million in 2000 from $58.3 million in 1999. Research and development expenses increased to $60.6 million in 2000 from $48.3 million in 1999, primarily as a result of higher staffing and increased activity in our preclinical and clinical research programs. Research and development expenses were 72% of total operating expenses in 2000, compared to 83% in 1999. General and administrative expenses increased to $8.4 million in 2000 from $6.4 million in 1999 due to higher administrative staffing and related occupancy costs, and an increase in patent expenses related primarily to our acquiring the patent rights to CNTF from Amgen. Contract manufacturing expenses increased to $15.6 million in 2000 from $3.6 million in 1999 due primarily to costs associated with initiating commercial production at our Rensselaer facility of both a vaccine intermediate for Merck and clinical supplies of BDNF for Sumitomo Pharmaceuticals.</w:t>
      </w:r>
    </w:p>
    <w:p>
      <w:pPr>
        <w:spacing w:after="0" w:line="199"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Investment income in 2000 increased to $8.5 million from $5.2 million in 1999 due to interest earned on the proceeds of our public offering in April 2000 and our sale of Common Stock to Procter &amp; Gamble in August 2000. The loss in Amgen-Regeneron Partners increased to $4.6 million in 2000 from $4.2 million in 1999 as a result of the partnership’s increased clinical trial activity on BDNF and NT-3. Interest expense was $0.3 million in both 2000 and 1999.</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fourth quarter of 2000, we changed our method of accounting for revenue recognition to conform with the guidance provided by SAB 101, effective as of January 1, 2000. The cumulative effect of adopting SAB 101 as of January 1, 2000 was to increase our net loss by $1.6 million, or $0.04 per share, with a corresponding increase to deferred revenue that is being recognized in subsequent periods. The SAB 101 adjustment relates to a portion of a 1989 payment received from Sumitomo Chemical in consideration for a fifteen year limited right of first negotiation to license up to three of our product candidates in Japan. In 2000, we recognized contract research and development revenue of $0.4 million per year that was included in the cumulative effect adjustment as of January 1, 2000.</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net loss in 2000 was $23.2 million, or $0.66 per share (basic and diluted), compared to a net loss of $23.1 million, or $0.74 per share (basic and diluted), in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private placements and public offerings of our equity securities, a private placement of convertible debt, revenue earned under our agreements with Amgen, Sumitomo Chemical, Sumitomo Pharmaceuticals, Merck, and Procter &amp; Gamble, and investment income.</w:t>
      </w:r>
    </w:p>
    <w:p>
      <w:pPr>
        <w:spacing w:after="0" w:line="221"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In May 1997, we entered into a long-term collaboration agreement with Procter and Gamble. In connection with the collaboration, Procter &amp; Gamble made equity purchases in Regeneron of $42.9 million in June 1997 and $17.1 million in August 2000, and agreed to provide funding in support of our research efforts related to the collaboration, of which we have received $59.1 million through December 31, 2001. In August 2000, Procter &amp; Gamble made two non-recurring research progress payments to us totaling $3.5 million.</w:t>
      </w:r>
    </w:p>
    <w:p>
      <w:pPr>
        <w:spacing w:after="0" w:line="22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Effective December 31, 2000, we and Procter &amp; Gamble entered into a new long-term collaboration agreement, replacing the companies’ 1997 agreement. The new agreement extends Procter &amp; Gamble’s obligation to fund Regeneron’s research through December 2005, with no further research obligations by either party thereafter, and focuses the companies’ collaborative research on therapeutic areas that are of particular interest to Procter &amp; Gamble. Under the new agreement, beginning in the first quarter of 2001, research support from Procter &amp; Gamble is $2.5 million per quarter, before adjustments for inflation, through December 2005.</w:t>
      </w:r>
    </w:p>
    <w:p>
      <w:pPr>
        <w:spacing w:after="0" w:line="224" w:lineRule="exact"/>
        <w:rPr>
          <w:sz w:val="20"/>
          <w:szCs w:val="20"/>
          <w:color w:val="auto"/>
        </w:rPr>
      </w:pPr>
    </w:p>
    <w:p>
      <w:pPr>
        <w:ind w:right="500" w:firstLine="324"/>
        <w:spacing w:after="0" w:line="306" w:lineRule="auto"/>
        <w:rPr>
          <w:sz w:val="20"/>
          <w:szCs w:val="20"/>
          <w:color w:val="auto"/>
        </w:rPr>
      </w:pPr>
      <w:r>
        <w:rPr>
          <w:rFonts w:ascii="Arial" w:cs="Arial" w:eastAsia="Arial" w:hAnsi="Arial"/>
          <w:sz w:val="16"/>
          <w:szCs w:val="16"/>
          <w:color w:val="auto"/>
        </w:rPr>
        <w:t>Our activities relating to NT-3, as agreed upon by Amgen and us, are being compensated by Amgen-Regeneron Partners for services rendered, and we recognize these amounts as revenue. In January 2001, Amgen-Regeneron Partners discontinued all development of BDNF for the potential treatment of amyotrophic lateral sclerosis, or ALS. We and Amgen fund Amgen-Regeneron Partners through capital contribu-</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tions. We expect to continue funding 50% of the development costs of the partnership in order to maintain equal ownership and equal sharing of the profits or losses of the partnership. Our aggregate capital contribution to Amgen-Regeneron Partners from the partnership’s inception in June 1993 through December 31, 2001 was $57.9 million. We do not expect to make capital contributions to the partnership in 2002 since there are no ongoing development activities for NT-3 at this time, but additional contributions may be required, depending upon, among other things, whether and how Amgen-Regeneron Partners proceeds with the development of NT-3.</w:t>
      </w:r>
    </w:p>
    <w:p>
      <w:pPr>
        <w:spacing w:after="0" w:line="2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our agreement to collaborate with Sumitomo Pharmaceuticals in the research and development of BDNF in Japan, we received a research progress payment from Sumitomo Pharmaceuticals of $3.0 million (reduced by $0.3 million Japanese withholding tax) in April 2000. In addition, Sumitomo Pharmaceuticals has paid us $32.0 million through December 31, 2001 in connection with supplying BDNF for preclinical and clinical use. In light of the discontinuation of BDNF development for ALS, we do not expect to receive further payments from Sumitomo Pharmaceuticals for research progress payments, contract research and development, or contract manufacturing.</w:t>
      </w:r>
    </w:p>
    <w:p>
      <w:pPr>
        <w:spacing w:after="0" w:line="22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April 2000, we completed a public offering of 2.6 million shares of Common Stock at a price of $29.75 per share and received proceeds, after commissions and expenses, of $72.9 million. In August 2000, we sold 573,630 shares of Common Stock to Procter &amp; Gamble at a price of $29.75 per share and received total proceeds of $17.1 million. The sale of stock to Procter &amp; Gamble was made pursuant to a 1997 securities purchase agreement. In March 2001, we completed a public offering in which we issued 6.5 million shares of Common Stock at a price of $25.00 per share and received proceeds, after commissions and expenses, of $153.6 million. In April 2001, we sold an additional 130,000 shares of Common Stock pursuant to the underwriters’ over-allotment option from the March 2001 public offering at a price of $25.00 per share and received proceeds, after commissions and expenses, of $3.1 million.</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October 2001, we issued $200.0 million aggregate principal amount of convertible senior subordinated notes in a private placement and received proceeds, after deducting the initial purchasers’ discount and out-of-pocket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 We pledged $31.6 million of U.S. government securities which will be sufficient upon receipt of scheduled principal and interest payments to provide for the payment in full of the first six scheduled interest payments on the notes when due.</w:t>
      </w:r>
    </w:p>
    <w:p>
      <w:pPr>
        <w:spacing w:after="0" w:line="20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total expenses for research and development from inception through December 31, 2001 have been approximately $460 million. We have not historically segregated all the costs associated with each of our research programs and it is not possible to forecast their success or the amounts that we may spend in the future. We currently have research collaboration agreements with Procter &amp; Gamble, Medarex, Emisphere Technologies, Inc., Amgen, and Sumitomo Pharmaceuticals. In 2001, 2000, and 1999, total expenses for research programs conducted under our third-party collaboration agreements (which also include contract manufacturing expenses incurred prior to commencing commercial production of products for Merck and Sumitomo Pharmaceuticals) were approximately $12 million, $31 million, and $37 million, respectively. The remainder of our research and development expenses in those years related to our own internal research programs. We are currently only committed to incur research expenditures under our research collaboration agreements through the end of 2005 and estimate that, based on current plans, such expenditures will total less than $50 million.</w:t>
      </w:r>
    </w:p>
    <w:p>
      <w:pPr>
        <w:spacing w:after="0" w:line="199"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At December 31, 2001, we had $438.4 million in cash, cash equivalents, marketable securities, and restricted marketable securities. We have no off-balance sheet arrangements and do not guarantee the obligations of any other entity. As of December 31, 2001, we had no established banking arrangements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additions to property, plant, and equipment totaled $9.5 million in 2001, $6.5 million in 2000, and $5.9 million in 1999. We also leased an additional</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$1.1 million of equipment in 1999. In connection with the purchase and renovation of our Rensselaer facility, we obtained financing of $2.0 million from the New York State Urban Development Corporation. The outstanding balance on this note of $1.5 million was fully repaid in October 2001.</w:t>
      </w:r>
    </w:p>
    <w:p>
      <w:pPr>
        <w:spacing w:after="0" w:line="17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anticipate that expenses for basic research and clinical development will increase in 2002 by more than 30% over 2001 amounts. We currently anticipate that in 2002, approximately 50-70% of our expenditures will be directed toward the preclinical and clinical development of product candidates, including AXOKINE, pegylated AXOKINE, IL1 Trap, IL4/13 Trap, VEGF Trap, and the angiopoietins; approximately 5-15% of our expenditures will be invested in expansion of our manufacturing facilities; approximately 10-30%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In 2002, we expect to lease additional space in both our Tarrytown and Rensselaer locations and incur approximately $50 million in capital expenditures for our expanded manufacturing and research and development activities.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our funding requirements, the following table summarizes our contractual obligations for future lease and long-term debt payments.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center"/>
              <w:ind w:left="32"/>
              <w:spacing w:after="0"/>
              <w:rPr>
                <w:sz w:val="20"/>
                <w:szCs w:val="20"/>
                <w:color w:val="auto"/>
              </w:rPr>
            </w:pPr>
            <w:r>
              <w:rPr>
                <w:rFonts w:ascii="Arial" w:cs="Arial" w:eastAsia="Arial" w:hAnsi="Arial"/>
                <w:sz w:val="14"/>
                <w:szCs w:val="14"/>
                <w:b w:val="1"/>
                <w:bCs w:val="1"/>
                <w:color w:val="auto"/>
                <w:w w:val="86"/>
              </w:rPr>
              <w:t>Payments Due by Period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Less than</w:t>
            </w:r>
          </w:p>
        </w:tc>
        <w:tc>
          <w:tcPr>
            <w:tcW w:w="660" w:type="dxa"/>
            <w:vAlign w:val="bottom"/>
          </w:tcPr>
          <w:p>
            <w:pPr>
              <w:jc w:val="right"/>
              <w:ind w:right="182"/>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4 to 7</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one year</w:t>
            </w:r>
          </w:p>
        </w:tc>
        <w:tc>
          <w:tcPr>
            <w:tcW w:w="660" w:type="dxa"/>
            <w:vAlign w:val="bottom"/>
          </w:tcPr>
          <w:p>
            <w:pPr>
              <w:jc w:val="right"/>
              <w:ind w:right="182"/>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years</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1"/>
              </w:rPr>
              <w:t>(In millions)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Convertible Senior Subordinated Notes</w:t>
            </w:r>
          </w:p>
        </w:tc>
        <w:tc>
          <w:tcPr>
            <w:tcW w:w="8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$200.0</w:t>
            </w:r>
          </w:p>
        </w:tc>
      </w:tr>
      <w:tr>
        <w:trPr>
          <w:trHeight w:val="216"/>
        </w:trPr>
        <w:tc>
          <w:tcPr>
            <w:tcW w:w="5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Lease Obligations(1)</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332"/>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22"/>
              <w:spacing w:after="0"/>
              <w:rPr>
                <w:sz w:val="20"/>
                <w:szCs w:val="20"/>
                <w:color w:val="auto"/>
              </w:rPr>
            </w:pPr>
            <w:r>
              <w:rPr>
                <w:rFonts w:ascii="Arial" w:cs="Arial" w:eastAsia="Arial" w:hAnsi="Arial"/>
                <w:sz w:val="18"/>
                <w:szCs w:val="18"/>
                <w:color w:val="auto"/>
                <w:w w:val="96"/>
              </w:rPr>
              <w:t>$0.2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Leases(2)</w:t>
            </w:r>
          </w:p>
        </w:tc>
        <w:tc>
          <w:tcPr>
            <w:tcW w:w="8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222"/>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r>
      <w:tr>
        <w:trPr>
          <w:trHeight w:val="108"/>
        </w:trPr>
        <w:tc>
          <w:tcPr>
            <w:tcW w:w="5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2001, these costs were $3.0 million.</w:t>
      </w:r>
    </w:p>
    <w:p>
      <w:pPr>
        <w:spacing w:after="0" w:line="25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and Amgen).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costs of each trial as described above. We believe that our existing capital resources will enable us to meet operating needs through at least 2003. However, this is a forward-looking statement based on our current operating plan, and we cannot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We recognize revenue from contract research and development and research progress payments as we perform services, provided a contractual arrangement exists, the contract price is fixed or determinable, and our collection of the resulting receivable is probable. In situations where we receive payment in advance of the performance of services, these amounts are deferred and recognized as revenue as we perform the related services. Non-refundable fees, including payments we receive for services, up-front licensing fees, technology fees, and research progress payments, are recognized as revenue based on the percentage of costs incurred to date, estimated costs to complete, and total expected contract revenue. However, the revenue we recognize is limited to the amount of non-refundable fees received. Non-refundable fees that we receive in consideration for granting collaborators the right to license product candidates developed by us are recognized as revenue on a straight-line basis over the term of the underlying agreements. This policy conforms with guidance provided by SAB 101. With regard to our revenues from non-refundable fees, changes in our assumptions of estimated costs to complete could have a material impact on the revenues we recognize.</w:t>
      </w:r>
    </w:p>
    <w:p>
      <w:pPr>
        <w:spacing w:after="0" w:line="18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 value of those capital cost payments was deferred and is recognized as revenue as product is approved by and shipped to Merck. The rate at which revenue is recognized is based upon our estimate of Merck’s order quantities each year through the expected end of the agreement in 2005. Should actual shipments differ from our estimates, the rate at which this deferred revenue is recognized could change, but the total remaining balance of $9.7 million at December 31, 2001 will be recognized in the 2002 to 2005 period. Since we commenced production of the vaccine intermediate in November 1999, our estimates of Merck’s order quantities each year have not been materially different from Merck’s actual orders.</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our research and development,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our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01"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and contract research organizations are expected to provide services. We believe that this method best aligns the expenses we record with the efforts we expend on a clinical trial. We adjust our rate of clinical expense recognition if actual results differ from our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 xml:space="preserve">The Financial Accounting Standards Board has recently issued Statement of Financial Accounting Standards, or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SFAS No. 143, </w:t>
      </w:r>
      <w:r>
        <w:rPr>
          <w:rFonts w:ascii="Arial" w:cs="Arial" w:eastAsia="Arial" w:hAnsi="Arial"/>
          <w:sz w:val="18"/>
          <w:szCs w:val="18"/>
          <w:i w:val="1"/>
          <w:iCs w:val="1"/>
          <w:color w:val="auto"/>
        </w:rPr>
        <w:t>Accounting for Obligations Associated with the Retirement of Long-Lived Assets</w:t>
      </w:r>
      <w:r>
        <w:rPr>
          <w:rFonts w:ascii="Arial" w:cs="Arial" w:eastAsia="Arial" w:hAnsi="Arial"/>
          <w:sz w:val="18"/>
          <w:szCs w:val="18"/>
          <w:color w:val="auto"/>
        </w:rPr>
        <w:t xml:space="preserve">, and SFAS No. 144, </w:t>
      </w:r>
      <w:r>
        <w:rPr>
          <w:rFonts w:ascii="Arial" w:cs="Arial" w:eastAsia="Arial" w:hAnsi="Arial"/>
          <w:sz w:val="18"/>
          <w:szCs w:val="18"/>
          <w:i w:val="1"/>
          <w:iCs w:val="1"/>
          <w:color w:val="auto"/>
        </w:rPr>
        <w:t>Accounting for the Impairment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of Long-Lived Assets</w:t>
      </w:r>
      <w:r>
        <w:rPr>
          <w:rFonts w:ascii="Arial" w:cs="Arial" w:eastAsia="Arial" w:hAnsi="Arial"/>
          <w:sz w:val="18"/>
          <w:szCs w:val="18"/>
          <w:color w:val="auto"/>
        </w:rPr>
        <w:t>, which we will be required to adopt in future periods. Our management believes that the future adoption of these accounting standards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46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212" w:lineRule="exact"/>
        <w:rPr>
          <w:rFonts w:ascii="Arial" w:cs="Arial" w:eastAsia="Arial" w:hAnsi="Arial"/>
          <w:sz w:val="18"/>
          <w:szCs w:val="18"/>
          <w:color w:val="auto"/>
        </w:rPr>
      </w:pPr>
    </w:p>
    <w:p>
      <w:pPr>
        <w:ind w:left="460" w:right="240" w:hanging="101"/>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the agreement with Procter &amp; Gamble)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87" w:lineRule="exact"/>
        <w:rPr>
          <w:rFonts w:ascii="Arial" w:cs="Arial" w:eastAsia="Arial" w:hAnsi="Arial"/>
          <w:sz w:val="16"/>
          <w:szCs w:val="16"/>
          <w:color w:val="auto"/>
        </w:rPr>
      </w:pPr>
    </w:p>
    <w:p>
      <w:pPr>
        <w:ind w:left="460" w:hanging="101"/>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 failure of clinical investigators, trial monitors and other consultants, or trial subjects to comply with the trial plan or protocol.</w:t>
      </w:r>
    </w:p>
    <w:p>
      <w:pPr>
        <w:spacing w:after="0" w:line="193" w:lineRule="exact"/>
        <w:rPr>
          <w:rFonts w:ascii="Arial" w:cs="Arial" w:eastAsia="Arial" w:hAnsi="Arial"/>
          <w:sz w:val="16"/>
          <w:szCs w:val="16"/>
          <w:color w:val="auto"/>
        </w:rPr>
      </w:pPr>
    </w:p>
    <w:p>
      <w:pPr>
        <w:ind w:left="460" w:right="20" w:hanging="101"/>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received AXOKINE in clinical trials have developed antibodies.</w:t>
      </w:r>
    </w:p>
    <w:p>
      <w:pPr>
        <w:spacing w:after="0" w:line="199" w:lineRule="exact"/>
        <w:rPr>
          <w:rFonts w:ascii="Arial" w:cs="Arial" w:eastAsia="Arial" w:hAnsi="Arial"/>
          <w:sz w:val="16"/>
          <w:szCs w:val="16"/>
          <w:color w:val="auto"/>
        </w:rPr>
      </w:pPr>
    </w:p>
    <w:p>
      <w:pPr>
        <w:ind w:left="460" w:right="46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79"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product candidates.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101"/>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212" w:lineRule="exact"/>
        <w:rPr>
          <w:rFonts w:ascii="Arial" w:cs="Arial" w:eastAsia="Arial" w:hAnsi="Arial"/>
          <w:sz w:val="18"/>
          <w:szCs w:val="18"/>
          <w:color w:val="auto"/>
        </w:rPr>
      </w:pPr>
    </w:p>
    <w:p>
      <w:pPr>
        <w:ind w:left="460" w:right="640" w:hanging="101"/>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66" w:lineRule="exact"/>
        <w:rPr>
          <w:rFonts w:ascii="Arial" w:cs="Arial" w:eastAsia="Arial" w:hAnsi="Arial"/>
          <w:sz w:val="16"/>
          <w:szCs w:val="16"/>
          <w:color w:val="auto"/>
        </w:rPr>
      </w:pPr>
    </w:p>
    <w:p>
      <w:pPr>
        <w:ind w:left="460" w:right="20" w:hanging="101"/>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79"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221" w:lineRule="exact"/>
        <w:rPr>
          <w:rFonts w:ascii="Arial" w:cs="Arial" w:eastAsia="Arial" w:hAnsi="Arial"/>
          <w:sz w:val="18"/>
          <w:szCs w:val="18"/>
          <w:color w:val="auto"/>
        </w:rPr>
      </w:pPr>
    </w:p>
    <w:p>
      <w:pPr>
        <w:jc w:val="both"/>
        <w:ind w:left="460" w:right="40" w:hanging="101"/>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93" w:lineRule="exact"/>
        <w:rPr>
          <w:rFonts w:ascii="Arial" w:cs="Arial" w:eastAsia="Arial" w:hAnsi="Arial"/>
          <w:sz w:val="16"/>
          <w:szCs w:val="16"/>
          <w:color w:val="auto"/>
        </w:rPr>
      </w:pPr>
    </w:p>
    <w:p>
      <w:pPr>
        <w:ind w:left="460" w:right="260" w:hanging="101"/>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6" w:lineRule="exact"/>
        <w:rPr>
          <w:rFonts w:ascii="Arial" w:cs="Arial" w:eastAsia="Arial" w:hAnsi="Arial"/>
          <w:sz w:val="16"/>
          <w:szCs w:val="16"/>
          <w:color w:val="auto"/>
        </w:rPr>
      </w:pPr>
    </w:p>
    <w:p>
      <w:pPr>
        <w:ind w:left="460" w:right="260" w:hanging="101"/>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 date, we have received revenues from (1) our licensees and collaborators for research and development efforts, (2) Merck and Sumitomo Pharmaceuticals for contract manufacturing, and (3) investment income. We may not continue to receive these revenues from our licensees, collaborators, or contract manufacturing customers. In the absence of revenues from the commercialization of our product candidates or other sources,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 We do not know if we will ever have an approved product or achieve significant revenues or profitable operations. We do not expect to receive any revenue from the commercialization of our product candidates for several years and we intend to continue to invest significantly in our research and development activities. Even if we do successfully develop products that can be marketed and sold commercially, we will need to generate significant revenue from products to achieve and maintain profitability.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these conditions are caused by the drug being studied. Various illnesses, injuries, and discomforts have been reported from time-to-time during the clinical trials of AXOKINE, our only product candidate that has completed Phase II trials. The most frequently reported conditions during the AXOKINE Phase II trial were injection site reactions, cough, and nausea or vomiting. During the Phase I study that was conducted in 1999, some subjects developed mouth sores, also known as cold sores, when AXOKINE was given in higher doses than what is being studied in the Phase III program. These cold sores were thought to be caused by the reactivation of herpes simplex virus, or HSV. Recurrence of HSV was also reported in previous clinical studies of CNTF, AXOKINE’s parent molecule. In the Phase I AXOKINE study, one patient who had evidence of previous exposure to HSV prior to treatment and had been previously diagnosed with Bell’s palsy, had a recurrence of Bell’s palsy approximately two weeks after the patient’s last administration of AXOKINE. In the ongoing Phase III study of AXOKINE, one patient was reported to have been diagnosed with Guillain-Barre syndrome following an upper respiratory tract infection.</w:t>
      </w:r>
    </w:p>
    <w:p>
      <w:pPr>
        <w:spacing w:after="0" w:line="204"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Although AXOKINE was generally well tolerated in the completed Phase II trial, it is possible that as we test AXOKINE in a large and extended Phase III program, illnesses, injuries, and discomforts that were observed in the earlier trials, as well as conditions that did not occur or went undetected in these smaller trials, will be reported by patients. If additional clinical experience indicates that AXOKINE has many side effects or causes serious or life-threatening side effects, the development of AXOKINE may fail or be delayed, which would severely harm our business.</w:t>
      </w:r>
    </w:p>
    <w:p>
      <w:pPr>
        <w:spacing w:after="0" w:line="19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Most drug research and development programs never lead to the development of commercially successful products. Only a small minority of all research and development programs ultimately result in commercially successful drugs. We are attempting to develop drugs for human therapeutic uses, and our research and development activities may not be successful and none of our potential product candidates may ever complete clinical trials. Even if clinical trials demonstrate safety and efficacy of our product candidates and the necessary regulatory approvals are obtained, the commercial success of any of our product candidates will depend upon their acceptance by patients, the medical community, and third-party payors and on our ability to successfully develop, manufacture, and market our product candidates. If our products are not successfully commercialized, we will not be able to recover the significant investment we have made in developing such products and our business would be severely harmed.</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required by this item are included herein as exhibits and listed under Item 14.(A)1.</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Information with respect to directors and executive officers is incorporated by reference to the material captioned “Election of Directors,” “Executive Officers of the Registrant,” and “Compliance with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tion 16(b) of the Securities Exchange Act of 1934” in the Regeneron Pharmaceuticals, Inc. Proxy Statement to be filed in connection with solicitation of proxies for our Annual Meeting of Shareholders to be held on June 14, 2002.</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our Annual Meeting of Shareholders to be held on June 14, 2002.</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this item is incorporated by reference to the material captioned “Security Ownership of Management” and “Security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Ownership of Certain Beneficial Owners” in the Regeneron Pharmaceuticals, Inc. Proxy Statement to be filed in connection with solicitation of proxies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Shareholders to be held on June 14, 2002.</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“Certain Relationships and Related Transactions” in the Regeneron Pharmaceuticals, Inc. Proxy Statement to be filed in connection with solicitation of proxies for our Annual Meeting of Shareholders to be held on June 14, 2002.</w:t>
      </w:r>
    </w:p>
    <w:p>
      <w:pPr>
        <w:spacing w:after="0" w:line="18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52" w:lineRule="exact"/>
        <w:rPr>
          <w:sz w:val="20"/>
          <w:szCs w:val="20"/>
          <w:color w:val="auto"/>
        </w:rPr>
      </w:pPr>
    </w:p>
    <w:p>
      <w:pPr>
        <w:ind w:left="900" w:hanging="348"/>
        <w:spacing w:after="0"/>
        <w:tabs>
          <w:tab w:leader="none" w:pos="9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3" w:lineRule="exact"/>
        <w:rPr>
          <w:sz w:val="20"/>
          <w:szCs w:val="20"/>
          <w:color w:val="auto"/>
        </w:rPr>
      </w:pPr>
    </w:p>
    <w:p>
      <w:pPr>
        <w:ind w:left="900" w:hanging="348"/>
        <w:spacing w:after="0"/>
        <w:tabs>
          <w:tab w:leader="none" w:pos="9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right"/>
              <w:ind w:right="356"/>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520" w:type="dxa"/>
            <w:vAlign w:val="bottom"/>
          </w:tcPr>
          <w:p>
            <w:pPr>
              <w:spacing w:after="0"/>
              <w:rPr>
                <w:sz w:val="14"/>
                <w:szCs w:val="14"/>
                <w:color w:val="auto"/>
              </w:rPr>
            </w:pPr>
          </w:p>
        </w:tc>
      </w:tr>
      <w:tr>
        <w:trPr>
          <w:trHeight w:val="174"/>
        </w:trPr>
        <w:tc>
          <w:tcPr>
            <w:tcW w:w="1300" w:type="dxa"/>
            <w:vAlign w:val="bottom"/>
          </w:tcPr>
          <w:p>
            <w:pPr>
              <w:jc w:val="right"/>
              <w:ind w:right="336"/>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520" w:type="dxa"/>
            <w:vAlign w:val="bottom"/>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520" w:type="dxa"/>
            <w:vAlign w:val="bottom"/>
            <w:tcBorders>
              <w:bottom w:val="single" w:sz="8" w:color="808080"/>
            </w:tcBorders>
          </w:tcPr>
          <w:p>
            <w:pPr>
              <w:spacing w:after="0"/>
              <w:rPr>
                <w:sz w:val="8"/>
                <w:szCs w:val="8"/>
                <w:color w:val="auto"/>
              </w:rPr>
            </w:pPr>
          </w:p>
        </w:tc>
      </w:tr>
      <w:tr>
        <w:trPr>
          <w:trHeight w:val="309"/>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3.1</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(a)</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Regeneron Pharmaceuticals, Inc. as of June 21, 1991.</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3.2</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(b)</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as of January 22, 1995).</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10.1</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(c)</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w w:val="92"/>
              </w:rPr>
              <w:t>Certificate of Amendment of the Restated Certificate of Incorporation of Regeneron Pharmaceuticals, Inc., as of</w:t>
            </w: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October 18, 1996.</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 Pharmaceuticals, Inc., as of</w:t>
            </w: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December 17, 2001.</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10.3</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w w:val="89"/>
              </w:rPr>
              <w:t>Technology Development Agreement dated as of March 20, 1989, between the Company and Sumitomo Chemical</w:t>
            </w: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 Limited.</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10.4</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Collaboration Agreement dated August 31, 1990, between the Company and Amgen Inc.</w:t>
            </w:r>
          </w:p>
        </w:tc>
      </w:tr>
      <w:tr>
        <w:trPr>
          <w:trHeight w:val="216"/>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10.5</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r>
      <w:tr>
        <w:trPr>
          <w:trHeight w:val="222"/>
        </w:trPr>
        <w:tc>
          <w:tcPr>
            <w:tcW w:w="1300" w:type="dxa"/>
            <w:vAlign w:val="bottom"/>
          </w:tcPr>
          <w:p>
            <w:pPr>
              <w:jc w:val="right"/>
              <w:ind w:right="356"/>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r>
      <w:tr>
        <w:trPr>
          <w:trHeight w:val="432"/>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20" w:type="dxa"/>
            <w:vAlign w:val="bottom"/>
          </w:tcPr>
          <w:p>
            <w:pPr>
              <w:ind w:left="2720"/>
              <w:spacing w:after="0"/>
              <w:rPr>
                <w:sz w:val="20"/>
                <w:szCs w:val="20"/>
                <w:color w:val="auto"/>
              </w:rPr>
            </w:pPr>
            <w:r>
              <w:rPr>
                <w:rFonts w:ascii="Arial" w:cs="Arial" w:eastAsia="Arial" w:hAnsi="Arial"/>
                <w:sz w:val="18"/>
                <w:szCs w:val="18"/>
                <w:color w:val="auto"/>
              </w:rPr>
              <w:t>28</w:t>
            </w:r>
          </w:p>
        </w:tc>
      </w:tr>
      <w:tr>
        <w:trPr>
          <w:trHeight w:val="228"/>
        </w:trPr>
        <w:tc>
          <w:tcPr>
            <w:tcW w:w="1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6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46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3"/>
              </w:rPr>
              <w:t>License Agreement dated as of October 7, 1992, between the Company and The Regents of the University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(f)*</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8"/>
              </w:rPr>
              <w:t>Research and Development Agreement dated as of June 2, 1994, between the Company and Sumitomo</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Pharmaceuticals Company, Ltd.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7"/>
              </w:rPr>
              <w:t>Manufacturing Agreement dated as of September 18, 1995, between the Company and Merck &amp; Co.,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Warrant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Rights Agreement, dated as of September 20, 1996, between Regeneron Pharmaceuticals, Inc. and Chase Mellon</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w w:val="98"/>
              </w:rPr>
              <w:t>Shareholder Services LLC, as Rights Agent, including the form of Rights Certificate as Exhibit B thereto.</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5"/>
              </w:rPr>
              <w:t>Stock Purchase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3"/>
              </w:rPr>
              <w:t>Securities Purchase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4"/>
              </w:rPr>
              <w:t>Warrant Agreement dated as of May 13, 1997, between the Company and The Procter &amp;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4"/>
              </w:rPr>
              <w:t>Registration Rights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(l)</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1"/>
              </w:rPr>
              <w:t>Employment Agreement, dated as of February 12, 1998 between the Company and Leonard S. Schleifer, M.D.,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(m)</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Indenture, dated as of October 17, 2001, between Regeneron Pharmaceuticals, Inc. and American Stock Transfer &amp;</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(m)</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Pledge Agreement, dated as of October 17, 2001, between Regeneron Pharmaceuticals, Inc. and American Stock</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Transfer &amp; 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(m)</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October 17, 2001, among Regeneron Pharmaceuticals, Inc., Merrill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6"/>
        </w:trPr>
        <w:tc>
          <w:tcPr>
            <w:tcW w:w="1380" w:type="dxa"/>
            <w:vAlign w:val="bottom"/>
          </w:tcPr>
          <w:p>
            <w:pPr>
              <w:ind w:left="58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Accountants.</w:t>
            </w:r>
          </w:p>
        </w:tc>
      </w:tr>
      <w:tr>
        <w:trPr>
          <w:trHeight w:val="216"/>
        </w:trPr>
        <w:tc>
          <w:tcPr>
            <w:tcW w:w="1380" w:type="dxa"/>
            <w:vAlign w:val="bottom"/>
          </w:tcPr>
          <w:p>
            <w:pPr>
              <w:ind w:left="58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222"/>
        </w:trPr>
        <w:tc>
          <w:tcPr>
            <w:tcW w:w="1380" w:type="dxa"/>
            <w:vAlign w:val="bottom"/>
          </w:tcPr>
          <w:p>
            <w:pPr>
              <w:ind w:left="5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Power of Attorney.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1992, filed March 30, 1993.</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1994, filed November 14, 1994.</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1996, filed August 14,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1996, filed March 26,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1997, filed August 12,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1997, filed March 26, 1998.</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60" w:hanging="307"/>
        <w:spacing w:after="0" w:line="268" w:lineRule="auto"/>
        <w:rPr>
          <w:rFonts w:ascii="Arial" w:cs="Arial" w:eastAsia="Arial" w:hAnsi="Arial"/>
          <w:sz w:val="18"/>
          <w:szCs w:val="18"/>
          <w:color w:val="auto"/>
        </w:rPr>
      </w:pPr>
      <w:r>
        <w:rPr>
          <w:rFonts w:ascii="Arial" w:cs="Arial" w:eastAsia="Arial" w:hAnsi="Arial"/>
          <w:sz w:val="18"/>
          <w:szCs w:val="18"/>
          <w:color w:val="auto"/>
        </w:rPr>
        <w:t>* 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320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Reports on Form 8-K</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Form 8-K: On October 12, 2001, we issued a press release announcing our intention to offer approximately $150 million of seven-year convertible senior subordinated notes in an offering pursuant to Rule 144A of the Securities Act of 1933.</w:t>
      </w:r>
    </w:p>
    <w:p>
      <w:pPr>
        <w:spacing w:after="0" w:line="213"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Form 8-K: On October 12, 2001, we issued a press release announcing that we entered into a purchase agreement providing for the sale of $200 million aggregate principal amount of convertible senior subordinated notes due 2008, reflecting an increase in the size of the offering from $150 million.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22, 2002</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 on behalf of the registrant in the capacities indicated on March 22, 2002.</w:t>
      </w:r>
    </w:p>
    <w:p>
      <w:pPr>
        <w:spacing w:after="0" w:line="39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Title</w:t>
      </w:r>
    </w:p>
    <w:p>
      <w:pPr>
        <w:spacing w:after="0" w:line="28"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-50800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3413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40" w:type="dxa"/>
            <w:vAlign w:val="bottom"/>
            <w:shd w:val="clear" w:color="auto" w:fill="EEEEEE"/>
          </w:tcPr>
          <w:p>
            <w:pPr>
              <w:spacing w:after="0"/>
              <w:rPr>
                <w:sz w:val="21"/>
                <w:szCs w:val="21"/>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92"/>
              </w:rPr>
              <w:t>/s/ LEONARD S. SCHLEIFER</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90"/>
              </w:rPr>
              <w:t>President, Chief Executive Officer, and Director (Principal Executive Officer)</w:t>
            </w:r>
          </w:p>
        </w:tc>
        <w:tc>
          <w:tcPr>
            <w:tcW w:w="0" w:type="dxa"/>
            <w:vAlign w:val="bottom"/>
          </w:tcPr>
          <w:p>
            <w:pPr>
              <w:spacing w:after="0"/>
              <w:rPr>
                <w:sz w:val="1"/>
                <w:szCs w:val="1"/>
                <w:color w:val="auto"/>
              </w:rPr>
            </w:pPr>
          </w:p>
        </w:tc>
      </w:tr>
      <w:tr>
        <w:trPr>
          <w:trHeight w:val="68"/>
        </w:trPr>
        <w:tc>
          <w:tcPr>
            <w:tcW w:w="1040" w:type="dxa"/>
            <w:vAlign w:val="bottom"/>
            <w:tcBorders>
              <w:bottom w:val="single" w:sz="8" w:color="808080"/>
            </w:tcBorders>
            <w:shd w:val="clear" w:color="auto" w:fill="EEEEEE"/>
          </w:tcPr>
          <w:p>
            <w:pPr>
              <w:spacing w:after="0"/>
              <w:rPr>
                <w:sz w:val="5"/>
                <w:szCs w:val="5"/>
                <w:color w:val="auto"/>
              </w:rPr>
            </w:pPr>
          </w:p>
        </w:tc>
        <w:tc>
          <w:tcPr>
            <w:tcW w:w="4340" w:type="dxa"/>
            <w:vAlign w:val="bottom"/>
            <w:tcBorders>
              <w:bottom w:val="single" w:sz="8" w:color="808080"/>
            </w:tcBorders>
            <w:shd w:val="clear" w:color="auto" w:fill="EEEEEE"/>
          </w:tcPr>
          <w:p>
            <w:pPr>
              <w:spacing w:after="0"/>
              <w:rPr>
                <w:sz w:val="5"/>
                <w:szCs w:val="5"/>
                <w:color w:val="auto"/>
              </w:rPr>
            </w:pPr>
          </w:p>
        </w:tc>
        <w:tc>
          <w:tcPr>
            <w:tcW w:w="6040" w:type="dxa"/>
            <w:vAlign w:val="bottom"/>
            <w:tcBorders>
              <w:bottom w:val="single" w:sz="8" w:color="EEEEEE"/>
            </w:tcBorders>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EEEEEE"/>
          </w:tcPr>
          <w:p>
            <w:pPr>
              <w:spacing w:after="0"/>
              <w:rPr>
                <w:sz w:val="24"/>
                <w:szCs w:val="24"/>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89"/>
              </w:rPr>
              <w:t>Leonard S. Schleifer, M.D., Ph.D.</w:t>
            </w:r>
          </w:p>
        </w:tc>
        <w:tc>
          <w:tcPr>
            <w:tcW w:w="604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40" w:type="dxa"/>
            <w:vAlign w:val="bottom"/>
          </w:tcPr>
          <w:p>
            <w:pPr>
              <w:jc w:val="center"/>
              <w:ind w:right="952"/>
              <w:spacing w:after="0"/>
              <w:rPr>
                <w:sz w:val="20"/>
                <w:szCs w:val="20"/>
                <w:color w:val="auto"/>
              </w:rPr>
            </w:pPr>
            <w:r>
              <w:rPr>
                <w:rFonts w:ascii="Arial" w:cs="Arial" w:eastAsia="Arial" w:hAnsi="Arial"/>
                <w:sz w:val="18"/>
                <w:szCs w:val="18"/>
                <w:color w:val="auto"/>
                <w:w w:val="94"/>
              </w:rPr>
              <w:t>/s/ MURRAY A. GOLDBERG</w:t>
            </w: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103"/>
        </w:trPr>
        <w:tc>
          <w:tcPr>
            <w:tcW w:w="104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6040" w:type="dxa"/>
            <w:vAlign w:val="bottom"/>
            <w:vMerge w:val="restart"/>
          </w:tcPr>
          <w:p>
            <w:pPr>
              <w:jc w:val="center"/>
              <w:ind w:left="252"/>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00"/>
        </w:trPr>
        <w:tc>
          <w:tcPr>
            <w:tcW w:w="1040" w:type="dxa"/>
            <w:vAlign w:val="bottom"/>
          </w:tcPr>
          <w:p>
            <w:pPr>
              <w:spacing w:after="0"/>
              <w:rPr>
                <w:sz w:val="8"/>
                <w:szCs w:val="8"/>
                <w:color w:val="auto"/>
              </w:rPr>
            </w:pPr>
          </w:p>
        </w:tc>
        <w:tc>
          <w:tcPr>
            <w:tcW w:w="4340" w:type="dxa"/>
            <w:vAlign w:val="bottom"/>
            <w:vMerge w:val="restart"/>
          </w:tcPr>
          <w:p>
            <w:pPr>
              <w:jc w:val="center"/>
              <w:ind w:right="932"/>
              <w:spacing w:after="0"/>
              <w:rPr>
                <w:sz w:val="20"/>
                <w:szCs w:val="20"/>
                <w:color w:val="auto"/>
              </w:rPr>
            </w:pPr>
            <w:r>
              <w:rPr>
                <w:rFonts w:ascii="Arial" w:cs="Arial" w:eastAsia="Arial" w:hAnsi="Arial"/>
                <w:sz w:val="18"/>
                <w:szCs w:val="18"/>
                <w:color w:val="auto"/>
                <w:w w:val="91"/>
              </w:rPr>
              <w:t>Murray A. Goldberg</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6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93"/>
              </w:rPr>
              <w:t>/s/ DOUGLAS S. MCCORKLE</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103"/>
        </w:trPr>
        <w:tc>
          <w:tcPr>
            <w:tcW w:w="1040" w:type="dxa"/>
            <w:vAlign w:val="bottom"/>
            <w:tcBorders>
              <w:bottom w:val="single" w:sz="8" w:color="808080"/>
            </w:tcBorders>
            <w:shd w:val="clear" w:color="auto" w:fill="EEEEEE"/>
          </w:tcPr>
          <w:p>
            <w:pPr>
              <w:spacing w:after="0"/>
              <w:rPr>
                <w:sz w:val="8"/>
                <w:szCs w:val="8"/>
                <w:color w:val="auto"/>
              </w:rPr>
            </w:pPr>
          </w:p>
        </w:tc>
        <w:tc>
          <w:tcPr>
            <w:tcW w:w="4340" w:type="dxa"/>
            <w:vAlign w:val="bottom"/>
            <w:tcBorders>
              <w:bottom w:val="single" w:sz="8" w:color="808080"/>
            </w:tcBorders>
            <w:shd w:val="clear" w:color="auto" w:fill="EEEEEE"/>
          </w:tcPr>
          <w:p>
            <w:pPr>
              <w:spacing w:after="0"/>
              <w:rPr>
                <w:sz w:val="8"/>
                <w:szCs w:val="8"/>
                <w:color w:val="auto"/>
              </w:rPr>
            </w:pPr>
          </w:p>
        </w:tc>
        <w:tc>
          <w:tcPr>
            <w:tcW w:w="6040" w:type="dxa"/>
            <w:vAlign w:val="bottom"/>
            <w:tcBorders>
              <w:bottom w:val="single" w:sz="8" w:color="EEEEEE"/>
            </w:tcBorders>
            <w:vMerge w:val="restart"/>
            <w:shd w:val="clear" w:color="auto" w:fill="EEEEEE"/>
          </w:tcPr>
          <w:p>
            <w:pPr>
              <w:jc w:val="center"/>
              <w:ind w:left="252"/>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00"/>
        </w:trPr>
        <w:tc>
          <w:tcPr>
            <w:tcW w:w="1040" w:type="dxa"/>
            <w:vAlign w:val="bottom"/>
            <w:shd w:val="clear" w:color="auto" w:fill="EEEEEE"/>
          </w:tcPr>
          <w:p>
            <w:pPr>
              <w:spacing w:after="0"/>
              <w:rPr>
                <w:sz w:val="8"/>
                <w:szCs w:val="8"/>
                <w:color w:val="auto"/>
              </w:rPr>
            </w:pPr>
          </w:p>
        </w:tc>
        <w:tc>
          <w:tcPr>
            <w:tcW w:w="4340" w:type="dxa"/>
            <w:vAlign w:val="bottom"/>
            <w:vMerge w:val="restart"/>
            <w:shd w:val="clear" w:color="auto" w:fill="EEEEEE"/>
          </w:tcPr>
          <w:p>
            <w:pPr>
              <w:jc w:val="center"/>
              <w:ind w:right="932"/>
              <w:spacing w:after="0"/>
              <w:rPr>
                <w:sz w:val="20"/>
                <w:szCs w:val="20"/>
                <w:color w:val="auto"/>
              </w:rPr>
            </w:pPr>
            <w:r>
              <w:rPr>
                <w:rFonts w:ascii="Arial" w:cs="Arial" w:eastAsia="Arial" w:hAnsi="Arial"/>
                <w:sz w:val="18"/>
                <w:szCs w:val="18"/>
                <w:color w:val="auto"/>
                <w:w w:val="89"/>
              </w:rPr>
              <w:t>Douglas S. McCorkle</w:t>
            </w:r>
          </w:p>
        </w:tc>
        <w:tc>
          <w:tcPr>
            <w:tcW w:w="6040" w:type="dxa"/>
            <w:vAlign w:val="bottom"/>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EEEEEE"/>
          </w:tcPr>
          <w:p>
            <w:pPr>
              <w:spacing w:after="0"/>
              <w:rPr>
                <w:sz w:val="16"/>
                <w:szCs w:val="16"/>
                <w:color w:val="auto"/>
              </w:rPr>
            </w:pPr>
          </w:p>
        </w:tc>
        <w:tc>
          <w:tcPr>
            <w:tcW w:w="4340" w:type="dxa"/>
            <w:vAlign w:val="bottom"/>
            <w:vMerge w:val="continue"/>
            <w:shd w:val="clear" w:color="auto" w:fill="EEEEEE"/>
          </w:tcPr>
          <w:p>
            <w:pPr>
              <w:spacing w:after="0"/>
              <w:rPr>
                <w:sz w:val="16"/>
                <w:szCs w:val="16"/>
                <w:color w:val="auto"/>
              </w:rPr>
            </w:pPr>
          </w:p>
        </w:tc>
        <w:tc>
          <w:tcPr>
            <w:tcW w:w="60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40" w:type="dxa"/>
            <w:vAlign w:val="bottom"/>
          </w:tcPr>
          <w:p>
            <w:pPr>
              <w:jc w:val="center"/>
              <w:ind w:right="952"/>
              <w:spacing w:after="0"/>
              <w:rPr>
                <w:sz w:val="20"/>
                <w:szCs w:val="20"/>
                <w:color w:val="auto"/>
              </w:rPr>
            </w:pPr>
            <w:r>
              <w:rPr>
                <w:rFonts w:ascii="Arial" w:cs="Arial" w:eastAsia="Arial" w:hAnsi="Arial"/>
                <w:sz w:val="18"/>
                <w:szCs w:val="18"/>
                <w:color w:val="auto"/>
                <w:w w:val="91"/>
              </w:rPr>
              <w:t>/s/ GEORGE D. YANCOPOULOS</w:t>
            </w: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89"/>
              </w:rPr>
              <w:t>Executive Vice President, Chief Scientific Officer, President, Regeneron</w:t>
            </w:r>
          </w:p>
        </w:tc>
        <w:tc>
          <w:tcPr>
            <w:tcW w:w="0" w:type="dxa"/>
            <w:vAlign w:val="bottom"/>
          </w:tcPr>
          <w:p>
            <w:pPr>
              <w:spacing w:after="0"/>
              <w:rPr>
                <w:sz w:val="1"/>
                <w:szCs w:val="1"/>
                <w:color w:val="auto"/>
              </w:rPr>
            </w:pPr>
          </w:p>
        </w:tc>
      </w:tr>
      <w:tr>
        <w:trPr>
          <w:trHeight w:val="103"/>
        </w:trPr>
        <w:tc>
          <w:tcPr>
            <w:tcW w:w="104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6040" w:type="dxa"/>
            <w:vAlign w:val="bottom"/>
            <w:vMerge w:val="restart"/>
          </w:tcPr>
          <w:p>
            <w:pPr>
              <w:jc w:val="center"/>
              <w:ind w:left="252"/>
              <w:spacing w:after="0"/>
              <w:rPr>
                <w:sz w:val="20"/>
                <w:szCs w:val="20"/>
                <w:color w:val="auto"/>
              </w:rPr>
            </w:pPr>
            <w:r>
              <w:rPr>
                <w:rFonts w:ascii="Arial" w:cs="Arial" w:eastAsia="Arial" w:hAnsi="Arial"/>
                <w:sz w:val="18"/>
                <w:szCs w:val="18"/>
                <w:color w:val="auto"/>
                <w:w w:val="86"/>
              </w:rPr>
              <w:t>Research Laboratories,</w:t>
            </w:r>
          </w:p>
        </w:tc>
        <w:tc>
          <w:tcPr>
            <w:tcW w:w="0" w:type="dxa"/>
            <w:vAlign w:val="bottom"/>
          </w:tcPr>
          <w:p>
            <w:pPr>
              <w:spacing w:after="0"/>
              <w:rPr>
                <w:sz w:val="1"/>
                <w:szCs w:val="1"/>
                <w:color w:val="auto"/>
              </w:rPr>
            </w:pPr>
          </w:p>
        </w:tc>
      </w:tr>
      <w:tr>
        <w:trPr>
          <w:trHeight w:val="93"/>
        </w:trPr>
        <w:tc>
          <w:tcPr>
            <w:tcW w:w="1040" w:type="dxa"/>
            <w:vAlign w:val="bottom"/>
          </w:tcPr>
          <w:p>
            <w:pPr>
              <w:spacing w:after="0"/>
              <w:rPr>
                <w:sz w:val="8"/>
                <w:szCs w:val="8"/>
                <w:color w:val="auto"/>
              </w:rPr>
            </w:pPr>
          </w:p>
        </w:tc>
        <w:tc>
          <w:tcPr>
            <w:tcW w:w="4340" w:type="dxa"/>
            <w:vAlign w:val="bottom"/>
            <w:vMerge w:val="restart"/>
          </w:tcPr>
          <w:p>
            <w:pPr>
              <w:jc w:val="center"/>
              <w:ind w:right="952"/>
              <w:spacing w:after="0"/>
              <w:rPr>
                <w:sz w:val="20"/>
                <w:szCs w:val="20"/>
                <w:color w:val="auto"/>
              </w:rPr>
            </w:pPr>
            <w:r>
              <w:rPr>
                <w:rFonts w:ascii="Arial" w:cs="Arial" w:eastAsia="Arial" w:hAnsi="Arial"/>
                <w:sz w:val="18"/>
                <w:szCs w:val="18"/>
                <w:color w:val="auto"/>
                <w:w w:val="88"/>
              </w:rPr>
              <w:t>George D. Yancopoulos, M.D., Ph.D.</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shd w:val="clear" w:color="auto" w:fill="EEEEEE"/>
          </w:tcPr>
          <w:p>
            <w:pPr>
              <w:spacing w:after="0"/>
              <w:rPr>
                <w:sz w:val="19"/>
                <w:szCs w:val="19"/>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89"/>
              </w:rPr>
              <w:t>/s/ P. ROY VAGELOS</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shd w:val="clear" w:color="auto" w:fill="EEEEEE"/>
          </w:tcPr>
          <w:p>
            <w:pPr>
              <w:spacing w:after="0"/>
              <w:rPr>
                <w:sz w:val="7"/>
                <w:szCs w:val="7"/>
                <w:color w:val="auto"/>
              </w:rPr>
            </w:pPr>
          </w:p>
        </w:tc>
        <w:tc>
          <w:tcPr>
            <w:tcW w:w="4340" w:type="dxa"/>
            <w:vAlign w:val="bottom"/>
            <w:tcBorders>
              <w:bottom w:val="single" w:sz="8" w:color="808080"/>
            </w:tcBorders>
            <w:shd w:val="clear" w:color="auto" w:fill="EEEEEE"/>
          </w:tcPr>
          <w:p>
            <w:pPr>
              <w:spacing w:after="0"/>
              <w:rPr>
                <w:sz w:val="7"/>
                <w:szCs w:val="7"/>
                <w:color w:val="auto"/>
              </w:rPr>
            </w:pPr>
          </w:p>
        </w:tc>
        <w:tc>
          <w:tcPr>
            <w:tcW w:w="604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EEEEEE"/>
          </w:tcPr>
          <w:p>
            <w:pPr>
              <w:spacing w:after="0"/>
              <w:rPr>
                <w:sz w:val="24"/>
                <w:szCs w:val="24"/>
                <w:color w:val="auto"/>
              </w:rPr>
            </w:pPr>
          </w:p>
        </w:tc>
        <w:tc>
          <w:tcPr>
            <w:tcW w:w="4340" w:type="dxa"/>
            <w:vAlign w:val="bottom"/>
            <w:shd w:val="clear" w:color="auto" w:fill="EEEEEE"/>
          </w:tcPr>
          <w:p>
            <w:pPr>
              <w:jc w:val="center"/>
              <w:ind w:right="932"/>
              <w:spacing w:after="0"/>
              <w:rPr>
                <w:sz w:val="20"/>
                <w:szCs w:val="20"/>
                <w:color w:val="auto"/>
              </w:rPr>
            </w:pPr>
            <w:r>
              <w:rPr>
                <w:rFonts w:ascii="Arial" w:cs="Arial" w:eastAsia="Arial" w:hAnsi="Arial"/>
                <w:sz w:val="18"/>
                <w:szCs w:val="18"/>
                <w:color w:val="auto"/>
                <w:w w:val="88"/>
              </w:rPr>
              <w:t>P. Roy Vagelos, M.D.</w:t>
            </w:r>
          </w:p>
        </w:tc>
        <w:tc>
          <w:tcPr>
            <w:tcW w:w="604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tcPr>
          <w:p>
            <w:pPr>
              <w:spacing w:after="0"/>
              <w:rPr>
                <w:sz w:val="7"/>
                <w:szCs w:val="7"/>
                <w:color w:val="auto"/>
              </w:rPr>
            </w:pPr>
          </w:p>
        </w:tc>
        <w:tc>
          <w:tcPr>
            <w:tcW w:w="4340" w:type="dxa"/>
            <w:vAlign w:val="bottom"/>
            <w:tcBorders>
              <w:bottom w:val="single" w:sz="8" w:color="808080"/>
            </w:tcBorders>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tcPr>
          <w:p>
            <w:pPr>
              <w:spacing w:after="0"/>
              <w:rPr>
                <w:sz w:val="24"/>
                <w:szCs w:val="24"/>
                <w:color w:val="auto"/>
              </w:rPr>
            </w:pPr>
          </w:p>
        </w:tc>
        <w:tc>
          <w:tcPr>
            <w:tcW w:w="4340" w:type="dxa"/>
            <w:vAlign w:val="bottom"/>
          </w:tcPr>
          <w:p>
            <w:pPr>
              <w:jc w:val="center"/>
              <w:ind w:right="952"/>
              <w:spacing w:after="0"/>
              <w:rPr>
                <w:sz w:val="20"/>
                <w:szCs w:val="20"/>
                <w:color w:val="auto"/>
              </w:rPr>
            </w:pPr>
            <w:r>
              <w:rPr>
                <w:rFonts w:ascii="Arial" w:cs="Arial" w:eastAsia="Arial" w:hAnsi="Arial"/>
                <w:sz w:val="18"/>
                <w:szCs w:val="18"/>
                <w:color w:val="auto"/>
                <w:w w:val="89"/>
              </w:rPr>
              <w:t>Charles A. Baker</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rPr>
              <w:t>*</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shd w:val="clear" w:color="auto" w:fill="EEEEEE"/>
          </w:tcPr>
          <w:p>
            <w:pPr>
              <w:spacing w:after="0"/>
              <w:rPr>
                <w:sz w:val="7"/>
                <w:szCs w:val="7"/>
                <w:color w:val="auto"/>
              </w:rPr>
            </w:pPr>
          </w:p>
        </w:tc>
        <w:tc>
          <w:tcPr>
            <w:tcW w:w="4340" w:type="dxa"/>
            <w:vAlign w:val="bottom"/>
            <w:tcBorders>
              <w:bottom w:val="single" w:sz="8" w:color="808080"/>
            </w:tcBorders>
            <w:shd w:val="clear" w:color="auto" w:fill="EEEEEE"/>
          </w:tcPr>
          <w:p>
            <w:pPr>
              <w:spacing w:after="0"/>
              <w:rPr>
                <w:sz w:val="7"/>
                <w:szCs w:val="7"/>
                <w:color w:val="auto"/>
              </w:rPr>
            </w:pPr>
          </w:p>
        </w:tc>
        <w:tc>
          <w:tcPr>
            <w:tcW w:w="604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EEEEEE"/>
          </w:tcPr>
          <w:p>
            <w:pPr>
              <w:spacing w:after="0"/>
              <w:rPr>
                <w:sz w:val="24"/>
                <w:szCs w:val="24"/>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92"/>
              </w:rPr>
              <w:t>Michael S. Brown, M.D.</w:t>
            </w:r>
          </w:p>
        </w:tc>
        <w:tc>
          <w:tcPr>
            <w:tcW w:w="604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tcPr>
          <w:p>
            <w:pPr>
              <w:spacing w:after="0"/>
              <w:rPr>
                <w:sz w:val="7"/>
                <w:szCs w:val="7"/>
                <w:color w:val="auto"/>
              </w:rPr>
            </w:pPr>
          </w:p>
        </w:tc>
        <w:tc>
          <w:tcPr>
            <w:tcW w:w="4340" w:type="dxa"/>
            <w:vAlign w:val="bottom"/>
            <w:tcBorders>
              <w:bottom w:val="single" w:sz="8" w:color="808080"/>
            </w:tcBorders>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tcPr>
          <w:p>
            <w:pPr>
              <w:spacing w:after="0"/>
              <w:rPr>
                <w:sz w:val="24"/>
                <w:szCs w:val="24"/>
                <w:color w:val="auto"/>
              </w:rPr>
            </w:pPr>
          </w:p>
        </w:tc>
        <w:tc>
          <w:tcPr>
            <w:tcW w:w="4340" w:type="dxa"/>
            <w:vAlign w:val="bottom"/>
          </w:tcPr>
          <w:p>
            <w:pPr>
              <w:jc w:val="center"/>
              <w:ind w:right="932"/>
              <w:spacing w:after="0"/>
              <w:rPr>
                <w:sz w:val="20"/>
                <w:szCs w:val="20"/>
                <w:color w:val="auto"/>
              </w:rPr>
            </w:pPr>
            <w:r>
              <w:rPr>
                <w:rFonts w:ascii="Arial" w:cs="Arial" w:eastAsia="Arial" w:hAnsi="Arial"/>
                <w:sz w:val="18"/>
                <w:szCs w:val="18"/>
                <w:color w:val="auto"/>
                <w:w w:val="93"/>
              </w:rPr>
              <w:t>Alfred G. Gilman, M.D., Ph.D.</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rPr>
              <w:t>*</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shd w:val="clear" w:color="auto" w:fill="EEEEEE"/>
          </w:tcPr>
          <w:p>
            <w:pPr>
              <w:spacing w:after="0"/>
              <w:rPr>
                <w:sz w:val="7"/>
                <w:szCs w:val="7"/>
                <w:color w:val="auto"/>
              </w:rPr>
            </w:pPr>
          </w:p>
        </w:tc>
        <w:tc>
          <w:tcPr>
            <w:tcW w:w="4340" w:type="dxa"/>
            <w:vAlign w:val="bottom"/>
            <w:tcBorders>
              <w:bottom w:val="single" w:sz="8" w:color="808080"/>
            </w:tcBorders>
            <w:shd w:val="clear" w:color="auto" w:fill="EEEEEE"/>
          </w:tcPr>
          <w:p>
            <w:pPr>
              <w:spacing w:after="0"/>
              <w:rPr>
                <w:sz w:val="7"/>
                <w:szCs w:val="7"/>
                <w:color w:val="auto"/>
              </w:rPr>
            </w:pPr>
          </w:p>
        </w:tc>
        <w:tc>
          <w:tcPr>
            <w:tcW w:w="604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EEEEEE"/>
          </w:tcPr>
          <w:p>
            <w:pPr>
              <w:spacing w:after="0"/>
              <w:rPr>
                <w:sz w:val="24"/>
                <w:szCs w:val="24"/>
                <w:color w:val="auto"/>
              </w:rPr>
            </w:pPr>
          </w:p>
        </w:tc>
        <w:tc>
          <w:tcPr>
            <w:tcW w:w="4340" w:type="dxa"/>
            <w:vAlign w:val="bottom"/>
            <w:shd w:val="clear" w:color="auto" w:fill="EEEEEE"/>
          </w:tcPr>
          <w:p>
            <w:pPr>
              <w:jc w:val="center"/>
              <w:ind w:right="952"/>
              <w:spacing w:after="0"/>
              <w:rPr>
                <w:sz w:val="20"/>
                <w:szCs w:val="20"/>
                <w:color w:val="auto"/>
              </w:rPr>
            </w:pPr>
            <w:r>
              <w:rPr>
                <w:rFonts w:ascii="Arial" w:cs="Arial" w:eastAsia="Arial" w:hAnsi="Arial"/>
                <w:sz w:val="18"/>
                <w:szCs w:val="18"/>
                <w:color w:val="auto"/>
                <w:w w:val="89"/>
              </w:rPr>
              <w:t>Joseph L. Goldstein, M.D.</w:t>
            </w:r>
          </w:p>
        </w:tc>
        <w:tc>
          <w:tcPr>
            <w:tcW w:w="604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040" w:type="dxa"/>
            <w:vAlign w:val="bottom"/>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tcPr>
          <w:p>
            <w:pPr>
              <w:spacing w:after="0"/>
              <w:rPr>
                <w:sz w:val="7"/>
                <w:szCs w:val="7"/>
                <w:color w:val="auto"/>
              </w:rPr>
            </w:pPr>
          </w:p>
        </w:tc>
        <w:tc>
          <w:tcPr>
            <w:tcW w:w="4340" w:type="dxa"/>
            <w:vAlign w:val="bottom"/>
            <w:tcBorders>
              <w:bottom w:val="single" w:sz="8" w:color="808080"/>
            </w:tcBorders>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tcPr>
          <w:p>
            <w:pPr>
              <w:spacing w:after="0"/>
              <w:rPr>
                <w:sz w:val="24"/>
                <w:szCs w:val="24"/>
                <w:color w:val="auto"/>
              </w:rPr>
            </w:pPr>
          </w:p>
        </w:tc>
        <w:tc>
          <w:tcPr>
            <w:tcW w:w="4340" w:type="dxa"/>
            <w:vAlign w:val="bottom"/>
          </w:tcPr>
          <w:p>
            <w:pPr>
              <w:jc w:val="center"/>
              <w:ind w:right="932"/>
              <w:spacing w:after="0"/>
              <w:rPr>
                <w:sz w:val="20"/>
                <w:szCs w:val="20"/>
                <w:color w:val="auto"/>
              </w:rPr>
            </w:pPr>
            <w:r>
              <w:rPr>
                <w:rFonts w:ascii="Arial" w:cs="Arial" w:eastAsia="Arial" w:hAnsi="Arial"/>
                <w:sz w:val="18"/>
                <w:szCs w:val="18"/>
                <w:color w:val="auto"/>
                <w:w w:val="89"/>
              </w:rPr>
              <w:t>Eric M. Shooter, Ph.D.</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rPr>
              <w:t>*</w:t>
            </w:r>
          </w:p>
        </w:tc>
        <w:tc>
          <w:tcPr>
            <w:tcW w:w="6040" w:type="dxa"/>
            <w:vAlign w:val="bottom"/>
            <w:shd w:val="clear" w:color="auto" w:fill="EEEEEE"/>
          </w:tcPr>
          <w:p>
            <w:pPr>
              <w:jc w:val="center"/>
              <w:ind w:left="2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1040" w:type="dxa"/>
            <w:vAlign w:val="bottom"/>
            <w:tcBorders>
              <w:bottom w:val="single" w:sz="8" w:color="808080"/>
            </w:tcBorders>
            <w:shd w:val="clear" w:color="auto" w:fill="EEEEEE"/>
          </w:tcPr>
          <w:p>
            <w:pPr>
              <w:spacing w:after="0"/>
              <w:rPr>
                <w:sz w:val="7"/>
                <w:szCs w:val="7"/>
                <w:color w:val="auto"/>
              </w:rPr>
            </w:pPr>
          </w:p>
        </w:tc>
        <w:tc>
          <w:tcPr>
            <w:tcW w:w="4340" w:type="dxa"/>
            <w:vAlign w:val="bottom"/>
            <w:tcBorders>
              <w:bottom w:val="single" w:sz="8" w:color="808080"/>
            </w:tcBorders>
            <w:shd w:val="clear" w:color="auto" w:fill="EEEEEE"/>
          </w:tcPr>
          <w:p>
            <w:pPr>
              <w:spacing w:after="0"/>
              <w:rPr>
                <w:sz w:val="7"/>
                <w:szCs w:val="7"/>
                <w:color w:val="auto"/>
              </w:rPr>
            </w:pPr>
          </w:p>
        </w:tc>
        <w:tc>
          <w:tcPr>
            <w:tcW w:w="604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40" w:type="dxa"/>
            <w:vAlign w:val="bottom"/>
            <w:shd w:val="clear" w:color="auto" w:fill="EEEEEE"/>
          </w:tcPr>
          <w:p>
            <w:pPr>
              <w:spacing w:after="0"/>
              <w:rPr>
                <w:sz w:val="24"/>
                <w:szCs w:val="24"/>
                <w:color w:val="auto"/>
              </w:rPr>
            </w:pPr>
          </w:p>
        </w:tc>
        <w:tc>
          <w:tcPr>
            <w:tcW w:w="4340" w:type="dxa"/>
            <w:vAlign w:val="bottom"/>
            <w:shd w:val="clear" w:color="auto" w:fill="EEEEEE"/>
          </w:tcPr>
          <w:p>
            <w:pPr>
              <w:jc w:val="center"/>
              <w:ind w:right="932"/>
              <w:spacing w:after="0"/>
              <w:rPr>
                <w:sz w:val="20"/>
                <w:szCs w:val="20"/>
                <w:color w:val="auto"/>
              </w:rPr>
            </w:pPr>
            <w:r>
              <w:rPr>
                <w:rFonts w:ascii="Arial" w:cs="Arial" w:eastAsia="Arial" w:hAnsi="Arial"/>
                <w:sz w:val="18"/>
                <w:szCs w:val="18"/>
                <w:color w:val="auto"/>
                <w:w w:val="89"/>
              </w:rPr>
              <w:t>George L. Sing</w:t>
            </w:r>
          </w:p>
        </w:tc>
        <w:tc>
          <w:tcPr>
            <w:tcW w:w="604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4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6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6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Stuart A. Kolinski, Esq.</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(Attorney-in-Fact)</w:t>
            </w:r>
          </w:p>
        </w:tc>
        <w:tc>
          <w:tcPr>
            <w:tcW w:w="6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Numbers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REGENERON PHARMACEUTICALS, INC.</w:t>
            </w:r>
          </w:p>
        </w:tc>
        <w:tc>
          <w:tcPr>
            <w:tcW w:w="17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Report of Independent Accountants</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F- 2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Balance Sheets at December 31, 2001 and 2000</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w w:val="92"/>
              </w:rPr>
              <w:t>Statements of Operations for the years ended December 31, 2001,</w:t>
            </w: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2000, and 1999</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F- 4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Statements of Stockholders’ Equity for the years ended</w:t>
            </w:r>
          </w:p>
        </w:tc>
        <w:tc>
          <w:tcPr>
            <w:tcW w:w="17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December 31, 2001, 2000, and 1999</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F-5 to F-6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w w:val="91"/>
              </w:rPr>
              <w:t>Statements of Cash Flows for the years ended December 31, 2001,</w:t>
            </w: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2000, and 1999</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F- 7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Notes to Financial Statements</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F-8 to F-28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50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AMGEN-REGENERON PARTNERS</w:t>
            </w: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Report of Ernst &amp; Young LLP, Independent Auditors</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Balance Sheets at December 31, 2001 and 2000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F- 30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2"/>
              </w:rPr>
              <w:t>Statements of Operations for the years ended December 31, 2001,</w:t>
            </w:r>
          </w:p>
        </w:tc>
        <w:tc>
          <w:tcPr>
            <w:tcW w:w="17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2000, and 1999</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w w:val="94"/>
              </w:rPr>
              <w:t>Statements of Changes in Partners’ Capital (Deficit) for the years</w:t>
            </w: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ended December 31, 2001, 2000, and 1999</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F- 32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08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Statements of Cash Flows for the years ended December 31, 2001,</w:t>
            </w:r>
          </w:p>
        </w:tc>
        <w:tc>
          <w:tcPr>
            <w:tcW w:w="17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2000, and 1999</w:t>
            </w: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F- 33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Notes to Financial Statements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F-34 to F-35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5080" w:type="dxa"/>
            <w:vAlign w:val="bottom"/>
          </w:tcPr>
          <w:p>
            <w:pPr>
              <w:ind w:left="3300"/>
              <w:spacing w:after="0"/>
              <w:rPr>
                <w:sz w:val="20"/>
                <w:szCs w:val="20"/>
                <w:color w:val="auto"/>
              </w:rPr>
            </w:pPr>
            <w:r>
              <w:rPr>
                <w:rFonts w:ascii="Arial" w:cs="Arial" w:eastAsia="Arial" w:hAnsi="Arial"/>
                <w:sz w:val="18"/>
                <w:szCs w:val="18"/>
                <w:color w:val="auto"/>
              </w:rPr>
              <w:t>F-1</w:t>
            </w:r>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2001 and 2000, and the results of its operations and its cash flows for each of the three years in the period ended December 31, 2001, in conformity with accounting principles generally accepted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2001 and 2000 and for each of the three years in the period ended December 31, 2001. The Company’s investment in the Partnership is accounted for in accordance with the equity method of accounting. At December 31, 2001 and 2000, its investment constitutes less than one percent of the Company’s assets. For the years ended December 31, 2001, 2000 and 1999, the Company recorded its pro rata share of the Partnership’s net loss of approximately $1.0 million, $4.6 million, and $4.2 million, respectively.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00" w:lineRule="exact"/>
        <w:rPr>
          <w:sz w:val="20"/>
          <w:szCs w:val="20"/>
          <w:color w:val="auto"/>
        </w:rPr>
      </w:pPr>
    </w:p>
    <w:p>
      <w:pPr>
        <w:spacing w:after="0" w:line="216"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As discussed in Note 2 to the financial statements, during the year ended December 31, 2000, the Company changed its method of accounting for revenue recognition.</w:t>
      </w:r>
    </w:p>
    <w:p>
      <w:pPr>
        <w:spacing w:after="0" w:line="18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2001 and 2000</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247,393</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126,796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86,634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10,890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Receivable due from The Procter &amp; Gamble Company</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Receivable due from Merck &amp; Co., Inc.</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Receivable due from Amgen-Regeneron Partners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Receivable due from Sumitomo Pharmaceuticals Company, Ltd.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3,973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394,186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134,142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32,420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36,758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Investment in Amgen-Regeneron Partners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39,448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7,538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208,274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14,830</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 lease obligations, current portion</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Note payable, current portion</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22,022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13,786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issued and outstanding — none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Class A Stock, convertible, $.001 par value; 40,000,000 shares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2,562,689 shares issued and outstanding in 2001</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2,612,845 shares issued and outstanding in 2000</w:t>
            </w: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Common Stock, $.001 par value; 160,000,000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41,264,280 shares issued and outstanding in 2001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34,197,104 shares issued and outstanding in 2000</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567,624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406,391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36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rPr>
              <w:t>(2,789)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w w:val="85"/>
              </w:rPr>
              <w:t>(299,698)</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(223,518)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266,355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182,130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208,274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61"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2001, 2000, and 1999</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1999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7"/>
          </w:tcPr>
          <w:p>
            <w:pPr>
              <w:ind w:left="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12,071</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36,478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24,539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progress payments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16,598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21,973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59,276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34,499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91,540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60,559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48,291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15,566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9,607</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8,427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107,656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84,552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58,333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2"/>
              </w:rPr>
              <w:t>(85,683)</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(25,276)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(23,834)</w:t>
            </w: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13,162</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Loss in Amgen-Regeneron Partners</w:t>
            </w:r>
          </w:p>
        </w:tc>
        <w:tc>
          <w:tcPr>
            <w:tcW w:w="4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(2,657)</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2"/>
              </w:rPr>
              <w:t>(76,180)</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(21,652)</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Cumulative effect of adopting Staff Accounting Bulletin 101 (“SAB 101”)</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2"/>
              </w:rPr>
              <w:t>(76,180)</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(23,215)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105"/>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amounts, basic and diluted:</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9"/>
              </w:rPr>
              <w:t>Net loss before cumulative effect of a change in accounting principle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(1.81)</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Cumulative effect of adopting SAB 101</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(1.81)</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(0.66)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05"/>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Pro forma amounts assuming SAB 101 is applied retroactively:</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(22,699)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2001, 2000, and 1999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vMerge w:val="restart"/>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140" w:type="dxa"/>
            <w:vAlign w:val="bottom"/>
            <w:vMerge w:val="restart"/>
          </w:tcPr>
          <w:p>
            <w:pPr>
              <w:spacing w:after="0"/>
              <w:rPr>
                <w:sz w:val="8"/>
                <w:szCs w:val="8"/>
                <w:color w:val="auto"/>
              </w:rPr>
            </w:pP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4"/>
              </w:rPr>
              <w:t>Balance, December 31, 1998</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3,631</w:t>
            </w:r>
          </w:p>
        </w:tc>
        <w:tc>
          <w:tcPr>
            <w:tcW w:w="80" w:type="dxa"/>
            <w:vAlign w:val="bottom"/>
            <w:shd w:val="clear" w:color="auto" w:fill="EEEEEE"/>
          </w:tcPr>
          <w:p>
            <w:pPr>
              <w:spacing w:after="0"/>
              <w:rPr>
                <w:sz w:val="12"/>
                <w:szCs w:val="12"/>
                <w:color w:val="auto"/>
              </w:rPr>
            </w:pPr>
          </w:p>
        </w:tc>
        <w:tc>
          <w:tcPr>
            <w:tcW w:w="36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27,387</w:t>
            </w:r>
          </w:p>
        </w:tc>
        <w:tc>
          <w:tcPr>
            <w:tcW w:w="80" w:type="dxa"/>
            <w:vAlign w:val="bottom"/>
            <w:shd w:val="clear" w:color="auto" w:fill="EEEEEE"/>
          </w:tcPr>
          <w:p>
            <w:pPr>
              <w:spacing w:after="0"/>
              <w:rPr>
                <w:sz w:val="12"/>
                <w:szCs w:val="12"/>
                <w:color w:val="auto"/>
              </w:rPr>
            </w:pPr>
          </w:p>
        </w:tc>
        <w:tc>
          <w:tcPr>
            <w:tcW w:w="34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$308,561</w:t>
            </w:r>
          </w:p>
        </w:tc>
        <w:tc>
          <w:tcPr>
            <w:tcW w:w="140" w:type="dxa"/>
            <w:vAlign w:val="bottom"/>
            <w:shd w:val="clear" w:color="auto" w:fill="EEEEEE"/>
          </w:tcPr>
          <w:p>
            <w:pPr>
              <w:spacing w:after="0"/>
              <w:rPr>
                <w:sz w:val="12"/>
                <w:szCs w:val="12"/>
                <w:color w:val="auto"/>
              </w:rPr>
            </w:pPr>
          </w:p>
        </w:tc>
        <w:tc>
          <w:tcPr>
            <w:tcW w:w="116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  (360)</w:t>
            </w: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$(177,233)</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228</w:t>
            </w:r>
          </w:p>
        </w:tc>
        <w:tc>
          <w:tcPr>
            <w:tcW w:w="2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$131,227</w:t>
            </w: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8"/>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stock options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367</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1,427</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1,428</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Class A Stock</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to 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 1999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(23,070)</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(23,070)</w:t>
            </w:r>
          </w:p>
        </w:tc>
        <w:tc>
          <w:tcPr>
            <w:tcW w:w="132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$(23,070)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securities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58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w w:val="97"/>
              </w:rPr>
              <w:t>(721)</w:t>
            </w:r>
          </w:p>
        </w:tc>
        <w:tc>
          <w:tcPr>
            <w:tcW w:w="12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(721)</w:t>
            </w:r>
          </w:p>
        </w:tc>
        <w:tc>
          <w:tcPr>
            <w:tcW w:w="1320" w:type="dxa"/>
            <w:vAlign w:val="bottom"/>
            <w:gridSpan w:val="4"/>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08"/>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Balance, December 31, 1999</w:t>
            </w: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20" w:type="dxa"/>
            <w:vAlign w:val="bottom"/>
            <w:gridSpan w:val="2"/>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3,605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27,818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310,296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4"/>
                <w:szCs w:val="14"/>
                <w:color w:val="auto"/>
              </w:rPr>
              <w:t>(200,303)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(493)</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109,532</w:t>
            </w:r>
          </w:p>
        </w:tc>
        <w:tc>
          <w:tcPr>
            <w:tcW w:w="260" w:type="dxa"/>
            <w:vAlign w:val="bottom"/>
          </w:tcPr>
          <w:p>
            <w:pPr>
              <w:spacing w:after="0"/>
              <w:rPr>
                <w:sz w:val="22"/>
                <w:szCs w:val="22"/>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rPr>
              <w:t>$(23,791)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a public offering at $29.75</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per share</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2,600</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77,347</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77,350</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4"/>
              </w:rPr>
              <w:t>Cost associated with issuance</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(4,496)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(4,496)</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8"/>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7"/>
              </w:rPr>
              <w:t>stock options, net of shares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707</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4,445</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4,446</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Net issuance of Common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Stock to Amgen Inc. in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The Procter &amp; Gamble</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Company</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574</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17,065</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17,065</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Net issuance of Common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Stock to The Procter &amp;</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Gamble Company in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06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54</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421</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421</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Conversion of Class A Stock</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to 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restricted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Common Stock under</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Long-Term Incentive Plan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35</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1,314</w:t>
            </w:r>
          </w:p>
        </w:tc>
        <w:tc>
          <w:tcPr>
            <w:tcW w:w="140" w:type="dxa"/>
            <w:vAlign w:val="bottom"/>
            <w:shd w:val="clear" w:color="auto" w:fill="EEEEEE"/>
          </w:tcPr>
          <w:p>
            <w:pPr>
              <w:spacing w:after="0"/>
              <w:rPr>
                <w:sz w:val="13"/>
                <w:szCs w:val="13"/>
                <w:color w:val="auto"/>
              </w:rPr>
            </w:pPr>
          </w:p>
        </w:tc>
        <w:tc>
          <w:tcPr>
            <w:tcW w:w="1160" w:type="dxa"/>
            <w:vAlign w:val="bottom"/>
            <w:gridSpan w:val="4"/>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rPr>
              <w:t>(1,314)</w:t>
            </w: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 2000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(23,215)</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(23,215)</w:t>
            </w:r>
          </w:p>
        </w:tc>
        <w:tc>
          <w:tcPr>
            <w:tcW w:w="132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$(23,215)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securities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79"/>
              </w:rPr>
              <w:t>1,027</w:t>
            </w: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1,027</w:t>
            </w:r>
          </w:p>
        </w:tc>
        <w:tc>
          <w:tcPr>
            <w:tcW w:w="260" w:type="dxa"/>
            <w:vAlign w:val="bottom"/>
            <w:shd w:val="clear" w:color="auto" w:fill="EEEEEE"/>
          </w:tcPr>
          <w:p>
            <w:pPr>
              <w:spacing w:after="0"/>
              <w:rPr>
                <w:sz w:val="13"/>
                <w:szCs w:val="13"/>
                <w:color w:val="auto"/>
              </w:rPr>
            </w:pPr>
          </w:p>
        </w:tc>
        <w:tc>
          <w:tcPr>
            <w:tcW w:w="960" w:type="dxa"/>
            <w:vAlign w:val="bottom"/>
            <w:tcBorders>
              <w:right w:val="single" w:sz="8" w:color="EEEEEE"/>
            </w:tcBorders>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1,027</w:t>
            </w: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Balance, December 31, 2000</w:t>
            </w: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20" w:type="dxa"/>
            <w:vAlign w:val="bottom"/>
            <w:gridSpan w:val="2"/>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34,197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406,391</w:t>
            </w:r>
          </w:p>
        </w:tc>
        <w:tc>
          <w:tcPr>
            <w:tcW w:w="140" w:type="dxa"/>
            <w:vAlign w:val="bottom"/>
          </w:tcPr>
          <w:p>
            <w:pPr>
              <w:spacing w:after="0"/>
              <w:rPr>
                <w:sz w:val="22"/>
                <w:szCs w:val="22"/>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color w:val="auto"/>
              </w:rPr>
              <w:t>(1,314)</w:t>
            </w:r>
          </w:p>
        </w:tc>
        <w:tc>
          <w:tcPr>
            <w:tcW w:w="1220" w:type="dxa"/>
            <w:vAlign w:val="bottom"/>
            <w:gridSpan w:val="4"/>
          </w:tcPr>
          <w:p>
            <w:pPr>
              <w:jc w:val="right"/>
              <w:ind w:right="260"/>
              <w:spacing w:after="0"/>
              <w:rPr>
                <w:sz w:val="20"/>
                <w:szCs w:val="20"/>
                <w:color w:val="auto"/>
              </w:rPr>
            </w:pPr>
            <w:r>
              <w:rPr>
                <w:rFonts w:ascii="Arial" w:cs="Arial" w:eastAsia="Arial" w:hAnsi="Arial"/>
                <w:sz w:val="14"/>
                <w:szCs w:val="14"/>
                <w:color w:val="auto"/>
              </w:rPr>
              <w:t>(223,518)</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534</w:t>
            </w:r>
          </w:p>
        </w:tc>
        <w:tc>
          <w:tcPr>
            <w:tcW w:w="2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182,130</w:t>
            </w:r>
          </w:p>
        </w:tc>
        <w:tc>
          <w:tcPr>
            <w:tcW w:w="260" w:type="dxa"/>
            <w:vAlign w:val="bottom"/>
          </w:tcPr>
          <w:p>
            <w:pPr>
              <w:spacing w:after="0"/>
              <w:rPr>
                <w:sz w:val="22"/>
                <w:szCs w:val="22"/>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2001, 2000, and 1999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6"/>
          </w:tcPr>
          <w:p>
            <w:pPr>
              <w:ind w:left="100"/>
              <w:spacing w:after="0"/>
              <w:rPr>
                <w:sz w:val="20"/>
                <w:szCs w:val="20"/>
                <w:color w:val="auto"/>
              </w:rPr>
            </w:pPr>
            <w:r>
              <w:rPr>
                <w:rFonts w:ascii="Arial" w:cs="Arial" w:eastAsia="Arial" w:hAnsi="Arial"/>
                <w:sz w:val="14"/>
                <w:szCs w:val="14"/>
                <w:b w:val="1"/>
                <w:bCs w:val="1"/>
                <w:color w:val="auto"/>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vMerge w:val="restart"/>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140" w:type="dxa"/>
            <w:vAlign w:val="bottom"/>
            <w:vMerge w:val="restart"/>
          </w:tcPr>
          <w:p>
            <w:pPr>
              <w:spacing w:after="0"/>
              <w:rPr>
                <w:sz w:val="8"/>
                <w:szCs w:val="8"/>
                <w:color w:val="auto"/>
              </w:rPr>
            </w:pP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6"/>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rPr>
              <w:t>a public offering at $25.00</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per share</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6,630</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165,743</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165,750</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line="138" w:lineRule="exact"/>
              <w:rPr>
                <w:sz w:val="20"/>
                <w:szCs w:val="20"/>
                <w:color w:val="auto"/>
              </w:rPr>
            </w:pPr>
            <w:r>
              <w:rPr>
                <w:rFonts w:ascii="Arial" w:cs="Arial" w:eastAsia="Arial" w:hAnsi="Arial"/>
                <w:sz w:val="14"/>
                <w:szCs w:val="14"/>
                <w:color w:val="auto"/>
                <w:w w:val="95"/>
              </w:rPr>
              <w:t>Cost associated with issuance</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40"/>
              <w:spacing w:after="0" w:line="159" w:lineRule="exact"/>
              <w:rPr>
                <w:sz w:val="20"/>
                <w:szCs w:val="20"/>
                <w:color w:val="auto"/>
              </w:rPr>
            </w:pPr>
            <w:r>
              <w:rPr>
                <w:rFonts w:ascii="Arial" w:cs="Arial" w:eastAsia="Arial" w:hAnsi="Arial"/>
                <w:sz w:val="14"/>
                <w:szCs w:val="14"/>
                <w:color w:val="auto"/>
              </w:rPr>
              <w:t>of equity securities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(9,096)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(9,096)</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6"/>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w w:val="98"/>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w w:val="97"/>
              </w:rPr>
              <w:t>stock options, net of shares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254</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1,868</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1,868</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line="138" w:lineRule="exact"/>
              <w:rPr>
                <w:sz w:val="20"/>
                <w:szCs w:val="20"/>
                <w:color w:val="auto"/>
              </w:rPr>
            </w:pPr>
            <w:r>
              <w:rPr>
                <w:rFonts w:ascii="Arial" w:cs="Arial" w:eastAsia="Arial" w:hAnsi="Arial"/>
                <w:sz w:val="14"/>
                <w:szCs w:val="14"/>
                <w:color w:val="auto"/>
                <w:w w:val="96"/>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40"/>
              <w:spacing w:after="0" w:line="149" w:lineRule="exact"/>
              <w:rPr>
                <w:sz w:val="20"/>
                <w:szCs w:val="20"/>
                <w:color w:val="auto"/>
              </w:rPr>
            </w:pPr>
            <w:r>
              <w:rPr>
                <w:rFonts w:ascii="Arial" w:cs="Arial" w:eastAsia="Arial" w:hAnsi="Arial"/>
                <w:sz w:val="14"/>
                <w:szCs w:val="14"/>
                <w:color w:val="auto"/>
              </w:rPr>
              <w:t>Medtronic, Inc. in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4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4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6"/>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477</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477</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line="138" w:lineRule="exact"/>
              <w:rPr>
                <w:sz w:val="20"/>
                <w:szCs w:val="20"/>
                <w:color w:val="auto"/>
              </w:rPr>
            </w:pPr>
            <w:r>
              <w:rPr>
                <w:rFonts w:ascii="Arial" w:cs="Arial" w:eastAsia="Arial" w:hAnsi="Arial"/>
                <w:sz w:val="14"/>
                <w:szCs w:val="14"/>
                <w:color w:val="auto"/>
              </w:rPr>
              <w:t>Conversion of Class A Stock</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40"/>
              <w:spacing w:after="0" w:line="159" w:lineRule="exact"/>
              <w:rPr>
                <w:sz w:val="20"/>
                <w:szCs w:val="20"/>
                <w:color w:val="auto"/>
              </w:rPr>
            </w:pPr>
            <w:r>
              <w:rPr>
                <w:rFonts w:ascii="Arial" w:cs="Arial" w:eastAsia="Arial" w:hAnsi="Arial"/>
                <w:sz w:val="14"/>
                <w:szCs w:val="14"/>
                <w:color w:val="auto"/>
              </w:rPr>
              <w:t>to 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restricted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rPr>
              <w:t>Common Stock under</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Long-Term Incentive Plan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79</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2,207</w:t>
            </w:r>
          </w:p>
        </w:tc>
        <w:tc>
          <w:tcPr>
            <w:tcW w:w="140" w:type="dxa"/>
            <w:vAlign w:val="bottom"/>
            <w:shd w:val="clear" w:color="auto" w:fill="EEEEEE"/>
          </w:tcPr>
          <w:p>
            <w:pPr>
              <w:spacing w:after="0"/>
              <w:rPr>
                <w:sz w:val="13"/>
                <w:szCs w:val="13"/>
                <w:color w:val="auto"/>
              </w:rPr>
            </w:pPr>
          </w:p>
        </w:tc>
        <w:tc>
          <w:tcPr>
            <w:tcW w:w="1160" w:type="dxa"/>
            <w:vAlign w:val="bottom"/>
            <w:gridSpan w:val="4"/>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rPr>
              <w:t>(2,207)</w:t>
            </w: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4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732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732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w w:val="97"/>
              </w:rPr>
              <w:t>consideration for consulting</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services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34</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Net loss, 2001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(76,180)</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(76,180)</w:t>
            </w:r>
          </w:p>
        </w:tc>
        <w:tc>
          <w:tcPr>
            <w:tcW w:w="132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$(76,180)</w:t>
            </w:r>
          </w:p>
        </w:tc>
        <w:tc>
          <w:tcPr>
            <w:tcW w:w="0" w:type="dxa"/>
            <w:vAlign w:val="bottom"/>
          </w:tcPr>
          <w:p>
            <w:pPr>
              <w:spacing w:after="0"/>
              <w:rPr>
                <w:sz w:val="1"/>
                <w:szCs w:val="1"/>
                <w:color w:val="auto"/>
              </w:rPr>
            </w:pPr>
          </w:p>
        </w:tc>
      </w:tr>
      <w:tr>
        <w:trPr>
          <w:trHeight w:val="138"/>
        </w:trPr>
        <w:tc>
          <w:tcPr>
            <w:tcW w:w="18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EEEEEE"/>
          </w:tcPr>
          <w:p>
            <w:pPr>
              <w:ind w:left="14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EEEEEE"/>
          </w:tcPr>
          <w:p>
            <w:pPr>
              <w:ind w:left="140"/>
              <w:spacing w:after="0" w:line="159" w:lineRule="exact"/>
              <w:rPr>
                <w:sz w:val="20"/>
                <w:szCs w:val="20"/>
                <w:color w:val="auto"/>
              </w:rPr>
            </w:pPr>
            <w:r>
              <w:rPr>
                <w:rFonts w:ascii="Arial" w:cs="Arial" w:eastAsia="Arial" w:hAnsi="Arial"/>
                <w:sz w:val="14"/>
                <w:szCs w:val="14"/>
                <w:color w:val="auto"/>
              </w:rPr>
              <w:t>securities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640</w:t>
            </w: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640</w:t>
            </w:r>
          </w:p>
        </w:tc>
        <w:tc>
          <w:tcPr>
            <w:tcW w:w="26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640</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5"/>
              </w:rPr>
              <w:t>Balance, December 31, 2001</w:t>
            </w: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20" w:type="dxa"/>
            <w:vAlign w:val="bottom"/>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22"/>
                <w:szCs w:val="22"/>
                <w:color w:val="auto"/>
              </w:rPr>
            </w:pPr>
          </w:p>
        </w:tc>
        <w:tc>
          <w:tcPr>
            <w:tcW w:w="28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41,264</w:t>
            </w:r>
          </w:p>
        </w:tc>
        <w:tc>
          <w:tcPr>
            <w:tcW w:w="80" w:type="dxa"/>
            <w:vAlign w:val="bottom"/>
          </w:tcPr>
          <w:p>
            <w:pPr>
              <w:spacing w:after="0"/>
              <w:rPr>
                <w:sz w:val="22"/>
                <w:szCs w:val="22"/>
                <w:color w:val="auto"/>
              </w:rPr>
            </w:pPr>
          </w:p>
        </w:tc>
        <w:tc>
          <w:tcPr>
            <w:tcW w:w="26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$567,624</w:t>
            </w:r>
          </w:p>
        </w:tc>
        <w:tc>
          <w:tcPr>
            <w:tcW w:w="140" w:type="dxa"/>
            <w:vAlign w:val="bottom"/>
          </w:tcPr>
          <w:p>
            <w:pPr>
              <w:spacing w:after="0"/>
              <w:rPr>
                <w:sz w:val="22"/>
                <w:szCs w:val="22"/>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color w:val="auto"/>
              </w:rPr>
              <w:t>$(2,789)</w:t>
            </w:r>
          </w:p>
        </w:tc>
        <w:tc>
          <w:tcPr>
            <w:tcW w:w="1220" w:type="dxa"/>
            <w:vAlign w:val="bottom"/>
            <w:gridSpan w:val="4"/>
          </w:tcPr>
          <w:p>
            <w:pPr>
              <w:jc w:val="right"/>
              <w:ind w:right="260"/>
              <w:spacing w:after="0"/>
              <w:rPr>
                <w:sz w:val="20"/>
                <w:szCs w:val="20"/>
                <w:color w:val="auto"/>
              </w:rPr>
            </w:pPr>
            <w:r>
              <w:rPr>
                <w:rFonts w:ascii="Arial" w:cs="Arial" w:eastAsia="Arial" w:hAnsi="Arial"/>
                <w:sz w:val="14"/>
                <w:szCs w:val="14"/>
                <w:color w:val="auto"/>
              </w:rPr>
              <w:t>$(299,698)</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$1,174</w:t>
            </w:r>
          </w:p>
        </w:tc>
        <w:tc>
          <w:tcPr>
            <w:tcW w:w="2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$266,355</w:t>
            </w:r>
          </w:p>
        </w:tc>
        <w:tc>
          <w:tcPr>
            <w:tcW w:w="260" w:type="dxa"/>
            <w:vAlign w:val="bottom"/>
          </w:tcPr>
          <w:p>
            <w:pPr>
              <w:spacing w:after="0"/>
              <w:rPr>
                <w:sz w:val="22"/>
                <w:szCs w:val="22"/>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rPr>
              <w:t>$(75,540)</w:t>
            </w:r>
          </w:p>
        </w:tc>
        <w:tc>
          <w:tcPr>
            <w:tcW w:w="0" w:type="dxa"/>
            <w:vAlign w:val="bottom"/>
          </w:tcPr>
          <w:p>
            <w:pPr>
              <w:spacing w:after="0"/>
              <w:rPr>
                <w:sz w:val="1"/>
                <w:szCs w:val="1"/>
                <w:color w:val="auto"/>
              </w:rPr>
            </w:pPr>
          </w:p>
        </w:tc>
      </w:tr>
      <w:tr>
        <w:trPr>
          <w:trHeight w:val="92"/>
        </w:trPr>
        <w:tc>
          <w:tcPr>
            <w:tcW w:w="18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8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2001, 2000, and 1999</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(76,180)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(23,215)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(23,070)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5"/>
              </w:rPr>
              <w:t>Adjustments to reconcile net loss to net cash used in operating</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Loss in Amgen-Regeneron Partners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6,077</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4,421</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Cumulative effect of a change in accounting principle</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640"/>
              <w:spacing w:after="0"/>
              <w:rPr>
                <w:sz w:val="20"/>
                <w:szCs w:val="20"/>
                <w:color w:val="auto"/>
              </w:rPr>
            </w:pPr>
            <w:r>
              <w:rPr>
                <w:rFonts w:ascii="Arial" w:cs="Arial" w:eastAsia="Arial" w:hAnsi="Arial"/>
                <w:sz w:val="18"/>
                <w:szCs w:val="18"/>
                <w:color w:val="auto"/>
                <w:w w:val="97"/>
              </w:rPr>
              <w:t>Decrease (increase) in amounts due from The Procter &amp;</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780"/>
              <w:spacing w:after="0"/>
              <w:rPr>
                <w:sz w:val="20"/>
                <w:szCs w:val="20"/>
                <w:color w:val="auto"/>
              </w:rPr>
            </w:pPr>
            <w:r>
              <w:rPr>
                <w:rFonts w:ascii="Arial" w:cs="Arial" w:eastAsia="Arial" w:hAnsi="Arial"/>
                <w:sz w:val="18"/>
                <w:szCs w:val="18"/>
                <w:color w:val="auto"/>
              </w:rPr>
              <w:t>Gamble Company</w:t>
            </w: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4,242</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(6,907)</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3,169</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w w:val="98"/>
              </w:rPr>
              <w:t>Decrease (increase) in amounts due from Merck &amp; Co.,</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780"/>
              <w:spacing w:after="0"/>
              <w:rPr>
                <w:sz w:val="20"/>
                <w:szCs w:val="20"/>
                <w:color w:val="auto"/>
              </w:rPr>
            </w:pPr>
            <w:r>
              <w:rPr>
                <w:rFonts w:ascii="Arial" w:cs="Arial" w:eastAsia="Arial" w:hAnsi="Arial"/>
                <w:sz w:val="18"/>
                <w:szCs w:val="18"/>
                <w:color w:val="auto"/>
              </w:rPr>
              <w:t>Inc.</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Decrease (increase) in amounts due from Amgen-</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780"/>
              <w:spacing w:after="0"/>
              <w:rPr>
                <w:sz w:val="20"/>
                <w:szCs w:val="20"/>
                <w:color w:val="auto"/>
              </w:rPr>
            </w:pPr>
            <w:r>
              <w:rPr>
                <w:rFonts w:ascii="Arial" w:cs="Arial" w:eastAsia="Arial" w:hAnsi="Arial"/>
                <w:sz w:val="18"/>
                <w:szCs w:val="18"/>
                <w:color w:val="auto"/>
              </w:rPr>
              <w:t>Regeneron Partners</w:t>
            </w: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1,357</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rPr>
              <w:t>Decrease (increase) in amounts due from Sumitomo</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780"/>
              <w:spacing w:after="0"/>
              <w:rPr>
                <w:sz w:val="20"/>
                <w:szCs w:val="20"/>
                <w:color w:val="auto"/>
              </w:rPr>
            </w:pPr>
            <w:r>
              <w:rPr>
                <w:rFonts w:ascii="Arial" w:cs="Arial" w:eastAsia="Arial" w:hAnsi="Arial"/>
                <w:sz w:val="18"/>
                <w:szCs w:val="18"/>
                <w:color w:val="auto"/>
              </w:rPr>
              <w:t>Pharmaceuticals Co., Ltd.</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Increase in investment in Amgen-Regeneron Partners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(5,142)</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rPr>
              <w:t>Increase in prepaid expenses and other assets</w:t>
            </w: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(Increase) decrease in inventory</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4,050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rPr>
              <w:t>(Decrease) increase in deferred revenue</w:t>
            </w: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640"/>
              <w:spacing w:after="0"/>
              <w:rPr>
                <w:sz w:val="20"/>
                <w:szCs w:val="20"/>
                <w:color w:val="auto"/>
              </w:rPr>
            </w:pPr>
            <w:r>
              <w:rPr>
                <w:rFonts w:ascii="Arial" w:cs="Arial" w:eastAsia="Arial" w:hAnsi="Arial"/>
                <w:sz w:val="18"/>
                <w:szCs w:val="18"/>
                <w:color w:val="auto"/>
                <w:w w:val="91"/>
              </w:rPr>
              <w:t>Increase in accounts payable, accrued expenses, and other</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78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4,293</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adjustments</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18,860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(4,695)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8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(57,320)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(27,910)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(13,510)</w:t>
            </w:r>
          </w:p>
        </w:tc>
        <w:tc>
          <w:tcPr>
            <w:tcW w:w="0" w:type="dxa"/>
            <w:vAlign w:val="bottom"/>
          </w:tcPr>
          <w:p>
            <w:pPr>
              <w:spacing w:after="0"/>
              <w:rPr>
                <w:sz w:val="1"/>
                <w:szCs w:val="1"/>
                <w:color w:val="auto"/>
              </w:rPr>
            </w:pPr>
          </w:p>
        </w:tc>
      </w:tr>
      <w:tr>
        <w:trPr>
          <w:trHeight w:val="108"/>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(159,731)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(104,898)</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(60,067)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Purchases of restricted marketable securities</w:t>
            </w: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(31,620)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Sales of marketable securities</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124,189</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53,717</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82,892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(8,223)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(6,495)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(75,385)</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(57,676)</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17,143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proceeds from the issuance of stock</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158,522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94,365</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Net proceeds from the issuance of convertible notes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192,703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Capital lease payments</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349,120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92,867</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216,415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23,697</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19,757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247,393</w:t>
            </w:r>
          </w:p>
        </w:tc>
        <w:tc>
          <w:tcPr>
            <w:tcW w:w="2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23,697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971"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2001, 2000 and 1999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200" w:lineRule="exact"/>
        <w:rPr>
          <w:sz w:val="20"/>
          <w:szCs w:val="20"/>
          <w:color w:val="auto"/>
        </w:rPr>
      </w:pPr>
    </w:p>
    <w:p>
      <w:pPr>
        <w:spacing w:after="0" w:line="268" w:lineRule="exact"/>
        <w:rPr>
          <w:sz w:val="20"/>
          <w:szCs w:val="20"/>
          <w:color w:val="auto"/>
        </w:rPr>
      </w:pPr>
    </w:p>
    <w:p>
      <w:pPr>
        <w:ind w:left="1260" w:hanging="813"/>
        <w:spacing w:after="0"/>
        <w:tabs>
          <w:tab w:leader="none" w:pos="1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Contract Research and Development and Research Progress Payments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On January 1, 2000, the Company changed its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Effective January 1, 2000, the Company recognizes revenue from contract research and development and research progress payments as services are performed, provided a contractual arrangement exists, the contract price is fixed or determinable, and the collection of the resulting receivable is probable. In situations where the Company receives payment in advance of the performance of services, such amounts are deferred and recognized as revenue as the related services are performed. Gross profit margin on revenue from contract research and development is immaterial. Non-refundable fees, including payments for services, up-front licensing fees, technology fees, and research progress payments (collectively, “Non-refundable Fees”), are recognized as revenue based on the percentage of costs incurred to date, estimated costs to complete, and total expected contract revenue. However, revenue recognized is limited to the amount of Non-refundable Fees received. Non-refundable Fees received in consideration for granting collaborators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right to license product candidates developed by the Company are recognized as revenue on a straight-line basis over the term of the underlying agreements.</w:t>
      </w:r>
    </w:p>
    <w:p>
      <w:pPr>
        <w:spacing w:after="0" w:line="275"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Prior to January 1, 2000, the Company recognized revenue as described above, except that certain Non-refundable Fees were recognized as revenue when there were no additional contractual services to be provided or costs to be incurred by the Company in connection with the Non-refundable Fee.</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both 2001 and 2000. The $1.6 million represents a portion of a 1989 payment received from Sumitomo Chemical Co., Ltd. in consideration for a fifteen year limited right of first negotiation to license up to three of the Company’s product candidates in Japan (see Note 9b). The effect of income taxes on the cumulative effect adjustment was immaterial.</w:t>
      </w:r>
    </w:p>
    <w:p>
      <w:pPr>
        <w:spacing w:after="0" w:line="224"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Prior period financial statements have not been restated to apply SAB 101 retroactively; however, the pro forma amounts included in the Statement of Operations show the net loss and per share net loss assuming the Company had retroactively applied SAB 101 to the prior period.</w:t>
      </w:r>
    </w:p>
    <w:p>
      <w:pPr>
        <w:spacing w:after="0" w:line="139" w:lineRule="exact"/>
        <w:rPr>
          <w:sz w:val="20"/>
          <w:szCs w:val="20"/>
          <w:color w:val="auto"/>
        </w:rPr>
      </w:pPr>
    </w:p>
    <w:p>
      <w:pPr>
        <w:ind w:left="800" w:hanging="353"/>
        <w:spacing w:after="0"/>
        <w:tabs>
          <w:tab w:leader="none" w:pos="80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Contract Manufacturing</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Company has entered into contract manufacturing agreements under which it manufactures products and performs services for third parties. Contract manufacturing revenue is recognized as products are shipped and as services are performed (see Notes 9b and 10).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a result of the Company’s research and development efforts, it has obtained, applied, or is applying for numerous patents related to proprietary technology and inventions. All costs associated with patents are expensed as incurred.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including the cost of salaries, payroll taxes, employee benefits, materials, supplies, depreciation on and maintenance of research equipment, costs related to research collaboration and licensing agreements (see Note 8e),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and contract research organizations are expected to provide services. The Company adjusts its rate of clinical expense recognition if actual results differ from the Company’s estimates.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 xml:space="preserve">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conversion of outstanding convertible debt and exercise of outstanding stock options and warrants, since such inclusion would be antidilutive. Disclosures required by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have been included in Note 15.</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2001, 2000, and 1999 have been included in the Statements of Stockholders’ Equity.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restricted marketable securities, and receivables from The Procter &amp; Gamble Company, Amgen-Regeneron Partners,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In January 2001, Amgen-Regeneron Partners, a partnership equally owned by the Company and Amgen Inc., discontinued all clinical development of one product following notification that the product did not provide a therapeutic advantage to patients in clinical trials (see Note 9a). The Company has incurred net losses and negative cash flows from operations since its inception, and revenues to date have been limited to payments for research from four collaborators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and for contract manufacturing from two pharmaceutical companies and investment income (see Notes 9 and 10). The Company operates in an environment of rapid change in technology and is dependent upon the services of its employees, consultants, collaborators, and certain third-party suppliers of materials.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4"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In September 2000, Immunex Corporation filed a request with the European Patent Office seeking the declaration of an opposition regarding the scope of the Company’s European patent relating to Cytokine Traps. This is a legal challenge to the validity and scope of the Company’s patent. Although the Company plans to defend the patent diligently, the scope of the patent may be adversely affected pending the outcome of the opposition.</w:t>
      </w:r>
    </w:p>
    <w:p>
      <w:pPr>
        <w:spacing w:after="0" w:line="18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9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Disclosures required by Statement of Financial Accounting Standards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No. 123”), including pro forma operating results had the Company prepared its financial statements in accordance with the fair value based method of accounting for stock-based compensation, have been included in Note 11.</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lease obligations of $1.1 million were incurred when the Company acquired new equipment in 1999.</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In 2001 and 2000, the Company awarded 80,535 and 34,785 shares, respectively, of Restricted Stock under the Regeneron Pharmaceuticals, Inc. Long-Term Incentive Plan (see Note 11a). The Company records unearned compensation in Stockholders’ Equity related to these awards based on the fair market value of shares of the Company’s Common Stock on the grant date of the Restricted Stock award, which is expensed, on a pro rata basis, over the two year period that the restrictions on these shares lapse. In 2001, the Company recognized $0.7 million of compensation expense related to Restricted Stock Awards. No stock-based compensation expense was recognized in 2000.</w:t>
      </w:r>
    </w:p>
    <w:p>
      <w:pPr>
        <w:spacing w:after="0" w:line="197"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recognized as compensation expense on a pro rata basis over five years as the restriction on the Restricted Shares lapsed.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Included in accounts payable and accrued expenses at December 31, 2001, 2000, and 1999 were $1.9 million, $0.7 million, and $0.7 million of capital expenditures, respectively.</w:t>
      </w:r>
    </w:p>
    <w:p>
      <w:pPr>
        <w:spacing w:after="0" w:line="213"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Included in accounts payable and accrued expenses at December 31, 2000, 1999, and 1998 were $0.5 million, $0.4 million, and $0.3 million, respectively, of accrued 401(k) Savings Plan contribution expense. During the first quarter of 2001, 2000, and 1999, the Company contributed 17,484, 54,003, and 37,653 shares, respectively, of Common Stock to the 401(k) Savings Plan in satisfaction of these obligations.</w:t>
      </w:r>
    </w:p>
    <w:p>
      <w:pPr>
        <w:spacing w:after="0" w:line="221"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Included in marketable securities at December 31, 2001, 2000, and 1999 were $2.0 million, $2.3 million, and $1.2 million of accrued interest income, respectively. Included in restricted marketable securities at December 31, 2001 was $0.2 million of accrued interest income.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the financial statements for 2000 and 1999 to conform with the current year’s presentation.</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Effective in 2001, the Company’s financial statement presentation of depreciation and amortization in the Statement of Operations has been changed to allocate depreciation and amortization between research and development expense and general and administrative expense. Depreciation and amortization related to contract manufacturing expense was already included in contract manufacturing expense in 2000 and 1999. The effect of this reclassification for the years ended December 31, 2000 and 1999 is presented in the following table.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1999</w:t>
            </w: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As Previously</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As Previously</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80" w:type="dxa"/>
            <w:vAlign w:val="bottom"/>
          </w:tcPr>
          <w:p>
            <w:pPr>
              <w:spacing w:after="0"/>
              <w:rPr>
                <w:sz w:val="15"/>
                <w:szCs w:val="15"/>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b w:val="1"/>
                <w:bCs w:val="1"/>
                <w:color w:val="auto"/>
              </w:rPr>
              <w:t>As Reclassified</w:t>
            </w:r>
          </w:p>
        </w:tc>
        <w:tc>
          <w:tcPr>
            <w:tcW w:w="28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80" w:type="dxa"/>
            <w:vAlign w:val="bottom"/>
          </w:tcPr>
          <w:p>
            <w:pPr>
              <w:spacing w:after="0"/>
              <w:rPr>
                <w:sz w:val="15"/>
                <w:szCs w:val="15"/>
                <w:color w:val="auto"/>
              </w:rPr>
            </w:pPr>
          </w:p>
        </w:tc>
        <w:tc>
          <w:tcPr>
            <w:tcW w:w="1840" w:type="dxa"/>
            <w:vAlign w:val="bottom"/>
            <w:gridSpan w:val="3"/>
          </w:tcPr>
          <w:p>
            <w:pPr>
              <w:ind w:left="480"/>
              <w:spacing w:after="0"/>
              <w:rPr>
                <w:sz w:val="20"/>
                <w:szCs w:val="20"/>
                <w:color w:val="auto"/>
              </w:rPr>
            </w:pPr>
            <w:r>
              <w:rPr>
                <w:rFonts w:ascii="Arial" w:cs="Arial" w:eastAsia="Arial" w:hAnsi="Arial"/>
                <w:sz w:val="14"/>
                <w:szCs w:val="14"/>
                <w:b w:val="1"/>
                <w:bCs w:val="1"/>
                <w:color w:val="auto"/>
              </w:rPr>
              <w:t>As Reclassified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$56,256</w:t>
            </w:r>
          </w:p>
        </w:tc>
        <w:tc>
          <w:tcPr>
            <w:tcW w:w="50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$60,559</w:t>
            </w:r>
          </w:p>
        </w:tc>
        <w:tc>
          <w:tcPr>
            <w:tcW w:w="6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$44,940</w:t>
            </w:r>
          </w:p>
        </w:tc>
        <w:tc>
          <w:tcPr>
            <w:tcW w:w="5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$48,291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15,566</w:t>
            </w:r>
          </w:p>
        </w:tc>
        <w:tc>
          <w:tcPr>
            <w:tcW w:w="50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15,566</w:t>
            </w:r>
          </w:p>
        </w:tc>
        <w:tc>
          <w:tcPr>
            <w:tcW w:w="6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3,612</w:t>
            </w:r>
          </w:p>
        </w:tc>
        <w:tc>
          <w:tcPr>
            <w:tcW w:w="5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3,612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4,421</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3,426</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8,309</w:t>
            </w:r>
          </w:p>
        </w:tc>
        <w:tc>
          <w:tcPr>
            <w:tcW w:w="50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8,427</w:t>
            </w:r>
          </w:p>
        </w:tc>
        <w:tc>
          <w:tcPr>
            <w:tcW w:w="6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6,355</w:t>
            </w:r>
          </w:p>
        </w:tc>
        <w:tc>
          <w:tcPr>
            <w:tcW w:w="5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6,430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$84,552</w:t>
            </w:r>
          </w:p>
        </w:tc>
        <w:tc>
          <w:tcPr>
            <w:tcW w:w="50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$84,552</w:t>
            </w:r>
          </w:p>
        </w:tc>
        <w:tc>
          <w:tcPr>
            <w:tcW w:w="6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$58,333</w:t>
            </w:r>
          </w:p>
        </w:tc>
        <w:tc>
          <w:tcPr>
            <w:tcW w:w="5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$58,333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 xml:space="preserve">The Financial Accounting Standards Board has recently issued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No. 143, </w:t>
      </w:r>
      <w:r>
        <w:rPr>
          <w:rFonts w:ascii="Arial" w:cs="Arial" w:eastAsia="Arial" w:hAnsi="Arial"/>
          <w:sz w:val="16"/>
          <w:szCs w:val="16"/>
          <w:i w:val="1"/>
          <w:iCs w:val="1"/>
          <w:color w:val="auto"/>
        </w:rPr>
        <w:t>Accounting for Obligations Associated with the Retirement of Long-Lived Assets</w:t>
      </w:r>
      <w:r>
        <w:rPr>
          <w:rFonts w:ascii="Arial" w:cs="Arial" w:eastAsia="Arial" w:hAnsi="Arial"/>
          <w:sz w:val="16"/>
          <w:szCs w:val="16"/>
          <w:color w:val="auto"/>
        </w:rPr>
        <w:t xml:space="preserve">, and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which the Company will be required to adopt in future periods. Management believes that the future adoption of these accounting standards will not have a material impact on the Company’s financial statements.</w:t>
      </w:r>
    </w:p>
    <w:p>
      <w:pPr>
        <w:spacing w:after="0" w:line="16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2001 and 2000:</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Unrealized Holding</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3"/>
              </w:rPr>
              <w:t>Fair</w:t>
            </w: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6"/>
                <w:szCs w:val="16"/>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79"/>
              </w:rPr>
              <w:t>(Losses)</w:t>
            </w:r>
          </w:p>
        </w:tc>
        <w:tc>
          <w:tcPr>
            <w:tcW w:w="20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2001</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66,397</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66,742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125,816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126,796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three years</w:t>
            </w: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18,149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18,186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(46)</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32,226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32,420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(46)</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158,042</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159,216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1,226</w:t>
            </w: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(52)</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2000</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31,155</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31,196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86,373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(37)</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three years</w:t>
            </w: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36,485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36,758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(38)</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122,858</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123,392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(75)</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Realized gains and losses are included as a component of investment income. For the years ended December 31, 2001, 2000, and 1999,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19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Inventory balances at December 31, 2001 and 2000 consist of raw materials, work-in process, and finished products associated with the production of an intermediate for a Merck &amp; Co., Inc. pediatric vaccine under a long-term manufacturing agreement (see Note 10).</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December 31, 2001 and 2000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3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3,372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1,327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3,973</w:t>
            </w: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reserves of $0.2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reserves of $0.3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reserves of $0.8 million.</w:t>
      </w:r>
    </w:p>
    <w:p>
      <w:pPr>
        <w:spacing w:after="0" w:line="219"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2001 and 2000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32,415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32,182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12,388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11,689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other equipment</w:t>
            </w: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30,503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25,113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Furniture, fixtures, and computer equipment</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82,409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73,131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(42,961)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(36,197)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39,448</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36,934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Depreciation and amortization expense on property, plant, and equipment amounted to $7.0 million, $5.8 million, and $3.7 million for the years ended December 31, 2001, 2000, and 1999, respectively. Included in these amounts were $1.1 million, $1.4 million, and $0.3 million of depreciation and amortization expense related to contract manufacturing that was capitalized into inventory for the years ended December 31, 2001, 2000, and 1999, respectively.</w:t>
      </w:r>
    </w:p>
    <w:p>
      <w:pPr>
        <w:spacing w:after="0" w:line="15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December 31, 2001 and 2000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3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$2,590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3,662</w:t>
            </w:r>
          </w:p>
        </w:tc>
        <w:tc>
          <w:tcPr>
            <w:tcW w:w="3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2,630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2,308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3,286</w:t>
            </w:r>
          </w:p>
        </w:tc>
        <w:tc>
          <w:tcPr>
            <w:tcW w:w="3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1,918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14,830</w:t>
            </w:r>
          </w:p>
        </w:tc>
        <w:tc>
          <w:tcPr>
            <w:tcW w:w="30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$9,446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419" w:right="439" w:bottom="981"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981"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were nontransferable with such restriction lapsing ratably over a five-year period. In accordance with generally accepted accounting principles, the Company recognized compensation expense for the difference between the fair market value of the Common Stock on the date the agreement was signed and the purchase price of the Restricted Shares on a pro rata basis over five years as the restriction on the Restricted Shares lapsed. The unearned compensation was fully amortized at December 31, 1999. For the year ended December 31, 1999, the Company recognized compensation expense of $0.4 million. The stock options, which were issued under the Company’s Amended and Restated 1990 Long-Term Incentive Plan, entitle the holder to purchase an equal number of shares of Common Stock at a per share price of $3.50, the fair market value of the Common Stock on the date of grant. The options vested over a five-year period.</w:t>
      </w:r>
    </w:p>
    <w:p>
      <w:pPr>
        <w:spacing w:after="0" w:line="201" w:lineRule="exact"/>
        <w:rPr>
          <w:sz w:val="20"/>
          <w:szCs w:val="20"/>
          <w:color w:val="auto"/>
        </w:rPr>
      </w:pPr>
    </w:p>
    <w:p>
      <w:pPr>
        <w:ind w:right="160" w:firstLine="324"/>
        <w:spacing w:after="0" w:line="283" w:lineRule="auto"/>
        <w:rPr>
          <w:sz w:val="20"/>
          <w:szCs w:val="20"/>
          <w:color w:val="auto"/>
        </w:rPr>
      </w:pPr>
      <w:r>
        <w:rPr>
          <w:rFonts w:ascii="Arial" w:cs="Arial" w:eastAsia="Arial" w:hAnsi="Arial"/>
          <w:sz w:val="16"/>
          <w:szCs w:val="16"/>
          <w:color w:val="auto"/>
        </w:rPr>
        <w:t>During 1996, the Company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w:t>
      </w:r>
    </w:p>
    <w:p>
      <w:pPr>
        <w:spacing w:after="0" w:line="2" w:lineRule="exact"/>
        <w:rPr>
          <w:sz w:val="20"/>
          <w:szCs w:val="20"/>
          <w:color w:val="auto"/>
        </w:rPr>
      </w:pPr>
    </w:p>
    <w:p>
      <w:pPr>
        <w:ind w:right="40" w:firstLine="8"/>
        <w:spacing w:after="0" w:line="285"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 to receive, upon exercise, shares of common stock of an acquiring company having a value equal to two times the Right’s Exercise Price.</w:t>
      </w:r>
    </w:p>
    <w:p>
      <w:pPr>
        <w:spacing w:after="0" w:line="27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213" w:lineRule="exact"/>
        <w:rPr>
          <w:sz w:val="20"/>
          <w:szCs w:val="20"/>
          <w:color w:val="auto"/>
        </w:rPr>
      </w:pPr>
    </w:p>
    <w:p>
      <w:pPr>
        <w:jc w:val="both"/>
        <w:ind w:right="560" w:firstLine="324"/>
        <w:spacing w:after="0" w:line="306" w:lineRule="auto"/>
        <w:rPr>
          <w:sz w:val="20"/>
          <w:szCs w:val="20"/>
          <w:color w:val="auto"/>
        </w:rPr>
      </w:pPr>
      <w:r>
        <w:rPr>
          <w:rFonts w:ascii="Arial" w:cs="Arial" w:eastAsia="Arial" w:hAnsi="Arial"/>
          <w:sz w:val="16"/>
          <w:szCs w:val="16"/>
          <w:color w:val="auto"/>
        </w:rPr>
        <w:t>In April 2000, the Company completed a public offering of 2.6 million shares of Common Stock at a price of $29.75 per share for net proceeds, after commissions and expenses, of $72.9 million. In March and April 2001, the Company completed a public offering in which it issued 6.63 million shares of Common Stock at a price of $25.00 per share and received proceeds, after commissions and expenses, of $156.7 million.</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213" w:lineRule="exact"/>
        <w:rPr>
          <w:sz w:val="20"/>
          <w:szCs w:val="20"/>
          <w:color w:val="auto"/>
        </w:rPr>
      </w:pPr>
    </w:p>
    <w:p>
      <w:pPr>
        <w:ind w:right="780" w:firstLine="324"/>
        <w:spacing w:after="0" w:line="268" w:lineRule="auto"/>
        <w:rPr>
          <w:sz w:val="20"/>
          <w:szCs w:val="20"/>
          <w:color w:val="auto"/>
        </w:rPr>
      </w:pPr>
      <w:r>
        <w:rPr>
          <w:rFonts w:ascii="Arial" w:cs="Arial" w:eastAsia="Arial" w:hAnsi="Arial"/>
          <w:sz w:val="18"/>
          <w:szCs w:val="18"/>
          <w:color w:val="auto"/>
        </w:rPr>
        <w:t>In October 2001, the Company completed a private placement of $200 million aggregate principal amount of senior subordinated notes, which are convertible into shares of the Company’s Common Stock. See Note 8d.</w:t>
      </w:r>
    </w:p>
    <w:p>
      <w:pPr>
        <w:spacing w:after="0" w:line="180" w:lineRule="exact"/>
        <w:rPr>
          <w:sz w:val="20"/>
          <w:szCs w:val="20"/>
          <w:color w:val="auto"/>
        </w:rPr>
      </w:pPr>
    </w:p>
    <w:p>
      <w:pPr>
        <w:ind w:left="220" w:right="8560" w:hanging="212"/>
        <w:spacing w:after="0" w:line="624" w:lineRule="auto"/>
        <w:tabs>
          <w:tab w:leader="none" w:pos="352"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a. Operating Leases</w:t>
      </w:r>
    </w:p>
    <w:p>
      <w:pPr>
        <w:ind w:right="40" w:firstLine="324"/>
        <w:spacing w:after="0" w:line="259" w:lineRule="auto"/>
        <w:rPr>
          <w:sz w:val="20"/>
          <w:szCs w:val="20"/>
          <w:color w:val="auto"/>
        </w:rPr>
      </w:pPr>
      <w:r>
        <w:rPr>
          <w:rFonts w:ascii="Arial" w:cs="Arial" w:eastAsia="Arial" w:hAnsi="Arial"/>
          <w:sz w:val="18"/>
          <w:szCs w:val="18"/>
          <w:color w:val="auto"/>
        </w:rPr>
        <w:t>The Company leases and subleases laboratory and office space under operating lease agreements which expire through June 30, 2003. The leases provide for base rent plus additional rental charges for utilities, taxes, and operating expenses, as defined. The Company has renewal options to extend their leases for an additional five years.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2006.</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2001, the future minimum noncancelable lease commitments under operating leases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Laboratory and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Office Space</w:t>
            </w:r>
          </w:p>
        </w:tc>
        <w:tc>
          <w:tcPr>
            <w:tcW w:w="280" w:type="dxa"/>
            <w:vAlign w:val="bottom"/>
          </w:tcPr>
          <w:p>
            <w:pPr>
              <w:spacing w:after="0"/>
              <w:rPr>
                <w:sz w:val="15"/>
                <w:szCs w:val="15"/>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Equipment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13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$3,785</w:t>
            </w:r>
          </w:p>
        </w:tc>
        <w:tc>
          <w:tcPr>
            <w:tcW w:w="6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2003</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1,766</w:t>
            </w:r>
          </w:p>
        </w:tc>
        <w:tc>
          <w:tcPr>
            <w:tcW w:w="6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$5,551</w:t>
            </w:r>
          </w:p>
        </w:tc>
        <w:tc>
          <w:tcPr>
            <w:tcW w:w="6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8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Laboratory and</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4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Ending 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Office Space</w:t>
            </w:r>
          </w:p>
        </w:tc>
        <w:tc>
          <w:tcPr>
            <w:tcW w:w="280" w:type="dxa"/>
            <w:vAlign w:val="bottom"/>
          </w:tcPr>
          <w:p>
            <w:pPr>
              <w:spacing w:after="0"/>
              <w:rPr>
                <w:sz w:val="15"/>
                <w:szCs w:val="15"/>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Equipment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740" w:type="dxa"/>
            <w:vAlign w:val="bottom"/>
            <w:gridSpan w:val="3"/>
          </w:tcPr>
          <w:p>
            <w:pPr>
              <w:spacing w:after="0"/>
              <w:rPr>
                <w:sz w:val="8"/>
                <w:szCs w:val="8"/>
                <w:color w:val="auto"/>
              </w:rPr>
            </w:pPr>
          </w:p>
        </w:tc>
        <w:tc>
          <w:tcPr>
            <w:tcW w:w="106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60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2060" w:type="dxa"/>
            <w:vAlign w:val="bottom"/>
            <w:gridSpan w:val="6"/>
            <w:shd w:val="clear" w:color="auto" w:fill="EEEEEE"/>
          </w:tcPr>
          <w:p>
            <w:pPr>
              <w:jc w:val="right"/>
              <w:ind w:right="680"/>
              <w:spacing w:after="0"/>
              <w:rPr>
                <w:sz w:val="20"/>
                <w:szCs w:val="20"/>
                <w:color w:val="auto"/>
              </w:rPr>
            </w:pPr>
            <w:r>
              <w:rPr>
                <w:rFonts w:ascii="Arial" w:cs="Arial" w:eastAsia="Arial" w:hAnsi="Arial"/>
                <w:sz w:val="18"/>
                <w:szCs w:val="18"/>
                <w:color w:val="auto"/>
              </w:rPr>
              <w:t>$3,455</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2000</w:t>
            </w:r>
          </w:p>
        </w:tc>
        <w:tc>
          <w:tcPr>
            <w:tcW w:w="2060" w:type="dxa"/>
            <w:vAlign w:val="bottom"/>
            <w:gridSpan w:val="6"/>
          </w:tcPr>
          <w:p>
            <w:pPr>
              <w:jc w:val="right"/>
              <w:ind w:right="680"/>
              <w:spacing w:after="0"/>
              <w:rPr>
                <w:sz w:val="20"/>
                <w:szCs w:val="20"/>
                <w:color w:val="auto"/>
              </w:rPr>
            </w:pPr>
            <w:r>
              <w:rPr>
                <w:rFonts w:ascii="Arial" w:cs="Arial" w:eastAsia="Arial" w:hAnsi="Arial"/>
                <w:sz w:val="18"/>
                <w:szCs w:val="18"/>
                <w:color w:val="auto"/>
              </w:rPr>
              <w:t>2,898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1999</w:t>
            </w:r>
          </w:p>
        </w:tc>
        <w:tc>
          <w:tcPr>
            <w:tcW w:w="2060" w:type="dxa"/>
            <w:vAlign w:val="bottom"/>
            <w:gridSpan w:val="6"/>
            <w:shd w:val="clear" w:color="auto" w:fill="EEEEEE"/>
          </w:tcPr>
          <w:p>
            <w:pPr>
              <w:jc w:val="right"/>
              <w:ind w:right="680"/>
              <w:spacing w:after="0"/>
              <w:rPr>
                <w:sz w:val="20"/>
                <w:szCs w:val="20"/>
                <w:color w:val="auto"/>
              </w:rPr>
            </w:pPr>
            <w:r>
              <w:rPr>
                <w:rFonts w:ascii="Arial" w:cs="Arial" w:eastAsia="Arial" w:hAnsi="Arial"/>
                <w:sz w:val="18"/>
                <w:szCs w:val="18"/>
                <w:color w:val="auto"/>
              </w:rPr>
              <w:t>2,826</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In addition to its rent expense for laboratory and office space, the Company paid additional rental charges for utilities, real estate taxes, and operating expenses of $3.0 million, $2.1 million, and $1.0 million for the years ended December 31, 2001, 2000, and 1999,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left="580" w:hanging="352"/>
        <w:spacing w:after="0"/>
        <w:tabs>
          <w:tab w:leader="none" w:pos="5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180" w:firstLine="324"/>
        <w:spacing w:after="0" w:line="370" w:lineRule="auto"/>
        <w:rPr>
          <w:sz w:val="20"/>
          <w:szCs w:val="20"/>
          <w:color w:val="auto"/>
        </w:rPr>
      </w:pPr>
      <w:r>
        <w:rPr>
          <w:rFonts w:ascii="Arial" w:cs="Arial" w:eastAsia="Arial" w:hAnsi="Arial"/>
          <w:sz w:val="15"/>
          <w:szCs w:val="15"/>
          <w:color w:val="auto"/>
        </w:rPr>
        <w:t>The Company leases equipment under noncancelable capital leases. Lease terms are generally four years after which, for certain leases, the Company may extend the lease for eight additional months at defined monthly payments, or is required to purchase the equipment at amounts defined by the agreements.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2001, minimum rental payments under all capital leases, including payments to acquire leased equipment, were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Rental Payments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$464</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2003</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617</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$576</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Leased equipment and building improvements included in property, plant, and equipment was $1.6 million and $2.4 million at December 31, 2001 and 2000, respectively; related accumulated depreciation was $1.1 million and $1.4 million for the same respective periods.</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connection with one capital lease, the Company entered into a 38-month equipment maintenance agreement which requires equal quarterly payments. The total amount due over the remaining term of the agreement is $0.1 million.</w:t>
      </w:r>
    </w:p>
    <w:p>
      <w:pPr>
        <w:spacing w:after="0" w:line="186" w:lineRule="exact"/>
        <w:rPr>
          <w:sz w:val="20"/>
          <w:szCs w:val="20"/>
          <w:color w:val="auto"/>
        </w:rPr>
      </w:pPr>
    </w:p>
    <w:p>
      <w:pPr>
        <w:ind w:left="560" w:hanging="332"/>
        <w:spacing w:after="0"/>
        <w:tabs>
          <w:tab w:leader="none" w:pos="5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1994, the Company borrowed $2.0 million from the New York State Urban Development Corporation (“NYS UDC”). The terms of the note provided for monthly payments of principal and interest through December 2014. Outstanding borrowings accrued interest at an effective interest rate of approximately 6.4%. The note was collateralized by a first mortgage on the Company’s land, building, and improvements in Rensselaer, New York. In October 2001, the remaining principal balance on this note of $1.5 million was paid in full.</w:t>
      </w:r>
    </w:p>
    <w:p>
      <w:pPr>
        <w:spacing w:after="0" w:line="197" w:lineRule="exact"/>
        <w:rPr>
          <w:sz w:val="20"/>
          <w:szCs w:val="20"/>
          <w:color w:val="auto"/>
        </w:rPr>
      </w:pPr>
    </w:p>
    <w:p>
      <w:pPr>
        <w:ind w:left="580" w:hanging="352"/>
        <w:spacing w:after="0"/>
        <w:tabs>
          <w:tab w:leader="none" w:pos="5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October 2001, the Company issued $200 million aggregate principal amount of convertible senior subordinated notes (“Notes”) in a private placement for proceeds to the Company, after deducting the initial purchasers’ discount and out-of-pocket expenses, of $192.7 million. The Notes bear interest at 5.5% per annum, payable semi-annually, and mature on October 17, 2008. The Notes are convertible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estimated fair value of the Notes at December 31, 2001 approximated their face value due to the proximity to the Notes’ issuance date.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 xml:space="preserve">With respect to the Notes, the Company pledged as collateral $31.6 million of U.S. government securities (“Restricted Marketable Securities”) with maturities at various dates through August 2004. Upon maturity, the proceeds of the Restricted Marketable Securities will be sufficient to pay the first six scheduled interest payments on the Notes when due. The Company considers its Restricted Marketable Securities to be “held-to-maturity,” as defined by Statement of Financial Accounting Standards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These securities are reported at their amortized cost, which includes the direct costs to acquire the securities, plus the amortization of any discount or premium, and accrued interest earned on the 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the amortized cost basis and aggregate fair value of Restricted Marketable Securities, and gross unrealized holding gains and losses, at December 31, 2001:</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Unrealized Holding</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Amortized</w:t>
            </w:r>
          </w:p>
        </w:tc>
        <w:tc>
          <w:tcPr>
            <w:tcW w:w="280" w:type="dxa"/>
            <w:vAlign w:val="bottom"/>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10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Fair</w:t>
            </w: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2001</w:t>
            </w:r>
          </w:p>
        </w:tc>
        <w:tc>
          <w:tcPr>
            <w:tcW w:w="260" w:type="dxa"/>
            <w:vAlign w:val="bottom"/>
          </w:tcPr>
          <w:p>
            <w:pPr>
              <w:spacing w:after="0"/>
              <w:rPr>
                <w:sz w:val="16"/>
                <w:szCs w:val="16"/>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Cost Basis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Value</w:t>
            </w:r>
          </w:p>
        </w:tc>
        <w:tc>
          <w:tcPr>
            <w:tcW w:w="580" w:type="dxa"/>
            <w:vAlign w:val="bottom"/>
            <w:gridSpan w:val="3"/>
          </w:tcPr>
          <w:p>
            <w:pPr>
              <w:ind w:left="12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$10,890</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three years</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20,884</w:t>
            </w: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20,750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20" w:type="dxa"/>
            <w:vAlign w:val="bottom"/>
            <w:gridSpan w:val="4"/>
          </w:tcPr>
          <w:p>
            <w:pPr>
              <w:ind w:left="54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$31,774</w:t>
            </w:r>
          </w:p>
        </w:tc>
        <w:tc>
          <w:tcPr>
            <w:tcW w:w="34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$31,686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ind w:left="1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ind w:left="54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Restricted Marketable Securities has been estimated based on quoted market prices.</w:t>
      </w:r>
    </w:p>
    <w:p>
      <w:pPr>
        <w:spacing w:after="0" w:line="225" w:lineRule="exact"/>
        <w:rPr>
          <w:sz w:val="20"/>
          <w:szCs w:val="20"/>
          <w:color w:val="auto"/>
        </w:rPr>
      </w:pPr>
    </w:p>
    <w:p>
      <w:pPr>
        <w:ind w:left="560" w:hanging="332"/>
        <w:spacing w:after="0"/>
        <w:tabs>
          <w:tab w:leader="none" w:pos="5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scientific collaborators, universities, and consultants. The Company also has research collaborations with Medarex, Inc. and Emisphere Technologies, Inc., and a license and supply agreement with Shearwater Corporation.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12%, in the event the Company sells or licenses any proprietary products developed under the respective agreements.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agreements, where the Company is required to pay fees, provide for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$1.1 million, $0.6 million, and $0.6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2000, and 1999, respectively.</w:t>
      </w:r>
    </w:p>
    <w:p>
      <w:pPr>
        <w:spacing w:after="0" w:line="213" w:lineRule="exact"/>
        <w:rPr>
          <w:sz w:val="20"/>
          <w:szCs w:val="20"/>
          <w:color w:val="auto"/>
        </w:rPr>
      </w:pPr>
    </w:p>
    <w:p>
      <w:pPr>
        <w:ind w:left="220" w:right="9080" w:hanging="212"/>
        <w:spacing w:after="0" w:line="585" w:lineRule="auto"/>
        <w:tabs>
          <w:tab w:leader="none" w:pos="35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a. Amgen Inc.</w:t>
      </w:r>
    </w:p>
    <w:p>
      <w:pPr>
        <w:ind w:right="120" w:firstLine="324"/>
        <w:spacing w:after="0" w:line="291"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certain Pacific Rim countries. The Company accounts for its investment in the Partnership in accordance with the equity method of accounting. In 2001, 2000, and 1999, the Company recognized its share of the Partnership net loss in the amounts of $1.0 million, $4.6 million, and $4.2 million, respectively, which represents 50% of the total Partnership net loss. As of December 31, 2001, the Company continues to be an equal partner in the Partnership.</w:t>
      </w:r>
    </w:p>
    <w:p>
      <w:pPr>
        <w:spacing w:after="0" w:line="18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Payments the Company receives from the Partnership in connection with services provided to the Partnership, are recognized as contract research and development revenue as earned. Such revenue for the years ended December 31, 2001, 2000, and 1999 totaled $1.2 million, $6.2 million, and $3.6 million, respectively. In addition, the Amgen Agreement contains a provision whereby the Company will receive defined amounts (“Research Progress Payments”) from Amgen if and when each Product reaches certain levels of development.</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has no ongoing development activities for NT-3 at this time.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Selected financial data of the Partnership as of December 31, 2001 and 2000 and for the years ended December 31, 2001, 2000 and 1999, are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00" w:type="dxa"/>
            <w:vAlign w:val="bottom"/>
            <w:gridSpan w:val="3"/>
          </w:tcPr>
          <w:p>
            <w:pPr>
              <w:ind w:left="1720"/>
              <w:spacing w:after="0"/>
              <w:rPr>
                <w:sz w:val="20"/>
                <w:szCs w:val="20"/>
                <w:color w:val="auto"/>
              </w:rPr>
            </w:pPr>
            <w:r>
              <w:rPr>
                <w:rFonts w:ascii="Arial" w:cs="Arial" w:eastAsia="Arial" w:hAnsi="Arial"/>
                <w:sz w:val="14"/>
                <w:szCs w:val="14"/>
                <w:b w:val="1"/>
                <w:bCs w:val="1"/>
                <w:color w:val="auto"/>
              </w:rPr>
              <w:t>Balance Sheet Data</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2001</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$2,610</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due to partners(1)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Partners’ capital accounts</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Amgen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The Company</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921</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December 31, 2001 and 2000, includes $0.2 million and $1.6 million due the Company,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80" w:type="dxa"/>
            <w:vAlign w:val="bottom"/>
            <w:gridSpan w:val="3"/>
          </w:tcPr>
          <w:p>
            <w:pPr>
              <w:ind w:left="1140"/>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1999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expenses(2)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(2,172)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(9,497)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(8,684)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(2,003)</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(9,150)</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(8,318)</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$1.2 million, $6.2 million, and $3.6 million related to services provided by the Company in 2001, 2000, and 1999, respectively.</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During 1990, Amgen purchased 767,656 shares of Series D convertible preferred stock for $15.0 million. Such shares converted into 788,766 shares of Class A Stock in April 1991 at the time of the Company’s initial public offering. During April 1996, Amgen purchased from the Company 3.0 million shares of Common Stock and 700,000 warrants for $48.0 million. During March 2000, in accordance with the terms of their warrant agreement, as amended, Amgen exercised their 700,000 warrants with an exercise price of $16.00 per share. As consideration for the exercise price, Amgen tendered 221,958 shares of the Company’s Common Stock, which had an aggregate fair market value at the time of exercise equal to the aggregate exercise price of the warrants. The shares of Common Stock delivered to the Company by Amgen were retired upon receipt.</w:t>
      </w:r>
    </w:p>
    <w:p>
      <w:pPr>
        <w:spacing w:after="0" w:line="201"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During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86" w:lineRule="exact"/>
        <w:rPr>
          <w:sz w:val="20"/>
          <w:szCs w:val="20"/>
          <w:color w:val="auto"/>
        </w:rPr>
      </w:pPr>
    </w:p>
    <w:p>
      <w:pPr>
        <w:ind w:left="580" w:hanging="352"/>
        <w:spacing w:after="0"/>
        <w:tabs>
          <w:tab w:leader="none" w:pos="5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Pharmaceuticals Company, Ltd.</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June 1994, the Company entered into a research and development agreement (the “R&amp;D Agreement”) with Sumitomo Pharmaceuticals Company, Ltd. (“Sumitomo Pharmaceuticals”) to collaborate in the research and development of BDNF in Japan. In connection with the R&amp;D Agreement, Sumitomo Pharmaceuticals made payments to the Company for its activities in developing and validating manufacturing processes for BDNF, and manufacturing and supplying BDNF and other research materials to Sumitomo Pharmaceuticals. In 2001, 2000, and 1999, Regeneron recognized contract research and development revenue from Sumitomo Pharmaceuticals of $0.1 million, $0.8 million, and $0.1 million, respectively. In addition, the Company recognized contract manufacturing revenue of $0.1 million and $4.1 million in 2001 and 2000, respectively, as supplies of BDNF were shipped (FOB Destination Point) to Sumitomo Pharmaceuticals.</w:t>
      </w:r>
    </w:p>
    <w:p>
      <w:pPr>
        <w:spacing w:after="0" w:line="22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connection with the R&amp;D Agreement, in August 1998, Sumitomo Pharmaceuticals signed a license agreement with the Company for the development of BDNF in Japan. Pursuant to the license agreement, Sumitomo Pharmaceuticals made a research progress payment of $3.0 million (reduced by $0.3 million of Japanese withholding tax) in April 2000. The amount received in 2000 is included in research progress payments. In light of the discontinuation of BDNF development for ALS, the Company does not expect to receive further payments from Sumitomo Pharmaceuticals for research progress payments, contract research and development, or contract manufacturing.</w:t>
      </w:r>
    </w:p>
    <w:p>
      <w:pPr>
        <w:spacing w:after="0" w:line="224"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is recognizing this payment as revenue on a straight-line basis over the term of the TDA.</w:t>
      </w:r>
    </w:p>
    <w:p>
      <w:pPr>
        <w:spacing w:after="0" w:line="194"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In addition, Sumitomo Chemical also entered into a stock purchase agreement whereby it purchased, for $4.4 million, 885,062 shares of Class C Preferred Stock. Such shares converted into 909,401 shares of Class A Stock in April 1991 at the time of the Company’s initial public offering.</w:t>
      </w:r>
    </w:p>
    <w:p>
      <w:pPr>
        <w:spacing w:after="0" w:line="139" w:lineRule="exact"/>
        <w:rPr>
          <w:sz w:val="20"/>
          <w:szCs w:val="20"/>
          <w:color w:val="auto"/>
        </w:rPr>
      </w:pPr>
    </w:p>
    <w:p>
      <w:pPr>
        <w:ind w:left="560" w:hanging="332"/>
        <w:spacing w:after="0"/>
        <w:tabs>
          <w:tab w:leader="none" w:pos="5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Glaxo Wellcome plc</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94" w:lineRule="exact"/>
        <w:rPr>
          <w:sz w:val="20"/>
          <w:szCs w:val="20"/>
          <w:color w:val="auto"/>
        </w:rPr>
      </w:pPr>
    </w:p>
    <w:p>
      <w:pPr>
        <w:ind w:left="580" w:hanging="352"/>
        <w:spacing w:after="0"/>
        <w:tabs>
          <w:tab w:leader="none" w:pos="5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May 1997, the Company entered into a long-term collaboration agreement with The Procter &amp; Gamble Company (“P&amp;G”) to discover, develop, and commercialize pharmaceutical products (the “P&amp;G Agreement”) and P&amp;G agreed to provide funding for Regeneron’s research efforts related to the collaboration. In connection with the collaboration, in June 1997 and August 2000, P&amp;G purchased 4.35 million and 573,630 shares of the Company’s Common Stock at $9.87 and $29.75 per share for a total of $42.9 million and $17.1 million, respectively. In June 1997, P&amp;G also received five year warrants to purchase an additional 1.45 million shares of the Company’s stock at $9.87 per share, which were exercised in August 2000. As consideration for the exercise price, P&amp;G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P&amp;G acquired an additional 938,875 shares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Company’s Common Stock. The 511,125 shares of Common Stock delivered to the Company by P&amp;G were retired upon receipt. These equity purchases were in addition to a purchase by Procter &amp; Gamble Pharmaceuticals, Inc. of 800,000 shares of the Company’s Common Stock for $10.0 million that was completed in March 1997.</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Effective December 31, 2000, the Company and P&amp;G entered into a new collaboration agreement, replacing the P&amp;G Agreement. The new agreement extends P&amp;G’s obligation to fund Regeneron research through December 2005, with no further research obligations by either party thereafter, and focuses the companies’ collaborative research on therapeutic areas that are of particular interest to P&amp;G. Under the new agreement, beginning in the first quarter of 2001, research support from P&amp;G is $2.5 million per quarter, before adjustments for inflation, through December 2005. Any drugs that result from the collaboration will continue to be jointly developed and marketed worldwide, with the companies equally sharing development costs and profits. P&amp;G and the Company have divided rights to programs from the P&amp;G Agreement that are no longer part of the companies’ collaboration. Research funding from P&amp;G related to the collaboration totaled $59.1 million through December 31, 2001. In August 2000, P&amp;G made two research progress payments to Regeneron totaling $3.5 million. In addition, from September 1997 to the third quarter of 1999, P&amp;G also provided research support for the Company’s AXOKINE® program and, as a result, will be entitled to receive a small royalty on any sales of AXOKINE.</w:t>
      </w:r>
    </w:p>
    <w:p>
      <w:pPr>
        <w:spacing w:after="0" w:line="201"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Contract research and development revenue related to the companies’ collaboration agreements, including payments from P&amp;G related to AXOKINE, was $10.4 million, $28.3 million, and $20.8 million in 2001, 2000, and 1999, respectively. At December 31, 2001 and 2000, the P&amp;G contract research revenue receivable was $2.7 million and $6.9 million, respectively. There was no P&amp;G receivable balance at December 31, 1999.</w:t>
      </w:r>
    </w:p>
    <w:p>
      <w:pPr>
        <w:spacing w:after="0" w:line="155"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25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The Merck Agreement is expected to extend into 2005 and may be terminated at any time by Merck, with prior notice.</w:t>
      </w:r>
    </w:p>
    <w:p>
      <w:pPr>
        <w:spacing w:after="0" w:line="225" w:lineRule="exact"/>
        <w:rPr>
          <w:sz w:val="20"/>
          <w:szCs w:val="20"/>
          <w:color w:val="auto"/>
        </w:rPr>
      </w:pPr>
    </w:p>
    <w:p>
      <w:pPr>
        <w:ind w:right="240" w:firstLine="324"/>
        <w:spacing w:after="0" w:line="288"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2001, 2000, and 1999, Merck contract manufacturing revenue totaled $9.8 million, $12.5 million, and $10.0 million, respectively. Such amounts include $1.8 million, $2.9 million, and $0.4 million of previously deferred Capital Costs in 2001, 2000, and 1999, respectively.</w:t>
      </w:r>
    </w:p>
    <w:p>
      <w:pPr>
        <w:spacing w:after="0" w:line="180" w:lineRule="exact"/>
        <w:rPr>
          <w:sz w:val="20"/>
          <w:szCs w:val="20"/>
          <w:color w:val="auto"/>
        </w:rPr>
      </w:pPr>
    </w:p>
    <w:p>
      <w:pPr>
        <w:ind w:left="220" w:right="8280" w:hanging="212"/>
        <w:spacing w:after="0" w:line="585" w:lineRule="auto"/>
        <w:tabs>
          <w:tab w:leader="none" w:pos="43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and Stock Purchase Plans </w:t>
      </w:r>
      <w:r>
        <w:rPr>
          <w:rFonts w:ascii="Arial" w:cs="Arial" w:eastAsia="Arial" w:hAnsi="Arial"/>
          <w:sz w:val="16"/>
          <w:szCs w:val="16"/>
          <w:b w:val="1"/>
          <w:bCs w:val="1"/>
          <w:i w:val="1"/>
          <w:iCs w:val="1"/>
          <w:color w:val="auto"/>
        </w:rPr>
        <w:t>a. Long-Term Incentive Plans</w:t>
      </w:r>
    </w:p>
    <w:p>
      <w:pPr>
        <w:ind w:right="40" w:firstLine="324"/>
        <w:spacing w:after="0" w:line="294"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provides for the issuance of up to 6,000,000 shares of Common Stock in respect of awards.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22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13"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During 1990, the Company established the Regeneron Pharmaceuticals, Inc. 1990 Long-Term Incentive Plan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97"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Transactions involving stock option awards during 1999, 2000, and 2001, under the 1990 and 2000 Incentive Plans, are summarized in the table below. Option exercise prices were equal to the fair market value of the Company’s Common Stock on the date of grant. The total number of options exercisable at December 31, 1999, 2000, and 2001 was 2,366,180, 2,533,662, and 3,374,169 respectively, with weighted average exercise prices of $8.00, $8.31, and $11.99 respectively.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8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Weighted-Average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5"/>
                <w:szCs w:val="15"/>
                <w:color w:val="auto"/>
              </w:rPr>
            </w:pPr>
          </w:p>
        </w:tc>
        <w:tc>
          <w:tcPr>
            <w:tcW w:w="18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Stock options outstanding at December 31, 1998</w:t>
            </w:r>
          </w:p>
        </w:tc>
        <w:tc>
          <w:tcPr>
            <w:tcW w:w="2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4,173,625</w:t>
            </w: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8.08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jc w:val="right"/>
              <w:ind w:right="3532"/>
              <w:spacing w:after="0"/>
              <w:rPr>
                <w:sz w:val="20"/>
                <w:szCs w:val="20"/>
                <w:color w:val="auto"/>
              </w:rPr>
            </w:pPr>
            <w:r>
              <w:rPr>
                <w:rFonts w:ascii="Arial" w:cs="Arial" w:eastAsia="Arial" w:hAnsi="Arial"/>
                <w:sz w:val="18"/>
                <w:szCs w:val="18"/>
                <w:b w:val="1"/>
                <w:bCs w:val="1"/>
                <w:color w:val="auto"/>
                <w:w w:val="82"/>
              </w:rPr>
              <w:t>1999:</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Stock options granted</w:t>
            </w:r>
          </w:p>
        </w:tc>
        <w:tc>
          <w:tcPr>
            <w:tcW w:w="2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2,112,345</w:t>
            </w: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8.08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Stock options canceled</w:t>
            </w:r>
          </w:p>
        </w:tc>
        <w:tc>
          <w:tcPr>
            <w:tcW w:w="3000" w:type="dxa"/>
            <w:vAlign w:val="bottom"/>
            <w:gridSpan w:val="4"/>
          </w:tcPr>
          <w:p>
            <w:pPr>
              <w:jc w:val="right"/>
              <w:ind w:right="280"/>
              <w:spacing w:after="0"/>
              <w:rPr>
                <w:sz w:val="20"/>
                <w:szCs w:val="20"/>
                <w:color w:val="auto"/>
              </w:rPr>
            </w:pPr>
            <w:r>
              <w:rPr>
                <w:rFonts w:ascii="Arial" w:cs="Arial" w:eastAsia="Arial" w:hAnsi="Arial"/>
                <w:sz w:val="18"/>
                <w:szCs w:val="18"/>
                <w:color w:val="auto"/>
              </w:rPr>
              <w:t>(96,704)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w w:val="88"/>
              </w:rPr>
              <w:t>10.14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Stock options exercised</w:t>
            </w:r>
          </w:p>
        </w:tc>
        <w:tc>
          <w:tcPr>
            <w:tcW w:w="30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(367,470)</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3.89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7"/>
              </w:rPr>
              <w:t>Stock options outstanding at December 31, 1999</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5,821,796</w:t>
            </w:r>
          </w:p>
        </w:tc>
        <w:tc>
          <w:tcPr>
            <w:tcW w:w="3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rPr>
              <w:t>8.29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020" w:type="dxa"/>
            <w:vAlign w:val="bottom"/>
            <w:shd w:val="clear" w:color="auto" w:fill="EEEEEE"/>
          </w:tcPr>
          <w:p>
            <w:pPr>
              <w:jc w:val="right"/>
              <w:ind w:right="3532"/>
              <w:spacing w:after="0"/>
              <w:rPr>
                <w:sz w:val="20"/>
                <w:szCs w:val="20"/>
                <w:color w:val="auto"/>
              </w:rPr>
            </w:pPr>
            <w:r>
              <w:rPr>
                <w:rFonts w:ascii="Arial" w:cs="Arial" w:eastAsia="Arial" w:hAnsi="Arial"/>
                <w:sz w:val="18"/>
                <w:szCs w:val="18"/>
                <w:b w:val="1"/>
                <w:bCs w:val="1"/>
                <w:color w:val="auto"/>
                <w:w w:val="82"/>
              </w:rPr>
              <w:t>2000:</w:t>
            </w:r>
          </w:p>
        </w:tc>
        <w:tc>
          <w:tcPr>
            <w:tcW w:w="1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Stock options granted</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2,633,850</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w w:val="88"/>
              </w:rPr>
              <w:t>36.55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Stock options canceled</w:t>
            </w:r>
          </w:p>
        </w:tc>
        <w:tc>
          <w:tcPr>
            <w:tcW w:w="30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(267,531)</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9.23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Stock options exercised</w:t>
            </w:r>
          </w:p>
        </w:tc>
        <w:tc>
          <w:tcPr>
            <w:tcW w:w="3000" w:type="dxa"/>
            <w:vAlign w:val="bottom"/>
            <w:gridSpan w:val="4"/>
          </w:tcPr>
          <w:p>
            <w:pPr>
              <w:jc w:val="right"/>
              <w:ind w:right="280"/>
              <w:spacing w:after="0"/>
              <w:rPr>
                <w:sz w:val="20"/>
                <w:szCs w:val="20"/>
                <w:color w:val="auto"/>
              </w:rPr>
            </w:pPr>
            <w:r>
              <w:rPr>
                <w:rFonts w:ascii="Arial" w:cs="Arial" w:eastAsia="Arial" w:hAnsi="Arial"/>
                <w:sz w:val="18"/>
                <w:szCs w:val="18"/>
                <w:color w:val="auto"/>
              </w:rPr>
              <w:t>(757,056)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rPr>
              <w:t>7.28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7"/>
              </w:rPr>
              <w:t>Stock options outstanding at December 31, 2000</w:t>
            </w:r>
          </w:p>
        </w:tc>
        <w:tc>
          <w:tcPr>
            <w:tcW w:w="2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7,431,059</w:t>
            </w: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8"/>
              </w:rPr>
              <w:t>18.37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gridSpan w:val="2"/>
            <w:vMerge w:val="restart"/>
          </w:tcPr>
          <w:p>
            <w:pPr>
              <w:jc w:val="right"/>
              <w:ind w:right="3532"/>
              <w:spacing w:after="0"/>
              <w:rPr>
                <w:sz w:val="20"/>
                <w:szCs w:val="20"/>
                <w:color w:val="auto"/>
              </w:rPr>
            </w:pPr>
            <w:r>
              <w:rPr>
                <w:rFonts w:ascii="Arial" w:cs="Arial" w:eastAsia="Arial" w:hAnsi="Arial"/>
                <w:sz w:val="18"/>
                <w:szCs w:val="18"/>
                <w:b w:val="1"/>
                <w:bCs w:val="1"/>
                <w:color w:val="auto"/>
              </w:rPr>
              <w:t>2001:</w:t>
            </w:r>
          </w:p>
        </w:tc>
        <w:tc>
          <w:tcPr>
            <w:tcW w:w="1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1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Stock options granted</w:t>
            </w:r>
          </w:p>
        </w:tc>
        <w:tc>
          <w:tcPr>
            <w:tcW w:w="2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2,325,947</w:t>
            </w: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8"/>
              </w:rPr>
              <w:t>28.51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Stock options canceled</w:t>
            </w:r>
          </w:p>
        </w:tc>
        <w:tc>
          <w:tcPr>
            <w:tcW w:w="3000" w:type="dxa"/>
            <w:vAlign w:val="bottom"/>
            <w:gridSpan w:val="4"/>
          </w:tcPr>
          <w:p>
            <w:pPr>
              <w:jc w:val="right"/>
              <w:ind w:right="280"/>
              <w:spacing w:after="0"/>
              <w:rPr>
                <w:sz w:val="20"/>
                <w:szCs w:val="20"/>
                <w:color w:val="auto"/>
              </w:rPr>
            </w:pPr>
            <w:r>
              <w:rPr>
                <w:rFonts w:ascii="Arial" w:cs="Arial" w:eastAsia="Arial" w:hAnsi="Arial"/>
                <w:sz w:val="18"/>
                <w:szCs w:val="18"/>
                <w:color w:val="auto"/>
              </w:rPr>
              <w:t>(170,712)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w w:val="88"/>
              </w:rPr>
              <w:t>23.74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Stock options exercised</w:t>
            </w:r>
          </w:p>
        </w:tc>
        <w:tc>
          <w:tcPr>
            <w:tcW w:w="30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(258,255)</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7.67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7"/>
              </w:rPr>
              <w:t>Stock options outstanding at December 31, 2001</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9,328,039</w:t>
            </w:r>
          </w:p>
        </w:tc>
        <w:tc>
          <w:tcPr>
            <w:tcW w:w="3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92"/>
              <w:spacing w:after="0"/>
              <w:rPr>
                <w:sz w:val="20"/>
                <w:szCs w:val="20"/>
                <w:color w:val="auto"/>
              </w:rPr>
            </w:pPr>
            <w:r>
              <w:rPr>
                <w:rFonts w:ascii="Arial" w:cs="Arial" w:eastAsia="Arial" w:hAnsi="Arial"/>
                <w:sz w:val="18"/>
                <w:szCs w:val="18"/>
                <w:color w:val="auto"/>
                <w:w w:val="88"/>
              </w:rPr>
              <w:t>21.10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9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0" w:type="dxa"/>
            <w:vAlign w:val="bottom"/>
            <w:gridSpan w:val="4"/>
          </w:tcPr>
          <w:p>
            <w:pPr>
              <w:jc w:val="right"/>
              <w:ind w:right="2300"/>
              <w:spacing w:after="0"/>
              <w:rPr>
                <w:sz w:val="20"/>
                <w:szCs w:val="20"/>
                <w:color w:val="auto"/>
              </w:rPr>
            </w:pPr>
            <w:r>
              <w:rPr>
                <w:rFonts w:ascii="Arial" w:cs="Arial" w:eastAsia="Arial" w:hAnsi="Arial"/>
                <w:sz w:val="18"/>
                <w:szCs w:val="18"/>
                <w:color w:val="auto"/>
              </w:rPr>
              <w:t>F-23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information as of December 31, 2001: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ind w:right="32"/>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2"/>
              </w:rPr>
              <w:t>Options Exercisable</w:t>
            </w:r>
          </w:p>
        </w:tc>
        <w:tc>
          <w:tcPr>
            <w:tcW w:w="1080" w:type="dxa"/>
            <w:vAlign w:val="bottom"/>
          </w:tcPr>
          <w:p>
            <w:pPr>
              <w:spacing w:after="0"/>
              <w:rPr>
                <w:sz w:val="15"/>
                <w:szCs w:val="15"/>
                <w:color w:val="auto"/>
              </w:rPr>
            </w:pPr>
          </w:p>
        </w:tc>
      </w:tr>
      <w:tr>
        <w:trPr>
          <w:trHeight w:val="95"/>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37"/>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49"/>
        </w:trPr>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Range of</w:t>
            </w:r>
          </w:p>
        </w:tc>
        <w:tc>
          <w:tcPr>
            <w:tcW w:w="4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18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right"/>
              <w:ind w:right="332"/>
              <w:spacing w:after="0" w:line="149" w:lineRule="exact"/>
              <w:rPr>
                <w:sz w:val="20"/>
                <w:szCs w:val="20"/>
                <w:color w:val="auto"/>
              </w:rPr>
            </w:pPr>
            <w:r>
              <w:rPr>
                <w:rFonts w:ascii="Arial" w:cs="Arial" w:eastAsia="Arial" w:hAnsi="Arial"/>
                <w:sz w:val="14"/>
                <w:szCs w:val="14"/>
                <w:b w:val="1"/>
                <w:bCs w:val="1"/>
                <w:color w:val="auto"/>
              </w:rPr>
              <w:t>Weighted Average</w:t>
            </w:r>
          </w:p>
        </w:tc>
      </w:tr>
      <w:tr>
        <w:trPr>
          <w:trHeight w:val="174"/>
        </w:trPr>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Exercise Prices</w:t>
            </w: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Contractual Life</w:t>
            </w:r>
          </w:p>
        </w:tc>
        <w:tc>
          <w:tcPr>
            <w:tcW w:w="260" w:type="dxa"/>
            <w:vAlign w:val="bottom"/>
          </w:tcPr>
          <w:p>
            <w:pPr>
              <w:spacing w:after="0"/>
              <w:rPr>
                <w:sz w:val="15"/>
                <w:szCs w:val="15"/>
                <w:color w:val="auto"/>
              </w:rPr>
            </w:pPr>
          </w:p>
        </w:tc>
        <w:tc>
          <w:tcPr>
            <w:tcW w:w="18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Exercise Price</w:t>
            </w:r>
          </w:p>
        </w:tc>
      </w:tr>
      <w:tr>
        <w:trPr>
          <w:trHeight w:val="95"/>
        </w:trPr>
        <w:tc>
          <w:tcPr>
            <w:tcW w:w="1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102"/>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$ 3.00 to $ 7.41</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1,660,551</w:t>
            </w:r>
          </w:p>
        </w:tc>
        <w:tc>
          <w:tcPr>
            <w:tcW w:w="34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632"/>
              <w:spacing w:after="0"/>
              <w:rPr>
                <w:sz w:val="20"/>
                <w:szCs w:val="20"/>
                <w:color w:val="auto"/>
              </w:rPr>
            </w:pPr>
            <w:r>
              <w:rPr>
                <w:rFonts w:ascii="Arial" w:cs="Arial" w:eastAsia="Arial" w:hAnsi="Arial"/>
                <w:sz w:val="18"/>
                <w:szCs w:val="18"/>
                <w:color w:val="auto"/>
              </w:rPr>
              <w:t>4.73</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5.90</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1,187,702</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5.34</w:t>
            </w:r>
          </w:p>
        </w:tc>
      </w:tr>
      <w:tr>
        <w:trPr>
          <w:trHeight w:val="216"/>
        </w:trPr>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$ 7.44 to $ 9.50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1,732,534</w:t>
            </w:r>
          </w:p>
        </w:tc>
        <w:tc>
          <w:tcPr>
            <w:tcW w:w="340" w:type="dxa"/>
            <w:vAlign w:val="bottom"/>
          </w:tcPr>
          <w:p>
            <w:pPr>
              <w:spacing w:after="0"/>
              <w:rPr>
                <w:sz w:val="18"/>
                <w:szCs w:val="18"/>
                <w:color w:val="auto"/>
              </w:rPr>
            </w:pPr>
          </w:p>
        </w:tc>
        <w:tc>
          <w:tcPr>
            <w:tcW w:w="2060" w:type="dxa"/>
            <w:vAlign w:val="bottom"/>
            <w:gridSpan w:val="2"/>
          </w:tcPr>
          <w:p>
            <w:pPr>
              <w:jc w:val="right"/>
              <w:ind w:right="632"/>
              <w:spacing w:after="0"/>
              <w:rPr>
                <w:sz w:val="20"/>
                <w:szCs w:val="20"/>
                <w:color w:val="auto"/>
              </w:rPr>
            </w:pPr>
            <w:r>
              <w:rPr>
                <w:rFonts w:ascii="Arial" w:cs="Arial" w:eastAsia="Arial" w:hAnsi="Arial"/>
                <w:sz w:val="18"/>
                <w:szCs w:val="18"/>
                <w:color w:val="auto"/>
              </w:rPr>
              <w:t>7.00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rPr>
              <w:t>8.68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821,360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rPr>
              <w:t>8.69</w:t>
            </w: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$ 9.53 to $25.43</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1,715,133</w:t>
            </w:r>
          </w:p>
        </w:tc>
        <w:tc>
          <w:tcPr>
            <w:tcW w:w="34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632"/>
              <w:spacing w:after="0"/>
              <w:rPr>
                <w:sz w:val="20"/>
                <w:szCs w:val="20"/>
                <w:color w:val="auto"/>
              </w:rPr>
            </w:pPr>
            <w:r>
              <w:rPr>
                <w:rFonts w:ascii="Arial" w:cs="Arial" w:eastAsia="Arial" w:hAnsi="Arial"/>
                <w:sz w:val="18"/>
                <w:szCs w:val="18"/>
                <w:color w:val="auto"/>
              </w:rPr>
              <w:t>5.68</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16.76</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976,179</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12.47</w:t>
            </w:r>
          </w:p>
        </w:tc>
      </w:tr>
      <w:tr>
        <w:trPr>
          <w:trHeight w:val="216"/>
        </w:trPr>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$25.63 to $28.01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1,933,017</w:t>
            </w:r>
          </w:p>
        </w:tc>
        <w:tc>
          <w:tcPr>
            <w:tcW w:w="340" w:type="dxa"/>
            <w:vAlign w:val="bottom"/>
          </w:tcPr>
          <w:p>
            <w:pPr>
              <w:spacing w:after="0"/>
              <w:rPr>
                <w:sz w:val="18"/>
                <w:szCs w:val="18"/>
                <w:color w:val="auto"/>
              </w:rPr>
            </w:pPr>
          </w:p>
        </w:tc>
        <w:tc>
          <w:tcPr>
            <w:tcW w:w="2060" w:type="dxa"/>
            <w:vAlign w:val="bottom"/>
            <w:gridSpan w:val="2"/>
          </w:tcPr>
          <w:p>
            <w:pPr>
              <w:jc w:val="right"/>
              <w:ind w:right="632"/>
              <w:spacing w:after="0"/>
              <w:rPr>
                <w:sz w:val="20"/>
                <w:szCs w:val="20"/>
                <w:color w:val="auto"/>
              </w:rPr>
            </w:pPr>
            <w:r>
              <w:rPr>
                <w:rFonts w:ascii="Arial" w:cs="Arial" w:eastAsia="Arial" w:hAnsi="Arial"/>
                <w:sz w:val="18"/>
                <w:szCs w:val="18"/>
                <w:color w:val="auto"/>
              </w:rPr>
              <w:t>9.94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27.98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7,170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26.65</w:t>
            </w: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$28.12 to $51.56</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2,286,804</w:t>
            </w:r>
          </w:p>
        </w:tc>
        <w:tc>
          <w:tcPr>
            <w:tcW w:w="34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632"/>
              <w:spacing w:after="0"/>
              <w:rPr>
                <w:sz w:val="20"/>
                <w:szCs w:val="20"/>
                <w:color w:val="auto"/>
              </w:rPr>
            </w:pPr>
            <w:r>
              <w:rPr>
                <w:rFonts w:ascii="Arial" w:cs="Arial" w:eastAsia="Arial" w:hAnsi="Arial"/>
                <w:sz w:val="18"/>
                <w:szCs w:val="18"/>
                <w:color w:val="auto"/>
              </w:rPr>
              <w:t>8.86</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38.99</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381,758</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38.23</w:t>
            </w:r>
          </w:p>
        </w:tc>
      </w:tr>
      <w:tr>
        <w:trPr>
          <w:trHeight w:val="108"/>
        </w:trPr>
        <w:tc>
          <w:tcPr>
            <w:tcW w:w="18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20" w:type="dxa"/>
            <w:vAlign w:val="bottom"/>
            <w:gridSpan w:val="3"/>
          </w:tcPr>
          <w:p>
            <w:pPr>
              <w:spacing w:after="0"/>
              <w:rPr>
                <w:sz w:val="9"/>
                <w:szCs w:val="9"/>
                <w:color w:val="auto"/>
              </w:rPr>
            </w:pPr>
          </w:p>
        </w:tc>
        <w:tc>
          <w:tcPr>
            <w:tcW w:w="1080" w:type="dxa"/>
            <w:vAlign w:val="bottom"/>
          </w:tcPr>
          <w:p>
            <w:pPr>
              <w:spacing w:after="0"/>
              <w:rPr>
                <w:sz w:val="9"/>
                <w:szCs w:val="9"/>
                <w:color w:val="auto"/>
              </w:rPr>
            </w:pPr>
          </w:p>
        </w:tc>
      </w:tr>
      <w:tr>
        <w:trPr>
          <w:trHeight w:val="316"/>
        </w:trPr>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$ 3.00 to $51.56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9,328,039</w:t>
            </w:r>
          </w:p>
        </w:tc>
        <w:tc>
          <w:tcPr>
            <w:tcW w:w="340" w:type="dxa"/>
            <w:vAlign w:val="bottom"/>
          </w:tcPr>
          <w:p>
            <w:pPr>
              <w:spacing w:after="0"/>
              <w:rPr>
                <w:sz w:val="24"/>
                <w:szCs w:val="24"/>
                <w:color w:val="auto"/>
              </w:rPr>
            </w:pPr>
          </w:p>
        </w:tc>
        <w:tc>
          <w:tcPr>
            <w:tcW w:w="2060" w:type="dxa"/>
            <w:vAlign w:val="bottom"/>
            <w:gridSpan w:val="2"/>
          </w:tcPr>
          <w:p>
            <w:pPr>
              <w:jc w:val="right"/>
              <w:ind w:right="632"/>
              <w:spacing w:after="0"/>
              <w:rPr>
                <w:sz w:val="20"/>
                <w:szCs w:val="20"/>
                <w:color w:val="auto"/>
              </w:rPr>
            </w:pPr>
            <w:r>
              <w:rPr>
                <w:rFonts w:ascii="Arial" w:cs="Arial" w:eastAsia="Arial" w:hAnsi="Arial"/>
                <w:sz w:val="18"/>
                <w:szCs w:val="18"/>
                <w:color w:val="auto"/>
              </w:rPr>
              <w:t>7.42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21.10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3,374,169</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11.99</w:t>
            </w:r>
          </w:p>
        </w:tc>
      </w:tr>
      <w:tr>
        <w:trPr>
          <w:trHeight w:val="107"/>
        </w:trPr>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61"/>
        </w:trPr>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r>
    </w:tbl>
    <w:p>
      <w:pPr>
        <w:spacing w:after="0" w:line="340"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 following table summarizes the pro forma operating results of the Company had compensation costs for the Incentive Plans been determined in accordance with the fair value based method of accounting for stock based compensation as prescribed by SFAS No. 123. Since option grants awarded during 2001, 2000, and 1999 vest over several years and additional awards are expected to be issued in the future, the pro forma results shown below are not likely to be representative of the effects on future years of the application of the fair value based method.</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9"/>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loss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(102,909)</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(33,131)</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(27,739)</w:t>
            </w:r>
          </w:p>
        </w:tc>
        <w:tc>
          <w:tcPr>
            <w:tcW w:w="0" w:type="dxa"/>
            <w:vAlign w:val="bottom"/>
          </w:tcPr>
          <w:p>
            <w:pPr>
              <w:spacing w:after="0"/>
              <w:rPr>
                <w:sz w:val="1"/>
                <w:szCs w:val="1"/>
                <w:color w:val="auto"/>
              </w:rPr>
            </w:pPr>
          </w:p>
        </w:tc>
      </w:tr>
      <w:tr>
        <w:trPr>
          <w:trHeight w:val="105"/>
        </w:trPr>
        <w:tc>
          <w:tcPr>
            <w:tcW w:w="49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8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80" w:type="dxa"/>
            <w:vAlign w:val="bottom"/>
            <w:gridSpan w:val="2"/>
          </w:tcPr>
          <w:p>
            <w:pPr>
              <w:spacing w:after="0"/>
              <w:rPr>
                <w:sz w:val="20"/>
                <w:szCs w:val="20"/>
                <w:color w:val="auto"/>
              </w:rPr>
            </w:pPr>
            <w:r>
              <w:rPr>
                <w:rFonts w:ascii="Arial" w:cs="Arial" w:eastAsia="Arial" w:hAnsi="Arial"/>
                <w:sz w:val="18"/>
                <w:szCs w:val="18"/>
                <w:color w:val="auto"/>
              </w:rPr>
              <w:t>Pro forma net loss per share, basic and 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For the purpose of the above pro forma calculation, the fair value of each option granted from the Incentive Plans during 2001, 2000, and 1999 was estimated on the date of grant using the Black-Scholes option-pricing model. The weighted-average fair value of the options granted during 2001, 2000, and 1999 was $19.74, $24.35, and $5.27, respectively. The following table summarizes the assumptions used in computing the fair value of option grants.</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13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2000</w:t>
            </w:r>
          </w:p>
        </w:tc>
        <w:tc>
          <w:tcPr>
            <w:tcW w:w="13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Expected lives</w:t>
            </w:r>
          </w:p>
        </w:tc>
        <w:tc>
          <w:tcPr>
            <w:tcW w:w="1100" w:type="dxa"/>
            <w:vAlign w:val="bottom"/>
          </w:tcPr>
          <w:p>
            <w:pPr>
              <w:jc w:val="right"/>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 years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5.10%-7.00%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5.90%-6.00%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6.02%-6.26%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During 2001 and 2000, 80,535 and 34,785 shares of Restricted Stock were awarded under the 2000 Incentive Plan. These shares are nontransferable with such restriction lapsing with respect to 25% of the shares every six months over a two-year period beginning in January 2002 and 2001, respectively. In accordance with generally accepted accounting principles, the Company recorded unearned compensation within Stockholders’ Equity of $2.2 million and $1.3 million in 2001 and 2000, respectively, related to these awards. This amount was based on the fair market value of shares of the Company’s Common Stock on the date of grant and will be expensed, on a pro rata basis, over the two year period that the restriction on these shares lapses.</w:t>
      </w:r>
    </w:p>
    <w:p>
      <w:pPr>
        <w:spacing w:after="0" w:line="197"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Company recognized compensation expense from stock-based awards of $0.7 million in 2001 and $0.4 million (see Note 7) in 1999. No stock-based compensation expense was recognized during 2000.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2001, there were 1,446,396 shares available for future grants under the 2000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left="580" w:hanging="352"/>
        <w:spacing w:after="0"/>
        <w:tabs>
          <w:tab w:leader="none" w:pos="5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2001, there were 44,246 shares available for future grants under the Plan.</w:t>
      </w:r>
    </w:p>
    <w:p>
      <w:pPr>
        <w:spacing w:after="0" w:line="166"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$0.6 million in 2001, $0.5 million in 2000, and $0.4 million in 1999; such amounts were accrued as liabilities at December 31, 2001, 2000, and 1999, respectively. During the first quarter of 2002, 2001, and 2000, the Company contributed 21,953, 17,484, and 54,003 shares, respectively, of Common Stock to the Savings Plan in satisfaction of these obligations.</w:t>
      </w:r>
    </w:p>
    <w:p>
      <w:pPr>
        <w:spacing w:after="0" w:line="195"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is no benefit for federal or state income taxes for the years ended December 31, 1999 and 2000, since the Company has incurred operating losses since inception and established a valuation allowance equal to the total deferred tax asset. During the year ended December 31, 2001, the Company capitalized research and development costs for tax purposes which resulted in taxable income of approximately $6.5 million. However, there is no tax provision for the year ended December 31, 2001 as the Company was able to utilize net operating loss carryforwards that previously had been fully provided for. The effects of the alternative minimum tax on the 2001 provision were immaterial.</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2001 and 2000 was as follows: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2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73,975</w:t>
            </w: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86,935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Fixed assets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2,560</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5,584</w:t>
            </w: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5,620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and experimental tax credit carry-forward</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10,660</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14,101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Capitalized research and development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43,244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3,507</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(139,530)</w:t>
            </w: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(110,312)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35% is attributable to state tax benefits and tax credit carry-forwards offset by an increase in the deferred tax valuation allowance.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As of December 31, 2001, the Company had available for tax purposes unused net operating loss carry-forwards of $180.6 million which will expire in various years from 2006 to 2021. The Company’s research and experimental tax credit carry-forwards expire in various years from 2004 to 2021. Future changes in the ownership of the Company could limit the future utilization of these net operating loss and tax credit carry-forwards, as defined by the Federal and state tax codes.</w:t>
      </w:r>
    </w:p>
    <w:p>
      <w:pPr>
        <w:spacing w:after="0" w:line="191"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Company, from time to time, has been subject to legal claims arising in connection with its business. While the ultimate results of the legal claims cannot be predicted with certainty, at December 31, 2001 there were no asserted claims against the Company which, in the opinion of management, if adversely decided would have a material adverse effect on the Company’s financial position, results of operations, and cash flows.</w:t>
      </w:r>
    </w:p>
    <w:p>
      <w:pPr>
        <w:spacing w:after="0" w:line="155"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8"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The Company’s basic net loss per share amounts have been computed by dividing net loss by the weighted average number of Common and Class A shares outstanding. In 2001, 2000, and 1999,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4"/>
              </w:rPr>
              <w:t>Net Loss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(Numerator,</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(Denominator,</w:t>
            </w:r>
          </w:p>
        </w:tc>
        <w:tc>
          <w:tcPr>
            <w:tcW w:w="280" w:type="dxa"/>
            <w:vAlign w:val="bottom"/>
          </w:tcPr>
          <w:p>
            <w:pPr>
              <w:spacing w:after="0"/>
              <w:rPr>
                <w:sz w:val="12"/>
                <w:szCs w:val="12"/>
                <w:color w:val="auto"/>
              </w:rPr>
            </w:pPr>
          </w:p>
        </w:tc>
        <w:tc>
          <w:tcPr>
            <w:tcW w:w="12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2001:</w:t>
            </w: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12"/>
              <w:spacing w:after="0"/>
              <w:rPr>
                <w:sz w:val="20"/>
                <w:szCs w:val="20"/>
                <w:color w:val="auto"/>
              </w:rPr>
            </w:pPr>
            <w:r>
              <w:rPr>
                <w:rFonts w:ascii="Arial" w:cs="Arial" w:eastAsia="Arial" w:hAnsi="Arial"/>
                <w:sz w:val="18"/>
                <w:szCs w:val="18"/>
                <w:color w:val="auto"/>
              </w:rPr>
              <w:t>Basic and Diluted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$(76,180)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42,075</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2000:</w:t>
            </w: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12"/>
              <w:spacing w:after="0"/>
              <w:rPr>
                <w:sz w:val="20"/>
                <w:szCs w:val="20"/>
                <w:color w:val="auto"/>
              </w:rPr>
            </w:pPr>
            <w:r>
              <w:rPr>
                <w:rFonts w:ascii="Arial" w:cs="Arial" w:eastAsia="Arial" w:hAnsi="Arial"/>
                <w:sz w:val="18"/>
                <w:szCs w:val="18"/>
                <w:color w:val="auto"/>
              </w:rPr>
              <w:t>Basic and Diluted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$(23,215)</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34,949</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1999:</w:t>
            </w: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jc w:val="right"/>
              <w:ind w:right="3512"/>
              <w:spacing w:after="0"/>
              <w:rPr>
                <w:sz w:val="20"/>
                <w:szCs w:val="20"/>
                <w:color w:val="auto"/>
              </w:rPr>
            </w:pPr>
            <w:r>
              <w:rPr>
                <w:rFonts w:ascii="Arial" w:cs="Arial" w:eastAsia="Arial" w:hAnsi="Arial"/>
                <w:sz w:val="18"/>
                <w:szCs w:val="18"/>
                <w:color w:val="auto"/>
              </w:rPr>
              <w:t>Basic and Diluted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$(23,070)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31,308</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Options, warrants, and convertible debt which have been excluded from the diluted per share amounts because their effect would have been antidilutive include the following:</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2001</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199"/>
              <w:spacing w:after="0"/>
              <w:rPr>
                <w:sz w:val="20"/>
                <w:szCs w:val="20"/>
                <w:color w:val="auto"/>
              </w:rPr>
            </w:pPr>
            <w:r>
              <w:rPr>
                <w:rFonts w:ascii="Arial" w:cs="Arial" w:eastAsia="Arial" w:hAnsi="Arial"/>
                <w:sz w:val="14"/>
                <w:szCs w:val="14"/>
                <w:b w:val="1"/>
                <w:bCs w:val="1"/>
                <w:color w:val="auto"/>
                <w:w w:val="83"/>
              </w:rPr>
              <w:t>1999</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2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180" w:type="dxa"/>
            <w:vAlign w:val="bottom"/>
            <w:gridSpan w:val="2"/>
          </w:tcPr>
          <w:p>
            <w:pPr>
              <w:jc w:val="right"/>
              <w:ind w:right="260"/>
              <w:spacing w:after="0"/>
              <w:rPr>
                <w:sz w:val="20"/>
                <w:szCs w:val="20"/>
                <w:color w:val="auto"/>
              </w:rPr>
            </w:pPr>
            <w:r>
              <w:rPr>
                <w:rFonts w:ascii="Arial" w:cs="Arial" w:eastAsia="Arial" w:hAnsi="Arial"/>
                <w:sz w:val="18"/>
                <w:szCs w:val="18"/>
                <w:color w:val="auto"/>
              </w:rPr>
              <w:t>7,598</w:t>
            </w: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6,819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8"/>
                <w:szCs w:val="18"/>
                <w:color w:val="auto"/>
                <w:w w:val="84"/>
              </w:rPr>
              <w:t>7,146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Exercise Price</w:t>
            </w:r>
          </w:p>
        </w:tc>
        <w:tc>
          <w:tcPr>
            <w:tcW w:w="3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$22.40</w:t>
            </w: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$11.95</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ind w:right="79"/>
              <w:spacing w:after="0"/>
              <w:rPr>
                <w:sz w:val="20"/>
                <w:szCs w:val="20"/>
                <w:color w:val="auto"/>
              </w:rPr>
            </w:pPr>
            <w:r>
              <w:rPr>
                <w:rFonts w:ascii="Arial" w:cs="Arial" w:eastAsia="Arial" w:hAnsi="Arial"/>
                <w:sz w:val="18"/>
                <w:szCs w:val="18"/>
                <w:color w:val="auto"/>
              </w:rPr>
              <w:t>9.31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Convertible Debt:</w:t>
            </w: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1,377</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180" w:type="dxa"/>
            <w:vAlign w:val="bottom"/>
            <w:gridSpan w:val="2"/>
          </w:tcPr>
          <w:p>
            <w:pPr>
              <w:jc w:val="right"/>
              <w:ind w:right="260"/>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80" w:type="dxa"/>
            <w:vAlign w:val="bottom"/>
            <w:gridSpan w:val="2"/>
          </w:tcPr>
          <w:p>
            <w:pPr>
              <w:jc w:val="right"/>
              <w:ind w:right="2200"/>
              <w:spacing w:after="0"/>
              <w:rPr>
                <w:sz w:val="20"/>
                <w:szCs w:val="20"/>
                <w:color w:val="auto"/>
              </w:rPr>
            </w:pPr>
            <w:r>
              <w:rPr>
                <w:rFonts w:ascii="Arial" w:cs="Arial" w:eastAsia="Arial" w:hAnsi="Arial"/>
                <w:sz w:val="18"/>
                <w:szCs w:val="18"/>
                <w:color w:val="auto"/>
              </w:rPr>
              <w:t>F-26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Beginning in 2000, the Company’s operations have been principally managed in two business segments: research and development, and contract manufacturing.</w:t>
      </w:r>
    </w:p>
    <w:p>
      <w:pPr>
        <w:spacing w:after="0" w:line="21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the development of manufacturing processes prior to commencing commercial production of a product under contract manufacturing arrangements.</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Contract manufacturing: </w:t>
      </w:r>
      <w:r>
        <w:rPr>
          <w:rFonts w:ascii="Arial" w:cs="Arial" w:eastAsia="Arial" w:hAnsi="Arial"/>
          <w:sz w:val="18"/>
          <w:szCs w:val="18"/>
          <w:color w:val="auto"/>
        </w:rPr>
        <w:t>Includes all revenues and expenses related to the commercial production of products under contract manufacturing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2001 and 2000, the Company produced Intermediate under the Merck Agreement (see Note 10). In addition, during 2000, the Company produced BDNF for Sumitomo Pharmaceuticals under the R&amp;D Agreement (see Note 9b).</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2000, the Company’s operations were all conducted under the research &amp; development business segment.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2001 and 2000:</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jc w:val="right"/>
              <w:ind w:right="335"/>
              <w:spacing w:after="0"/>
              <w:rPr>
                <w:sz w:val="20"/>
                <w:szCs w:val="20"/>
                <w:color w:val="auto"/>
              </w:rPr>
            </w:pPr>
            <w:r>
              <w:rPr>
                <w:rFonts w:ascii="Arial" w:cs="Arial" w:eastAsia="Arial" w:hAnsi="Arial"/>
                <w:sz w:val="14"/>
                <w:szCs w:val="14"/>
                <w:b w:val="1"/>
                <w:bCs w:val="1"/>
                <w:color w:val="auto"/>
              </w:rPr>
              <w:t>Research &amp;</w:t>
            </w:r>
          </w:p>
        </w:tc>
        <w:tc>
          <w:tcPr>
            <w:tcW w:w="240" w:type="dxa"/>
            <w:vAlign w:val="bottom"/>
          </w:tcPr>
          <w:p>
            <w:pPr>
              <w:spacing w:after="0"/>
              <w:rPr>
                <w:sz w:val="14"/>
                <w:szCs w:val="14"/>
                <w:color w:val="auto"/>
              </w:rPr>
            </w:pPr>
          </w:p>
        </w:tc>
        <w:tc>
          <w:tcPr>
            <w:tcW w:w="160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Reconciling</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jc w:val="right"/>
              <w:ind w:right="295"/>
              <w:spacing w:after="0"/>
              <w:rPr>
                <w:sz w:val="20"/>
                <w:szCs w:val="20"/>
                <w:color w:val="auto"/>
              </w:rPr>
            </w:pPr>
            <w:r>
              <w:rPr>
                <w:rFonts w:ascii="Arial" w:cs="Arial" w:eastAsia="Arial" w:hAnsi="Arial"/>
                <w:sz w:val="14"/>
                <w:szCs w:val="14"/>
                <w:b w:val="1"/>
                <w:bCs w:val="1"/>
                <w:color w:val="auto"/>
              </w:rPr>
              <w:t>Development</w:t>
            </w:r>
          </w:p>
        </w:tc>
        <w:tc>
          <w:tcPr>
            <w:tcW w:w="240" w:type="dxa"/>
            <w:vAlign w:val="bottom"/>
          </w:tcPr>
          <w:p>
            <w:pPr>
              <w:spacing w:after="0"/>
              <w:rPr>
                <w:sz w:val="15"/>
                <w:szCs w:val="15"/>
                <w:color w:val="auto"/>
              </w:rPr>
            </w:pPr>
          </w:p>
        </w:tc>
        <w:tc>
          <w:tcPr>
            <w:tcW w:w="16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4"/>
              <w:spacing w:after="0"/>
              <w:rPr>
                <w:sz w:val="20"/>
                <w:szCs w:val="20"/>
                <w:color w:val="auto"/>
              </w:rPr>
            </w:pPr>
            <w:r>
              <w:rPr>
                <w:rFonts w:ascii="Arial" w:cs="Arial" w:eastAsia="Arial" w:hAnsi="Arial"/>
                <w:sz w:val="14"/>
                <w:szCs w:val="14"/>
                <w:b w:val="1"/>
                <w:bCs w:val="1"/>
                <w:color w:val="auto"/>
              </w:rPr>
              <w:t>Items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1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$ 12,071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9,902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Loss in Amgen-Regeneron Partners</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5,866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2,503</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 income</w:t>
            </w:r>
          </w:p>
        </w:tc>
        <w:tc>
          <w:tcPr>
            <w:tcW w:w="1500" w:type="dxa"/>
            <w:vAlign w:val="bottom"/>
          </w:tcPr>
          <w:p>
            <w:pPr>
              <w:jc w:val="right"/>
              <w:ind w:right="335"/>
              <w:spacing w:after="0"/>
              <w:rPr>
                <w:sz w:val="20"/>
                <w:szCs w:val="20"/>
                <w:color w:val="auto"/>
              </w:rPr>
            </w:pPr>
            <w:r>
              <w:rPr>
                <w:rFonts w:ascii="Arial" w:cs="Arial" w:eastAsia="Arial" w:hAnsi="Arial"/>
                <w:sz w:val="18"/>
                <w:szCs w:val="18"/>
                <w:color w:val="auto"/>
              </w:rPr>
              <w:t>(90,192)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3,353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w w:val="98"/>
              </w:rPr>
              <w:t>10,659(1)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w w:val="92"/>
              </w:rPr>
              <w:t>(76,180)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9,469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37,948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9,369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w w:val="87"/>
              </w:rPr>
              <w:t>448,080(3)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495,397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1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$ 42,678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16,598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59,276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Loss in Amgen-Regeneron Partners</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4,575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4,421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86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 income</w:t>
            </w:r>
          </w:p>
        </w:tc>
        <w:tc>
          <w:tcPr>
            <w:tcW w:w="1500" w:type="dxa"/>
            <w:vAlign w:val="bottom"/>
          </w:tcPr>
          <w:p>
            <w:pPr>
              <w:jc w:val="right"/>
              <w:ind w:right="335"/>
              <w:spacing w:after="0"/>
              <w:rPr>
                <w:sz w:val="20"/>
                <w:szCs w:val="20"/>
                <w:color w:val="auto"/>
              </w:rPr>
            </w:pPr>
            <w:r>
              <w:rPr>
                <w:rFonts w:ascii="Arial" w:cs="Arial" w:eastAsia="Arial" w:hAnsi="Arial"/>
                <w:sz w:val="18"/>
                <w:szCs w:val="18"/>
                <w:color w:val="auto"/>
              </w:rPr>
              <w:t>(32,641)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8,480(4)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w w:val="92"/>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50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6,404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18,336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34,615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w w:val="87"/>
              </w:rPr>
              <w:t>155,323(3)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208,274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8d).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was capitalized into inventory.</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cash and cash equivalents, marketable securities, restricted marketable securities, prepaid expenses and other current assets, and other assets.</w:t>
      </w:r>
    </w:p>
    <w:p>
      <w:pPr>
        <w:spacing w:after="0" w:line="286" w:lineRule="exact"/>
        <w:rPr>
          <w:rFonts w:ascii="Arial" w:cs="Arial" w:eastAsia="Arial" w:hAnsi="Arial"/>
          <w:sz w:val="15"/>
          <w:szCs w:val="15"/>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investment income.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sz w:val="20"/>
          <w:szCs w:val="20"/>
          <w:color w:val="auto"/>
        </w:rPr>
      </w:pPr>
    </w:p>
    <w:p>
      <w:pPr>
        <w:ind w:right="140" w:firstLine="324"/>
        <w:spacing w:after="0" w:line="335" w:lineRule="auto"/>
        <w:rPr>
          <w:sz w:val="20"/>
          <w:szCs w:val="20"/>
          <w:color w:val="auto"/>
        </w:rPr>
      </w:pPr>
      <w:r>
        <w:rPr>
          <w:rFonts w:ascii="Arial" w:cs="Arial" w:eastAsia="Arial" w:hAnsi="Arial"/>
          <w:sz w:val="15"/>
          <w:szCs w:val="15"/>
          <w:color w:val="auto"/>
        </w:rPr>
        <w:t>Effective January 1, 2000, the Company changed its method of accounting for revenue recognition to conform with the guidance provided by SAB 101 (see Note 2). 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2001 and 2000.</w:t>
      </w:r>
    </w:p>
    <w:p>
      <w:pPr>
        <w:spacing w:after="0" w:line="169" w:lineRule="exact"/>
        <w:rPr>
          <w:sz w:val="20"/>
          <w:szCs w:val="20"/>
          <w:color w:val="auto"/>
        </w:rPr>
      </w:pPr>
    </w:p>
    <w:p>
      <w:pPr>
        <w:ind w:right="120" w:firstLine="324"/>
        <w:spacing w:after="0" w:line="335" w:lineRule="auto"/>
        <w:rPr>
          <w:sz w:val="20"/>
          <w:szCs w:val="20"/>
          <w:color w:val="auto"/>
        </w:rPr>
      </w:pPr>
      <w:r>
        <w:rPr>
          <w:rFonts w:ascii="Arial" w:cs="Arial" w:eastAsia="Arial" w:hAnsi="Arial"/>
          <w:sz w:val="15"/>
          <w:szCs w:val="15"/>
          <w:color w:val="auto"/>
        </w:rPr>
        <w:t>Summarized quarterly financial data for the years ended December 31, 2001 and 2000 are displayed in the following tables. Effective in 2001, the Company’s financial statement presentation of investment income in the Statement of Operations was reclassified to other income. Formerly, investment income was included in revenues. The effect of this reclassification for the quarters ended March 31, June 30, September 30, and December 31, 2000 is shown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1"/>
              </w:rPr>
              <w:t>First Quarter</w:t>
            </w: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Second Quarter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Third Quarter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5"/>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March 31, 2001</w:t>
            </w: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 2001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 2001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89"/>
              </w:rPr>
              <w:t>(Unaudited)</w:t>
            </w: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7"/>
              <w:spacing w:after="0"/>
              <w:rPr>
                <w:sz w:val="20"/>
                <w:szCs w:val="20"/>
                <w:color w:val="auto"/>
              </w:rPr>
            </w:pPr>
            <w:r>
              <w:rPr>
                <w:rFonts w:ascii="Arial" w:cs="Arial" w:eastAsia="Arial" w:hAnsi="Arial"/>
                <w:sz w:val="18"/>
                <w:szCs w:val="18"/>
                <w:color w:val="auto"/>
              </w:rPr>
              <w:t>6,313</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6"/>
              <w:spacing w:after="0"/>
              <w:rPr>
                <w:sz w:val="20"/>
                <w:szCs w:val="20"/>
                <w:color w:val="auto"/>
              </w:rPr>
            </w:pPr>
            <w:r>
              <w:rPr>
                <w:rFonts w:ascii="Arial" w:cs="Arial" w:eastAsia="Arial" w:hAnsi="Arial"/>
                <w:sz w:val="18"/>
                <w:szCs w:val="18"/>
                <w:color w:val="auto"/>
              </w:rPr>
              <w:t>5,779</w:t>
            </w:r>
          </w:p>
        </w:tc>
        <w:tc>
          <w:tcPr>
            <w:tcW w:w="1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718"/>
              <w:spacing w:after="0"/>
              <w:rPr>
                <w:sz w:val="20"/>
                <w:szCs w:val="20"/>
                <w:color w:val="auto"/>
              </w:rPr>
            </w:pPr>
            <w:r>
              <w:rPr>
                <w:rFonts w:ascii="Arial" w:cs="Arial" w:eastAsia="Arial" w:hAnsi="Arial"/>
                <w:sz w:val="18"/>
                <w:szCs w:val="18"/>
                <w:color w:val="auto"/>
              </w:rPr>
              <w:t>5,480</w:t>
            </w: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4,401</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60" w:type="dxa"/>
            <w:vAlign w:val="bottom"/>
          </w:tcPr>
          <w:p>
            <w:pPr>
              <w:jc w:val="right"/>
              <w:ind w:right="477"/>
              <w:spacing w:after="0"/>
              <w:rPr>
                <w:sz w:val="20"/>
                <w:szCs w:val="20"/>
                <w:color w:val="auto"/>
              </w:rPr>
            </w:pPr>
            <w:r>
              <w:rPr>
                <w:rFonts w:ascii="Arial" w:cs="Arial" w:eastAsia="Arial" w:hAnsi="Arial"/>
                <w:sz w:val="18"/>
                <w:szCs w:val="18"/>
                <w:color w:val="auto"/>
                <w:w w:val="86"/>
              </w:rPr>
              <w:t>(13,037)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56"/>
              <w:spacing w:after="0"/>
              <w:rPr>
                <w:sz w:val="20"/>
                <w:szCs w:val="20"/>
                <w:color w:val="auto"/>
              </w:rPr>
            </w:pPr>
            <w:r>
              <w:rPr>
                <w:rFonts w:ascii="Arial" w:cs="Arial" w:eastAsia="Arial" w:hAnsi="Arial"/>
                <w:sz w:val="18"/>
                <w:szCs w:val="18"/>
                <w:color w:val="auto"/>
                <w:w w:val="86"/>
              </w:rPr>
              <w:t>(14,834)</w:t>
            </w:r>
          </w:p>
        </w:tc>
        <w:tc>
          <w:tcPr>
            <w:tcW w:w="100" w:type="dxa"/>
            <w:vAlign w:val="bottom"/>
          </w:tcPr>
          <w:p>
            <w:pPr>
              <w:spacing w:after="0"/>
              <w:rPr>
                <w:sz w:val="18"/>
                <w:szCs w:val="18"/>
                <w:color w:val="auto"/>
              </w:rPr>
            </w:pPr>
          </w:p>
        </w:tc>
        <w:tc>
          <w:tcPr>
            <w:tcW w:w="2440" w:type="dxa"/>
            <w:vAlign w:val="bottom"/>
            <w:gridSpan w:val="4"/>
          </w:tcPr>
          <w:p>
            <w:pPr>
              <w:jc w:val="right"/>
              <w:ind w:right="658"/>
              <w:spacing w:after="0"/>
              <w:rPr>
                <w:sz w:val="20"/>
                <w:szCs w:val="20"/>
                <w:color w:val="auto"/>
              </w:rPr>
            </w:pPr>
            <w:r>
              <w:rPr>
                <w:rFonts w:ascii="Arial" w:cs="Arial" w:eastAsia="Arial" w:hAnsi="Arial"/>
                <w:sz w:val="18"/>
                <w:szCs w:val="18"/>
                <w:color w:val="auto"/>
              </w:rPr>
              <w:t>(19,931)</w:t>
            </w:r>
          </w:p>
        </w:tc>
        <w:tc>
          <w:tcPr>
            <w:tcW w:w="20" w:type="dxa"/>
            <w:vAlign w:val="bottom"/>
          </w:tcPr>
          <w:p>
            <w:pPr>
              <w:spacing w:after="0"/>
              <w:rPr>
                <w:sz w:val="18"/>
                <w:szCs w:val="18"/>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477"/>
              <w:spacing w:after="0"/>
              <w:rPr>
                <w:sz w:val="20"/>
                <w:szCs w:val="20"/>
                <w:color w:val="auto"/>
              </w:rPr>
            </w:pPr>
            <w:r>
              <w:rPr>
                <w:rFonts w:ascii="Arial" w:cs="Arial" w:eastAsia="Arial" w:hAnsi="Arial"/>
                <w:sz w:val="18"/>
                <w:szCs w:val="18"/>
                <w:color w:val="auto"/>
              </w:rPr>
              <w:t>(0.35)</w:t>
            </w: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56"/>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8"/>
              <w:spacing w:after="0"/>
              <w:rPr>
                <w:sz w:val="20"/>
                <w:szCs w:val="20"/>
                <w:color w:val="auto"/>
              </w:rPr>
            </w:pPr>
            <w:r>
              <w:rPr>
                <w:rFonts w:ascii="Arial" w:cs="Arial" w:eastAsia="Arial" w:hAnsi="Arial"/>
                <w:sz w:val="18"/>
                <w:szCs w:val="18"/>
                <w:color w:val="auto"/>
              </w:rPr>
              <w:t>(0.46)</w:t>
            </w:r>
          </w:p>
        </w:tc>
        <w:tc>
          <w:tcPr>
            <w:tcW w:w="20" w:type="dxa"/>
            <w:vAlign w:val="bottom"/>
            <w:shd w:val="clear" w:color="auto" w:fill="EEEEEE"/>
          </w:tcPr>
          <w:p>
            <w:pPr>
              <w:spacing w:after="0"/>
              <w:rPr>
                <w:sz w:val="19"/>
                <w:szCs w:val="19"/>
                <w:color w:val="auto"/>
              </w:rPr>
            </w:pPr>
          </w:p>
        </w:tc>
        <w:tc>
          <w:tcPr>
            <w:tcW w:w="1200" w:type="dxa"/>
            <w:vAlign w:val="bottom"/>
            <w:tcBorders>
              <w:right w:val="single" w:sz="8" w:color="EEEEEE"/>
            </w:tcBorders>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w w:val="97"/>
              </w:rPr>
              <w:t>(0.65)</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March 31, 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 — As originally reported</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$11,817</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16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92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160" w:type="dxa"/>
            <w:vAlign w:val="bottom"/>
            <w:gridSpan w:val="3"/>
          </w:tcPr>
          <w:p>
            <w:pPr>
              <w:spacing w:after="0"/>
              <w:rPr>
                <w:sz w:val="20"/>
                <w:szCs w:val="20"/>
                <w:color w:val="auto"/>
              </w:rPr>
            </w:pPr>
            <w:r>
              <w:rPr>
                <w:rFonts w:ascii="Arial" w:cs="Arial" w:eastAsia="Arial" w:hAnsi="Arial"/>
                <w:sz w:val="18"/>
                <w:szCs w:val="18"/>
                <w:color w:val="auto"/>
              </w:rPr>
              <w:t>Revenues — As reclassified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$10,591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60" w:type="dxa"/>
            <w:vAlign w:val="bottom"/>
            <w:gridSpan w:val="5"/>
          </w:tcPr>
          <w:p>
            <w:pPr>
              <w:spacing w:after="0"/>
              <w:rPr>
                <w:sz w:val="9"/>
                <w:szCs w:val="9"/>
                <w:color w:val="auto"/>
              </w:rPr>
            </w:pPr>
          </w:p>
        </w:tc>
        <w:tc>
          <w:tcPr>
            <w:tcW w:w="4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7"/>
            <w:shd w:val="clear" w:color="auto" w:fill="EEEEEE"/>
          </w:tcPr>
          <w:p>
            <w:pPr>
              <w:spacing w:after="0"/>
              <w:rPr>
                <w:sz w:val="20"/>
                <w:szCs w:val="20"/>
                <w:color w:val="auto"/>
              </w:rPr>
            </w:pPr>
            <w:r>
              <w:rPr>
                <w:rFonts w:ascii="Arial" w:cs="Arial" w:eastAsia="Arial" w:hAnsi="Arial"/>
                <w:sz w:val="18"/>
                <w:szCs w:val="18"/>
                <w:color w:val="auto"/>
                <w:w w:val="95"/>
              </w:rPr>
              <w:t>Net loss before cumulative effect of change in accounting principle</w:t>
            </w: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340" w:type="dxa"/>
            <w:vAlign w:val="bottom"/>
            <w:gridSpan w:val="6"/>
            <w:shd w:val="clear" w:color="auto" w:fill="EEEEEE"/>
          </w:tcPr>
          <w:p>
            <w:pPr>
              <w:jc w:val="right"/>
              <w:ind w:right="600"/>
              <w:spacing w:after="0"/>
              <w:rPr>
                <w:sz w:val="20"/>
                <w:szCs w:val="20"/>
                <w:color w:val="auto"/>
              </w:rPr>
            </w:pPr>
            <w:r>
              <w:rPr>
                <w:rFonts w:ascii="Arial" w:cs="Arial" w:eastAsia="Arial" w:hAnsi="Arial"/>
                <w:sz w:val="18"/>
                <w:szCs w:val="18"/>
                <w:color w:val="auto"/>
              </w:rPr>
              <w:t>$ (7,225)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Cumulative effect of adopting SAB 101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(1,563)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340" w:type="dxa"/>
            <w:vAlign w:val="bottom"/>
            <w:gridSpan w:val="6"/>
            <w:shd w:val="clear" w:color="auto" w:fill="EEEEEE"/>
          </w:tcPr>
          <w:p>
            <w:pPr>
              <w:jc w:val="right"/>
              <w:ind w:right="600"/>
              <w:spacing w:after="0"/>
              <w:rPr>
                <w:sz w:val="20"/>
                <w:szCs w:val="20"/>
                <w:color w:val="auto"/>
              </w:rPr>
            </w:pPr>
            <w:r>
              <w:rPr>
                <w:rFonts w:ascii="Arial" w:cs="Arial" w:eastAsia="Arial" w:hAnsi="Arial"/>
                <w:sz w:val="18"/>
                <w:szCs w:val="18"/>
                <w:color w:val="auto"/>
              </w:rPr>
              <w:t>$ (8,788)</w:t>
            </w:r>
          </w:p>
        </w:tc>
        <w:tc>
          <w:tcPr>
            <w:tcW w:w="0" w:type="dxa"/>
            <w:vAlign w:val="bottom"/>
          </w:tcPr>
          <w:p>
            <w:pPr>
              <w:spacing w:after="0"/>
              <w:rPr>
                <w:sz w:val="1"/>
                <w:szCs w:val="1"/>
                <w:color w:val="auto"/>
              </w:rPr>
            </w:pPr>
          </w:p>
        </w:tc>
      </w:tr>
      <w:tr>
        <w:trPr>
          <w:trHeight w:val="105"/>
        </w:trPr>
        <w:tc>
          <w:tcPr>
            <w:tcW w:w="31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1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7"/>
            <w:shd w:val="clear" w:color="auto" w:fill="EEEEEE"/>
          </w:tcPr>
          <w:p>
            <w:pPr>
              <w:ind w:left="320"/>
              <w:spacing w:after="0"/>
              <w:rPr>
                <w:sz w:val="20"/>
                <w:szCs w:val="20"/>
                <w:color w:val="auto"/>
              </w:rPr>
            </w:pPr>
            <w:r>
              <w:rPr>
                <w:rFonts w:ascii="Arial" w:cs="Arial" w:eastAsia="Arial" w:hAnsi="Arial"/>
                <w:sz w:val="18"/>
                <w:szCs w:val="18"/>
                <w:color w:val="auto"/>
                <w:w w:val="88"/>
              </w:rPr>
              <w:t>Net loss before cumulative effect of change in accounting principle</w:t>
            </w: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320"/>
              <w:spacing w:after="0"/>
              <w:rPr>
                <w:sz w:val="20"/>
                <w:szCs w:val="20"/>
                <w:color w:val="auto"/>
              </w:rPr>
            </w:pPr>
            <w:r>
              <w:rPr>
                <w:rFonts w:ascii="Arial" w:cs="Arial" w:eastAsia="Arial" w:hAnsi="Arial"/>
                <w:sz w:val="18"/>
                <w:szCs w:val="18"/>
                <w:color w:val="auto"/>
                <w:w w:val="90"/>
              </w:rPr>
              <w:t>Cumulative effect of adopting SAB 101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Second Quarter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Third Quarter</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June 30, 2000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 2000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 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400" w:type="dxa"/>
            <w:vAlign w:val="bottom"/>
            <w:tcBorders>
              <w:bottom w:val="single" w:sz="8" w:color="808080"/>
            </w:tcBorders>
            <w:gridSpan w:val="3"/>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 — As originally reported</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56"/>
              <w:spacing w:after="0"/>
              <w:rPr>
                <w:sz w:val="20"/>
                <w:szCs w:val="20"/>
                <w:color w:val="auto"/>
              </w:rPr>
            </w:pPr>
            <w:r>
              <w:rPr>
                <w:rFonts w:ascii="Arial" w:cs="Arial" w:eastAsia="Arial" w:hAnsi="Arial"/>
                <w:sz w:val="18"/>
                <w:szCs w:val="18"/>
                <w:color w:val="auto"/>
              </w:rPr>
              <w:t>$16,760</w:t>
            </w:r>
          </w:p>
        </w:tc>
        <w:tc>
          <w:tcPr>
            <w:tcW w:w="100" w:type="dxa"/>
            <w:vAlign w:val="bottom"/>
            <w:shd w:val="clear" w:color="auto" w:fill="EEEEEE"/>
          </w:tcPr>
          <w:p>
            <w:pPr>
              <w:spacing w:after="0"/>
              <w:rPr>
                <w:sz w:val="18"/>
                <w:szCs w:val="18"/>
                <w:color w:val="auto"/>
              </w:rPr>
            </w:pPr>
          </w:p>
        </w:tc>
        <w:tc>
          <w:tcPr>
            <w:tcW w:w="2440" w:type="dxa"/>
            <w:vAlign w:val="bottom"/>
            <w:gridSpan w:val="4"/>
            <w:shd w:val="clear" w:color="auto" w:fill="EEEEEE"/>
          </w:tcPr>
          <w:p>
            <w:pPr>
              <w:jc w:val="right"/>
              <w:ind w:right="738"/>
              <w:spacing w:after="0"/>
              <w:rPr>
                <w:sz w:val="20"/>
                <w:szCs w:val="20"/>
                <w:color w:val="auto"/>
              </w:rPr>
            </w:pPr>
            <w:r>
              <w:rPr>
                <w:rFonts w:ascii="Arial" w:cs="Arial" w:eastAsia="Arial" w:hAnsi="Arial"/>
                <w:sz w:val="18"/>
                <w:szCs w:val="18"/>
                <w:color w:val="auto"/>
              </w:rPr>
              <w:t>$17,529</w:t>
            </w:r>
          </w:p>
        </w:tc>
        <w:tc>
          <w:tcPr>
            <w:tcW w:w="2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$21,650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Revenues — As reclassified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56"/>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ind w:right="738"/>
              <w:spacing w:after="0"/>
              <w:rPr>
                <w:sz w:val="20"/>
                <w:szCs w:val="20"/>
                <w:color w:val="auto"/>
              </w:rPr>
            </w:pPr>
            <w:r>
              <w:rPr>
                <w:rFonts w:ascii="Arial" w:cs="Arial" w:eastAsia="Arial" w:hAnsi="Arial"/>
                <w:sz w:val="18"/>
                <w:szCs w:val="18"/>
                <w:color w:val="auto"/>
                <w:w w:val="87"/>
              </w:rPr>
              <w:t>14,999</w:t>
            </w:r>
          </w:p>
        </w:tc>
        <w:tc>
          <w:tcPr>
            <w:tcW w:w="2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19,137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596"/>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678"/>
              <w:spacing w:after="0"/>
              <w:rPr>
                <w:sz w:val="20"/>
                <w:szCs w:val="20"/>
                <w:color w:val="auto"/>
              </w:rPr>
            </w:pPr>
            <w:r>
              <w:rPr>
                <w:rFonts w:ascii="Arial" w:cs="Arial" w:eastAsia="Arial" w:hAnsi="Arial"/>
                <w:sz w:val="18"/>
                <w:szCs w:val="18"/>
                <w:color w:val="auto"/>
                <w:w w:val="94"/>
              </w:rPr>
              <w:t>(3,118)</w:t>
            </w:r>
          </w:p>
        </w:tc>
        <w:tc>
          <w:tcPr>
            <w:tcW w:w="2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(8,455)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596"/>
              <w:spacing w:after="0"/>
              <w:rPr>
                <w:sz w:val="20"/>
                <w:szCs w:val="20"/>
                <w:color w:val="auto"/>
              </w:rPr>
            </w:pPr>
            <w:r>
              <w:rPr>
                <w:rFonts w:ascii="Arial" w:cs="Arial" w:eastAsia="Arial" w:hAnsi="Arial"/>
                <w:sz w:val="18"/>
                <w:szCs w:val="18"/>
                <w:color w:val="auto"/>
              </w:rPr>
              <w:t>$  (0.08)</w:t>
            </w: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78"/>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1200" w:type="dxa"/>
            <w:vAlign w:val="bottom"/>
            <w:gridSpan w:val="4"/>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(0.23)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F-28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Amgen-Regeneron Partners</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audited the accompanying balance sheets of Amgen-Regeneron Partners, a Delaware general partnership, as of December 31, 2001 and 2000, and the related statements of operations, changes in partners’ capital (deficit), and cash flows for each of the three years in the period ended December 31, 2001. These financial statements are the responsibility of the Partnership’s management. Our responsibility is to express an opinion on these financial statements based on our audits.</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Amgen-Regeneron Partners at December 31, 2001 and 2000, and the results of its operations and its cash flows for each of the three years in the period ended December 31, 2001, in conformity with accounting principles generally accepted in the United States.</w:t>
      </w:r>
    </w:p>
    <w:p>
      <w:pPr>
        <w:spacing w:after="0" w:line="19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2001 and 2000</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6"/>
          </w:tcPr>
          <w:p>
            <w:pPr>
              <w:ind w:left="2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Total current assets — 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2,610</w:t>
            </w: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1"/>
              </w:rPr>
              <w:t>Total current liabilities — accounts payable and accrued expenses due to partners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$4,635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Partners’ capital:</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Amgen</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Regeneron</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Total partners’ capital</w:t>
            </w: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1,842</w:t>
            </w:r>
          </w:p>
        </w:tc>
        <w:tc>
          <w:tcPr>
            <w:tcW w:w="22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620"/>
              <w:spacing w:after="0"/>
              <w:rPr>
                <w:sz w:val="20"/>
                <w:szCs w:val="20"/>
                <w:color w:val="auto"/>
              </w:rPr>
            </w:pPr>
            <w:r>
              <w:rPr>
                <w:rFonts w:ascii="Arial" w:cs="Arial" w:eastAsia="Arial" w:hAnsi="Arial"/>
                <w:sz w:val="18"/>
                <w:szCs w:val="18"/>
                <w:color w:val="auto"/>
              </w:rPr>
              <w:t>Total liabilities and partners’ capital</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2,610</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$5,169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Years ended December 31, 2001, 2000 and 1999</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1999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Total income</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Research and development performed by partners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9,436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2,172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9,497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8,684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(2,003)</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(9,150)</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(8,318)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CHANGES IN PARTNERS’ CAPITAL (DEFICIT)</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2001, 2000 and 1999</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Amgen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Regeneron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 1998</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3,091</w:t>
            </w: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3,091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Capital contributions</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4"/>
              </w:rPr>
              <w:t>(4,159)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(4,159)</w:t>
            </w:r>
          </w:p>
        </w:tc>
        <w:tc>
          <w:tcPr>
            <w:tcW w:w="0" w:type="dxa"/>
            <w:vAlign w:val="bottom"/>
          </w:tcPr>
          <w:p>
            <w:pPr>
              <w:spacing w:after="0"/>
              <w:rPr>
                <w:sz w:val="1"/>
                <w:szCs w:val="1"/>
                <w:color w:val="auto"/>
              </w:rPr>
            </w:pPr>
          </w:p>
        </w:tc>
      </w:tr>
      <w:tr>
        <w:trPr>
          <w:trHeight w:val="108"/>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1999</w:t>
            </w: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Capital contributions</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5,142</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5,142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(4,575)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(4,575)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 2000</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Capital contributions</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4"/>
              </w:rPr>
              <w:t>(1,001)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(1,002)</w:t>
            </w:r>
          </w:p>
        </w:tc>
        <w:tc>
          <w:tcPr>
            <w:tcW w:w="0" w:type="dxa"/>
            <w:vAlign w:val="bottom"/>
          </w:tcPr>
          <w:p>
            <w:pPr>
              <w:spacing w:after="0"/>
              <w:rPr>
                <w:sz w:val="1"/>
                <w:szCs w:val="1"/>
                <w:color w:val="auto"/>
              </w:rPr>
            </w:pPr>
          </w:p>
        </w:tc>
      </w:tr>
      <w:tr>
        <w:trPr>
          <w:trHeight w:val="108"/>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2001</w:t>
            </w: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2001, 2000 and 1999</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(9,150)</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$(8,318)</w:t>
            </w: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(Decrease) increase in accounts payable and accrued expenses</w:t>
            </w:r>
          </w:p>
        </w:tc>
        <w:tc>
          <w:tcPr>
            <w:tcW w:w="10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(3,867)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EEEEEE"/>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(5,870)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(8,815)</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(7,797)</w:t>
            </w: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 — capital contributions</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3,311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10,284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1,536</w:t>
            </w:r>
          </w:p>
        </w:tc>
        <w:tc>
          <w:tcPr>
            <w:tcW w:w="240" w:type="dxa"/>
            <w:vAlign w:val="bottom"/>
            <w:shd w:val="clear" w:color="auto" w:fill="EEEEEE"/>
          </w:tcPr>
          <w:p>
            <w:pPr>
              <w:spacing w:after="0"/>
              <w:rPr>
                <w:sz w:val="18"/>
                <w:szCs w:val="18"/>
                <w:color w:val="auto"/>
              </w:rPr>
            </w:pPr>
          </w:p>
        </w:tc>
      </w:tr>
      <w:tr>
        <w:trPr>
          <w:trHeight w:val="108"/>
        </w:trPr>
        <w:tc>
          <w:tcPr>
            <w:tcW w:w="5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5560" w:type="dxa"/>
            <w:vAlign w:val="bottom"/>
            <w:gridSpan w:val="2"/>
          </w:tcPr>
          <w:p>
            <w:pPr>
              <w:spacing w:after="0"/>
              <w:rPr>
                <w:sz w:val="20"/>
                <w:szCs w:val="20"/>
                <w:color w:val="auto"/>
              </w:rPr>
            </w:pPr>
            <w:r>
              <w:rPr>
                <w:rFonts w:ascii="Arial" w:cs="Arial" w:eastAsia="Arial" w:hAnsi="Arial"/>
                <w:sz w:val="18"/>
                <w:szCs w:val="18"/>
                <w:color w:val="auto"/>
              </w:rPr>
              <w:t>(Decrease) increase in cash and cash equivalents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24"/>
                <w:szCs w:val="24"/>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(6,261)</w:t>
            </w: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5,169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3,700</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9,961</w:t>
            </w:r>
          </w:p>
        </w:tc>
        <w:tc>
          <w:tcPr>
            <w:tcW w:w="240" w:type="dxa"/>
            <w:vAlign w:val="bottom"/>
            <w:shd w:val="clear" w:color="auto" w:fill="EEEEEE"/>
          </w:tcPr>
          <w:p>
            <w:pPr>
              <w:spacing w:after="0"/>
              <w:rPr>
                <w:sz w:val="18"/>
                <w:szCs w:val="18"/>
                <w:color w:val="auto"/>
              </w:rPr>
            </w:pPr>
          </w:p>
        </w:tc>
      </w:tr>
      <w:tr>
        <w:trPr>
          <w:trHeight w:val="108"/>
        </w:trPr>
        <w:tc>
          <w:tcPr>
            <w:tcW w:w="5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5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$ 2,610</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5,169</w:t>
            </w: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$ 3,700</w:t>
            </w:r>
          </w:p>
        </w:tc>
        <w:tc>
          <w:tcPr>
            <w:tcW w:w="24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2001</w:t>
      </w:r>
    </w:p>
    <w:p>
      <w:pPr>
        <w:spacing w:after="0" w:line="213"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brain-derived neurotrophic factor (BDNF) and Neurotrophin-3 (NT-3, together with BDNF, the Products) for human pharmaceutical use, in conformity with a collaboration agreement (the Collaboration Agreement) (Note 3).</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January 1997, Amgen and Regeneron announced that the Phase 3 clinical trial of BDNF did not demonstrate clinical efficacy in the end points measured in patients with amyotrophic lateral sclerosis (ALS), commonly known as Lou Gehrig’s Disease. The trial was designed to evaluate the effects of subcutaneous delivery of BDNF for ALS. On behalf of the Partnership, Amgen continued to conduct clinical trials of intrathecal delivery of BDNF for ALS, and Regeneron continued to conduct clinical trials of subcutaneous delivery of BDNF for ALS. In January 2001, Amgen and Regeneron were notified that clinical trials for both intrathecal and subcutaneous delivery of BDNF did not provide a therapeutic advantage to ALS patients. As a result, in 2001 the Partnership discontinued all clinical development of BDNF for the potential treatment of ALS following the notification.</w:t>
      </w:r>
    </w:p>
    <w:p>
      <w:pPr>
        <w:spacing w:after="0" w:line="20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Regeneron, on behalf of the Partnership, conducted clinical trials of NT-3 in patients with functional constipation and spinal cord injury patients with bowel dysfunction. The Partnership has evaluated preliminary data from these clinical trials and there are no ongoing development activities for the product candidate at this time.</w:t>
      </w:r>
    </w:p>
    <w:p>
      <w:pPr>
        <w:spacing w:after="0" w:line="22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Under the Collaboration Agreement, Amgen would be primarily responsible for the manufacture and commercialization of the Products in the United States if successfully developed by the Partnership. Amgen’s costs in connection with such activities would be reimbursed at agreed-to rates. Unless terminated earlier, the Partnership will continue in effect, with respect to each Product, until the later of the expiration of the last United States patent of each Product, or 15 years from the date on which each Product was approved for sale in the United States.</w:t>
      </w:r>
    </w:p>
    <w:p>
      <w:pPr>
        <w:spacing w:after="0" w:line="224"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52"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The Partnership considers only those investments which are highly liquid, readily convertible to cash and which mature within three months of the date of purchase as cash equivalents. At December 31, 2001 and 2000, cash and cash equivalents consisted of a single interest bearing money market account.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Research and development costs are expensed as incurred. Clinical trial costs, which are a component of research and development costs, are recognized based upon the estimated levels of effort expended on those trials.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financial statements do not include a provision (credit) for income taxes. Income taxes, if any, are the liability of the individual partners.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7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contributions, allocation of profits and losses and cash distributions</w:t>
      </w:r>
    </w:p>
    <w:p>
      <w:pPr>
        <w:spacing w:after="0" w:line="258"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Capital contributions are recorded in the capital account of each partner. Capital account contributions are generally made quarterly in advance based upon capital calls made by the Committee pursuant to projected cash requirements of the Partnership. Cash distributions, if any, and profits or losses are allocated to each partner’s capital account in proportion to their respective capital account contributions.</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August 1990, Amgen and Regeneron entered into the Collaboration Agreement to develop and commercialize BDNF and NT-3, compounds for which Regeneron possesses substantial scientific, technical and proprietary information. Each party agreed to perform research and development on the Products under product development programs approved by the Committee. Upon Amgen’s notification in writing to Regeneron that the preparation of an Investigational New Drug Application for each Product was to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terms of the Collaboration Agreement, and subject to the approval by both parties, Amgen and Regeneron can conduct certain research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on behalf of the Partnership, including contracting with third parties to conduct clinical trials. Amgen also provides on behalf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certain quantities of materials, primarily for clinical testing. Amgen and Regeneron are paid for such services and materials at amounts approved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During the years ended December 31, 2001, 2000 and 1999, the Partnership incurred expenses (including accrued expenses) of $866,000,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$3,204,000 and $5,044,000, respectively, from Amgen and $1,228,000, $6,232,000 and $3,587,000, respectively, from Regeneron for such services and materials.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These amounts are included in research and development expense in the accompanying statements of operations. In addition, certain other costs associated with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development of the Products have been incurred by the partners but not charged to the Partnership or reflected in the accompanying financial statements as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related development activities are not billable to the Partnership under the terms of the Collaboration Agreement. At December 31, 2001, accounts payable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due to partners was composed of $143,000 of accounts payable and $378,000 of accrued clinical costs due to Amgen and $170,000 of accounts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payable and $77,000 of accrued clinical costs due to Regeneron. At December 31, 2000, accounts payable and accrued expenses due to partners was composed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$869,000 of accounts payable and $2,162,000 of accrued clinical costs due to Amgen and $234,000 of accounts payable and $1,370,000 of accrued clinical costs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due to Regeneron.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19" w:right="239" w:bottom="1440" w:gutter="0" w:footer="0" w:header="0"/>
        </w:sectPr>
      </w:pPr>
    </w:p>
    <w:bookmarkStart w:id="71" w:name="page72"/>
    <w:bookmarkEnd w:id="71"/>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THE CERTIFICATE OF INCORPORATION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 SECTION 805 OF THE NEW YORK BUSINESS CORPORATION LAW</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 THE UNDERSIGNED, Stuart A. Kolinski, being the Secretary of Regeneron Pharmaceuticals, Inc., hereby certify:</w:t>
      </w:r>
    </w:p>
    <w:p>
      <w:pPr>
        <w:spacing w:after="0" w:line="208" w:lineRule="exact"/>
        <w:rPr>
          <w:sz w:val="20"/>
          <w:szCs w:val="20"/>
          <w:color w:val="auto"/>
        </w:rPr>
      </w:pPr>
    </w:p>
    <w:p>
      <w:pPr>
        <w:ind w:right="2199" w:firstLine="535"/>
        <w:spacing w:after="0" w:line="235"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Regeneron Pharmaceuticals, Inc. (the "Corporation").</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of said Corporation was filed in the office of the Department of State on the 11th day of January 1988.</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IV of the certificate of incorporation, which refers to the authorized shares of the Corporation, is hereby amended to increase the aggregate number of shares of Common Stock which the corporation shall have authority to issue from 60,000,000 shares of common stock, par value $.001 each, to 160,000,000 shares of common stock, par value $.001 each.</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effectuate the foregoing, the first paragraph of Article IV of the certificate of incorporation, which refers to the authorized shares of the Corporation, is hereby amended in its entirety to read as follows:</w:t>
      </w:r>
    </w:p>
    <w:p>
      <w:pPr>
        <w:spacing w:after="0" w:line="209" w:lineRule="exact"/>
        <w:rPr>
          <w:sz w:val="20"/>
          <w:szCs w:val="20"/>
          <w:color w:val="auto"/>
        </w:rPr>
      </w:pPr>
    </w:p>
    <w:p>
      <w:pPr>
        <w:ind w:left="1060" w:right="1879"/>
        <w:spacing w:after="0" w:line="268" w:lineRule="auto"/>
        <w:rPr>
          <w:sz w:val="20"/>
          <w:szCs w:val="20"/>
          <w:color w:val="auto"/>
        </w:rPr>
      </w:pPr>
      <w:r>
        <w:rPr>
          <w:rFonts w:ascii="Courier New" w:cs="Courier New" w:eastAsia="Courier New" w:hAnsi="Courier New"/>
          <w:sz w:val="16"/>
          <w:szCs w:val="16"/>
          <w:color w:val="auto"/>
        </w:rPr>
        <w:t>"The aggregate number of shares of all classes of capital stock which the Corporation shall have the authority to issue is two hundred and thirty million (230,000,000) shares, consisting of (a) 160,000,000 shares of common stock, par value $.001 per share ("Common Stock"),</w:t>
      </w:r>
    </w:p>
    <w:p>
      <w:pPr>
        <w:spacing w:after="0" w:line="1" w:lineRule="exact"/>
        <w:rPr>
          <w:sz w:val="20"/>
          <w:szCs w:val="20"/>
          <w:color w:val="auto"/>
        </w:rPr>
      </w:pPr>
    </w:p>
    <w:p>
      <w:pPr>
        <w:jc w:val="both"/>
        <w:ind w:left="1060" w:right="1779" w:firstLine="1"/>
        <w:spacing w:after="0" w:line="237" w:lineRule="auto"/>
        <w:tabs>
          <w:tab w:leader="none" w:pos="148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40,000,000 shares of Class A Stock, par value $.001 per share (the "Class A Stock," and collectively, such Common Stock and Class A Stock are referred to herein as the "Common Shares"), and (c) 30,000,000 shares of preferred stock, par value $.01 per share."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amendment of the certificate of incorporation was authorized by the unanimous vote of the Board of Directors, followed by the vote of the holders of a majority of the outstanding shares entitled to vote thereon at a meeting of the shareholders.</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IN WITNESS WHEREOF, I have signed this certificate on the 17th day of December 2001 and I affirm the statements contained herein as true under penalties of perjury.</w:t>
      </w: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Stuart A. Kolinski</w:t>
      </w:r>
    </w:p>
    <w:p>
      <w:pPr>
        <w:ind w:left="2640"/>
        <w:spacing w:after="0" w:line="237" w:lineRule="auto"/>
        <w:rPr>
          <w:sz w:val="20"/>
          <w:szCs w:val="20"/>
          <w:color w:val="auto"/>
        </w:rPr>
      </w:pPr>
      <w:r>
        <w:rPr>
          <w:rFonts w:ascii="Courier New" w:cs="Courier New" w:eastAsia="Courier New" w:hAnsi="Courier New"/>
          <w:sz w:val="18"/>
          <w:szCs w:val="18"/>
          <w:color w:val="auto"/>
        </w:rPr>
        <w:t>Title: Secretary</w:t>
      </w:r>
    </w:p>
    <w:p>
      <w:pPr>
        <w:sectPr>
          <w:pgSz w:w="11900" w:h="16838" w:orient="portrait"/>
          <w:cols w:equalWidth="0" w:num="1">
            <w:col w:w="10219"/>
          </w:cols>
          <w:pgMar w:left="240" w:top="541" w:right="1440" w:bottom="1440" w:gutter="0" w:footer="0" w:header="0"/>
        </w:sectPr>
      </w:pPr>
    </w:p>
    <w:bookmarkStart w:id="72" w:name="page73"/>
    <w:bookmarkEnd w:id="72"/>
    <w:p>
      <w:pPr>
        <w:ind w:left="7060"/>
        <w:spacing w:after="0"/>
        <w:rPr>
          <w:sz w:val="20"/>
          <w:szCs w:val="20"/>
          <w:color w:val="auto"/>
        </w:rPr>
      </w:pPr>
      <w:r>
        <w:rPr>
          <w:rFonts w:ascii="Courier New" w:cs="Courier New" w:eastAsia="Courier New" w:hAnsi="Courier New"/>
          <w:sz w:val="18"/>
          <w:szCs w:val="18"/>
          <w:color w:val="auto"/>
        </w:rPr>
        <w:t>EXHIBIT 10.6</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2000 LONG-TERM INCENTIVE PLAN</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Establishment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Regeneron Pharmaceuticals, Inc.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Plan was adopted and approved by the Board of Directors (defined below) on April 25, 2000 and shall become effective as of such date, subject to the approval of the shareholders of the Company.</w:t>
      </w:r>
    </w:p>
    <w:p>
      <w:pPr>
        <w:spacing w:after="0" w:line="203" w:lineRule="exact"/>
        <w:rPr>
          <w:sz w:val="20"/>
          <w:szCs w:val="20"/>
          <w:color w:val="auto"/>
        </w:rPr>
      </w:pPr>
    </w:p>
    <w:p>
      <w:pPr>
        <w:ind w:left="960" w:hanging="952"/>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As used in the Plan, the following definitions apply to the terms indicated below:</w:t>
      </w:r>
    </w:p>
    <w:p>
      <w:pPr>
        <w:spacing w:after="0" w:line="208" w:lineRule="exact"/>
        <w:rPr>
          <w:sz w:val="20"/>
          <w:szCs w:val="20"/>
          <w:color w:val="auto"/>
        </w:rPr>
      </w:pPr>
    </w:p>
    <w:p>
      <w:pPr>
        <w:ind w:left="1900" w:right="1779" w:hanging="944"/>
        <w:spacing w:after="0" w:line="237"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211" w:lineRule="exact"/>
        <w:rPr>
          <w:rFonts w:ascii="Courier New" w:cs="Courier New" w:eastAsia="Courier New" w:hAnsi="Courier New"/>
          <w:sz w:val="18"/>
          <w:szCs w:val="18"/>
          <w:color w:val="auto"/>
        </w:rPr>
      </w:pPr>
    </w:p>
    <w:p>
      <w:pPr>
        <w:ind w:left="1900" w:right="2419" w:hanging="944"/>
        <w:spacing w:after="0" w:line="235"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mean the written agreement between the Company and a Participant evidencing an Award.</w:t>
      </w:r>
    </w:p>
    <w:p>
      <w:pPr>
        <w:spacing w:after="0" w:line="208" w:lineRule="exact"/>
        <w:rPr>
          <w:rFonts w:ascii="Courier New" w:cs="Courier New" w:eastAsia="Courier New" w:hAnsi="Courier New"/>
          <w:sz w:val="18"/>
          <w:szCs w:val="18"/>
          <w:color w:val="auto"/>
        </w:rPr>
      </w:pPr>
    </w:p>
    <w:p>
      <w:pPr>
        <w:ind w:left="1900" w:right="2319" w:hanging="944"/>
        <w:spacing w:after="0" w:line="236"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any Option, Restricted Stock, Phantom Stock, Stock Bonus or Other Award granted pursuant to the terms of the Plan.</w:t>
      </w:r>
    </w:p>
    <w:p>
      <w:pPr>
        <w:spacing w:after="0" w:line="208" w:lineRule="exact"/>
        <w:rPr>
          <w:rFonts w:ascii="Courier New" w:cs="Courier New" w:eastAsia="Courier New" w:hAnsi="Courier New"/>
          <w:sz w:val="18"/>
          <w:szCs w:val="18"/>
          <w:color w:val="auto"/>
        </w:rPr>
      </w:pPr>
    </w:p>
    <w:p>
      <w:pPr>
        <w:ind w:left="1900" w:right="2319" w:hanging="944"/>
        <w:spacing w:after="0" w:line="235"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shall mean the Board of Directors of Regeneron Pharmaceuticals, Inc.</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shall be deemed to have occurred if the event set forth in any one of the following paragraphs shall have occurred:</w:t>
      </w:r>
    </w:p>
    <w:p>
      <w:pPr>
        <w:spacing w:after="0" w:line="208" w:lineRule="exact"/>
        <w:rPr>
          <w:rFonts w:ascii="Courier New" w:cs="Courier New" w:eastAsia="Courier New" w:hAnsi="Courier New"/>
          <w:sz w:val="18"/>
          <w:szCs w:val="18"/>
          <w:color w:val="auto"/>
        </w:rPr>
      </w:pPr>
    </w:p>
    <w:p>
      <w:pPr>
        <w:ind w:left="2860" w:right="1879" w:hanging="1061"/>
        <w:spacing w:after="0" w:line="237" w:lineRule="auto"/>
        <w:tabs>
          <w:tab w:leader="none" w:pos="28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215" w:lineRule="exact"/>
        <w:rPr>
          <w:rFonts w:ascii="Courier New" w:cs="Courier New" w:eastAsia="Courier New" w:hAnsi="Courier New"/>
          <w:sz w:val="18"/>
          <w:szCs w:val="18"/>
          <w:color w:val="auto"/>
        </w:rPr>
      </w:pPr>
    </w:p>
    <w:p>
      <w:pPr>
        <w:ind w:left="2860" w:right="1779" w:hanging="1061"/>
        <w:spacing w:after="0" w:line="270" w:lineRule="auto"/>
        <w:tabs>
          <w:tab w:leader="none" w:pos="286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w:t>
      </w:r>
    </w:p>
    <w:p>
      <w:pPr>
        <w:sectPr>
          <w:pgSz w:w="11900" w:h="16838" w:orient="portrait"/>
          <w:cols w:equalWidth="0" w:num="1">
            <w:col w:w="10219"/>
          </w:cols>
          <w:pgMar w:left="240" w:top="541" w:right="1440" w:bottom="0" w:gutter="0" w:footer="0" w:header="0"/>
        </w:sectPr>
      </w:pPr>
    </w:p>
    <w:bookmarkStart w:id="73" w:name="page74"/>
    <w:bookmarkEnd w:id="73"/>
    <w:p>
      <w:pPr>
        <w:ind w:left="1660" w:right="2199"/>
        <w:spacing w:after="0" w:line="290" w:lineRule="auto"/>
        <w:rPr>
          <w:sz w:val="20"/>
          <w:szCs w:val="20"/>
          <w:color w:val="auto"/>
        </w:rPr>
      </w:pPr>
      <w:r>
        <w:rPr>
          <w:rFonts w:ascii="Courier New" w:cs="Courier New" w:eastAsia="Courier New" w:hAnsi="Courier New"/>
          <w:sz w:val="16"/>
          <w:szCs w:val="16"/>
          <w:color w:val="auto"/>
        </w:rPr>
        <w:t>office who either were directors on the Effective Date or whose appointment, election or</w:t>
      </w:r>
    </w:p>
    <w:p>
      <w:pPr>
        <w:spacing w:after="0" w:line="16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9019"/>
          </w:cols>
          <w:pgMar w:left="1440" w:top="142" w:right="1440" w:bottom="1440" w:gutter="0" w:footer="0" w:header="0"/>
        </w:sectPr>
      </w:pPr>
    </w:p>
    <w:bookmarkStart w:id="74" w:name="page75"/>
    <w:bookmarkEnd w:id="74"/>
    <w:p>
      <w:pPr>
        <w:ind w:left="1904" w:right="1779"/>
        <w:spacing w:after="0" w:line="235" w:lineRule="auto"/>
        <w:rPr>
          <w:sz w:val="20"/>
          <w:szCs w:val="20"/>
          <w:color w:val="auto"/>
        </w:rPr>
      </w:pPr>
      <w:r>
        <w:rPr>
          <w:rFonts w:ascii="Courier New" w:cs="Courier New" w:eastAsia="Courier New" w:hAnsi="Courier New"/>
          <w:sz w:val="18"/>
          <w:szCs w:val="18"/>
          <w:color w:val="auto"/>
        </w:rPr>
        <w:t>nomination for election was previously so approved or recommended; or</w:t>
      </w:r>
    </w:p>
    <w:p>
      <w:pPr>
        <w:spacing w:after="0" w:line="208" w:lineRule="exact"/>
        <w:rPr>
          <w:sz w:val="20"/>
          <w:szCs w:val="20"/>
          <w:color w:val="auto"/>
        </w:rPr>
      </w:pPr>
    </w:p>
    <w:p>
      <w:pPr>
        <w:ind w:left="1904" w:right="1779" w:hanging="1061"/>
        <w:spacing w:after="0" w:line="238" w:lineRule="auto"/>
        <w:tabs>
          <w:tab w:leader="none" w:pos="1904"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w:t>
      </w:r>
    </w:p>
    <w:p>
      <w:pPr>
        <w:spacing w:after="0" w:line="4" w:lineRule="exact"/>
        <w:rPr>
          <w:rFonts w:ascii="Courier New" w:cs="Courier New" w:eastAsia="Courier New" w:hAnsi="Courier New"/>
          <w:sz w:val="18"/>
          <w:szCs w:val="18"/>
          <w:color w:val="auto"/>
        </w:rPr>
      </w:pPr>
    </w:p>
    <w:p>
      <w:pPr>
        <w:ind w:left="1904" w:right="1779" w:hanging="8"/>
        <w:spacing w:after="0" w:line="271" w:lineRule="auto"/>
        <w:tabs>
          <w:tab w:leader="none" w:pos="2325"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388" w:lineRule="exact"/>
        <w:rPr>
          <w:rFonts w:ascii="Courier New" w:cs="Courier New" w:eastAsia="Courier New" w:hAnsi="Courier New"/>
          <w:sz w:val="16"/>
          <w:szCs w:val="16"/>
          <w:color w:val="auto"/>
        </w:rPr>
      </w:pPr>
    </w:p>
    <w:p>
      <w:pPr>
        <w:ind w:left="1904" w:right="1779" w:hanging="1061"/>
        <w:spacing w:after="0" w:line="270" w:lineRule="auto"/>
        <w:tabs>
          <w:tab w:leader="none" w:pos="190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391" w:lineRule="exact"/>
        <w:rPr>
          <w:rFonts w:ascii="Courier New" w:cs="Courier New" w:eastAsia="Courier New" w:hAnsi="Courier New"/>
          <w:sz w:val="16"/>
          <w:szCs w:val="16"/>
          <w:color w:val="auto"/>
        </w:rPr>
      </w:pPr>
    </w:p>
    <w:p>
      <w:pPr>
        <w:ind w:left="944" w:right="2199" w:hanging="944"/>
        <w:spacing w:after="0" w:line="236"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 from time to time, and any regulations promulgated thereunder.</w:t>
      </w:r>
    </w:p>
    <w:p>
      <w:pPr>
        <w:spacing w:after="0" w:line="208" w:lineRule="exact"/>
        <w:rPr>
          <w:rFonts w:ascii="Courier New" w:cs="Courier New" w:eastAsia="Courier New" w:hAnsi="Courier New"/>
          <w:sz w:val="18"/>
          <w:szCs w:val="18"/>
          <w:color w:val="auto"/>
        </w:rPr>
      </w:pPr>
    </w:p>
    <w:p>
      <w:pPr>
        <w:ind w:left="944" w:right="1999" w:hanging="944"/>
        <w:spacing w:after="0" w:line="237"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211" w:lineRule="exact"/>
        <w:rPr>
          <w:rFonts w:ascii="Courier New" w:cs="Courier New" w:eastAsia="Courier New" w:hAnsi="Courier New"/>
          <w:sz w:val="18"/>
          <w:szCs w:val="18"/>
          <w:color w:val="auto"/>
        </w:rPr>
      </w:pPr>
    </w:p>
    <w:p>
      <w:pPr>
        <w:ind w:left="944" w:right="2099" w:hanging="944"/>
        <w:spacing w:after="0" w:line="236"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Regeneron Pharmaceuticals, Inc., a New York corporation, and, where appropriate, each of its Affiliates.</w:t>
      </w:r>
    </w:p>
    <w:p>
      <w:pPr>
        <w:spacing w:after="0" w:line="208" w:lineRule="exact"/>
        <w:rPr>
          <w:rFonts w:ascii="Courier New" w:cs="Courier New" w:eastAsia="Courier New" w:hAnsi="Courier New"/>
          <w:sz w:val="18"/>
          <w:szCs w:val="18"/>
          <w:color w:val="auto"/>
        </w:rPr>
      </w:pPr>
    </w:p>
    <w:p>
      <w:pPr>
        <w:ind w:left="944" w:right="2099" w:hanging="944"/>
        <w:spacing w:after="0" w:line="235"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Stock" shall mean the common stock of the Company, par value $.001 per share.</w:t>
      </w:r>
    </w:p>
    <w:p>
      <w:pPr>
        <w:spacing w:after="0" w:line="208" w:lineRule="exact"/>
        <w:rPr>
          <w:rFonts w:ascii="Courier New" w:cs="Courier New" w:eastAsia="Courier New" w:hAnsi="Courier New"/>
          <w:sz w:val="18"/>
          <w:szCs w:val="18"/>
          <w:color w:val="auto"/>
        </w:rPr>
      </w:pPr>
    </w:p>
    <w:p>
      <w:pPr>
        <w:ind w:left="944" w:right="1779" w:hanging="944"/>
        <w:spacing w:after="0" w:line="235"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"Covered Employee" shall have the meaning set forth in Section 162(m) of the Code.</w:t>
      </w:r>
    </w:p>
    <w:p>
      <w:pPr>
        <w:spacing w:after="0" w:line="202"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mean April 25, 2000.</w:t>
      </w:r>
    </w:p>
    <w:p>
      <w:pPr>
        <w:spacing w:after="0" w:line="206" w:lineRule="exact"/>
        <w:rPr>
          <w:rFonts w:ascii="Courier New" w:cs="Courier New" w:eastAsia="Courier New" w:hAnsi="Courier New"/>
          <w:sz w:val="18"/>
          <w:szCs w:val="18"/>
          <w:color w:val="auto"/>
        </w:rPr>
      </w:pPr>
    </w:p>
    <w:p>
      <w:pPr>
        <w:ind w:left="944" w:right="1779" w:hanging="944"/>
        <w:spacing w:after="0" w:line="235"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 amended from time to time.</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215" w:lineRule="exact"/>
        <w:rPr>
          <w:rFonts w:ascii="Courier New" w:cs="Courier New" w:eastAsia="Courier New" w:hAnsi="Courier New"/>
          <w:sz w:val="18"/>
          <w:szCs w:val="18"/>
          <w:color w:val="auto"/>
        </w:rPr>
      </w:pPr>
    </w:p>
    <w:p>
      <w:pPr>
        <w:ind w:left="944" w:right="1879" w:hanging="944"/>
        <w:spacing w:after="0" w:line="279" w:lineRule="auto"/>
        <w:tabs>
          <w:tab w:leader="none" w:pos="94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shall mean an Option that is an "incentive stock option" within the meaning of Section 422 of the Code, or any successor provision, and that is designated</w:t>
      </w:r>
    </w:p>
    <w:p>
      <w:pPr>
        <w:sectPr>
          <w:pgSz w:w="11900" w:h="16838" w:orient="portrait"/>
          <w:cols w:equalWidth="0" w:num="1">
            <w:col w:w="9263"/>
          </w:cols>
          <w:pgMar w:left="1196" w:top="520" w:right="1440" w:bottom="0" w:gutter="0" w:footer="0" w:header="0"/>
        </w:sectPr>
      </w:pPr>
    </w:p>
    <w:bookmarkStart w:id="75" w:name="page76"/>
    <w:bookmarkEnd w:id="75"/>
    <w:p>
      <w:pPr>
        <w:ind w:left="944"/>
        <w:spacing w:after="0"/>
        <w:rPr>
          <w:sz w:val="20"/>
          <w:szCs w:val="20"/>
          <w:color w:val="auto"/>
        </w:rPr>
      </w:pPr>
      <w:r>
        <w:rPr>
          <w:rFonts w:ascii="Courier New" w:cs="Courier New" w:eastAsia="Courier New" w:hAnsi="Courier New"/>
          <w:sz w:val="18"/>
          <w:szCs w:val="18"/>
          <w:color w:val="auto"/>
        </w:rPr>
        <w:t>by the Committee as an Incentive Stock Option.</w:t>
      </w:r>
    </w:p>
    <w:p>
      <w:pPr>
        <w:spacing w:after="0" w:line="207" w:lineRule="exact"/>
        <w:rPr>
          <w:sz w:val="20"/>
          <w:szCs w:val="20"/>
          <w:color w:val="auto"/>
        </w:rPr>
      </w:pPr>
    </w:p>
    <w:p>
      <w:pPr>
        <w:ind w:left="944" w:right="2199" w:hanging="944"/>
        <w:spacing w:after="0" w:line="235" w:lineRule="auto"/>
        <w:tabs>
          <w:tab w:leader="none" w:pos="94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Director" shall mean a member of the Board of Directors who is not an employee of</w:t>
      </w:r>
    </w:p>
    <w:p>
      <w:pPr>
        <w:spacing w:after="0" w:line="203"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263"/>
          </w:cols>
          <w:pgMar w:left="1196" w:top="136" w:right="1440" w:bottom="1440" w:gutter="0" w:footer="0" w:header="0"/>
        </w:sectPr>
      </w:pPr>
    </w:p>
    <w:bookmarkStart w:id="76" w:name="page77"/>
    <w:bookmarkEnd w:id="76"/>
    <w:p>
      <w:pPr>
        <w:ind w:left="1892"/>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left="1892" w:right="177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shall mean an Option other than an Incentive Stock Option.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892" w:right="2099" w:hanging="944"/>
        <w:spacing w:after="0" w:line="279" w:lineRule="auto"/>
        <w:tabs>
          <w:tab w:leader="none" w:pos="189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option to purchase shares of Company Stock granted pursuant to Section 7 (or, with respect to a Nonemployee Director, pursuant to Section 12 hereof).</w:t>
      </w:r>
    </w:p>
    <w:p>
      <w:pPr>
        <w:spacing w:after="0" w:line="178" w:lineRule="exact"/>
        <w:rPr>
          <w:rFonts w:ascii="Courier New" w:cs="Courier New" w:eastAsia="Courier New" w:hAnsi="Courier New"/>
          <w:sz w:val="16"/>
          <w:szCs w:val="16"/>
          <w:color w:val="auto"/>
        </w:rPr>
      </w:pPr>
    </w:p>
    <w:p>
      <w:pPr>
        <w:ind w:left="1892" w:right="187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 shall mean an award granted pursuant to Section 11 hereof.</w:t>
      </w:r>
    </w:p>
    <w:p>
      <w:pPr>
        <w:spacing w:after="0" w:line="208" w:lineRule="exact"/>
        <w:rPr>
          <w:rFonts w:ascii="Courier New" w:cs="Courier New" w:eastAsia="Courier New" w:hAnsi="Courier New"/>
          <w:sz w:val="18"/>
          <w:szCs w:val="18"/>
          <w:color w:val="auto"/>
        </w:rPr>
      </w:pPr>
    </w:p>
    <w:p>
      <w:pPr>
        <w:ind w:left="1892" w:right="1999" w:hanging="944"/>
        <w:spacing w:after="0" w:line="237"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208" w:lineRule="exact"/>
        <w:rPr>
          <w:rFonts w:ascii="Courier New" w:cs="Courier New" w:eastAsia="Courier New" w:hAnsi="Courier New"/>
          <w:sz w:val="18"/>
          <w:szCs w:val="18"/>
          <w:color w:val="auto"/>
        </w:rPr>
      </w:pPr>
    </w:p>
    <w:p>
      <w:pPr>
        <w:ind w:left="1892" w:right="1779" w:hanging="944"/>
        <w:spacing w:after="0" w:line="237"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w:t>
      </w:r>
    </w:p>
    <w:p>
      <w:pPr>
        <w:spacing w:after="0" w:line="214" w:lineRule="exact"/>
        <w:rPr>
          <w:rFonts w:ascii="Courier New" w:cs="Courier New" w:eastAsia="Courier New" w:hAnsi="Courier New"/>
          <w:sz w:val="18"/>
          <w:szCs w:val="18"/>
          <w:color w:val="auto"/>
        </w:rPr>
      </w:pPr>
    </w:p>
    <w:p>
      <w:pPr>
        <w:ind w:left="1892" w:right="1879" w:hanging="944"/>
        <w:spacing w:after="0" w:line="236"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Stock" shall mean the right, granted pursuant to Section 9, to receive in cash or shares the Fair Market Value of a share of Company Stock.</w:t>
      </w:r>
    </w:p>
    <w:p>
      <w:pPr>
        <w:spacing w:after="0" w:line="208" w:lineRule="exact"/>
        <w:rPr>
          <w:rFonts w:ascii="Courier New" w:cs="Courier New" w:eastAsia="Courier New" w:hAnsi="Courier New"/>
          <w:sz w:val="18"/>
          <w:szCs w:val="18"/>
          <w:color w:val="auto"/>
        </w:rPr>
      </w:pPr>
    </w:p>
    <w:p>
      <w:pPr>
        <w:ind w:left="1892" w:right="177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"Reload Option" shall mean a Nonqualified Stock Option granted pursuant to Section 7(c)(5).</w:t>
      </w:r>
    </w:p>
    <w:p>
      <w:pPr>
        <w:spacing w:after="0" w:line="208" w:lineRule="exact"/>
        <w:rPr>
          <w:rFonts w:ascii="Courier New" w:cs="Courier New" w:eastAsia="Courier New" w:hAnsi="Courier New"/>
          <w:sz w:val="18"/>
          <w:szCs w:val="18"/>
          <w:color w:val="auto"/>
        </w:rPr>
      </w:pPr>
    </w:p>
    <w:p>
      <w:pPr>
        <w:ind w:left="1892" w:right="1779" w:hanging="944"/>
        <w:spacing w:after="0" w:line="279" w:lineRule="auto"/>
        <w:tabs>
          <w:tab w:leader="none" w:pos="189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shall mean a share of Company Stock which is granted pursuant to the terms of Section 8 hereof and which is subject to the restrictions set forth in Section 8(d).</w:t>
      </w:r>
    </w:p>
    <w:p>
      <w:pPr>
        <w:spacing w:after="0" w:line="178" w:lineRule="exact"/>
        <w:rPr>
          <w:rFonts w:ascii="Courier New" w:cs="Courier New" w:eastAsia="Courier New" w:hAnsi="Courier New"/>
          <w:sz w:val="16"/>
          <w:szCs w:val="16"/>
          <w:color w:val="auto"/>
        </w:rPr>
      </w:pPr>
    </w:p>
    <w:p>
      <w:pPr>
        <w:ind w:left="1892" w:right="199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shall mean the Rule 16b-3 promulgated under the Exchange Act, as amended from time to time.</w:t>
      </w:r>
    </w:p>
    <w:p>
      <w:pPr>
        <w:spacing w:after="0" w:line="208" w:lineRule="exact"/>
        <w:rPr>
          <w:rFonts w:ascii="Courier New" w:cs="Courier New" w:eastAsia="Courier New" w:hAnsi="Courier New"/>
          <w:sz w:val="18"/>
          <w:szCs w:val="18"/>
          <w:color w:val="auto"/>
        </w:rPr>
      </w:pPr>
    </w:p>
    <w:p>
      <w:pPr>
        <w:ind w:left="1892" w:right="219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shall mean the Securities Act of 1933, as amended from time to time.</w:t>
      </w:r>
    </w:p>
    <w:p>
      <w:pPr>
        <w:spacing w:after="0" w:line="208" w:lineRule="exact"/>
        <w:rPr>
          <w:rFonts w:ascii="Courier New" w:cs="Courier New" w:eastAsia="Courier New" w:hAnsi="Courier New"/>
          <w:sz w:val="18"/>
          <w:szCs w:val="18"/>
          <w:color w:val="auto"/>
        </w:rPr>
      </w:pPr>
    </w:p>
    <w:p>
      <w:pPr>
        <w:ind w:left="1892" w:right="1879" w:hanging="944"/>
        <w:spacing w:after="0" w:line="235" w:lineRule="auto"/>
        <w:tabs>
          <w:tab w:leader="none" w:pos="18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Bonus" shall mean a bonus payable in shares of Company Stock granted pursuant to Section 10.</w:t>
      </w:r>
    </w:p>
    <w:p>
      <w:pPr>
        <w:spacing w:after="0" w:line="208" w:lineRule="exact"/>
        <w:rPr>
          <w:sz w:val="20"/>
          <w:szCs w:val="20"/>
          <w:color w:val="auto"/>
        </w:rPr>
      </w:pPr>
    </w:p>
    <w:p>
      <w:pPr>
        <w:ind w:left="1892" w:right="1879" w:hanging="944"/>
        <w:spacing w:after="0" w:line="235" w:lineRule="auto"/>
        <w:tabs>
          <w:tab w:leader="none" w:pos="1892"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"subsidiary corporation" within the meaning of Section 424(f) of the Code.</w:t>
      </w:r>
    </w:p>
    <w:p>
      <w:pPr>
        <w:spacing w:after="0" w:line="208" w:lineRule="exact"/>
        <w:rPr>
          <w:rFonts w:ascii="Courier New" w:cs="Courier New" w:eastAsia="Courier New" w:hAnsi="Courier New"/>
          <w:sz w:val="18"/>
          <w:szCs w:val="18"/>
          <w:color w:val="auto"/>
        </w:rPr>
      </w:pPr>
    </w:p>
    <w:p>
      <w:pPr>
        <w:ind w:left="1892" w:right="2319" w:hanging="944"/>
        <w:spacing w:after="0" w:line="236" w:lineRule="auto"/>
        <w:tabs>
          <w:tab w:leader="none" w:pos="1892"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Date" shall mean the date established by the Committee on which a share of Restricted Stock or Phantom Stock may vest.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92" w:hanging="944"/>
        <w:spacing w:after="0"/>
        <w:tabs>
          <w:tab w:leader="none" w:pos="189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AVAILABLE FOR AWARDS</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The maximum number of shares of Company Stock reserved for</w:t>
      </w:r>
    </w:p>
    <w:p>
      <w:pPr>
        <w:spacing w:after="0" w:line="4" w:lineRule="exact"/>
        <w:rPr>
          <w:sz w:val="20"/>
          <w:szCs w:val="20"/>
          <w:color w:val="auto"/>
        </w:rPr>
      </w:pPr>
    </w:p>
    <w:p>
      <w:pPr>
        <w:ind w:left="1892" w:right="1779"/>
        <w:spacing w:after="0" w:line="271" w:lineRule="auto"/>
        <w:rPr>
          <w:sz w:val="20"/>
          <w:szCs w:val="20"/>
          <w:color w:val="auto"/>
        </w:rPr>
      </w:pPr>
      <w:r>
        <w:rPr>
          <w:rFonts w:ascii="Courier New" w:cs="Courier New" w:eastAsia="Courier New" w:hAnsi="Courier New"/>
          <w:sz w:val="16"/>
          <w:szCs w:val="16"/>
          <w:color w:val="auto"/>
        </w:rPr>
        <w:t>issuance under the Plan shall be 6,000,000 shares (subject to adjustment as provided herein). Such shares may be authorized but unissued Company Stock or authorized and issued Company Stock held in the Company's treasury. The Committee may direct that any stock certificate evidencing shares issued pursuant to the Plan shall bear a legend setting forth such restrictions on transferability as may apply to such shares pursuant to the Plan. The grant of Phantom Stock shall not reduce the number of shares of Company Stock with respect to which Awards may be granted pursuant to the Plan.</w:t>
      </w:r>
    </w:p>
    <w:p>
      <w:pPr>
        <w:spacing w:after="0" w:line="38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1"/>
          </w:cols>
          <w:pgMar w:left="248" w:top="514" w:right="1440" w:bottom="565" w:gutter="0" w:footer="0" w:header="0"/>
        </w:sectPr>
      </w:pPr>
    </w:p>
    <w:bookmarkStart w:id="77" w:name="page78"/>
    <w:bookmarkEnd w:id="77"/>
    <w:p>
      <w:pPr>
        <w:ind w:left="1049" w:hanging="944"/>
        <w:spacing w:after="0"/>
        <w:tabs>
          <w:tab w:leader="none" w:pos="10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LIMITATION</w:t>
      </w:r>
    </w:p>
    <w:p>
      <w:pPr>
        <w:spacing w:after="0" w:line="201" w:lineRule="exact"/>
        <w:rPr>
          <w:sz w:val="20"/>
          <w:szCs w:val="20"/>
          <w:color w:val="auto"/>
        </w:rPr>
      </w:pPr>
    </w:p>
    <w:p>
      <w:pPr>
        <w:ind w:left="109"/>
        <w:spacing w:after="0"/>
        <w:rPr>
          <w:sz w:val="20"/>
          <w:szCs w:val="20"/>
          <w:color w:val="auto"/>
        </w:rPr>
      </w:pPr>
      <w:r>
        <w:rPr>
          <w:rFonts w:ascii="Courier New" w:cs="Courier New" w:eastAsia="Courier New" w:hAnsi="Courier New"/>
          <w:sz w:val="18"/>
          <w:szCs w:val="18"/>
          <w:color w:val="auto"/>
        </w:rPr>
        <w:t>To the extent required by Section 162(m) of the Code, the total</w:t>
      </w:r>
    </w:p>
    <w:p>
      <w:pPr>
        <w:spacing w:after="0" w:line="4"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number of shares of Company Stock subject to Awards (including</w:t>
      </w:r>
    </w:p>
    <w:p>
      <w:pPr>
        <w:spacing w:after="0" w:line="21"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Awards which may be payable in cash but denominated as shares</w:t>
      </w:r>
    </w:p>
    <w:p>
      <w:pPr>
        <w:spacing w:after="0" w:line="16" w:lineRule="exact"/>
        <w:rPr>
          <w:sz w:val="20"/>
          <w:szCs w:val="20"/>
          <w:color w:val="auto"/>
        </w:rPr>
      </w:pPr>
    </w:p>
    <w:p>
      <w:pPr>
        <w:ind w:left="1049"/>
        <w:spacing w:after="0"/>
        <w:rPr>
          <w:sz w:val="20"/>
          <w:szCs w:val="20"/>
          <w:color w:val="auto"/>
        </w:rPr>
      </w:pPr>
      <w:r>
        <w:rPr>
          <w:rFonts w:ascii="Courier New" w:cs="Courier New" w:eastAsia="Courier New" w:hAnsi="Courier New"/>
          <w:sz w:val="18"/>
          <w:szCs w:val="18"/>
          <w:color w:val="auto"/>
        </w:rPr>
        <w:t>of Company Stock, i.e., Phantom Stock), awarded to any</w:t>
      </w:r>
    </w:p>
    <w:p>
      <w:pPr>
        <w:spacing w:after="0" w:line="4"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employee shall not exceed 1,500,000 shares during any tax year</w:t>
      </w:r>
    </w:p>
    <w:p>
      <w:pPr>
        <w:spacing w:after="0" w:line="21"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of the Company in which the employee first becomes employed by</w:t>
      </w:r>
    </w:p>
    <w:p>
      <w:pPr>
        <w:spacing w:after="0" w:line="21"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the Company or a Subsidiary, or 1,000,000 shares in any other</w:t>
      </w:r>
    </w:p>
    <w:p>
      <w:pPr>
        <w:spacing w:after="0" w:line="21"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tax year of the Company (in each case subject to adjustment as</w:t>
      </w:r>
    </w:p>
    <w:p>
      <w:pPr>
        <w:spacing w:after="0" w:line="16" w:lineRule="exact"/>
        <w:rPr>
          <w:sz w:val="20"/>
          <w:szCs w:val="20"/>
          <w:color w:val="auto"/>
        </w:rPr>
      </w:pPr>
    </w:p>
    <w:p>
      <w:pPr>
        <w:ind w:left="1049"/>
        <w:spacing w:after="0"/>
        <w:rPr>
          <w:sz w:val="20"/>
          <w:szCs w:val="20"/>
          <w:color w:val="auto"/>
        </w:rPr>
      </w:pPr>
      <w:r>
        <w:rPr>
          <w:rFonts w:ascii="Courier New" w:cs="Courier New" w:eastAsia="Courier New" w:hAnsi="Courier New"/>
          <w:sz w:val="18"/>
          <w:szCs w:val="18"/>
          <w:color w:val="auto"/>
        </w:rPr>
        <w:t>provided herein). In addition, for any tax year of the</w:t>
      </w:r>
    </w:p>
    <w:p>
      <w:pPr>
        <w:spacing w:after="0" w:line="4"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Company, the maximum number of shares of Restricted Stock that</w:t>
      </w:r>
    </w:p>
    <w:p>
      <w:pPr>
        <w:spacing w:after="0" w:line="16" w:lineRule="exact"/>
        <w:rPr>
          <w:sz w:val="20"/>
          <w:szCs w:val="20"/>
          <w:color w:val="auto"/>
        </w:rPr>
      </w:pPr>
    </w:p>
    <w:p>
      <w:pPr>
        <w:ind w:left="1049"/>
        <w:spacing w:after="0"/>
        <w:rPr>
          <w:sz w:val="20"/>
          <w:szCs w:val="20"/>
          <w:color w:val="auto"/>
        </w:rPr>
      </w:pPr>
      <w:r>
        <w:rPr>
          <w:rFonts w:ascii="Courier New" w:cs="Courier New" w:eastAsia="Courier New" w:hAnsi="Courier New"/>
          <w:sz w:val="18"/>
          <w:szCs w:val="18"/>
          <w:color w:val="auto"/>
        </w:rPr>
        <w:t>may be granted to a Covered Employee for which the lapse of</w:t>
      </w:r>
    </w:p>
    <w:p>
      <w:pPr>
        <w:spacing w:after="0" w:line="4"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the restrictions of Section 8(d) is subject to the attainment</w:t>
      </w:r>
    </w:p>
    <w:p>
      <w:pPr>
        <w:spacing w:after="0" w:line="21" w:lineRule="exact"/>
        <w:rPr>
          <w:sz w:val="20"/>
          <w:szCs w:val="20"/>
          <w:color w:val="auto"/>
        </w:rPr>
      </w:pPr>
    </w:p>
    <w:p>
      <w:pPr>
        <w:ind w:left="1049"/>
        <w:spacing w:after="0"/>
        <w:rPr>
          <w:sz w:val="20"/>
          <w:szCs w:val="20"/>
          <w:color w:val="auto"/>
        </w:rPr>
      </w:pPr>
      <w:r>
        <w:rPr>
          <w:rFonts w:ascii="Courier New" w:cs="Courier New" w:eastAsia="Courier New" w:hAnsi="Courier New"/>
          <w:sz w:val="16"/>
          <w:szCs w:val="16"/>
          <w:color w:val="auto"/>
        </w:rPr>
        <w:t>of preestablished performance goals in accordance with Section</w:t>
      </w:r>
    </w:p>
    <w:p>
      <w:pPr>
        <w:spacing w:after="0" w:line="16" w:lineRule="exact"/>
        <w:rPr>
          <w:sz w:val="20"/>
          <w:szCs w:val="20"/>
          <w:color w:val="auto"/>
        </w:rPr>
      </w:pPr>
    </w:p>
    <w:p>
      <w:pPr>
        <w:ind w:left="1049"/>
        <w:spacing w:after="0"/>
        <w:rPr>
          <w:sz w:val="20"/>
          <w:szCs w:val="20"/>
          <w:color w:val="auto"/>
        </w:rPr>
      </w:pPr>
      <w:r>
        <w:rPr>
          <w:rFonts w:ascii="Courier New" w:cs="Courier New" w:eastAsia="Courier New" w:hAnsi="Courier New"/>
          <w:sz w:val="18"/>
          <w:szCs w:val="18"/>
          <w:color w:val="auto"/>
        </w:rPr>
        <w:t>8(j) shall not exceed 200,000 (subject to adjustment as</w:t>
      </w:r>
    </w:p>
    <w:p>
      <w:pPr>
        <w:ind w:left="1049"/>
        <w:spacing w:after="0" w:line="238" w:lineRule="auto"/>
        <w:rPr>
          <w:sz w:val="20"/>
          <w:szCs w:val="20"/>
          <w:color w:val="auto"/>
        </w:rPr>
      </w:pPr>
      <w:r>
        <w:rPr>
          <w:rFonts w:ascii="Courier New" w:cs="Courier New" w:eastAsia="Courier New" w:hAnsi="Courier New"/>
          <w:sz w:val="18"/>
          <w:szCs w:val="18"/>
          <w:color w:val="auto"/>
        </w:rPr>
        <w:t>provided herein).</w:t>
      </w:r>
    </w:p>
    <w:p>
      <w:pPr>
        <w:spacing w:after="0" w:line="202" w:lineRule="exact"/>
        <w:rPr>
          <w:sz w:val="20"/>
          <w:szCs w:val="20"/>
          <w:color w:val="auto"/>
        </w:rPr>
      </w:pPr>
    </w:p>
    <w:p>
      <w:pPr>
        <w:ind w:left="1049" w:hanging="944"/>
        <w:spacing w:after="0"/>
        <w:tabs>
          <w:tab w:leader="none" w:pos="104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CHANGE IN CAPITALIZATION</w:t>
      </w:r>
    </w:p>
    <w:p>
      <w:pPr>
        <w:spacing w:after="0" w:line="207" w:lineRule="exact"/>
        <w:rPr>
          <w:sz w:val="20"/>
          <w:szCs w:val="20"/>
          <w:color w:val="auto"/>
        </w:rPr>
      </w:pPr>
    </w:p>
    <w:p>
      <w:pPr>
        <w:ind w:left="1049" w:right="1779" w:hanging="947"/>
        <w:spacing w:after="0" w:line="238" w:lineRule="auto"/>
        <w:rPr>
          <w:sz w:val="20"/>
          <w:szCs w:val="20"/>
          <w:color w:val="auto"/>
        </w:rPr>
      </w:pPr>
      <w:r>
        <w:rPr>
          <w:rFonts w:ascii="Courier New" w:cs="Courier New" w:eastAsia="Courier New" w:hAnsi="Courier New"/>
          <w:sz w:val="18"/>
          <w:szCs w:val="18"/>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210" w:lineRule="exact"/>
        <w:rPr>
          <w:sz w:val="20"/>
          <w:szCs w:val="20"/>
          <w:color w:val="auto"/>
        </w:rPr>
      </w:pPr>
    </w:p>
    <w:p>
      <w:pPr>
        <w:ind w:left="949" w:right="2839" w:hanging="949"/>
        <w:spacing w:after="0" w:line="235" w:lineRule="auto"/>
        <w:tabs>
          <w:tab w:leader="none" w:pos="94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CHANGE OR EXCHANGE OF SHARES FOR OTHER CONSIDERATION</w:t>
      </w:r>
    </w:p>
    <w:p>
      <w:pPr>
        <w:spacing w:after="0" w:line="208" w:lineRule="exact"/>
        <w:rPr>
          <w:sz w:val="20"/>
          <w:szCs w:val="20"/>
          <w:color w:val="auto"/>
        </w:rPr>
      </w:pPr>
    </w:p>
    <w:p>
      <w:pPr>
        <w:ind w:left="1049" w:right="1779" w:hanging="947"/>
        <w:spacing w:after="0" w:line="238" w:lineRule="auto"/>
        <w:rPr>
          <w:sz w:val="20"/>
          <w:szCs w:val="20"/>
          <w:color w:val="auto"/>
        </w:rPr>
      </w:pPr>
      <w:r>
        <w:rPr>
          <w:rFonts w:ascii="Courier New" w:cs="Courier New" w:eastAsia="Courier New" w:hAnsi="Courier New"/>
          <w:sz w:val="18"/>
          <w:szCs w:val="18"/>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209" w:lineRule="exact"/>
        <w:rPr>
          <w:sz w:val="20"/>
          <w:szCs w:val="20"/>
          <w:color w:val="auto"/>
        </w:rPr>
      </w:pPr>
    </w:p>
    <w:p>
      <w:pPr>
        <w:ind w:left="109"/>
        <w:spacing w:after="0"/>
        <w:tabs>
          <w:tab w:leader="none" w:pos="1029"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REUSE OF SHARES</w:t>
      </w:r>
    </w:p>
    <w:p>
      <w:pPr>
        <w:sectPr>
          <w:pgSz w:w="11900" w:h="16838" w:orient="portrait"/>
          <w:cols w:equalWidth="0" w:num="1">
            <w:col w:w="9368"/>
          </w:cols>
          <w:pgMar w:left="1091" w:top="717" w:right="1440" w:bottom="0" w:gutter="0" w:footer="0" w:header="0"/>
        </w:sectPr>
      </w:pPr>
    </w:p>
    <w:bookmarkStart w:id="78" w:name="page79"/>
    <w:bookmarkEnd w:id="78"/>
    <w:p>
      <w:pPr>
        <w:ind w:left="700" w:right="1779" w:hanging="947"/>
        <w:spacing w:after="0" w:line="237" w:lineRule="auto"/>
        <w:rPr>
          <w:sz w:val="20"/>
          <w:szCs w:val="20"/>
          <w:color w:val="auto"/>
        </w:rPr>
      </w:pPr>
      <w:r>
        <w:rPr>
          <w:rFonts w:ascii="Courier New" w:cs="Courier New" w:eastAsia="Courier New" w:hAnsi="Courier New"/>
          <w:sz w:val="18"/>
          <w:szCs w:val="18"/>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in exchange for Option shares upon a Participant's exercise of an Option, as</w:t>
      </w:r>
    </w:p>
    <w:p>
      <w:pPr>
        <w:spacing w:after="0" w:line="20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9019"/>
          </w:cols>
          <w:pgMar w:left="1440" w:top="344" w:right="1440" w:bottom="1440" w:gutter="0" w:footer="0" w:header="0"/>
        </w:sectPr>
      </w:pPr>
    </w:p>
    <w:bookmarkStart w:id="79" w:name="page80"/>
    <w:bookmarkEnd w:id="79"/>
    <w:p>
      <w:pPr>
        <w:ind w:left="1900"/>
        <w:spacing w:after="0"/>
        <w:rPr>
          <w:sz w:val="20"/>
          <w:szCs w:val="20"/>
          <w:color w:val="auto"/>
        </w:rPr>
      </w:pPr>
      <w:r>
        <w:rPr>
          <w:rFonts w:ascii="Courier New" w:cs="Courier New" w:eastAsia="Courier New" w:hAnsi="Courier New"/>
          <w:sz w:val="18"/>
          <w:szCs w:val="18"/>
          <w:color w:val="auto"/>
        </w:rPr>
        <w:t>permitted under Section 7(c)(3) hereof.</w:t>
      </w:r>
    </w:p>
    <w:p>
      <w:pPr>
        <w:spacing w:after="0" w:line="201" w:lineRule="exact"/>
        <w:rPr>
          <w:sz w:val="20"/>
          <w:szCs w:val="20"/>
          <w:color w:val="auto"/>
        </w:rPr>
      </w:pPr>
    </w:p>
    <w:p>
      <w:pPr>
        <w:ind w:left="960" w:hanging="952"/>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39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w:t>
      </w:r>
    </w:p>
    <w:p>
      <w:pPr>
        <w:spacing w:after="0" w:line="182" w:lineRule="exact"/>
        <w:rPr>
          <w:sz w:val="20"/>
          <w:szCs w:val="20"/>
          <w:color w:val="auto"/>
        </w:rPr>
      </w:pPr>
    </w:p>
    <w:p>
      <w:pPr>
        <w:ind w:left="960" w:hanging="952"/>
        <w:spacing w:after="0"/>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persons who shall be eligible to receive Awards pursuant to the Plan shall be such employees of the Company (including officers of the Company, whether or not they are directors of the Company) and nonemployee service providers and consultants, in each case as the Committee shall select from time to time. Nonqualified Stock Options shall be granted to Nonemployee Directors in accordance with the provisions of Section 12 hereof. The grant of an Award hereunder in any year to any employee, service provider or consultant shall not entitle such person to a grant of an Award in any future year.</w:t>
      </w:r>
    </w:p>
    <w:p>
      <w:pPr>
        <w:spacing w:after="0" w:line="380" w:lineRule="exact"/>
        <w:rPr>
          <w:sz w:val="20"/>
          <w:szCs w:val="20"/>
          <w:color w:val="auto"/>
        </w:rPr>
      </w:pPr>
    </w:p>
    <w:p>
      <w:pPr>
        <w:ind w:left="960" w:hanging="952"/>
        <w:spacing w:after="0"/>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 Under the Plan; Agreement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204" w:lineRule="exact"/>
        <w:rPr>
          <w:sz w:val="20"/>
          <w:szCs w:val="20"/>
          <w:color w:val="auto"/>
        </w:rPr>
      </w:pPr>
    </w:p>
    <w:p>
      <w:pPr>
        <w:ind w:left="960" w:hanging="952"/>
        <w:spacing w:after="0"/>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OF OPTIONS</w:t>
      </w:r>
    </w:p>
    <w:p>
      <w:pPr>
        <w:spacing w:after="0" w:line="207" w:lineRule="exact"/>
        <w:rPr>
          <w:sz w:val="20"/>
          <w:szCs w:val="20"/>
          <w:color w:val="auto"/>
        </w:rPr>
      </w:pPr>
    </w:p>
    <w:p>
      <w:pPr>
        <w:jc w:val="both"/>
        <w:ind w:left="1900" w:right="2099" w:hanging="947"/>
        <w:spacing w:after="0" w:line="236" w:lineRule="auto"/>
        <w:rPr>
          <w:sz w:val="20"/>
          <w:szCs w:val="20"/>
          <w:color w:val="auto"/>
        </w:rPr>
      </w:pPr>
      <w:r>
        <w:rPr>
          <w:rFonts w:ascii="Courier New" w:cs="Courier New" w:eastAsia="Courier New" w:hAnsi="Courier New"/>
          <w:sz w:val="18"/>
          <w:szCs w:val="18"/>
          <w:color w:val="auto"/>
        </w:rPr>
        <w:t>Each Option shall be clearly identified in the applicable Agreement as either an Incentive Stock Option or a Nonqualified Stock Option.</w:t>
      </w:r>
    </w:p>
    <w:p>
      <w:pPr>
        <w:spacing w:after="0" w:line="203" w:lineRule="exact"/>
        <w:rPr>
          <w:sz w:val="20"/>
          <w:szCs w:val="20"/>
          <w:color w:val="auto"/>
        </w:rPr>
      </w:pPr>
    </w:p>
    <w:p>
      <w:pPr>
        <w:ind w:left="1900" w:hanging="944"/>
        <w:spacing w:after="0"/>
        <w:tabs>
          <w:tab w:leader="none" w:pos="190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spacing w:after="0" w:line="207" w:lineRule="exact"/>
        <w:rPr>
          <w:sz w:val="20"/>
          <w:szCs w:val="20"/>
          <w:color w:val="auto"/>
        </w:rPr>
      </w:pPr>
    </w:p>
    <w:p>
      <w:pPr>
        <w:ind w:left="1900" w:right="1779" w:hanging="947"/>
        <w:spacing w:after="0" w:line="237" w:lineRule="auto"/>
        <w:rPr>
          <w:sz w:val="20"/>
          <w:szCs w:val="20"/>
          <w:color w:val="auto"/>
        </w:rPr>
      </w:pPr>
      <w:r>
        <w:rPr>
          <w:rFonts w:ascii="Courier New" w:cs="Courier New" w:eastAsia="Courier New" w:hAnsi="Courier New"/>
          <w:sz w:val="18"/>
          <w:szCs w:val="18"/>
          <w:color w:val="auto"/>
        </w:rPr>
        <w:t>Each Agreement with respect to an Option shall set forth the amount (the "option exercise price") payable by the grantee to the Company upon exercise of the Option. The option exercise price per share shall be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514" w:right="1440" w:bottom="0" w:gutter="0" w:footer="0" w:header="0"/>
        </w:sectPr>
      </w:pPr>
    </w:p>
    <w:bookmarkStart w:id="80" w:name="page81"/>
    <w:bookmarkEnd w:id="80"/>
    <w:p>
      <w:pPr>
        <w:ind w:left="944" w:right="1999"/>
        <w:spacing w:after="0" w:line="275" w:lineRule="auto"/>
        <w:rPr>
          <w:sz w:val="20"/>
          <w:szCs w:val="20"/>
          <w:color w:val="auto"/>
        </w:rPr>
      </w:pPr>
      <w:r>
        <w:rPr>
          <w:rFonts w:ascii="Courier New" w:cs="Courier New" w:eastAsia="Courier New" w:hAnsi="Courier New"/>
          <w:sz w:val="16"/>
          <w:szCs w:val="16"/>
          <w:color w:val="auto"/>
        </w:rPr>
        <w:t>determined by the Committee; provided, however, that in the case of an Incentive Stock Option, the option exercise price shall in no event be less than the Fair Market Value of a share of Company Stock on the date the Option is granted.</w:t>
      </w:r>
    </w:p>
    <w:p>
      <w:pPr>
        <w:spacing w:after="0" w:line="177" w:lineRule="exact"/>
        <w:rPr>
          <w:sz w:val="20"/>
          <w:szCs w:val="20"/>
          <w:color w:val="auto"/>
        </w:rPr>
      </w:pPr>
    </w:p>
    <w:p>
      <w:pPr>
        <w:ind w:left="944" w:hanging="944"/>
        <w:spacing w:after="0"/>
        <w:tabs>
          <w:tab w:leader="none" w:pos="94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EXERCISE OF OPTIONS</w:t>
      </w:r>
    </w:p>
    <w:p>
      <w:pPr>
        <w:spacing w:after="0" w:line="206"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pacing w:after="0" w:line="213" w:lineRule="exact"/>
        <w:rPr>
          <w:rFonts w:ascii="Courier New" w:cs="Courier New" w:eastAsia="Courier New" w:hAnsi="Courier New"/>
          <w:sz w:val="18"/>
          <w:szCs w:val="18"/>
          <w:color w:val="auto"/>
        </w:rPr>
      </w:pPr>
    </w:p>
    <w:p>
      <w:pPr>
        <w:ind w:left="1904" w:right="1779" w:hanging="956"/>
        <w:spacing w:after="0" w:line="268" w:lineRule="auto"/>
        <w:tabs>
          <w:tab w:leader="none" w:pos="190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w:t>
      </w:r>
    </w:p>
    <w:p>
      <w:pPr>
        <w:ind w:left="2524" w:hanging="628"/>
        <w:spacing w:after="0" w:line="238" w:lineRule="auto"/>
        <w:tabs>
          <w:tab w:leader="none" w:pos="2524"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shares.</w:t>
      </w:r>
    </w:p>
    <w:p>
      <w:pPr>
        <w:spacing w:after="0" w:line="207" w:lineRule="exact"/>
        <w:rPr>
          <w:rFonts w:ascii="Courier New" w:cs="Courier New" w:eastAsia="Courier New" w:hAnsi="Courier New"/>
          <w:sz w:val="18"/>
          <w:szCs w:val="18"/>
          <w:color w:val="auto"/>
        </w:rPr>
      </w:pPr>
    </w:p>
    <w:p>
      <w:pPr>
        <w:ind w:left="1904" w:right="1779" w:hanging="956"/>
        <w:spacing w:after="0" w:line="269" w:lineRule="auto"/>
        <w:tabs>
          <w:tab w:leader="none" w:pos="190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1904" w:right="1779" w:hanging="956"/>
        <w:spacing w:after="0" w:line="237" w:lineRule="auto"/>
        <w:tabs>
          <w:tab w:leader="none" w:pos="1904"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212" w:lineRule="exact"/>
        <w:rPr>
          <w:rFonts w:ascii="Courier New" w:cs="Courier New" w:eastAsia="Courier New" w:hAnsi="Courier New"/>
          <w:sz w:val="18"/>
          <w:szCs w:val="18"/>
          <w:color w:val="auto"/>
        </w:rPr>
      </w:pPr>
    </w:p>
    <w:p>
      <w:pPr>
        <w:ind w:left="1904" w:right="1779" w:hanging="956"/>
        <w:spacing w:after="0" w:line="270" w:lineRule="auto"/>
        <w:tabs>
          <w:tab w:leader="none" w:pos="190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to specify, at the time of grant or, with respect to Nonqualified Stock Options, at or after the time of grant, that a Participant shall be granted a new Nonqualified Stock Option (a "Reload Option") for a number of shares equal to the number of shares surrendered by the Participant upon exercise of all or a part of an Option in the manner described in Section 7(c)(3)(B) above, subject to the availability of shares of Company Stock under the Plan at the time of such exercise. Reload Options shall be subject to such conditions as may be specified by the Committee in its discretion, subject to the terms of the Plan.</w:t>
      </w:r>
    </w:p>
    <w:p>
      <w:pPr>
        <w:spacing w:after="0" w:line="383" w:lineRule="exact"/>
        <w:rPr>
          <w:rFonts w:ascii="Courier New" w:cs="Courier New" w:eastAsia="Courier New" w:hAnsi="Courier New"/>
          <w:sz w:val="16"/>
          <w:szCs w:val="16"/>
          <w:color w:val="auto"/>
        </w:rPr>
      </w:pPr>
    </w:p>
    <w:p>
      <w:pPr>
        <w:ind w:left="944" w:hanging="944"/>
        <w:spacing w:after="0"/>
        <w:tabs>
          <w:tab w:leader="none" w:pos="94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INCENTIVE STOCK OPTIONS</w:t>
      </w:r>
    </w:p>
    <w:p>
      <w:pPr>
        <w:spacing w:after="0" w:line="201"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of Company Stock</w:t>
      </w:r>
    </w:p>
    <w:p>
      <w:pPr>
        <w:sectPr>
          <w:pgSz w:w="11900" w:h="16838" w:orient="portrait"/>
          <w:cols w:equalWidth="0" w:num="1">
            <w:col w:w="9263"/>
          </w:cols>
          <w:pgMar w:left="1196" w:top="520" w:right="1440" w:bottom="0" w:gutter="0" w:footer="0" w:header="0"/>
        </w:sectPr>
      </w:pPr>
    </w:p>
    <w:bookmarkStart w:id="81" w:name="page82"/>
    <w:bookmarkEnd w:id="81"/>
    <w:p>
      <w:pPr>
        <w:jc w:val="both"/>
        <w:ind w:left="1660" w:right="1999"/>
        <w:spacing w:after="0" w:line="279" w:lineRule="auto"/>
        <w:rPr>
          <w:sz w:val="20"/>
          <w:szCs w:val="20"/>
          <w:color w:val="auto"/>
        </w:rPr>
      </w:pPr>
      <w:r>
        <w:rPr>
          <w:rFonts w:ascii="Courier New" w:cs="Courier New" w:eastAsia="Courier New" w:hAnsi="Courier New"/>
          <w:sz w:val="16"/>
          <w:szCs w:val="16"/>
          <w:color w:val="auto"/>
        </w:rPr>
        <w:t>deliverable upon the exercise of an Incentive Stock Option shall be not less than the Fair Market Value of a share of Company Stock on the date of grant.</w:t>
      </w:r>
    </w:p>
    <w:p>
      <w:pPr>
        <w:spacing w:after="0" w:line="17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9019"/>
          </w:cols>
          <w:pgMar w:left="1440" w:top="142" w:right="1440" w:bottom="1440" w:gutter="0" w:footer="0" w:header="0"/>
        </w:sectPr>
      </w:pPr>
    </w:p>
    <w:bookmarkStart w:id="82" w:name="page83"/>
    <w:bookmarkEnd w:id="82"/>
    <w:p>
      <w:pPr>
        <w:ind w:left="1904" w:right="1779" w:hanging="956"/>
        <w:spacing w:after="0" w:line="237" w:lineRule="auto"/>
        <w:tabs>
          <w:tab w:leader="none" w:pos="1904"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214" w:lineRule="exact"/>
        <w:rPr>
          <w:rFonts w:ascii="Courier New" w:cs="Courier New" w:eastAsia="Courier New" w:hAnsi="Courier New"/>
          <w:sz w:val="18"/>
          <w:szCs w:val="18"/>
          <w:color w:val="auto"/>
        </w:rPr>
      </w:pPr>
    </w:p>
    <w:p>
      <w:pPr>
        <w:ind w:left="1904" w:right="1779" w:hanging="956"/>
        <w:spacing w:after="0" w:line="238" w:lineRule="auto"/>
        <w:tabs>
          <w:tab w:leader="none" w:pos="1904"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201"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EMPLOYMENT</w:t>
      </w:r>
    </w:p>
    <w:p>
      <w:pPr>
        <w:spacing w:after="0" w:line="206" w:lineRule="exact"/>
        <w:rPr>
          <w:rFonts w:ascii="Courier New" w:cs="Courier New" w:eastAsia="Courier New" w:hAnsi="Courier New"/>
          <w:sz w:val="18"/>
          <w:szCs w:val="18"/>
          <w:color w:val="auto"/>
        </w:rPr>
      </w:pPr>
    </w:p>
    <w:p>
      <w:pPr>
        <w:ind w:left="1904" w:right="1779" w:hanging="956"/>
        <w:spacing w:after="0" w:line="270" w:lineRule="auto"/>
        <w:tabs>
          <w:tab w:leader="none" w:pos="1904"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employment of a Participant with the Company shall terminate for any reason other than (A) Cause, as defined in the Agreement,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389" w:lineRule="exact"/>
        <w:rPr>
          <w:rFonts w:ascii="Courier New" w:cs="Courier New" w:eastAsia="Courier New" w:hAnsi="Courier New"/>
          <w:sz w:val="16"/>
          <w:szCs w:val="16"/>
          <w:color w:val="auto"/>
        </w:rPr>
      </w:pPr>
    </w:p>
    <w:p>
      <w:pPr>
        <w:ind w:left="1904" w:right="1779" w:hanging="956"/>
        <w:spacing w:after="0" w:line="238" w:lineRule="auto"/>
        <w:tabs>
          <w:tab w:leader="none" w:pos="190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its term.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211" w:lineRule="exact"/>
        <w:rPr>
          <w:rFonts w:ascii="Courier New" w:cs="Courier New" w:eastAsia="Courier New" w:hAnsi="Courier New"/>
          <w:sz w:val="18"/>
          <w:szCs w:val="18"/>
          <w:color w:val="auto"/>
        </w:rPr>
      </w:pPr>
    </w:p>
    <w:p>
      <w:pPr>
        <w:ind w:left="1904" w:right="1999" w:hanging="956"/>
        <w:spacing w:after="0" w:line="237" w:lineRule="auto"/>
        <w:tabs>
          <w:tab w:leader="none" w:pos="190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termination of a Participant's employment for Cause, as defined in the Agreement, all outstanding Options granted to such Participant shall expire at the commencement of business on the date of such</w:t>
      </w:r>
    </w:p>
    <w:p>
      <w:pPr>
        <w:spacing w:after="0" w:line="1" w:lineRule="exact"/>
        <w:rPr>
          <w:rFonts w:ascii="Courier New" w:cs="Courier New" w:eastAsia="Courier New" w:hAnsi="Courier New"/>
          <w:sz w:val="18"/>
          <w:szCs w:val="18"/>
          <w:color w:val="auto"/>
        </w:rPr>
      </w:pPr>
    </w:p>
    <w:p>
      <w:pPr>
        <w:ind w:left="190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EXERCISE DATE UPON CHANGE IN CONTROL</w:t>
      </w:r>
    </w:p>
    <w:p>
      <w:pPr>
        <w:spacing w:after="0" w:line="207" w:lineRule="exact"/>
        <w:rPr>
          <w:sz w:val="20"/>
          <w:szCs w:val="20"/>
          <w:color w:val="auto"/>
        </w:rPr>
      </w:pPr>
    </w:p>
    <w:p>
      <w:pPr>
        <w:ind w:left="944" w:right="1779" w:hanging="947"/>
        <w:spacing w:after="0" w:line="272" w:lineRule="auto"/>
        <w:rPr>
          <w:sz w:val="20"/>
          <w:szCs w:val="20"/>
          <w:color w:val="auto"/>
        </w:rPr>
      </w:pPr>
      <w:r>
        <w:rPr>
          <w:rFonts w:ascii="Courier New" w:cs="Courier New" w:eastAsia="Courier New" w:hAnsi="Courier New"/>
          <w:sz w:val="16"/>
          <w:szCs w:val="16"/>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w:t>
      </w:r>
    </w:p>
    <w:p>
      <w:pPr>
        <w:sectPr>
          <w:pgSz w:w="11900" w:h="16838" w:orient="portrait"/>
          <w:cols w:equalWidth="0" w:num="1">
            <w:col w:w="9263"/>
          </w:cols>
          <w:pgMar w:left="1196" w:top="520" w:right="1440" w:bottom="0" w:gutter="0" w:footer="0" w:header="0"/>
        </w:sectPr>
      </w:pPr>
    </w:p>
    <w:bookmarkStart w:id="83" w:name="page84"/>
    <w:bookmarkEnd w:id="83"/>
    <w:p>
      <w:pPr>
        <w:ind w:left="940" w:right="2199"/>
        <w:spacing w:after="0" w:line="237" w:lineRule="auto"/>
        <w:rPr>
          <w:sz w:val="20"/>
          <w:szCs w:val="20"/>
          <w:color w:val="auto"/>
        </w:rPr>
      </w:pPr>
      <w:r>
        <w:rPr>
          <w:rFonts w:ascii="Courier New" w:cs="Courier New" w:eastAsia="Courier New" w:hAnsi="Courier New"/>
          <w:sz w:val="18"/>
          <w:szCs w:val="18"/>
          <w:color w:val="auto"/>
        </w:rPr>
        <w:t>which such Option shall remain exercisable), and/or (2) be canceled in exchange for the right to receive property equivalent in value to such Option, as determined by the Committee.</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LEAVE OF ABSENCE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9259"/>
          </w:cols>
          <w:pgMar w:left="1200" w:top="142" w:right="1440" w:bottom="1440" w:gutter="0" w:footer="0" w:header="0"/>
        </w:sectPr>
      </w:pPr>
    </w:p>
    <w:bookmarkStart w:id="84" w:name="page85"/>
    <w:bookmarkEnd w:id="84"/>
    <w:p>
      <w:pPr>
        <w:ind w:left="960" w:right="1779"/>
        <w:spacing w:after="0" w:line="237" w:lineRule="auto"/>
        <w:rPr>
          <w:sz w:val="20"/>
          <w:szCs w:val="20"/>
          <w:color w:val="auto"/>
        </w:rPr>
      </w:pPr>
      <w:r>
        <w:rPr>
          <w:rFonts w:ascii="Courier New" w:cs="Courier New" w:eastAsia="Courier New" w:hAnsi="Courier New"/>
          <w:sz w:val="18"/>
          <w:szCs w:val="18"/>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203" w:lineRule="exact"/>
        <w:rPr>
          <w:sz w:val="20"/>
          <w:szCs w:val="20"/>
          <w:color w:val="auto"/>
        </w:rPr>
      </w:pPr>
    </w:p>
    <w:p>
      <w:pPr>
        <w:ind w:left="960" w:hanging="952"/>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 the time of the grant of shares of Restricted Stock, the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Committee shall determine the price, if any, to be paid by the</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Participant for each share of Restricted Stock subject to the</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Award.</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VESTING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 the time of the grant of shares of Restricted Stock, the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Committee shall establish a Vesting Date or Vesting Dates with</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respect to such shares. The Committee may divide such shares</w:t>
      </w:r>
    </w:p>
    <w:p>
      <w:pPr>
        <w:ind w:left="1900"/>
        <w:spacing w:after="0" w:line="238" w:lineRule="auto"/>
        <w:rPr>
          <w:sz w:val="20"/>
          <w:szCs w:val="20"/>
          <w:color w:val="auto"/>
        </w:rPr>
      </w:pPr>
      <w:r>
        <w:rPr>
          <w:rFonts w:ascii="Courier New" w:cs="Courier New" w:eastAsia="Courier New" w:hAnsi="Courier New"/>
          <w:sz w:val="18"/>
          <w:szCs w:val="18"/>
          <w:color w:val="auto"/>
        </w:rPr>
        <w:t>into classes and assign a different Vesting Date for each</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class. Provided that all conditions to the vesting of a share</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of Restricted Stock imposed pursuant to Section 8(c) are</w:t>
      </w:r>
    </w:p>
    <w:p>
      <w:pPr>
        <w:ind w:left="1900"/>
        <w:spacing w:after="0" w:line="238" w:lineRule="auto"/>
        <w:rPr>
          <w:sz w:val="20"/>
          <w:szCs w:val="20"/>
          <w:color w:val="auto"/>
        </w:rPr>
      </w:pPr>
      <w:r>
        <w:rPr>
          <w:rFonts w:ascii="Courier New" w:cs="Courier New" w:eastAsia="Courier New" w:hAnsi="Courier New"/>
          <w:sz w:val="18"/>
          <w:szCs w:val="18"/>
          <w:color w:val="auto"/>
        </w:rPr>
        <w:t>satisfied, and except as provided in Section 8(h), upon the</w:t>
      </w:r>
    </w:p>
    <w:p>
      <w:pPr>
        <w:ind w:left="1900"/>
        <w:spacing w:after="0"/>
        <w:rPr>
          <w:sz w:val="20"/>
          <w:szCs w:val="20"/>
          <w:color w:val="auto"/>
        </w:rPr>
      </w:pPr>
      <w:r>
        <w:rPr>
          <w:rFonts w:ascii="Courier New" w:cs="Courier New" w:eastAsia="Courier New" w:hAnsi="Courier New"/>
          <w:sz w:val="18"/>
          <w:szCs w:val="18"/>
          <w:color w:val="auto"/>
        </w:rPr>
        <w:t>occurrence of the Vesting Date with respect to a share of</w:t>
      </w:r>
    </w:p>
    <w:p>
      <w:pPr>
        <w:ind w:left="1900"/>
        <w:spacing w:after="0" w:line="237" w:lineRule="auto"/>
        <w:rPr>
          <w:sz w:val="20"/>
          <w:szCs w:val="20"/>
          <w:color w:val="auto"/>
        </w:rPr>
      </w:pPr>
      <w:r>
        <w:rPr>
          <w:rFonts w:ascii="Courier New" w:cs="Courier New" w:eastAsia="Courier New" w:hAnsi="Courier New"/>
          <w:sz w:val="18"/>
          <w:szCs w:val="18"/>
          <w:color w:val="auto"/>
        </w:rPr>
        <w:t>Restricted Stock, such share shall vest and the restrictions</w:t>
      </w:r>
    </w:p>
    <w:p>
      <w:pPr>
        <w:ind w:left="1900"/>
        <w:spacing w:after="0" w:line="238" w:lineRule="auto"/>
        <w:rPr>
          <w:sz w:val="20"/>
          <w:szCs w:val="20"/>
          <w:color w:val="auto"/>
        </w:rPr>
      </w:pPr>
      <w:r>
        <w:rPr>
          <w:rFonts w:ascii="Courier New" w:cs="Courier New" w:eastAsia="Courier New" w:hAnsi="Courier New"/>
          <w:sz w:val="18"/>
          <w:szCs w:val="18"/>
          <w:color w:val="auto"/>
        </w:rPr>
        <w:t>of Section 8(d) shall lapse.</w:t>
      </w:r>
    </w:p>
    <w:p>
      <w:pPr>
        <w:spacing w:after="0" w:line="202" w:lineRule="exact"/>
        <w:rPr>
          <w:sz w:val="20"/>
          <w:szCs w:val="20"/>
          <w:color w:val="auto"/>
        </w:rPr>
      </w:pPr>
    </w:p>
    <w:p>
      <w:pPr>
        <w:ind w:left="1900" w:hanging="944"/>
        <w:spacing w:after="0"/>
        <w:tabs>
          <w:tab w:leader="none" w:pos="19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VESTING</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At the time of</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grant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of shares</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of Restricted Stock, the</w:t>
            </w:r>
          </w:p>
        </w:tc>
      </w:tr>
      <w:tr>
        <w:trPr>
          <w:trHeight w:val="203"/>
        </w:trPr>
        <w:tc>
          <w:tcPr>
            <w:tcW w:w="194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Committee</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may impose such</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restrictions or conditions to the</w:t>
            </w:r>
          </w:p>
        </w:tc>
      </w:tr>
      <w:tr>
        <w:trPr>
          <w:trHeight w:val="203"/>
        </w:trPr>
        <w:tc>
          <w:tcPr>
            <w:tcW w:w="258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vesting of such</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as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 in its absolute discretion,</w:t>
            </w:r>
          </w:p>
        </w:tc>
      </w:tr>
      <w:tr>
        <w:trPr>
          <w:trHeight w:val="203"/>
        </w:trPr>
        <w:tc>
          <w:tcPr>
            <w:tcW w:w="1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deems</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appropriate.</w:t>
            </w:r>
          </w:p>
        </w:tc>
        <w:tc>
          <w:tcPr>
            <w:tcW w:w="3520" w:type="dxa"/>
            <w:vAlign w:val="bottom"/>
          </w:tcPr>
          <w:p>
            <w:pPr>
              <w:spacing w:after="0"/>
              <w:rPr>
                <w:sz w:val="17"/>
                <w:szCs w:val="17"/>
                <w:color w:val="auto"/>
              </w:rPr>
            </w:pPr>
          </w:p>
        </w:tc>
      </w:tr>
    </w:tbl>
    <w:p>
      <w:pPr>
        <w:spacing w:after="0" w:line="201" w:lineRule="exact"/>
        <w:rPr>
          <w:sz w:val="20"/>
          <w:szCs w:val="20"/>
          <w:color w:val="auto"/>
        </w:rPr>
      </w:pPr>
    </w:p>
    <w:p>
      <w:pPr>
        <w:ind w:left="1900" w:hanging="944"/>
        <w:spacing w:after="0"/>
        <w:tabs>
          <w:tab w:leader="none" w:pos="190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PRIOR TO VESTING</w:t>
      </w:r>
    </w:p>
    <w:p>
      <w:pPr>
        <w:spacing w:after="0" w:line="207" w:lineRule="exact"/>
        <w:rPr>
          <w:sz w:val="20"/>
          <w:szCs w:val="20"/>
          <w:color w:val="auto"/>
        </w:rPr>
      </w:pPr>
    </w:p>
    <w:p>
      <w:pPr>
        <w:ind w:left="1900" w:right="1999" w:hanging="947"/>
        <w:spacing w:after="0" w:line="272" w:lineRule="auto"/>
        <w:rPr>
          <w:sz w:val="20"/>
          <w:szCs w:val="20"/>
          <w:color w:val="auto"/>
        </w:rPr>
      </w:pPr>
      <w:r>
        <w:rPr>
          <w:rFonts w:ascii="Courier New" w:cs="Courier New" w:eastAsia="Courier New" w:hAnsi="Courier New"/>
          <w:sz w:val="16"/>
          <w:szCs w:val="16"/>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80" w:lineRule="exact"/>
        <w:rPr>
          <w:sz w:val="20"/>
          <w:szCs w:val="20"/>
          <w:color w:val="auto"/>
        </w:rPr>
      </w:pPr>
    </w:p>
    <w:p>
      <w:pPr>
        <w:ind w:left="1900" w:hanging="944"/>
        <w:spacing w:after="0"/>
        <w:tabs>
          <w:tab w:leader="none" w:pos="190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RESTRICTED STOCK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Committee in its discretion may require that any dividends</w:t>
      </w:r>
    </w:p>
    <w:p>
      <w:pPr>
        <w:spacing w:after="0" w:line="4"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paid on shares of Restricted Stock be held in escrow until all restrictions on such shares have lapsed.</w:t>
      </w:r>
    </w:p>
    <w:p>
      <w:pPr>
        <w:spacing w:after="0" w:line="203" w:lineRule="exact"/>
        <w:rPr>
          <w:sz w:val="20"/>
          <w:szCs w:val="20"/>
          <w:color w:val="auto"/>
        </w:rPr>
      </w:pPr>
    </w:p>
    <w:p>
      <w:pPr>
        <w:ind w:left="1900" w:hanging="944"/>
        <w:spacing w:after="0"/>
        <w:tabs>
          <w:tab w:leader="none" w:pos="19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CERTIFICATES</w:t>
      </w:r>
    </w:p>
    <w:p>
      <w:pPr>
        <w:spacing w:after="0" w:line="206" w:lineRule="exact"/>
        <w:rPr>
          <w:rFonts w:ascii="Courier New" w:cs="Courier New" w:eastAsia="Courier New" w:hAnsi="Courier New"/>
          <w:sz w:val="18"/>
          <w:szCs w:val="18"/>
          <w:color w:val="auto"/>
        </w:rPr>
      </w:pPr>
    </w:p>
    <w:p>
      <w:pPr>
        <w:ind w:left="2860" w:right="1999" w:hanging="956"/>
        <w:spacing w:after="0" w:line="271" w:lineRule="auto"/>
        <w:tabs>
          <w:tab w:leader="none" w:pos="286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187" w:lineRule="exact"/>
        <w:rPr>
          <w:rFonts w:ascii="Courier New" w:cs="Courier New" w:eastAsia="Courier New" w:hAnsi="Courier New"/>
          <w:sz w:val="16"/>
          <w:szCs w:val="16"/>
          <w:color w:val="auto"/>
        </w:rPr>
      </w:pPr>
    </w:p>
    <w:p>
      <w:pPr>
        <w:ind w:left="3800" w:right="1779" w:hanging="948"/>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TRANSFERABILITY OF THIS CERTIFICATE AND THE SHARES OF STOCK REPRESENTED HEREBY ARE SUBJECT TO THE RESTRICTIONS, TERMS AND CONDITIONS (INCLUDING FORFEITURE PROVISIONS AND RESTRICTIONS AGAINST TRANSFER) CONTAINED IN THE REGENERON PHARMACEUTICALS, INC.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389"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Such legend shall not be removed until such shares vest pursuant to the terms hereof.</w:t>
      </w:r>
    </w:p>
    <w:p>
      <w:pPr>
        <w:sectPr>
          <w:pgSz w:w="11900" w:h="16838" w:orient="portrait"/>
          <w:cols w:equalWidth="0" w:num="1">
            <w:col w:w="10219"/>
          </w:cols>
          <w:pgMar w:left="240" w:top="723" w:right="1440" w:bottom="0" w:gutter="0" w:footer="0" w:header="0"/>
        </w:sectPr>
      </w:pPr>
    </w:p>
    <w:bookmarkStart w:id="85" w:name="page86"/>
    <w:bookmarkEnd w:id="85"/>
    <w:p>
      <w:pPr>
        <w:jc w:val="both"/>
        <w:ind w:left="1660" w:right="2319" w:hanging="956"/>
        <w:spacing w:after="0" w:line="290" w:lineRule="auto"/>
        <w:tabs>
          <w:tab w:leader="none" w:pos="1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issued pursuant to this Section 8(f), together with the stock powers relating to</w:t>
      </w:r>
    </w:p>
    <w:p>
      <w:pPr>
        <w:sectPr>
          <w:pgSz w:w="11900" w:h="16838" w:orient="portrait"/>
          <w:cols w:equalWidth="0" w:num="1">
            <w:col w:w="9019"/>
          </w:cols>
          <w:pgMar w:left="1440" w:top="142" w:right="1440" w:bottom="1440" w:gutter="0" w:footer="0" w:header="0"/>
        </w:sectPr>
      </w:pPr>
    </w:p>
    <w:bookmarkStart w:id="86" w:name="page87"/>
    <w:bookmarkEnd w:id="86"/>
    <w:p>
      <w:pPr>
        <w:ind w:left="1904" w:right="1879"/>
        <w:spacing w:after="0" w:line="236" w:lineRule="auto"/>
        <w:rPr>
          <w:sz w:val="20"/>
          <w:szCs w:val="20"/>
          <w:color w:val="auto"/>
        </w:rPr>
      </w:pPr>
      <w:r>
        <w:rPr>
          <w:rFonts w:ascii="Courier New" w:cs="Courier New" w:eastAsia="Courier New" w:hAnsi="Courier New"/>
          <w:sz w:val="18"/>
          <w:szCs w:val="18"/>
          <w:color w:val="auto"/>
        </w:rPr>
        <w:t>the shares of Restricted Stock evidenced by such certificate, shall be held by the Company unless the Committee determines otherwise.</w:t>
      </w:r>
    </w:p>
    <w:p>
      <w:pPr>
        <w:spacing w:after="0" w:line="203" w:lineRule="exact"/>
        <w:rPr>
          <w:sz w:val="20"/>
          <w:szCs w:val="20"/>
          <w:color w:val="auto"/>
        </w:rPr>
      </w:pPr>
    </w:p>
    <w:p>
      <w:pPr>
        <w:ind w:left="944" w:hanging="944"/>
        <w:spacing w:after="0"/>
        <w:tabs>
          <w:tab w:leader="none" w:pos="94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CONSEQUENCES OF VESTING</w:t>
      </w:r>
    </w:p>
    <w:p>
      <w:pPr>
        <w:spacing w:after="0" w:line="207" w:lineRule="exact"/>
        <w:rPr>
          <w:sz w:val="20"/>
          <w:szCs w:val="20"/>
          <w:color w:val="auto"/>
        </w:rPr>
      </w:pPr>
    </w:p>
    <w:p>
      <w:pPr>
        <w:ind w:left="944" w:right="1779" w:hanging="947"/>
        <w:spacing w:after="0" w:line="237" w:lineRule="auto"/>
        <w:rPr>
          <w:sz w:val="20"/>
          <w:szCs w:val="20"/>
          <w:color w:val="auto"/>
        </w:rPr>
      </w:pPr>
      <w:r>
        <w:rPr>
          <w:rFonts w:ascii="Courier New" w:cs="Courier New" w:eastAsia="Courier New" w:hAnsi="Courier New"/>
          <w:sz w:val="18"/>
          <w:szCs w:val="18"/>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205" w:lineRule="exact"/>
        <w:rPr>
          <w:sz w:val="20"/>
          <w:szCs w:val="20"/>
          <w:color w:val="auto"/>
        </w:rPr>
      </w:pPr>
    </w:p>
    <w:p>
      <w:pPr>
        <w:ind w:left="944" w:hanging="944"/>
        <w:spacing w:after="0"/>
        <w:tabs>
          <w:tab w:leader="none" w:pos="94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EMPLOYMENT</w:t>
      </w:r>
    </w:p>
    <w:p>
      <w:pPr>
        <w:spacing w:after="0" w:line="206" w:lineRule="exact"/>
        <w:rPr>
          <w:rFonts w:ascii="Courier New" w:cs="Courier New" w:eastAsia="Courier New" w:hAnsi="Courier New"/>
          <w:sz w:val="18"/>
          <w:szCs w:val="18"/>
          <w:color w:val="auto"/>
        </w:rPr>
      </w:pPr>
    </w:p>
    <w:p>
      <w:pPr>
        <w:ind w:left="1904" w:right="1779" w:hanging="956"/>
        <w:spacing w:after="0" w:line="238" w:lineRule="auto"/>
        <w:tabs>
          <w:tab w:leader="none" w:pos="190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212" w:lineRule="exact"/>
        <w:rPr>
          <w:rFonts w:ascii="Courier New" w:cs="Courier New" w:eastAsia="Courier New" w:hAnsi="Courier New"/>
          <w:sz w:val="18"/>
          <w:szCs w:val="18"/>
          <w:color w:val="auto"/>
        </w:rPr>
      </w:pPr>
    </w:p>
    <w:p>
      <w:pPr>
        <w:ind w:left="1904" w:right="1779" w:hanging="956"/>
        <w:spacing w:after="0" w:line="271" w:lineRule="auto"/>
        <w:tabs>
          <w:tab w:leader="none" w:pos="190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80" w:lineRule="exact"/>
        <w:rPr>
          <w:rFonts w:ascii="Courier New" w:cs="Courier New" w:eastAsia="Courier New" w:hAnsi="Courier New"/>
          <w:sz w:val="16"/>
          <w:szCs w:val="16"/>
          <w:color w:val="auto"/>
        </w:rPr>
      </w:pPr>
    </w:p>
    <w:p>
      <w:pPr>
        <w:ind w:left="944" w:hanging="944"/>
        <w:spacing w:after="0"/>
        <w:tabs>
          <w:tab w:leader="none" w:pos="94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CHANGE IN CONTROL</w:t>
      </w:r>
    </w:p>
    <w:p>
      <w:pPr>
        <w:spacing w:after="0" w:line="207" w:lineRule="exact"/>
        <w:rPr>
          <w:sz w:val="20"/>
          <w:szCs w:val="20"/>
          <w:color w:val="auto"/>
        </w:rPr>
      </w:pPr>
    </w:p>
    <w:p>
      <w:pPr>
        <w:ind w:left="944" w:right="1879" w:hanging="947"/>
        <w:spacing w:after="0" w:line="237" w:lineRule="auto"/>
        <w:rPr>
          <w:sz w:val="20"/>
          <w:szCs w:val="20"/>
          <w:color w:val="auto"/>
        </w:rPr>
      </w:pPr>
      <w:r>
        <w:rPr>
          <w:rFonts w:ascii="Courier New" w:cs="Courier New" w:eastAsia="Courier New" w:hAnsi="Courier New"/>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204" w:lineRule="exact"/>
        <w:rPr>
          <w:sz w:val="20"/>
          <w:szCs w:val="20"/>
          <w:color w:val="auto"/>
        </w:rPr>
      </w:pPr>
    </w:p>
    <w:p>
      <w:pPr>
        <w:ind w:left="944" w:hanging="944"/>
        <w:spacing w:after="0"/>
        <w:tabs>
          <w:tab w:leader="none" w:pos="944"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PROVISIONS REGARDING AWARDS</w:t>
      </w:r>
    </w:p>
    <w:p>
      <w:pPr>
        <w:spacing w:after="0" w:line="207" w:lineRule="exact"/>
        <w:rPr>
          <w:sz w:val="20"/>
          <w:szCs w:val="20"/>
          <w:color w:val="auto"/>
        </w:rPr>
      </w:pPr>
    </w:p>
    <w:p>
      <w:pPr>
        <w:ind w:left="944" w:right="1779" w:hanging="947"/>
        <w:spacing w:after="0" w:line="270" w:lineRule="auto"/>
        <w:rPr>
          <w:sz w:val="20"/>
          <w:szCs w:val="20"/>
          <w:color w:val="auto"/>
        </w:rPr>
      </w:pPr>
      <w:r>
        <w:rPr>
          <w:rFonts w:ascii="Courier New" w:cs="Courier New" w:eastAsia="Courier New" w:hAnsi="Courier New"/>
          <w:sz w:val="16"/>
          <w:szCs w:val="16"/>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w:t>
      </w:r>
    </w:p>
    <w:p>
      <w:pPr>
        <w:sectPr>
          <w:pgSz w:w="11900" w:h="16838" w:orient="portrait"/>
          <w:cols w:equalWidth="0" w:num="1">
            <w:col w:w="9263"/>
          </w:cols>
          <w:pgMar w:left="1196" w:top="723" w:right="1440" w:bottom="0" w:gutter="0" w:footer="0" w:header="0"/>
        </w:sectPr>
      </w:pPr>
    </w:p>
    <w:bookmarkStart w:id="87" w:name="page88"/>
    <w:bookmarkEnd w:id="87"/>
    <w:p>
      <w:pPr>
        <w:ind w:left="700"/>
        <w:spacing w:after="0"/>
        <w:rPr>
          <w:sz w:val="20"/>
          <w:szCs w:val="20"/>
          <w:color w:val="auto"/>
        </w:rPr>
      </w:pPr>
      <w:r>
        <w:rPr>
          <w:rFonts w:ascii="Courier New" w:cs="Courier New" w:eastAsia="Courier New" w:hAnsi="Courier New"/>
          <w:sz w:val="18"/>
          <w:szCs w:val="18"/>
          <w:color w:val="auto"/>
        </w:rPr>
        <w:t>certain target</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9019"/>
          </w:cols>
          <w:pgMar w:left="1440" w:top="136" w:right="1440" w:bottom="1440" w:gutter="0" w:footer="0" w:header="0"/>
        </w:sectPr>
      </w:pPr>
    </w:p>
    <w:bookmarkStart w:id="88" w:name="page89"/>
    <w:bookmarkEnd w:id="88"/>
    <w:p>
      <w:pPr>
        <w:ind w:left="1892" w:right="1779"/>
        <w:spacing w:after="0" w:line="238" w:lineRule="auto"/>
        <w:rPr>
          <w:sz w:val="20"/>
          <w:szCs w:val="20"/>
          <w:color w:val="auto"/>
        </w:rPr>
      </w:pPr>
      <w:r>
        <w:rPr>
          <w:rFonts w:ascii="Courier New" w:cs="Courier New" w:eastAsia="Courier New" w:hAnsi="Courier New"/>
          <w:sz w:val="18"/>
          <w:szCs w:val="18"/>
          <w:color w:val="auto"/>
        </w:rPr>
        <w:t>levels of sales of new products or licensing in or out of new drugs; (12) the formation of joint ventures, research or development collaborations, or the completion of other corporate 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203" w:lineRule="exact"/>
        <w:rPr>
          <w:sz w:val="20"/>
          <w:szCs w:val="20"/>
          <w:color w:val="auto"/>
        </w:rPr>
      </w:pPr>
    </w:p>
    <w:p>
      <w:pPr>
        <w:ind w:left="952" w:hanging="952"/>
        <w:spacing w:after="0"/>
        <w:tabs>
          <w:tab w:leader="none" w:pos="9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Stock</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92" w:hanging="944"/>
        <w:spacing w:after="0"/>
        <w:tabs>
          <w:tab w:leader="none" w:pos="189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DATE</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At the time of the grant of shares of Phantom Stock, the</w:t>
      </w:r>
    </w:p>
    <w:p>
      <w:pPr>
        <w:spacing w:after="0" w:line="4" w:lineRule="exact"/>
        <w:rPr>
          <w:sz w:val="20"/>
          <w:szCs w:val="20"/>
          <w:color w:val="auto"/>
        </w:rPr>
      </w:pPr>
    </w:p>
    <w:p>
      <w:pPr>
        <w:ind w:left="1892" w:right="1779"/>
        <w:spacing w:after="0" w:line="237" w:lineRule="auto"/>
        <w:rPr>
          <w:sz w:val="20"/>
          <w:szCs w:val="20"/>
          <w:color w:val="auto"/>
        </w:rPr>
      </w:pPr>
      <w:r>
        <w:rPr>
          <w:rFonts w:ascii="Courier New" w:cs="Courier New" w:eastAsia="Courier New" w:hAnsi="Courier New"/>
          <w:sz w:val="18"/>
          <w:szCs w:val="18"/>
          <w:color w:val="auto"/>
        </w:rPr>
        <w:t>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200" w:lineRule="exact"/>
        <w:rPr>
          <w:sz w:val="20"/>
          <w:szCs w:val="20"/>
          <w:color w:val="auto"/>
        </w:rPr>
      </w:pPr>
    </w:p>
    <w:p>
      <w:pPr>
        <w:spacing w:after="0" w:line="209" w:lineRule="exact"/>
        <w:rPr>
          <w:sz w:val="20"/>
          <w:szCs w:val="20"/>
          <w:color w:val="auto"/>
        </w:rPr>
      </w:pPr>
    </w:p>
    <w:p>
      <w:pPr>
        <w:ind w:left="1892" w:hanging="944"/>
        <w:spacing w:after="0"/>
        <w:tabs>
          <w:tab w:leader="none" w:pos="189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UPON VESTING</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Upon the vesting of a share of Phantom Stock, the Participant shall</w:t>
      </w:r>
    </w:p>
    <w:p>
      <w:pPr>
        <w:spacing w:after="0" w:line="4" w:lineRule="exact"/>
        <w:rPr>
          <w:sz w:val="20"/>
          <w:szCs w:val="20"/>
          <w:color w:val="auto"/>
        </w:rPr>
      </w:pPr>
    </w:p>
    <w:p>
      <w:pPr>
        <w:ind w:left="1892" w:right="1779"/>
        <w:spacing w:after="0" w:line="268" w:lineRule="auto"/>
        <w:rPr>
          <w:sz w:val="20"/>
          <w:szCs w:val="20"/>
          <w:color w:val="auto"/>
        </w:rPr>
      </w:pPr>
      <w:r>
        <w:rPr>
          <w:rFonts w:ascii="Courier New" w:cs="Courier New" w:eastAsia="Courier New" w:hAnsi="Courier New"/>
          <w:sz w:val="16"/>
          <w:szCs w:val="16"/>
          <w:color w:val="auto"/>
        </w:rPr>
        <w:t>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w:t>
      </w:r>
    </w:p>
    <w:p>
      <w:pPr>
        <w:spacing w:after="0" w:line="1" w:lineRule="exact"/>
        <w:rPr>
          <w:sz w:val="20"/>
          <w:szCs w:val="20"/>
          <w:color w:val="auto"/>
        </w:rPr>
      </w:pPr>
    </w:p>
    <w:p>
      <w:pPr>
        <w:ind w:left="1892" w:right="1999" w:firstLine="4"/>
        <w:spacing w:after="0" w:line="275" w:lineRule="auto"/>
        <w:tabs>
          <w:tab w:leader="none" w:pos="231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cash dividends paid with respect to a share of Company Stock during the period commencing on the date on which the share of Phantom Stock was granted and terminating on the date on which such share vests.</w:t>
      </w:r>
    </w:p>
    <w:p>
      <w:pPr>
        <w:spacing w:after="0" w:line="176" w:lineRule="exact"/>
        <w:rPr>
          <w:rFonts w:ascii="Courier New" w:cs="Courier New" w:eastAsia="Courier New" w:hAnsi="Courier New"/>
          <w:sz w:val="16"/>
          <w:szCs w:val="16"/>
          <w:color w:val="auto"/>
        </w:rPr>
      </w:pPr>
    </w:p>
    <w:p>
      <w:pPr>
        <w:ind w:left="1892" w:hanging="944"/>
        <w:spacing w:after="0"/>
        <w:tabs>
          <w:tab w:leader="none" w:pos="189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VESTING</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At the time of the grant of shares of Phantom Stock, the</w:t>
      </w:r>
    </w:p>
    <w:p>
      <w:pPr>
        <w:ind w:left="1892"/>
        <w:spacing w:after="0" w:line="238" w:lineRule="auto"/>
        <w:rPr>
          <w:sz w:val="20"/>
          <w:szCs w:val="20"/>
          <w:color w:val="auto"/>
        </w:rPr>
      </w:pPr>
      <w:r>
        <w:rPr>
          <w:rFonts w:ascii="Courier New" w:cs="Courier New" w:eastAsia="Courier New" w:hAnsi="Courier New"/>
          <w:sz w:val="18"/>
          <w:szCs w:val="18"/>
          <w:color w:val="auto"/>
        </w:rPr>
        <w:t>Committee may impose such restrictions or conditions to the</w:t>
      </w:r>
    </w:p>
    <w:p>
      <w:pPr>
        <w:ind w:left="1892"/>
        <w:spacing w:after="0"/>
        <w:rPr>
          <w:sz w:val="20"/>
          <w:szCs w:val="20"/>
          <w:color w:val="auto"/>
        </w:rPr>
      </w:pPr>
      <w:r>
        <w:rPr>
          <w:rFonts w:ascii="Courier New" w:cs="Courier New" w:eastAsia="Courier New" w:hAnsi="Courier New"/>
          <w:sz w:val="18"/>
          <w:szCs w:val="18"/>
          <w:color w:val="auto"/>
        </w:rPr>
        <w:t>vesting of such shares as it, in its absolute discretion,</w:t>
      </w:r>
    </w:p>
    <w:p>
      <w:pPr>
        <w:ind w:left="1892"/>
        <w:spacing w:after="0" w:line="237" w:lineRule="auto"/>
        <w:rPr>
          <w:sz w:val="20"/>
          <w:szCs w:val="20"/>
          <w:color w:val="auto"/>
        </w:rPr>
      </w:pPr>
      <w:r>
        <w:rPr>
          <w:rFonts w:ascii="Courier New" w:cs="Courier New" w:eastAsia="Courier New" w:hAnsi="Courier New"/>
          <w:sz w:val="18"/>
          <w:szCs w:val="18"/>
          <w:color w:val="auto"/>
        </w:rPr>
        <w:t>deems appropriate, to be contained in the Agreement.</w:t>
      </w:r>
    </w:p>
    <w:p>
      <w:pPr>
        <w:spacing w:after="0" w:line="202" w:lineRule="exact"/>
        <w:rPr>
          <w:sz w:val="20"/>
          <w:szCs w:val="20"/>
          <w:color w:val="auto"/>
        </w:rPr>
      </w:pPr>
    </w:p>
    <w:p>
      <w:pPr>
        <w:ind w:left="1892" w:hanging="944"/>
        <w:spacing w:after="0"/>
        <w:tabs>
          <w:tab w:leader="none" w:pos="189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EMPLOYMENT</w:t>
      </w:r>
    </w:p>
    <w:p>
      <w:pPr>
        <w:spacing w:after="0" w:line="207" w:lineRule="exact"/>
        <w:rPr>
          <w:sz w:val="20"/>
          <w:szCs w:val="20"/>
          <w:color w:val="auto"/>
        </w:rPr>
      </w:pPr>
    </w:p>
    <w:p>
      <w:pPr>
        <w:ind w:left="1892" w:right="1779" w:hanging="947"/>
        <w:spacing w:after="0" w:line="272" w:lineRule="auto"/>
        <w:rPr>
          <w:sz w:val="20"/>
          <w:szCs w:val="20"/>
          <w:color w:val="auto"/>
        </w:rPr>
      </w:pPr>
      <w:r>
        <w:rPr>
          <w:rFonts w:ascii="Courier New" w:cs="Courier New" w:eastAsia="Courier New" w:hAnsi="Courier New"/>
          <w:sz w:val="16"/>
          <w:szCs w:val="16"/>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180" w:lineRule="exact"/>
        <w:rPr>
          <w:sz w:val="20"/>
          <w:szCs w:val="20"/>
          <w:color w:val="auto"/>
        </w:rPr>
      </w:pPr>
    </w:p>
    <w:p>
      <w:pPr>
        <w:ind w:left="1892" w:hanging="944"/>
        <w:spacing w:after="0"/>
        <w:tabs>
          <w:tab w:leader="none" w:pos="189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CHANGE IN CONTROL</w:t>
      </w:r>
    </w:p>
    <w:p>
      <w:pPr>
        <w:spacing w:after="0" w:line="207" w:lineRule="exact"/>
        <w:rPr>
          <w:sz w:val="20"/>
          <w:szCs w:val="20"/>
          <w:color w:val="auto"/>
        </w:rPr>
      </w:pPr>
    </w:p>
    <w:p>
      <w:pPr>
        <w:ind w:left="1892" w:right="1779" w:hanging="947"/>
        <w:spacing w:after="0" w:line="237" w:lineRule="auto"/>
        <w:rPr>
          <w:sz w:val="20"/>
          <w:szCs w:val="20"/>
          <w:color w:val="auto"/>
        </w:rPr>
      </w:pPr>
      <w:r>
        <w:rPr>
          <w:rFonts w:ascii="Courier New" w:cs="Courier New" w:eastAsia="Courier New" w:hAnsi="Courier New"/>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20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1"/>
          </w:cols>
          <w:pgMar w:left="248" w:top="722" w:right="1440" w:bottom="565" w:gutter="0" w:footer="0" w:header="0"/>
        </w:sectPr>
      </w:pPr>
    </w:p>
    <w:bookmarkStart w:id="89" w:name="page90"/>
    <w:bookmarkEnd w:id="89"/>
    <w:p>
      <w:pPr>
        <w:ind w:left="1900" w:hanging="944"/>
        <w:spacing w:after="0"/>
        <w:tabs>
          <w:tab w:leader="none" w:pos="190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PROVISIONS REGARDING AWARDS</w:t>
      </w:r>
    </w:p>
    <w:p>
      <w:pPr>
        <w:spacing w:after="0" w:line="207" w:lineRule="exact"/>
        <w:rPr>
          <w:sz w:val="20"/>
          <w:szCs w:val="20"/>
          <w:color w:val="auto"/>
        </w:rPr>
      </w:pPr>
    </w:p>
    <w:p>
      <w:pPr>
        <w:ind w:left="1900" w:right="1779" w:hanging="947"/>
        <w:spacing w:after="0" w:line="271" w:lineRule="auto"/>
        <w:rPr>
          <w:sz w:val="20"/>
          <w:szCs w:val="20"/>
          <w:color w:val="auto"/>
        </w:rPr>
      </w:pPr>
      <w:r>
        <w:rPr>
          <w:rFonts w:ascii="Courier New" w:cs="Courier New" w:eastAsia="Courier New" w:hAnsi="Courier New"/>
          <w:sz w:val="16"/>
          <w:szCs w:val="16"/>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78" w:lineRule="exact"/>
        <w:rPr>
          <w:sz w:val="20"/>
          <w:szCs w:val="20"/>
          <w:color w:val="auto"/>
        </w:rPr>
      </w:pPr>
    </w:p>
    <w:p>
      <w:pPr>
        <w:ind w:left="960" w:hanging="952"/>
        <w:spacing w:after="0"/>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Bonuses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205" w:lineRule="exact"/>
        <w:rPr>
          <w:sz w:val="20"/>
          <w:szCs w:val="20"/>
          <w:color w:val="auto"/>
        </w:rPr>
      </w:pPr>
    </w:p>
    <w:p>
      <w:pPr>
        <w:ind w:left="960" w:hanging="952"/>
        <w:spacing w:after="0"/>
        <w:tabs>
          <w:tab w:leader="none" w:pos="9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hanging="952"/>
        <w:spacing w:after="0"/>
        <w:tabs>
          <w:tab w:leader="none" w:pos="9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Director Formula Stock Options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provisions of this Section 12 shall apply only to grants of Nonqualified Stock Options to Nonemployee Directors.</w:t>
      </w:r>
    </w:p>
    <w:p>
      <w:pPr>
        <w:spacing w:after="0" w:line="203" w:lineRule="exact"/>
        <w:rPr>
          <w:sz w:val="20"/>
          <w:szCs w:val="20"/>
          <w:color w:val="auto"/>
        </w:rPr>
      </w:pPr>
    </w:p>
    <w:p>
      <w:pPr>
        <w:ind w:left="1900" w:hanging="944"/>
        <w:spacing w:after="0"/>
        <w:tabs>
          <w:tab w:leader="none" w:pos="190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1900" w:right="1779" w:hanging="947"/>
        <w:spacing w:after="0" w:line="237" w:lineRule="auto"/>
        <w:rPr>
          <w:sz w:val="20"/>
          <w:szCs w:val="20"/>
          <w:color w:val="auto"/>
        </w:rPr>
      </w:pPr>
      <w:r>
        <w:rPr>
          <w:rFonts w:ascii="Courier New" w:cs="Courier New" w:eastAsia="Courier New" w:hAnsi="Courier New"/>
          <w:sz w:val="18"/>
          <w:szCs w:val="18"/>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203" w:lineRule="exact"/>
        <w:rPr>
          <w:sz w:val="20"/>
          <w:szCs w:val="20"/>
          <w:color w:val="auto"/>
        </w:rPr>
      </w:pPr>
    </w:p>
    <w:p>
      <w:pPr>
        <w:ind w:left="1900" w:hanging="944"/>
        <w:spacing w:after="0"/>
        <w:tabs>
          <w:tab w:leader="none" w:pos="190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OF GRANT</w:t>
      </w:r>
    </w:p>
    <w:p>
      <w:pPr>
        <w:spacing w:after="0" w:line="207" w:lineRule="exact"/>
        <w:rPr>
          <w:sz w:val="20"/>
          <w:szCs w:val="20"/>
          <w:color w:val="auto"/>
        </w:rPr>
      </w:pPr>
    </w:p>
    <w:p>
      <w:pPr>
        <w:ind w:left="1900" w:right="1879" w:hanging="947"/>
        <w:spacing w:after="0" w:line="237" w:lineRule="auto"/>
        <w:rPr>
          <w:sz w:val="20"/>
          <w:szCs w:val="20"/>
          <w:color w:val="auto"/>
        </w:rPr>
      </w:pPr>
      <w:r>
        <w:rPr>
          <w:rFonts w:ascii="Courier New" w:cs="Courier New" w:eastAsia="Courier New" w:hAnsi="Courier New"/>
          <w:sz w:val="18"/>
          <w:szCs w:val="18"/>
          <w:color w:val="auto"/>
        </w:rPr>
        <w:t>On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205" w:lineRule="exact"/>
        <w:rPr>
          <w:sz w:val="20"/>
          <w:szCs w:val="20"/>
          <w:color w:val="auto"/>
        </w:rPr>
      </w:pPr>
    </w:p>
    <w:p>
      <w:pPr>
        <w:ind w:left="1900" w:hanging="944"/>
        <w:spacing w:after="0"/>
        <w:tabs>
          <w:tab w:leader="none" w:pos="19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AND TIME OF PAYMENT</w:t>
      </w:r>
    </w:p>
    <w:p>
      <w:pPr>
        <w:spacing w:after="0" w:line="207" w:lineRule="exact"/>
        <w:rPr>
          <w:sz w:val="20"/>
          <w:szCs w:val="20"/>
          <w:color w:val="auto"/>
        </w:rPr>
      </w:pPr>
    </w:p>
    <w:p>
      <w:pPr>
        <w:ind w:left="1900" w:right="1999" w:hanging="947"/>
        <w:spacing w:after="0" w:line="235" w:lineRule="auto"/>
        <w:rPr>
          <w:sz w:val="20"/>
          <w:szCs w:val="20"/>
          <w:color w:val="auto"/>
        </w:rPr>
      </w:pPr>
      <w:r>
        <w:rPr>
          <w:rFonts w:ascii="Courier New" w:cs="Courier New" w:eastAsia="Courier New" w:hAnsi="Courier New"/>
          <w:sz w:val="18"/>
          <w:szCs w:val="18"/>
          <w:color w:val="auto"/>
        </w:rPr>
        <w:t>Each Nonqualified Stock Option granted under this Section 12 shall be exercised in the manner described in Section 7(c)(3).</w:t>
      </w:r>
    </w:p>
    <w:p>
      <w:pPr>
        <w:spacing w:after="0" w:line="203" w:lineRule="exact"/>
        <w:rPr>
          <w:sz w:val="20"/>
          <w:szCs w:val="20"/>
          <w:color w:val="auto"/>
        </w:rPr>
      </w:pPr>
    </w:p>
    <w:p>
      <w:pPr>
        <w:ind w:left="1900" w:hanging="944"/>
        <w:spacing w:after="0"/>
        <w:tabs>
          <w:tab w:leader="none" w:pos="19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EXERCISABILITY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Each Nonqualified Stock Option granted under this Section 12 shall</w:t>
      </w:r>
    </w:p>
    <w:p>
      <w:pPr>
        <w:spacing w:after="0" w:line="4" w:lineRule="exact"/>
        <w:rPr>
          <w:sz w:val="20"/>
          <w:szCs w:val="20"/>
          <w:color w:val="auto"/>
        </w:rPr>
      </w:pPr>
    </w:p>
    <w:p>
      <w:pPr>
        <w:ind w:left="1900" w:right="1879" w:firstLine="4"/>
        <w:spacing w:after="0" w:line="237" w:lineRule="auto"/>
        <w:tabs>
          <w:tab w:leader="none" w:pos="23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17" w:right="1440" w:bottom="0" w:gutter="0" w:footer="0" w:header="0"/>
        </w:sectPr>
      </w:pPr>
    </w:p>
    <w:bookmarkStart w:id="90" w:name="page91"/>
    <w:bookmarkEnd w:id="90"/>
    <w:p>
      <w:pPr>
        <w:ind w:left="1900" w:hanging="944"/>
        <w:spacing w:after="0"/>
        <w:tabs>
          <w:tab w:leader="none" w:pos="19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left="1900" w:right="1779" w:hanging="947"/>
        <w:spacing w:after="0" w:line="238" w:lineRule="auto"/>
        <w:rPr>
          <w:sz w:val="20"/>
          <w:szCs w:val="20"/>
          <w:color w:val="auto"/>
        </w:rPr>
      </w:pPr>
      <w:r>
        <w:rPr>
          <w:rFonts w:ascii="Courier New" w:cs="Courier New" w:eastAsia="Courier New" w:hAnsi="Courier New"/>
          <w:sz w:val="18"/>
          <w:szCs w:val="18"/>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200" w:lineRule="exact"/>
        <w:rPr>
          <w:sz w:val="20"/>
          <w:szCs w:val="20"/>
          <w:color w:val="auto"/>
        </w:rPr>
      </w:pPr>
    </w:p>
    <w:p>
      <w:pPr>
        <w:spacing w:after="0" w:line="209" w:lineRule="exact"/>
        <w:rPr>
          <w:sz w:val="20"/>
          <w:szCs w:val="20"/>
          <w:color w:val="auto"/>
        </w:rPr>
      </w:pPr>
    </w:p>
    <w:p>
      <w:pPr>
        <w:ind w:left="960" w:hanging="952"/>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person shall have any rights as a shareholder with respect to any shares of Company Stock covered by or relating to any Award until the date of issuance of 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200" w:lineRule="exact"/>
        <w:rPr>
          <w:sz w:val="20"/>
          <w:szCs w:val="20"/>
          <w:color w:val="auto"/>
        </w:rPr>
      </w:pPr>
    </w:p>
    <w:p>
      <w:pPr>
        <w:spacing w:after="0" w:line="207" w:lineRule="exact"/>
        <w:rPr>
          <w:sz w:val="20"/>
          <w:szCs w:val="20"/>
          <w:color w:val="auto"/>
        </w:rPr>
      </w:pPr>
    </w:p>
    <w:p>
      <w:pPr>
        <w:ind w:left="960" w:hanging="952"/>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Rights; No Right to Award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203" w:lineRule="exact"/>
        <w:rPr>
          <w:sz w:val="20"/>
          <w:szCs w:val="20"/>
          <w:color w:val="auto"/>
        </w:rPr>
      </w:pPr>
    </w:p>
    <w:p>
      <w:pPr>
        <w:ind w:left="960" w:hanging="952"/>
        <w:spacing w:after="0"/>
        <w:tabs>
          <w:tab w:leader="none" w:pos="9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Matters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900" w:right="1779" w:hanging="944"/>
        <w:spacing w:after="0" w:line="269" w:lineRule="auto"/>
        <w:tabs>
          <w:tab w:leader="none" w:pos="190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agreements and representations, and that such certificates bear such legends, as the Committee, in</w:t>
      </w:r>
    </w:p>
    <w:p>
      <w:pPr>
        <w:sectPr>
          <w:pgSz w:w="11900" w:h="16838" w:orient="portrait"/>
          <w:cols w:equalWidth="0" w:num="1">
            <w:col w:w="10219"/>
          </w:cols>
          <w:pgMar w:left="240" w:top="919" w:right="1440" w:bottom="0" w:gutter="0" w:footer="0" w:header="0"/>
        </w:sectPr>
      </w:pPr>
    </w:p>
    <w:bookmarkStart w:id="91" w:name="page92"/>
    <w:bookmarkEnd w:id="91"/>
    <w:p>
      <w:pPr>
        <w:ind w:left="944"/>
        <w:spacing w:after="0"/>
        <w:rPr>
          <w:sz w:val="20"/>
          <w:szCs w:val="20"/>
          <w:color w:val="auto"/>
        </w:rPr>
      </w:pPr>
      <w:r>
        <w:rPr>
          <w:rFonts w:ascii="Courier New" w:cs="Courier New" w:eastAsia="Courier New" w:hAnsi="Courier New"/>
          <w:sz w:val="18"/>
          <w:szCs w:val="18"/>
          <w:color w:val="auto"/>
        </w:rPr>
        <w:t>its sole discretion, deems necessary or desirable.</w:t>
      </w:r>
    </w:p>
    <w:p>
      <w:pPr>
        <w:spacing w:after="0" w:line="207" w:lineRule="exact"/>
        <w:rPr>
          <w:sz w:val="20"/>
          <w:szCs w:val="20"/>
          <w:color w:val="auto"/>
        </w:rPr>
      </w:pPr>
    </w:p>
    <w:p>
      <w:pPr>
        <w:ind w:left="944" w:right="1779" w:hanging="944"/>
        <w:spacing w:after="0" w:line="273" w:lineRule="auto"/>
        <w:tabs>
          <w:tab w:leader="none" w:pos="94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w:t>
      </w:r>
    </w:p>
    <w:p>
      <w:pPr>
        <w:spacing w:after="0" w:line="179"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9263"/>
          </w:cols>
          <w:pgMar w:left="1196" w:top="136" w:right="1440" w:bottom="1440" w:gutter="0" w:footer="0" w:header="0"/>
        </w:sectPr>
      </w:pPr>
    </w:p>
    <w:bookmarkStart w:id="92" w:name="page93"/>
    <w:bookmarkEnd w:id="92"/>
    <w:p>
      <w:pPr>
        <w:ind w:left="1900" w:right="1779"/>
        <w:spacing w:after="0" w:line="270" w:lineRule="auto"/>
        <w:rPr>
          <w:sz w:val="20"/>
          <w:szCs w:val="20"/>
          <w:color w:val="auto"/>
        </w:rPr>
      </w:pPr>
      <w:r>
        <w:rPr>
          <w:rFonts w:ascii="Courier New" w:cs="Courier New" w:eastAsia="Courier New" w:hAnsi="Courier New"/>
          <w:sz w:val="16"/>
          <w:szCs w:val="16"/>
          <w:color w:val="auto"/>
        </w:rPr>
        <w:t>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385" w:lineRule="exact"/>
        <w:rPr>
          <w:sz w:val="20"/>
          <w:szCs w:val="20"/>
          <w:color w:val="auto"/>
        </w:rPr>
      </w:pPr>
    </w:p>
    <w:p>
      <w:pPr>
        <w:ind w:left="960" w:hanging="952"/>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210" w:lineRule="exact"/>
        <w:rPr>
          <w:sz w:val="20"/>
          <w:szCs w:val="20"/>
          <w:color w:val="auto"/>
        </w:rPr>
      </w:pPr>
    </w:p>
    <w:p>
      <w:pPr>
        <w:ind w:left="960" w:hanging="952"/>
        <w:spacing w:after="0"/>
        <w:tabs>
          <w:tab w:leader="none" w:pos="9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of Election Under Section 83(B) of the Code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385" w:lineRule="exact"/>
        <w:rPr>
          <w:sz w:val="20"/>
          <w:szCs w:val="20"/>
          <w:color w:val="auto"/>
        </w:rPr>
      </w:pPr>
    </w:p>
    <w:p>
      <w:pPr>
        <w:ind w:left="960" w:right="3259" w:hanging="952"/>
        <w:spacing w:after="0" w:line="235" w:lineRule="auto"/>
        <w:tabs>
          <w:tab w:leader="none" w:pos="9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Upon Disqualifying Disposition Under Section 421(B) of the Code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203" w:lineRule="exact"/>
        <w:rPr>
          <w:sz w:val="20"/>
          <w:szCs w:val="20"/>
          <w:color w:val="auto"/>
        </w:rPr>
      </w:pPr>
    </w:p>
    <w:p>
      <w:pPr>
        <w:ind w:left="960" w:hanging="952"/>
        <w:spacing w:after="0"/>
        <w:tabs>
          <w:tab w:leader="none" w:pos="9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of the Plan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385" w:lineRule="exact"/>
        <w:rPr>
          <w:sz w:val="20"/>
          <w:szCs w:val="20"/>
          <w:color w:val="auto"/>
        </w:rPr>
      </w:pPr>
    </w:p>
    <w:p>
      <w:pPr>
        <w:ind w:left="960" w:hanging="952"/>
        <w:spacing w:after="0"/>
        <w:tabs>
          <w:tab w:leader="none" w:pos="9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520" w:right="1440" w:bottom="0" w:gutter="0" w:footer="0" w:header="0"/>
        </w:sectPr>
      </w:pPr>
    </w:p>
    <w:bookmarkStart w:id="93" w:name="page94"/>
    <w:bookmarkEnd w:id="93"/>
    <w:p>
      <w:pPr>
        <w:ind w:right="1779"/>
        <w:spacing w:after="0" w:line="237" w:lineRule="auto"/>
        <w:rPr>
          <w:sz w:val="20"/>
          <w:szCs w:val="20"/>
          <w:color w:val="auto"/>
        </w:rPr>
      </w:pPr>
      <w:r>
        <w:rPr>
          <w:rFonts w:ascii="Courier New" w:cs="Courier New" w:eastAsia="Courier New" w:hAnsi="Courier New"/>
          <w:sz w:val="18"/>
          <w:szCs w:val="18"/>
          <w:color w:val="auto"/>
        </w:rPr>
        <w:t>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202" w:lineRule="exact"/>
        <w:rPr>
          <w:sz w:val="20"/>
          <w:szCs w:val="20"/>
          <w:color w:val="auto"/>
        </w:rPr>
      </w:pPr>
    </w:p>
    <w:p>
      <w:pPr>
        <w:ind w:left="960" w:hanging="952"/>
        <w:spacing w:after="0"/>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and Receipts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expenses of the Plan shall be paid by the Company. Any proceeds received by the Company in connection with any Award shall be used for general corporate purposes.</w:t>
      </w:r>
    </w:p>
    <w:p>
      <w:pPr>
        <w:spacing w:after="0" w:line="203" w:lineRule="exact"/>
        <w:rPr>
          <w:sz w:val="20"/>
          <w:szCs w:val="20"/>
          <w:color w:val="auto"/>
        </w:rPr>
      </w:pPr>
    </w:p>
    <w:p>
      <w:pPr>
        <w:ind w:left="960" w:hanging="952"/>
        <w:spacing w:after="0"/>
        <w:tabs>
          <w:tab w:leader="none" w:pos="9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Comply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385" w:lineRule="exact"/>
        <w:rPr>
          <w:sz w:val="20"/>
          <w:szCs w:val="20"/>
          <w:color w:val="auto"/>
        </w:rPr>
      </w:pPr>
    </w:p>
    <w:p>
      <w:pPr>
        <w:ind w:left="960" w:hanging="952"/>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Plan shall be subject to the requisite approval of the shareholders of the Company. In the absence of such approval, any Awards shall be null and void.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204" w:lineRule="exact"/>
        <w:rPr>
          <w:sz w:val="20"/>
          <w:szCs w:val="20"/>
          <w:color w:val="auto"/>
        </w:rPr>
      </w:pPr>
    </w:p>
    <w:p>
      <w:pPr>
        <w:ind w:left="960" w:hanging="952"/>
        <w:spacing w:after="0"/>
        <w:tabs>
          <w:tab w:leader="none" w:pos="9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203" w:lineRule="exact"/>
        <w:rPr>
          <w:sz w:val="20"/>
          <w:szCs w:val="20"/>
          <w:color w:val="auto"/>
        </w:rPr>
      </w:pPr>
    </w:p>
    <w:p>
      <w:pPr>
        <w:ind w:left="960" w:hanging="952"/>
        <w:spacing w:after="0"/>
        <w:tabs>
          <w:tab w:leader="none" w:pos="9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Rights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80" w:lineRule="exact"/>
        <w:rPr>
          <w:sz w:val="20"/>
          <w:szCs w:val="20"/>
          <w:color w:val="auto"/>
        </w:rPr>
      </w:pPr>
    </w:p>
    <w:p>
      <w:pPr>
        <w:ind w:left="960" w:hanging="952"/>
        <w:spacing w:after="0"/>
        <w:tabs>
          <w:tab w:leader="none" w:pos="9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Status of Awards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722" w:right="1440" w:bottom="767" w:gutter="0" w:footer="0" w:header="0"/>
        </w:sectPr>
      </w:pPr>
    </w:p>
    <w:bookmarkStart w:id="94" w:name="page95"/>
    <w:bookmarkEnd w:id="94"/>
    <w:p>
      <w:pPr>
        <w:ind w:right="1779"/>
        <w:spacing w:after="0" w:line="237" w:lineRule="auto"/>
        <w:rPr>
          <w:sz w:val="20"/>
          <w:szCs w:val="20"/>
          <w:color w:val="auto"/>
        </w:rPr>
      </w:pPr>
      <w:r>
        <w:rPr>
          <w:rFonts w:ascii="Courier New" w:cs="Courier New" w:eastAsia="Courier New" w:hAnsi="Courier New"/>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203" w:lineRule="exact"/>
        <w:rPr>
          <w:sz w:val="20"/>
          <w:szCs w:val="20"/>
          <w:color w:val="auto"/>
        </w:rPr>
      </w:pPr>
    </w:p>
    <w:p>
      <w:pPr>
        <w:ind w:left="960" w:hanging="952"/>
        <w:spacing w:after="0"/>
        <w:tabs>
          <w:tab w:leader="none" w:pos="9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203" w:lineRule="exact"/>
        <w:rPr>
          <w:sz w:val="20"/>
          <w:szCs w:val="20"/>
          <w:color w:val="auto"/>
        </w:rPr>
      </w:pPr>
    </w:p>
    <w:p>
      <w:pPr>
        <w:ind w:left="960" w:hanging="952"/>
        <w:spacing w:after="0"/>
        <w:tabs>
          <w:tab w:leader="none" w:pos="9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204" w:lineRule="exact"/>
        <w:rPr>
          <w:sz w:val="20"/>
          <w:szCs w:val="20"/>
          <w:color w:val="auto"/>
        </w:rPr>
      </w:pPr>
    </w:p>
    <w:p>
      <w:pPr>
        <w:ind w:left="960" w:hanging="952"/>
        <w:spacing w:after="0"/>
        <w:tabs>
          <w:tab w:leader="none" w:pos="9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Plan is designed and intended to comply with Rule 16b-3 and, to the extent applicable, with Section 162(m) of the Code, and all provisions hereof shall be construed in a manner to so comply.</w:t>
      </w:r>
    </w:p>
    <w:p>
      <w:pPr>
        <w:spacing w:after="0" w:line="203" w:lineRule="exact"/>
        <w:rPr>
          <w:sz w:val="20"/>
          <w:szCs w:val="20"/>
          <w:color w:val="auto"/>
        </w:rPr>
      </w:pPr>
    </w:p>
    <w:p>
      <w:pPr>
        <w:ind w:left="960" w:hanging="952"/>
        <w:spacing w:after="0"/>
        <w:tabs>
          <w:tab w:leader="none" w:pos="9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520" w:right="1440" w:bottom="1440" w:gutter="0" w:footer="0" w:header="0"/>
        </w:sectPr>
      </w:pPr>
    </w:p>
    <w:bookmarkStart w:id="95" w:name="page96"/>
    <w:bookmarkEnd w:id="9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Statements on Form S-8 (File Nos. 33-50480, 33-85330, 33-97176, 333-33891, 333-80663 and 333-61132) and on Form S-3 (File No. 333-74464) of Regeneron Pharmaceuticals, Inc., of our report, which is based in part on the report of other auditors, dated February 4, 2002, relating to the financial statements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March 21, 2002</w:t>
      </w:r>
    </w:p>
    <w:p>
      <w:pPr>
        <w:sectPr>
          <w:pgSz w:w="11900" w:h="16838" w:orient="portrait"/>
          <w:cols w:equalWidth="0" w:num="1">
            <w:col w:w="10219"/>
          </w:cols>
          <w:pgMar w:left="240" w:top="339" w:right="1440" w:bottom="1440" w:gutter="0" w:footer="0" w:header="0"/>
        </w:sectPr>
      </w:pPr>
    </w:p>
    <w:bookmarkStart w:id="96" w:name="page97"/>
    <w:bookmarkEnd w:id="96"/>
    <w:p>
      <w:pPr>
        <w:jc w:val="right"/>
        <w:ind w:right="18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33-50480) pertaining to the Regeneron Pharmaceuticals, Inc. 1990 Long Term Incentive Plan, the Registration Statements (Form S-8 No. 33-85330, Form S-8 No. 33-97176, Form S-8 No. 333-33891, and Form S-8 No. 333-80663) pertaining to the Regeneron Pharmaceuticals, Inc. Amended and Restated 1990 Long Term Incentive Plan, the Registration Statement (Form S-8 No. 333-61132) pertaining to the Regeneron Pharmaceuticals, Inc. 2000 Long Term Incentive Plan and the Registration Statement (Form S-3 No. 333-74464) pertaining to the registration of common stock issuable upon the conversion of Regeneron Pharmaceuticals, Inc.'s Senior Subordinated Notes due 2008, of our report dated February 4, 2002, with respect to the financial statements of Amgen-Regeneron Partners included in Regeneron Pharmaceuticals, Inc.'s Annual Report (Form 10-K) for the year ended December 31, 2001, filed with the Securities and Exchange Commission.</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March 21, 2002</w:t>
      </w:r>
    </w:p>
    <w:p>
      <w:pPr>
        <w:sectPr>
          <w:pgSz w:w="11900" w:h="16838" w:orient="portrait"/>
          <w:cols w:equalWidth="0" w:num="1">
            <w:col w:w="10219"/>
          </w:cols>
          <w:pgMar w:left="240" w:top="339"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KNOW ALL PERSONS BY THESE PRESENTS, that I the undersigned, a director of Regeneration Pharmaceuticals, Inc., a New York corporation, do hereby constitute and appoint Leonard S. Schleifer, Murray A. Goldberg and Stuart Kolinski, and each of them severally to be my true and lawful attorneys-in-fact and agents each acting alone with full power of substitution and revocation, to sign my name to the Regeneron Pharmaceuticals, Inc. Annual Report on Form 10-K for the year ended December 31, 2001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amy lawfully do or cause to be done by virtue hereof.</w:t>
      </w:r>
    </w:p>
    <w:p>
      <w:pPr>
        <w:spacing w:after="0" w:line="1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HEREOF, I have subscribed these presents as of March __,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o"/>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1."/>
      <w:numFmt w:val="decimal"/>
      <w:start w:val="2"/>
    </w:lvl>
  </w:abstractNum>
  <w:abstractNum w:abstractNumId="10">
    <w:nsid w:val="310C50B3"/>
    <w:multiLevelType w:val="hybridMultilevel"/>
    <w:lvl w:ilvl="0">
      <w:lvlJc w:val="left"/>
      <w:lvlText w:val="%1."/>
      <w:numFmt w:val="decimal"/>
      <w:start w:val="3"/>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1)"/>
      <w:numFmt w:val="lowerLetter"/>
      <w:start w:val="6"/>
    </w:lvl>
    <w:lvl w:ilvl="1">
      <w:lvlJc w:val="left"/>
      <w:lvlText w:val="*"/>
      <w:numFmt w:val="bullet"/>
      <w:start w:val="1"/>
    </w:lvl>
  </w:abstractNum>
  <w:abstractNum w:abstractNumId="13">
    <w:nsid w:val="25A70BF7"/>
    <w:multiLevelType w:val="hybridMultilevel"/>
    <w:lvl w:ilvl="0">
      <w:lvlJc w:val="left"/>
      <w:lvlText w:val="%1."/>
      <w:numFmt w:val="decimal"/>
      <w:start w:val="1"/>
    </w:lvl>
  </w:abstractNum>
  <w:abstractNum w:abstractNumId="14">
    <w:nsid w:val="1DBABF00"/>
    <w:multiLevelType w:val="hybridMultilevel"/>
    <w:lvl w:ilvl="0">
      <w:lvlJc w:val="left"/>
      <w:lvlText w:val="%1."/>
      <w:numFmt w:val="decimal"/>
      <w:start w:val="2"/>
    </w:lvl>
  </w:abstractNum>
  <w:abstractNum w:abstractNumId="15">
    <w:nsid w:val="4AD084E9"/>
    <w:multiLevelType w:val="hybridMultilevel"/>
    <w:lvl w:ilvl="0">
      <w:lvlJc w:val="left"/>
      <w:lvlText w:val="%1."/>
      <w:numFmt w:val="lowerLetter"/>
      <w:start w:val="1"/>
    </w:lvl>
  </w:abstractNum>
  <w:abstractNum w:abstractNumId="16">
    <w:nsid w:val="1F48EAA1"/>
    <w:multiLevelType w:val="hybridMultilevel"/>
    <w:lvl w:ilvl="0">
      <w:lvlJc w:val="left"/>
      <w:lvlText w:val="%1."/>
      <w:numFmt w:val="lowerLetter"/>
      <w:start w:val="2"/>
    </w:lvl>
  </w:abstractNum>
  <w:abstractNum w:abstractNumId="17">
    <w:nsid w:val="1381823A"/>
    <w:multiLevelType w:val="hybridMultilevel"/>
    <w:lvl w:ilvl="0">
      <w:lvlJc w:val="left"/>
      <w:lvlText w:val="%1."/>
      <w:numFmt w:val="decimal"/>
      <w:start w:val="3"/>
    </w:lvl>
  </w:abstractNum>
  <w:abstractNum w:abstractNumId="18">
    <w:nsid w:val="5DB70AE5"/>
    <w:multiLevelType w:val="hybridMultilevel"/>
    <w:lvl w:ilvl="0">
      <w:lvlJc w:val="left"/>
      <w:lvlText w:val="%1."/>
      <w:numFmt w:val="decimal"/>
      <w:start w:val="4"/>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1."/>
      <w:numFmt w:val="decimal"/>
      <w:start w:val="5"/>
    </w:lvl>
  </w:abstractNum>
  <w:abstractNum w:abstractNumId="21">
    <w:nsid w:val="15014ACB"/>
    <w:multiLevelType w:val="hybridMultilevel"/>
    <w:lvl w:ilvl="0">
      <w:lvlJc w:val="left"/>
      <w:lvlText w:val="%1."/>
      <w:numFmt w:val="decimal"/>
      <w:start w:val="6"/>
    </w:lvl>
  </w:abstractNum>
  <w:abstractNum w:abstractNumId="22">
    <w:nsid w:val="5F5E7FD0"/>
    <w:multiLevelType w:val="hybridMultilevel"/>
    <w:lvl w:ilvl="0">
      <w:lvlJc w:val="left"/>
      <w:lvlText w:val="%1."/>
      <w:numFmt w:val="decimal"/>
      <w:start w:val="7"/>
    </w:lvl>
  </w:abstractNum>
  <w:abstractNum w:abstractNumId="23">
    <w:nsid w:val="98A3148"/>
    <w:multiLevelType w:val="hybridMultilevel"/>
    <w:lvl w:ilvl="0">
      <w:lvlJc w:val="left"/>
      <w:lvlText w:val="(%1)"/>
      <w:numFmt w:val="lowerRoman"/>
      <w:start w:val="1"/>
    </w:lvl>
  </w:abstractNum>
  <w:abstractNum w:abstractNumId="24">
    <w:nsid w:val="799D0247"/>
    <w:multiLevelType w:val="hybridMultilevel"/>
    <w:lvl w:ilvl="0">
      <w:lvlJc w:val="left"/>
      <w:lvlText w:val="%1."/>
      <w:numFmt w:val="decimal"/>
      <w:start w:val="8"/>
    </w:lvl>
    <w:lvl w:ilvl="1">
      <w:lvlJc w:val="left"/>
      <w:lvlText w:val="%2"/>
      <w:numFmt w:val="lowerLetter"/>
      <w:start w:val="1"/>
    </w:lvl>
  </w:abstractNum>
  <w:abstractNum w:abstractNumId="25">
    <w:nsid w:val="6B94764"/>
    <w:multiLevelType w:val="hybridMultilevel"/>
    <w:lvl w:ilvl="0">
      <w:lvlJc w:val="left"/>
      <w:lvlText w:val="%1."/>
      <w:numFmt w:val="lowerLetter"/>
      <w:start w:val="2"/>
    </w:lvl>
  </w:abstractNum>
  <w:abstractNum w:abstractNumId="26">
    <w:nsid w:val="42C296BD"/>
    <w:multiLevelType w:val="hybridMultilevel"/>
    <w:lvl w:ilvl="0">
      <w:lvlJc w:val="left"/>
      <w:lvlText w:val="%1."/>
      <w:numFmt w:val="lowerLetter"/>
      <w:start w:val="3"/>
    </w:lvl>
  </w:abstractNum>
  <w:abstractNum w:abstractNumId="27">
    <w:nsid w:val="168E121F"/>
    <w:multiLevelType w:val="hybridMultilevel"/>
    <w:lvl w:ilvl="0">
      <w:lvlJc w:val="left"/>
      <w:lvlText w:val="%1."/>
      <w:numFmt w:val="lowerLetter"/>
      <w:start w:val="4"/>
    </w:lvl>
  </w:abstractNum>
  <w:abstractNum w:abstractNumId="28">
    <w:nsid w:val="1EBA5D23"/>
    <w:multiLevelType w:val="hybridMultilevel"/>
    <w:lvl w:ilvl="0">
      <w:lvlJc w:val="left"/>
      <w:lvlText w:val="%1."/>
      <w:numFmt w:val="lowerLetter"/>
      <w:start w:val="5"/>
    </w:lvl>
  </w:abstractNum>
  <w:abstractNum w:abstractNumId="29">
    <w:nsid w:val="661E3F1E"/>
    <w:multiLevelType w:val="hybridMultilevel"/>
    <w:lvl w:ilvl="0">
      <w:lvlJc w:val="left"/>
      <w:lvlText w:val="%1."/>
      <w:numFmt w:val="decimal"/>
      <w:start w:val="9"/>
    </w:lvl>
    <w:lvl w:ilvl="1">
      <w:lvlJc w:val="left"/>
      <w:lvlText w:val="%2"/>
      <w:numFmt w:val="lowerLetter"/>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2"/>
    </w:lvl>
  </w:abstractNum>
  <w:abstractNum w:abstractNumId="32">
    <w:nsid w:val="7BD3EE7B"/>
    <w:multiLevelType w:val="hybridMultilevel"/>
    <w:lvl w:ilvl="0">
      <w:lvlJc w:val="left"/>
      <w:lvlText w:val="%1."/>
      <w:numFmt w:val="lowerLetter"/>
      <w:start w:val="2"/>
    </w:lvl>
  </w:abstractNum>
  <w:abstractNum w:abstractNumId="33">
    <w:nsid w:val="51D9C564"/>
    <w:multiLevelType w:val="hybridMultilevel"/>
    <w:lvl w:ilvl="0">
      <w:lvlJc w:val="left"/>
      <w:lvlText w:val="%1."/>
      <w:numFmt w:val="lowerLetter"/>
      <w:start w:val="3"/>
    </w:lvl>
  </w:abstractNum>
  <w:abstractNum w:abstractNumId="34">
    <w:nsid w:val="613EFDC5"/>
    <w:multiLevelType w:val="hybridMultilevel"/>
    <w:lvl w:ilvl="0">
      <w:lvlJc w:val="left"/>
      <w:lvlText w:val="%1."/>
      <w:numFmt w:val="lowerLetter"/>
      <w:start w:val="4"/>
    </w:lvl>
  </w:abstractNum>
  <w:abstractNum w:abstractNumId="35">
    <w:nsid w:val="BF72B14"/>
    <w:multiLevelType w:val="hybridMultilevel"/>
    <w:lvl w:ilvl="0">
      <w:lvlJc w:val="left"/>
      <w:lvlText w:val="%1."/>
      <w:numFmt w:val="decimal"/>
      <w:start w:val="10"/>
    </w:lvl>
  </w:abstractNum>
  <w:abstractNum w:abstractNumId="36">
    <w:nsid w:val="11447B73"/>
    <w:multiLevelType w:val="hybridMultilevel"/>
    <w:lvl w:ilvl="0">
      <w:lvlJc w:val="left"/>
      <w:lvlText w:val="%1."/>
      <w:numFmt w:val="decimal"/>
      <w:start w:val="11"/>
    </w:lvl>
    <w:lvl w:ilvl="1">
      <w:lvlJc w:val="left"/>
      <w:lvlText w:val="%2"/>
      <w:numFmt w:val="lowerLetter"/>
      <w:start w:val="1"/>
    </w:lvl>
  </w:abstractNum>
  <w:abstractNum w:abstractNumId="37">
    <w:nsid w:val="42963E5A"/>
    <w:multiLevelType w:val="hybridMultilevel"/>
    <w:lvl w:ilvl="0">
      <w:lvlJc w:val="left"/>
      <w:lvlText w:val="%1."/>
      <w:numFmt w:val="lowerLetter"/>
      <w:start w:val="2"/>
    </w:lvl>
  </w:abstractNum>
  <w:abstractNum w:abstractNumId="38">
    <w:nsid w:val="A0382C5"/>
    <w:multiLevelType w:val="hybridMultilevel"/>
    <w:lvl w:ilvl="0">
      <w:lvlJc w:val="left"/>
      <w:lvlText w:val="%1."/>
      <w:numFmt w:val="decimal"/>
      <w:start w:val="12"/>
    </w:lvl>
  </w:abstractNum>
  <w:abstractNum w:abstractNumId="39">
    <w:nsid w:val="8F2B15E"/>
    <w:multiLevelType w:val="hybridMultilevel"/>
    <w:lvl w:ilvl="0">
      <w:lvlJc w:val="left"/>
      <w:lvlText w:val="%1."/>
      <w:numFmt w:val="decimal"/>
      <w:start w:val="13"/>
    </w:lvl>
  </w:abstractNum>
  <w:abstractNum w:abstractNumId="40">
    <w:nsid w:val="1A32234B"/>
    <w:multiLevelType w:val="hybridMultilevel"/>
    <w:lvl w:ilvl="0">
      <w:lvlJc w:val="left"/>
      <w:lvlText w:val="%1."/>
      <w:numFmt w:val="decimal"/>
      <w:start w:val="14"/>
    </w:lvl>
  </w:abstractNum>
  <w:abstractNum w:abstractNumId="41">
    <w:nsid w:val="3B0FD379"/>
    <w:multiLevelType w:val="hybridMultilevel"/>
    <w:lvl w:ilvl="0">
      <w:lvlJc w:val="left"/>
      <w:lvlText w:val="%1."/>
      <w:numFmt w:val="decimal"/>
      <w:start w:val="15"/>
    </w:lvl>
  </w:abstractNum>
  <w:abstractNum w:abstractNumId="42">
    <w:nsid w:val="68EB2F63"/>
    <w:multiLevelType w:val="hybridMultilevel"/>
    <w:lvl w:ilvl="0">
      <w:lvlJc w:val="left"/>
      <w:lvlText w:val="%1."/>
      <w:numFmt w:val="decimal"/>
      <w:start w:val="16"/>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1."/>
      <w:numFmt w:val="decimal"/>
      <w:start w:val="17"/>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1."/>
      <w:numFmt w:val="decimal"/>
      <w:start w:val="2"/>
    </w:lvl>
  </w:abstractNum>
  <w:abstractNum w:abstractNumId="47">
    <w:nsid w:val="7FFFCA11"/>
    <w:multiLevelType w:val="hybridMultilevel"/>
    <w:lvl w:ilvl="0">
      <w:lvlJc w:val="left"/>
      <w:lvlText w:val="%1."/>
      <w:numFmt w:val="decimal"/>
      <w:start w:val="3"/>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decimal"/>
      <w:start w:val="1"/>
    </w:lvl>
    <w:lvl w:ilvl="1">
      <w:lvlJc w:val="left"/>
      <w:lvlText w:val="(%2)"/>
      <w:numFmt w:val="lowerLetter"/>
      <w:start w:val="2"/>
    </w:lvl>
  </w:abstractNum>
  <w:abstractNum w:abstractNumId="50">
    <w:nsid w:val="100F59DC"/>
    <w:multiLevelType w:val="hybridMultilevel"/>
    <w:lvl w:ilvl="0">
      <w:lvlJc w:val="left"/>
      <w:lvlText w:val="%1."/>
      <w:numFmt w:val="decimal"/>
      <w:start w:val="5"/>
    </w:lvl>
    <w:lvl w:ilvl="1">
      <w:lvlJc w:val="left"/>
      <w:lvlText w:val="%2"/>
      <w:numFmt w:val="lowerLetter"/>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decimal"/>
      <w:start w:val="2"/>
    </w:lvl>
  </w:abstractNum>
  <w:abstractNum w:abstractNumId="53">
    <w:nsid w:val="6F6DD9AC"/>
    <w:multiLevelType w:val="hybridMultilevel"/>
    <w:lvl w:ilvl="0">
      <w:lvlJc w:val="left"/>
      <w:lvlText w:val="(%1)"/>
      <w:numFmt w:val="lowerLetter"/>
      <w:start w:val="1"/>
    </w:lvl>
    <w:lvl w:ilvl="1">
      <w:lvlJc w:val="left"/>
      <w:lvlText w:val="(%2)"/>
      <w:numFmt w:val="decimal"/>
      <w:start w:val="1"/>
    </w:lvl>
  </w:abstractNum>
  <w:abstractNum w:abstractNumId="54">
    <w:nsid w:val="94211F2"/>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2"/>
    </w:lvl>
  </w:abstractNum>
  <w:abstractNum w:abstractNumId="55">
    <w:nsid w:val="885E1B"/>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6">
    <w:nsid w:val="76272110"/>
    <w:multiLevelType w:val="hybridMultilevel"/>
    <w:lvl w:ilvl="0">
      <w:lvlJc w:val="left"/>
      <w:lvlText w:val="(%1)"/>
      <w:numFmt w:val="lowerLetter"/>
      <w:start w:val="15"/>
    </w:lvl>
  </w:abstractNum>
  <w:abstractNum w:abstractNumId="57">
    <w:nsid w:val="4C04A8AF"/>
    <w:multiLevelType w:val="hybridMultilevel"/>
    <w:lvl w:ilvl="0">
      <w:lvlJc w:val="left"/>
      <w:lvlText w:val="(%1)"/>
      <w:numFmt w:val="lowerLetter"/>
      <w:start w:val="16"/>
    </w:lvl>
  </w:abstractNum>
  <w:abstractNum w:abstractNumId="58">
    <w:nsid w:val="1716703B"/>
    <w:multiLevelType w:val="hybridMultilevel"/>
    <w:lvl w:ilvl="0">
      <w:lvlJc w:val="left"/>
      <w:lvlText w:val="%1"/>
      <w:numFmt w:val="decimal"/>
      <w:start w:val="1"/>
    </w:lvl>
    <w:lvl w:ilvl="1">
      <w:lvlJc w:val="left"/>
      <w:lvlText w:val="(%2)"/>
      <w:numFmt w:val="lowerLetter"/>
      <w:start w:val="27"/>
    </w:lvl>
  </w:abstractNum>
  <w:abstractNum w:abstractNumId="59">
    <w:nsid w:val="14E17E33"/>
    <w:multiLevelType w:val="hybridMultilevel"/>
    <w:lvl w:ilvl="0">
      <w:lvlJc w:val="left"/>
      <w:lvlText w:val="%1."/>
      <w:numFmt w:val="decimal"/>
      <w:start w:val="3"/>
    </w:lvl>
    <w:lvl w:ilvl="1">
      <w:lvlJc w:val="left"/>
      <w:lvlText w:val="%2"/>
      <w:numFmt w:val="lowerLetter"/>
      <w:start w:val="1"/>
    </w:lvl>
  </w:abstractNum>
  <w:abstractNum w:abstractNumId="60">
    <w:nsid w:val="3222E7CD"/>
    <w:multiLevelType w:val="hybridMultilevel"/>
    <w:lvl w:ilvl="0">
      <w:lvlJc w:val="left"/>
      <w:lvlText w:val="(%1)"/>
      <w:numFmt w:val="upperLetter"/>
      <w:start w:val="1"/>
    </w:lvl>
  </w:abstractNum>
  <w:abstractNum w:abstractNumId="61">
    <w:nsid w:val="74DE0EE3"/>
    <w:multiLevelType w:val="hybridMultilevel"/>
    <w:lvl w:ilvl="0">
      <w:lvlJc w:val="left"/>
      <w:lvlText w:val="(%1)"/>
      <w:numFmt w:val="upperLetter"/>
      <w:start w:val="2"/>
    </w:lvl>
  </w:abstractNum>
  <w:abstractNum w:abstractNumId="62">
    <w:nsid w:val="68EBC550"/>
    <w:multiLevelType w:val="hybridMultilevel"/>
    <w:lvl w:ilvl="0">
      <w:lvlJc w:val="left"/>
      <w:lvlText w:val="(%1)"/>
      <w:numFmt w:val="upperLetter"/>
      <w:start w:val="3"/>
    </w:lvl>
  </w:abstractNum>
  <w:abstractNum w:abstractNumId="63">
    <w:nsid w:val="2DF6D648"/>
    <w:multiLevelType w:val="hybridMultilevel"/>
    <w:lvl w:ilvl="0">
      <w:lvlJc w:val="left"/>
      <w:lvlText w:val="(%1)"/>
      <w:numFmt w:val="upperLetter"/>
      <w:start w:val="4"/>
    </w:lvl>
  </w:abstractNum>
  <w:abstractNum w:abstractNumId="64">
    <w:nsid w:val="46B7D447"/>
    <w:multiLevelType w:val="hybridMultilevel"/>
    <w:lvl w:ilvl="0">
      <w:lvlJc w:val="left"/>
      <w:lvlText w:val="%1."/>
      <w:numFmt w:val="decimal"/>
      <w:start w:val="4"/>
    </w:lvl>
  </w:abstractNum>
  <w:abstractNum w:abstractNumId="65">
    <w:nsid w:val="4A2AC315"/>
    <w:multiLevelType w:val="hybridMultilevel"/>
    <w:lvl w:ilvl="0">
      <w:lvlJc w:val="left"/>
      <w:lvlText w:val="%1."/>
      <w:numFmt w:val="decimal"/>
      <w:start w:val="5"/>
    </w:lvl>
  </w:abstractNum>
  <w:abstractNum w:abstractNumId="66">
    <w:nsid w:val="39EE015C"/>
    <w:multiLevelType w:val="hybridMultilevel"/>
    <w:lvl w:ilvl="0">
      <w:lvlJc w:val="left"/>
      <w:lvlText w:val="%1."/>
      <w:numFmt w:val="decimal"/>
      <w:start w:val="6"/>
    </w:lvl>
  </w:abstractNum>
  <w:abstractNum w:abstractNumId="67">
    <w:nsid w:val="57FC4FBB"/>
    <w:multiLevelType w:val="hybridMultilevel"/>
    <w:lvl w:ilvl="0">
      <w:lvlJc w:val="left"/>
      <w:lvlText w:val="%1."/>
      <w:numFmt w:val="decimal"/>
      <w:start w:val="7"/>
    </w:lvl>
    <w:lvl w:ilvl="1">
      <w:lvlJc w:val="left"/>
      <w:lvlText w:val="(%2)"/>
      <w:numFmt w:val="upperLetter"/>
      <w:start w:val="1"/>
    </w:lvl>
  </w:abstractNum>
  <w:abstractNum w:abstractNumId="68">
    <w:nsid w:val="CC1016F"/>
    <w:multiLevelType w:val="hybridMultilevel"/>
    <w:lvl w:ilvl="0">
      <w:lvlJc w:val="left"/>
      <w:lvlText w:val="(%1)"/>
      <w:numFmt w:val="upperLetter"/>
      <w:start w:val="2"/>
    </w:lvl>
  </w:abstractNum>
  <w:abstractNum w:abstractNumId="69">
    <w:nsid w:val="43F18422"/>
    <w:multiLevelType w:val="hybridMultilevel"/>
    <w:lvl w:ilvl="0">
      <w:lvlJc w:val="left"/>
      <w:lvlText w:val="(%1)"/>
      <w:numFmt w:val="upperLetter"/>
      <w:start w:val="3"/>
    </w:lvl>
    <w:lvl w:ilvl="1">
      <w:lvlJc w:val="left"/>
      <w:lvlText w:val="(%2)"/>
      <w:numFmt w:val="decimal"/>
      <w:start w:val="1"/>
    </w:lvl>
    <w:lvl w:ilvl="2">
      <w:lvlJc w:val="left"/>
      <w:lvlText w:val="(%3)"/>
      <w:numFmt w:val="decimal"/>
      <w:start w:val="100"/>
    </w:lvl>
  </w:abstractNum>
  <w:abstractNum w:abstractNumId="70">
    <w:nsid w:val="60EF0119"/>
    <w:multiLevelType w:val="hybridMultilevel"/>
    <w:lvl w:ilvl="0">
      <w:lvlJc w:val="left"/>
      <w:lvlText w:val="%1"/>
      <w:numFmt w:val="upperLetter"/>
      <w:start w:val="1"/>
    </w:lvl>
    <w:lvl w:ilvl="1">
      <w:lvlJc w:val="left"/>
      <w:lvlText w:val="(%2)"/>
      <w:numFmt w:val="decimal"/>
      <w:start w:val="2"/>
    </w:lvl>
  </w:abstractNum>
  <w:abstractNum w:abstractNumId="71">
    <w:nsid w:val="26F324BA"/>
    <w:multiLevelType w:val="hybridMultilevel"/>
    <w:lvl w:ilvl="0">
      <w:lvlJc w:val="left"/>
      <w:lvlText w:val="(%1)"/>
      <w:numFmt w:val="upperLetter"/>
      <w:start w:val="5"/>
    </w:lvl>
    <w:lvl w:ilvl="1">
      <w:lvlJc w:val="left"/>
      <w:lvlText w:val="(%2)"/>
      <w:numFmt w:val="decimal"/>
      <w:start w:val="1"/>
    </w:lvl>
  </w:abstractNum>
  <w:abstractNum w:abstractNumId="72">
    <w:nsid w:val="7F01579B"/>
    <w:multiLevelType w:val="hybridMultilevel"/>
    <w:lvl w:ilvl="0">
      <w:lvlJc w:val="left"/>
      <w:lvlText w:val="%1."/>
      <w:numFmt w:val="decimal"/>
      <w:start w:val="8"/>
    </w:lvl>
    <w:lvl w:ilvl="1">
      <w:lvlJc w:val="left"/>
      <w:lvlText w:val="(%2)"/>
      <w:numFmt w:val="upperLetter"/>
      <w:start w:val="1"/>
    </w:lvl>
  </w:abstractNum>
  <w:abstractNum w:abstractNumId="73">
    <w:nsid w:val="49DA307D"/>
    <w:multiLevelType w:val="hybridMultilevel"/>
    <w:lvl w:ilvl="0">
      <w:lvlJc w:val="left"/>
      <w:lvlText w:val="(%1)"/>
      <w:numFmt w:val="upperLetter"/>
      <w:start w:val="3"/>
    </w:lvl>
  </w:abstractNum>
  <w:abstractNum w:abstractNumId="74">
    <w:nsid w:val="7055A5F5"/>
    <w:multiLevelType w:val="hybridMultilevel"/>
    <w:lvl w:ilvl="0">
      <w:lvlJc w:val="left"/>
      <w:lvlText w:val="(%1)"/>
      <w:numFmt w:val="upperLetter"/>
      <w:start w:val="4"/>
    </w:lvl>
  </w:abstractNum>
  <w:abstractNum w:abstractNumId="75">
    <w:nsid w:val="5FB8370B"/>
    <w:multiLevelType w:val="hybridMultilevel"/>
    <w:lvl w:ilvl="0">
      <w:lvlJc w:val="left"/>
      <w:lvlText w:val="(%1)"/>
      <w:numFmt w:val="upperLetter"/>
      <w:start w:val="5"/>
    </w:lvl>
  </w:abstractNum>
  <w:abstractNum w:abstractNumId="76">
    <w:nsid w:val="50801EE1"/>
    <w:multiLevelType w:val="hybridMultilevel"/>
    <w:lvl w:ilvl="0">
      <w:lvlJc w:val="left"/>
      <w:lvlText w:val="(%1)"/>
      <w:numFmt w:val="upperLetter"/>
      <w:start w:val="6"/>
    </w:lvl>
    <w:lvl w:ilvl="1">
      <w:lvlJc w:val="left"/>
      <w:lvlText w:val="(%2)"/>
      <w:numFmt w:val="decimal"/>
      <w:start w:val="1"/>
    </w:lvl>
  </w:abstractNum>
  <w:abstractNum w:abstractNumId="77">
    <w:nsid w:val="488AC1A"/>
    <w:multiLevelType w:val="hybridMultilevel"/>
    <w:lvl w:ilvl="0">
      <w:lvlJc w:val="left"/>
      <w:lvlText w:val="(%1)"/>
      <w:numFmt w:val="decimal"/>
      <w:start w:val="2"/>
    </w:lvl>
  </w:abstractNum>
  <w:abstractNum w:abstractNumId="78">
    <w:nsid w:val="5FB8011C"/>
    <w:multiLevelType w:val="hybridMultilevel"/>
    <w:lvl w:ilvl="0">
      <w:lvlJc w:val="left"/>
      <w:lvlText w:val="(%1)"/>
      <w:numFmt w:val="upperLetter"/>
      <w:start w:val="7"/>
    </w:lvl>
  </w:abstractNum>
  <w:abstractNum w:abstractNumId="79">
    <w:nsid w:val="6AA78F7F"/>
    <w:multiLevelType w:val="hybridMultilevel"/>
    <w:lvl w:ilvl="0">
      <w:lvlJc w:val="left"/>
      <w:lvlText w:val="(%1)"/>
      <w:numFmt w:val="upperLetter"/>
      <w:start w:val="8"/>
    </w:lvl>
    <w:lvl w:ilvl="1">
      <w:lvlJc w:val="left"/>
      <w:lvlText w:val="(%2)"/>
      <w:numFmt w:val="decimal"/>
      <w:start w:val="1"/>
    </w:lvl>
  </w:abstractNum>
  <w:abstractNum w:abstractNumId="80">
    <w:nsid w:val="7672BD23"/>
    <w:multiLevelType w:val="hybridMultilevel"/>
    <w:lvl w:ilvl="0">
      <w:lvlJc w:val="left"/>
      <w:lvlText w:val="(%1)"/>
      <w:numFmt w:val="upperLetter"/>
      <w:start w:val="10"/>
    </w:lvl>
  </w:abstractNum>
  <w:abstractNum w:abstractNumId="81">
    <w:nsid w:val="6FC75AF8"/>
    <w:multiLevelType w:val="hybridMultilevel"/>
    <w:lvl w:ilvl="0">
      <w:lvlJc w:val="left"/>
      <w:lvlText w:val="%1."/>
      <w:numFmt w:val="decimal"/>
      <w:start w:val="9"/>
    </w:lvl>
  </w:abstractNum>
  <w:abstractNum w:abstractNumId="82">
    <w:nsid w:val="6A5F7029"/>
    <w:multiLevelType w:val="hybridMultilevel"/>
    <w:lvl w:ilvl="0">
      <w:lvlJc w:val="left"/>
      <w:lvlText w:val="(%1)"/>
      <w:numFmt w:val="upperLetter"/>
      <w:start w:val="1"/>
    </w:lvl>
  </w:abstractNum>
  <w:abstractNum w:abstractNumId="83">
    <w:nsid w:val="7D5E18F8"/>
    <w:multiLevelType w:val="hybridMultilevel"/>
    <w:lvl w:ilvl="0">
      <w:lvlJc w:val="left"/>
      <w:lvlText w:val="(%1)"/>
      <w:numFmt w:val="upperLetter"/>
      <w:start w:val="2"/>
    </w:lvl>
  </w:abstractNum>
  <w:abstractNum w:abstractNumId="84">
    <w:nsid w:val="5F3534A4"/>
    <w:multiLevelType w:val="hybridMultilevel"/>
    <w:lvl w:ilvl="0">
      <w:lvlJc w:val="left"/>
      <w:lvlText w:val="%1"/>
      <w:numFmt w:val="upperLetter"/>
      <w:start w:val="1"/>
    </w:lvl>
    <w:lvl w:ilvl="1">
      <w:lvlJc w:val="left"/>
      <w:lvlText w:val="(%2)"/>
      <w:numFmt w:val="decimal"/>
      <w:start w:val="2"/>
    </w:lvl>
  </w:abstractNum>
  <w:abstractNum w:abstractNumId="85">
    <w:nsid w:val="73A1821B"/>
    <w:multiLevelType w:val="hybridMultilevel"/>
    <w:lvl w:ilvl="0">
      <w:lvlJc w:val="left"/>
      <w:lvlText w:val="(%1)"/>
      <w:numFmt w:val="upperLetter"/>
      <w:start w:val="3"/>
    </w:lvl>
    <w:lvl w:ilvl="1">
      <w:lvlJc w:val="left"/>
      <w:lvlText w:val="%2"/>
      <w:numFmt w:val="decimal"/>
      <w:start w:val="1"/>
    </w:lvl>
  </w:abstractNum>
  <w:abstractNum w:abstractNumId="86">
    <w:nsid w:val="7DE67713"/>
    <w:multiLevelType w:val="hybridMultilevel"/>
    <w:lvl w:ilvl="0">
      <w:lvlJc w:val="left"/>
      <w:lvlText w:val="(%1)"/>
      <w:numFmt w:val="upperLetter"/>
      <w:start w:val="4"/>
    </w:lvl>
  </w:abstractNum>
  <w:abstractNum w:abstractNumId="87">
    <w:nsid w:val="555C55B5"/>
    <w:multiLevelType w:val="hybridMultilevel"/>
    <w:lvl w:ilvl="0">
      <w:lvlJc w:val="left"/>
      <w:lvlText w:val="(%1)"/>
      <w:numFmt w:val="upperLetter"/>
      <w:start w:val="5"/>
    </w:lvl>
  </w:abstractNum>
  <w:abstractNum w:abstractNumId="88">
    <w:nsid w:val="3FA62ACA"/>
    <w:multiLevelType w:val="hybridMultilevel"/>
    <w:lvl w:ilvl="0">
      <w:lvlJc w:val="left"/>
      <w:lvlText w:val="(%1)"/>
      <w:numFmt w:val="upperLetter"/>
      <w:start w:val="6"/>
    </w:lvl>
  </w:abstractNum>
  <w:abstractNum w:abstractNumId="89">
    <w:nsid w:val="14FCE74E"/>
    <w:multiLevelType w:val="hybridMultilevel"/>
    <w:lvl w:ilvl="0">
      <w:lvlJc w:val="left"/>
      <w:lvlText w:val="%1."/>
      <w:numFmt w:val="decimal"/>
      <w:start w:val="10"/>
    </w:lvl>
  </w:abstractNum>
  <w:abstractNum w:abstractNumId="90">
    <w:nsid w:val="6A3DD3E8"/>
    <w:multiLevelType w:val="hybridMultilevel"/>
    <w:lvl w:ilvl="0">
      <w:lvlJc w:val="left"/>
      <w:lvlText w:val="%1."/>
      <w:numFmt w:val="decimal"/>
      <w:start w:val="11"/>
    </w:lvl>
  </w:abstractNum>
  <w:abstractNum w:abstractNumId="91">
    <w:nsid w:val="71C91298"/>
    <w:multiLevelType w:val="hybridMultilevel"/>
    <w:lvl w:ilvl="0">
      <w:lvlJc w:val="left"/>
      <w:lvlText w:val="%1."/>
      <w:numFmt w:val="decimal"/>
      <w:start w:val="12"/>
    </w:lvl>
  </w:abstractNum>
  <w:abstractNum w:abstractNumId="92">
    <w:nsid w:val="9DAF632"/>
    <w:multiLevelType w:val="hybridMultilevel"/>
    <w:lvl w:ilvl="0">
      <w:lvlJc w:val="left"/>
      <w:lvlText w:val="(%1)"/>
      <w:numFmt w:val="upperLetter"/>
      <w:start w:val="1"/>
    </w:lvl>
  </w:abstractNum>
  <w:abstractNum w:abstractNumId="93">
    <w:nsid w:val="53299938"/>
    <w:multiLevelType w:val="hybridMultilevel"/>
    <w:lvl w:ilvl="0">
      <w:lvlJc w:val="left"/>
      <w:lvlText w:val="(%1)"/>
      <w:numFmt w:val="upperLetter"/>
      <w:start w:val="2"/>
    </w:lvl>
  </w:abstractNum>
  <w:abstractNum w:abstractNumId="94">
    <w:nsid w:val="1FBFE8E0"/>
    <w:multiLevelType w:val="hybridMultilevel"/>
    <w:lvl w:ilvl="0">
      <w:lvlJc w:val="left"/>
      <w:lvlText w:val="(%1)"/>
      <w:numFmt w:val="upperLetter"/>
      <w:start w:val="3"/>
    </w:lvl>
  </w:abstractNum>
  <w:abstractNum w:abstractNumId="95">
    <w:nsid w:val="5092CA79"/>
    <w:multiLevelType w:val="hybridMultilevel"/>
    <w:lvl w:ilvl="0">
      <w:lvlJc w:val="left"/>
      <w:lvlText w:val="(%1)"/>
      <w:numFmt w:val="upperLetter"/>
      <w:start w:val="4"/>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upperLetter"/>
      <w:start w:val="5"/>
    </w:lvl>
  </w:abstractNum>
  <w:abstractNum w:abstractNumId="98">
    <w:nsid w:val="288F1A34"/>
    <w:multiLevelType w:val="hybridMultilevel"/>
    <w:lvl w:ilvl="0">
      <w:lvlJc w:val="left"/>
      <w:lvlText w:val="%1."/>
      <w:numFmt w:val="decimal"/>
      <w:start w:val="13"/>
    </w:lvl>
  </w:abstractNum>
  <w:abstractNum w:abstractNumId="99">
    <w:nsid w:val="2A155DBC"/>
    <w:multiLevelType w:val="hybridMultilevel"/>
    <w:lvl w:ilvl="0">
      <w:lvlJc w:val="left"/>
      <w:lvlText w:val="%1."/>
      <w:numFmt w:val="decimal"/>
      <w:start w:val="14"/>
    </w:lvl>
  </w:abstractNum>
  <w:abstractNum w:abstractNumId="100">
    <w:nsid w:val="1D9F6E5F"/>
    <w:multiLevelType w:val="hybridMultilevel"/>
    <w:lvl w:ilvl="0">
      <w:lvlJc w:val="left"/>
      <w:lvlText w:val="%1."/>
      <w:numFmt w:val="decimal"/>
      <w:start w:val="15"/>
    </w:lvl>
    <w:lvl w:ilvl="1">
      <w:lvlJc w:val="left"/>
      <w:lvlText w:val="(%2)"/>
      <w:numFmt w:val="lowerLetter"/>
      <w:start w:val="1"/>
    </w:lvl>
  </w:abstractNum>
  <w:abstractNum w:abstractNumId="101">
    <w:nsid w:val="97E1B4E"/>
    <w:multiLevelType w:val="hybridMultilevel"/>
    <w:lvl w:ilvl="0">
      <w:lvlJc w:val="left"/>
      <w:lvlText w:val="(%1)"/>
      <w:numFmt w:val="lowerLetter"/>
      <w:start w:val="2"/>
    </w:lvl>
  </w:abstractNum>
  <w:abstractNum w:abstractNumId="102">
    <w:nsid w:val="51088277"/>
    <w:multiLevelType w:val="hybridMultilevel"/>
    <w:lvl w:ilvl="0">
      <w:lvlJc w:val="left"/>
      <w:lvlText w:val="%1."/>
      <w:numFmt w:val="decimal"/>
      <w:start w:val="16"/>
    </w:lvl>
  </w:abstractNum>
  <w:abstractNum w:abstractNumId="103">
    <w:nsid w:val="1CA0C5FA"/>
    <w:multiLevelType w:val="hybridMultilevel"/>
    <w:lvl w:ilvl="0">
      <w:lvlJc w:val="left"/>
      <w:lvlText w:val="%1."/>
      <w:numFmt w:val="decimal"/>
      <w:start w:val="17"/>
    </w:lvl>
  </w:abstractNum>
  <w:abstractNum w:abstractNumId="104">
    <w:nsid w:val="53584BCB"/>
    <w:multiLevelType w:val="hybridMultilevel"/>
    <w:lvl w:ilvl="0">
      <w:lvlJc w:val="left"/>
      <w:lvlText w:val="%1."/>
      <w:numFmt w:val="decimal"/>
      <w:start w:val="18"/>
    </w:lvl>
  </w:abstractNum>
  <w:abstractNum w:abstractNumId="105">
    <w:nsid w:val="415E286C"/>
    <w:multiLevelType w:val="hybridMultilevel"/>
    <w:lvl w:ilvl="0">
      <w:lvlJc w:val="left"/>
      <w:lvlText w:val="%1."/>
      <w:numFmt w:val="decimal"/>
      <w:start w:val="19"/>
    </w:lvl>
  </w:abstractNum>
  <w:abstractNum w:abstractNumId="106">
    <w:nsid w:val="7C58FD05"/>
    <w:multiLevelType w:val="hybridMultilevel"/>
    <w:lvl w:ilvl="0">
      <w:lvlJc w:val="left"/>
      <w:lvlText w:val="%1."/>
      <w:numFmt w:val="decimal"/>
      <w:start w:val="20"/>
    </w:lvl>
  </w:abstractNum>
  <w:abstractNum w:abstractNumId="107">
    <w:nsid w:val="23D86AAC"/>
    <w:multiLevelType w:val="hybridMultilevel"/>
    <w:lvl w:ilvl="0">
      <w:lvlJc w:val="left"/>
      <w:lvlText w:val="%1."/>
      <w:numFmt w:val="decimal"/>
      <w:start w:val="21"/>
    </w:lvl>
  </w:abstractNum>
  <w:abstractNum w:abstractNumId="108">
    <w:nsid w:val="45E6D486"/>
    <w:multiLevelType w:val="hybridMultilevel"/>
    <w:lvl w:ilvl="0">
      <w:lvlJc w:val="left"/>
      <w:lvlText w:val="%1."/>
      <w:numFmt w:val="decimal"/>
      <w:start w:val="22"/>
    </w:lvl>
  </w:abstractNum>
  <w:abstractNum w:abstractNumId="109">
    <w:nsid w:val="5C10FE21"/>
    <w:multiLevelType w:val="hybridMultilevel"/>
    <w:lvl w:ilvl="0">
      <w:lvlJc w:val="left"/>
      <w:lvlText w:val="%1."/>
      <w:numFmt w:val="decimal"/>
      <w:start w:val="23"/>
    </w:lvl>
  </w:abstractNum>
  <w:abstractNum w:abstractNumId="110">
    <w:nsid w:val="E7FFA2B"/>
    <w:multiLevelType w:val="hybridMultilevel"/>
    <w:lvl w:ilvl="0">
      <w:lvlJc w:val="left"/>
      <w:lvlText w:val="%1."/>
      <w:numFmt w:val="decimal"/>
      <w:start w:val="24"/>
    </w:lvl>
  </w:abstractNum>
  <w:abstractNum w:abstractNumId="111">
    <w:nsid w:val="3C5991AA"/>
    <w:multiLevelType w:val="hybridMultilevel"/>
    <w:lvl w:ilvl="0">
      <w:lvlJc w:val="left"/>
      <w:lvlText w:val="%1."/>
      <w:numFmt w:val="decimal"/>
      <w:start w:val="25"/>
    </w:lvl>
  </w:abstractNum>
  <w:abstractNum w:abstractNumId="112">
    <w:nsid w:val="4BD8591A"/>
    <w:multiLevelType w:val="hybridMultilevel"/>
    <w:lvl w:ilvl="0">
      <w:lvlJc w:val="left"/>
      <w:lvlText w:val="%1."/>
      <w:numFmt w:val="decimal"/>
      <w:start w:val="26"/>
    </w:lvl>
  </w:abstractNum>
  <w:abstractNum w:abstractNumId="113">
    <w:nsid w:val="78DF6A55"/>
    <w:multiLevelType w:val="hybridMultilevel"/>
    <w:lvl w:ilvl="0">
      <w:lvlJc w:val="left"/>
      <w:lvlText w:val="%1."/>
      <w:numFmt w:val="decimal"/>
      <w:start w:val="27"/>
    </w:lvl>
  </w:abstractNum>
  <w:abstractNum w:abstractNumId="114">
    <w:nsid w:val="39B7AAA2"/>
    <w:multiLevelType w:val="hybridMultilevel"/>
    <w:lvl w:ilvl="0">
      <w:lvlJc w:val="left"/>
      <w:lvlText w:val="%1."/>
      <w:numFmt w:val="decimal"/>
      <w:start w:val="28"/>
    </w:lvl>
  </w:abstractNum>
  <w:abstractNum w:abstractNumId="115">
    <w:nsid w:val="2B0D8DBE"/>
    <w:multiLevelType w:val="hybridMultilevel"/>
    <w:lvl w:ilvl="0">
      <w:lvlJc w:val="left"/>
      <w:lvlText w:val="%1."/>
      <w:numFmt w:val="decimal"/>
      <w:start w:val="29"/>
    </w:lvl>
  </w:abstractNum>
  <w:abstractNum w:abstractNumId="116">
    <w:nsid w:val="6C80EC70"/>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2019-12-11T22:01:37Z</dcterms:created>
  <dcterms:modified xsi:type="dcterms:W3CDTF">2019-12-11T22:01:37Z</dcterms:modified>
</cp:coreProperties>
</file>