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28,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Regeneron Pharmaceuticals, Inc. (“Regeneron” or the “Company”) has been advised by its collaborator Sanofi that manufacturing deficiencies have been raised by the U.S. Food and Drug Administration (the “FDA”) during a routine Current Good Manufacturing Practice (“CGMP”) inspection of a Sanofi manufacturing facility that conducts “fill and finish” activities for certain products, including sarilumab, an antibody to the interleukin-6 receptor (IL-6R) being developed by Regeneron in collaboration with Sanofi. Sanofi has provided comprehensive responses to the FDA for the cited deficiencies and has been in discussions with the FDA. Given that the CGMP status of this facility is under review by the FDA, it is unclear whether or how this situation may impact the timing of the potential approval of sarilumab by the FDA. The sarilumab active pharmaceutical ingredient is manufactured by the Company at its Rensselaer, New York facility. The FDA has completed a pre-approval inspection of Regeneron’s sarilumab manufacturing facility. No Form 483 was issued in connection with the inspection, which is the form used if the FDA investigators have observed any conditions that in their judgement may constitute a violation of the Food, Drug, and Cosmetic Act and related acts. The sarilumab Biologics License Application continues to be under active review by the FDA, with an expected action date of October 30, 2016.</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Note Regarding Forward-Looking Statements</w:t>
      </w:r>
    </w:p>
    <w:p>
      <w:pPr>
        <w:spacing w:after="0" w:line="225" w:lineRule="exact"/>
        <w:rPr>
          <w:sz w:val="24"/>
          <w:szCs w:val="24"/>
          <w:color w:val="auto"/>
        </w:rPr>
      </w:pPr>
    </w:p>
    <w:p>
      <w:pPr>
        <w:spacing w:after="0" w:line="287" w:lineRule="auto"/>
        <w:rPr>
          <w:sz w:val="20"/>
          <w:szCs w:val="20"/>
          <w:color w:val="auto"/>
        </w:rPr>
      </w:pPr>
      <w:r>
        <w:rPr>
          <w:rFonts w:ascii="Arial" w:cs="Arial" w:eastAsia="Arial" w:hAnsi="Arial"/>
          <w:sz w:val="16"/>
          <w:szCs w:val="16"/>
          <w:i w:val="1"/>
          <w:iCs w:val="1"/>
          <w:color w:val="auto"/>
        </w:rPr>
        <w:t>This Current Report on Form 8-K (this “Report”)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the impact of the manufacturing deficiencies raised by the U.S. Food and Drug Administration (the “FDA”) and discussed in this Report on the potential FDA approval of sarilumab; the likelihood and timing of possible regulatory approval and commercial launch of sarilumab, including possible regulatory approval of sarilumab by the FDA; determinations by regulatory and administrative governmental authorities (such as the FDA) which may delay or restrict Regeneron’s ability to continue to develop or commercialize sarilumab; unforeseen safety issues resulting from the administration of sarilumab in patients, including serious complications or side effects in connection with the use of sarilumab in clinical trials; ongoing regulatory obligations and oversight impacting Regeneron’s research and clinical programs, including those relating to sarilumab; the potential for any license or collaboration agreement, including Regeneron’s antibody license and collaboration agreement with Sanofi, to be cancelled or terminated without any further product success; and risks associated with intellectual property of other parties and pending or future litigation relating</w:t>
      </w:r>
    </w:p>
    <w:p>
      <w:pPr>
        <w:sectPr>
          <w:pgSz w:w="11900" w:h="16838" w:orient="portrait"/>
          <w:cols w:equalWidth="0" w:num="1">
            <w:col w:w="11400"/>
          </w:cols>
          <w:pgMar w:left="240" w:top="544" w:right="259" w:bottom="0" w:gutter="0" w:footer="0" w:header="0"/>
        </w:sectPr>
      </w:pPr>
    </w:p>
    <w:bookmarkStart w:id="1" w:name="page2"/>
    <w:bookmarkEnd w:id="1"/>
    <w:p>
      <w:pPr>
        <w:ind w:right="80"/>
        <w:spacing w:after="0" w:line="257" w:lineRule="auto"/>
        <w:rPr>
          <w:sz w:val="20"/>
          <w:szCs w:val="20"/>
          <w:color w:val="auto"/>
        </w:rPr>
      </w:pPr>
      <w:r>
        <w:rPr>
          <w:rFonts w:ascii="Arial" w:cs="Arial" w:eastAsia="Arial" w:hAnsi="Arial"/>
          <w:sz w:val="18"/>
          <w:szCs w:val="18"/>
          <w:i w:val="1"/>
          <w:iCs w:val="1"/>
          <w:color w:val="auto"/>
        </w:rPr>
        <w:t>thereto. A more complete description of these and other material risks can be found in Regeneron’s filings with the United States Securities and Exchange Commission, including its Form 10-K for the year ended December 31, 2015 and its Form 10-Q for the quarterly period ended June 30, 2016. Any forward-looking statements are made based on management’s current beliefs and judgment, and the reader is cautioned not to rely on any forward-looking statements made by Regeneron. Regeneron does not undertake any obligation to update publicly any forward-looking statement, whether as a result of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2019-12-06T00:20:39Z</dcterms:created>
  <dcterms:modified xsi:type="dcterms:W3CDTF">2019-12-06T00:20:39Z</dcterms:modified>
</cp:coreProperties>
</file>