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712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71220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3"/>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GOLDBERG MURRAY A</w:t>
              </w:r>
            </w:hyperlink>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tcBorders>
              <w:bottom w:val="single" w:sz="8" w:color="0000EE"/>
            </w:tcBorders>
            <w:gridSpan w:val="3"/>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gridSpan w:val="3"/>
          </w:tcPr>
          <w:p>
            <w:pPr>
              <w:spacing w:after="0"/>
              <w:rPr>
                <w:sz w:val="4"/>
                <w:szCs w:val="4"/>
                <w:color w:val="auto"/>
              </w:rPr>
            </w:pPr>
          </w:p>
        </w:tc>
        <w:tc>
          <w:tcPr>
            <w:tcW w:w="1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940" w:type="dxa"/>
            <w:vAlign w:val="bottom"/>
            <w:tcBorders>
              <w:top w:val="single" w:sz="8" w:color="EEEEEE"/>
            </w:tcBorders>
          </w:tcPr>
          <w:p>
            <w:pPr>
              <w:spacing w:after="0"/>
              <w:rPr>
                <w:sz w:val="8"/>
                <w:szCs w:val="8"/>
                <w:color w:val="auto"/>
              </w:rPr>
            </w:pPr>
          </w:p>
        </w:tc>
        <w:tc>
          <w:tcPr>
            <w:tcW w:w="18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60"/>
              <w:spacing w:after="0"/>
              <w:rPr>
                <w:sz w:val="20"/>
                <w:szCs w:val="20"/>
                <w:color w:val="auto"/>
              </w:rPr>
            </w:pPr>
            <w:r>
              <w:rPr>
                <w:rFonts w:ascii="Arial" w:cs="Arial" w:eastAsia="Arial" w:hAnsi="Arial"/>
                <w:sz w:val="17"/>
                <w:szCs w:val="17"/>
                <w:color w:val="0000FF"/>
              </w:rPr>
              <w:t>SVP Administration &amp; Asst Secr</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60" w:type="dxa"/>
            <w:vAlign w:val="bottom"/>
            <w:gridSpan w:val="7"/>
            <w:vMerge w:val="restart"/>
          </w:tcPr>
          <w:p>
            <w:pPr>
              <w:ind w:left="280"/>
              <w:spacing w:after="0"/>
              <w:rPr>
                <w:sz w:val="20"/>
                <w:szCs w:val="20"/>
                <w:color w:val="auto"/>
              </w:rPr>
            </w:pPr>
            <w:r>
              <w:rPr>
                <w:rFonts w:ascii="Arial" w:cs="Arial" w:eastAsia="Arial" w:hAnsi="Arial"/>
                <w:sz w:val="17"/>
                <w:szCs w:val="17"/>
                <w:color w:val="0000FF"/>
              </w:rPr>
              <w:t>10/23/2014</w:t>
            </w: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6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9"/>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5"/>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10/23/2014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60,000</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30.63</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123,102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10/23/2014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4,689</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left="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391.93</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118,413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10/23/2014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28,523</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left="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391.93</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89,890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10/24/2014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left="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395.96</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89,690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10/24/2014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775</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left="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396.8</w:t>
            </w:r>
            <w:r>
              <w:rPr>
                <w:rFonts w:ascii="Arial" w:cs="Arial" w:eastAsia="Arial" w:hAnsi="Arial"/>
                <w:sz w:val="22"/>
                <w:szCs w:val="22"/>
                <w:color w:val="008000"/>
                <w:w w:val="88"/>
                <w:vertAlign w:val="superscript"/>
              </w:rPr>
              <w:t>(2)</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88,915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10/24/2014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1,700</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397.65</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87,215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10/24/2014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2,100</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398.58</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85,115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10/24/2014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3,200</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399.37</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81,915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10/24/2014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7,531</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400.51</w:t>
            </w:r>
            <w:r>
              <w:rPr>
                <w:rFonts w:ascii="Arial" w:cs="Arial" w:eastAsia="Arial" w:hAnsi="Arial"/>
                <w:sz w:val="22"/>
                <w:szCs w:val="22"/>
                <w:color w:val="008000"/>
                <w:w w:val="88"/>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74,384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10/24/2014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5,293</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401.51</w:t>
            </w:r>
            <w:r>
              <w:rPr>
                <w:rFonts w:ascii="Arial" w:cs="Arial" w:eastAsia="Arial" w:hAnsi="Arial"/>
                <w:sz w:val="22"/>
                <w:szCs w:val="22"/>
                <w:color w:val="008000"/>
                <w:w w:val="88"/>
                <w:vertAlign w:val="superscript"/>
              </w:rPr>
              <w:t>(7)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69,091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10/24/2014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2,500</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402.54</w:t>
            </w:r>
            <w:r>
              <w:rPr>
                <w:rFonts w:ascii="Arial" w:cs="Arial" w:eastAsia="Arial" w:hAnsi="Arial"/>
                <w:sz w:val="22"/>
                <w:szCs w:val="22"/>
                <w:color w:val="008000"/>
                <w:w w:val="88"/>
                <w:vertAlign w:val="superscript"/>
              </w:rPr>
              <w:t>(8)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66,591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10/24/2014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2,454</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left="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403.5</w:t>
            </w:r>
            <w:r>
              <w:rPr>
                <w:rFonts w:ascii="Arial" w:cs="Arial" w:eastAsia="Arial" w:hAnsi="Arial"/>
                <w:sz w:val="22"/>
                <w:szCs w:val="22"/>
                <w:color w:val="008000"/>
                <w:w w:val="88"/>
                <w:vertAlign w:val="superscript"/>
              </w:rPr>
              <w:t>(9)</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64,137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700"/>
              <w:spacing w:after="0"/>
              <w:rPr>
                <w:sz w:val="20"/>
                <w:szCs w:val="20"/>
                <w:color w:val="auto"/>
              </w:rPr>
            </w:pPr>
            <w:r>
              <w:rPr>
                <w:rFonts w:ascii="Arial" w:cs="Arial" w:eastAsia="Arial" w:hAnsi="Arial"/>
                <w:sz w:val="17"/>
                <w:szCs w:val="17"/>
                <w:color w:val="0000FF"/>
              </w:rPr>
              <w:t>10/24/2014</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1,035</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404.18</w:t>
            </w:r>
            <w:r>
              <w:rPr>
                <w:rFonts w:ascii="Arial" w:cs="Arial" w:eastAsia="Arial" w:hAnsi="Arial"/>
                <w:sz w:val="22"/>
                <w:szCs w:val="22"/>
                <w:color w:val="008000"/>
                <w:w w:val="86"/>
                <w:vertAlign w:val="superscript"/>
              </w:rPr>
              <w:t>(10)</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63,102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5,650</w:t>
            </w:r>
          </w:p>
        </w:tc>
        <w:tc>
          <w:tcPr>
            <w:tcW w:w="280" w:type="dxa"/>
            <w:vAlign w:val="bottom"/>
          </w:tcPr>
          <w:p>
            <w:pPr>
              <w:spacing w:after="0"/>
              <w:rPr>
                <w:sz w:val="18"/>
                <w:szCs w:val="18"/>
                <w:color w:val="auto"/>
              </w:rPr>
            </w:pPr>
          </w:p>
        </w:tc>
        <w:tc>
          <w:tcPr>
            <w:tcW w:w="700" w:type="dxa"/>
            <w:vAlign w:val="bottom"/>
          </w:tcPr>
          <w:p>
            <w:pPr>
              <w:jc w:val="center"/>
              <w:ind w:right="302"/>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750</w:t>
            </w:r>
          </w:p>
        </w:tc>
        <w:tc>
          <w:tcPr>
            <w:tcW w:w="280" w:type="dxa"/>
            <w:vAlign w:val="bottom"/>
          </w:tcPr>
          <w:p>
            <w:pPr>
              <w:spacing w:after="0"/>
              <w:rPr>
                <w:sz w:val="22"/>
                <w:szCs w:val="22"/>
                <w:color w:val="auto"/>
              </w:rPr>
            </w:pPr>
          </w:p>
        </w:tc>
        <w:tc>
          <w:tcPr>
            <w:tcW w:w="700" w:type="dxa"/>
            <w:vAlign w:val="bottom"/>
            <w:vMerge w:val="restart"/>
          </w:tcPr>
          <w:p>
            <w:pPr>
              <w:jc w:val="center"/>
              <w:ind w:right="302"/>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8"/>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2"/>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jc w:val="center"/>
              <w:ind w:right="322"/>
              <w:spacing w:after="0" w:line="134"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30.63</w:t>
            </w:r>
          </w:p>
        </w:tc>
        <w:tc>
          <w:tcPr>
            <w:tcW w:w="940" w:type="dxa"/>
            <w:vAlign w:val="bottom"/>
          </w:tcPr>
          <w:p>
            <w:pPr>
              <w:ind w:left="260"/>
              <w:spacing w:after="0"/>
              <w:rPr>
                <w:sz w:val="20"/>
                <w:szCs w:val="20"/>
                <w:color w:val="auto"/>
              </w:rPr>
            </w:pPr>
            <w:r>
              <w:rPr>
                <w:rFonts w:ascii="Arial" w:cs="Arial" w:eastAsia="Arial" w:hAnsi="Arial"/>
                <w:sz w:val="13"/>
                <w:szCs w:val="13"/>
                <w:color w:val="0000FF"/>
              </w:rPr>
              <w:t>10/23/2014</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gridSpan w:val="4"/>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3"/>
                <w:szCs w:val="13"/>
                <w:color w:val="0000FF"/>
              </w:rPr>
              <w:t>60,000</w:t>
            </w:r>
          </w:p>
        </w:tc>
        <w:tc>
          <w:tcPr>
            <w:tcW w:w="800" w:type="dxa"/>
            <w:vAlign w:val="bottom"/>
          </w:tcPr>
          <w:p>
            <w:pPr>
              <w:ind w:left="320"/>
              <w:spacing w:after="0"/>
              <w:rPr>
                <w:sz w:val="20"/>
                <w:szCs w:val="20"/>
                <w:color w:val="auto"/>
              </w:rPr>
            </w:pPr>
            <w:r>
              <w:rPr>
                <w:rFonts w:ascii="Arial" w:cs="Arial" w:eastAsia="Arial" w:hAnsi="Arial"/>
                <w:sz w:val="11"/>
                <w:szCs w:val="11"/>
                <w:color w:val="008000"/>
              </w:rPr>
              <w:t>(11)</w:t>
            </w:r>
          </w:p>
        </w:tc>
        <w:tc>
          <w:tcPr>
            <w:tcW w:w="780" w:type="dxa"/>
            <w:vAlign w:val="bottom"/>
          </w:tcPr>
          <w:p>
            <w:pPr>
              <w:ind w:left="100"/>
              <w:spacing w:after="0"/>
              <w:rPr>
                <w:sz w:val="20"/>
                <w:szCs w:val="20"/>
                <w:color w:val="auto"/>
              </w:rPr>
            </w:pPr>
            <w:r>
              <w:rPr>
                <w:rFonts w:ascii="Arial" w:cs="Arial" w:eastAsia="Arial" w:hAnsi="Arial"/>
                <w:sz w:val="13"/>
                <w:szCs w:val="13"/>
                <w:color w:val="0000FF"/>
              </w:rPr>
              <w:t>12/14/2020</w:t>
            </w:r>
          </w:p>
        </w:tc>
        <w:tc>
          <w:tcPr>
            <w:tcW w:w="58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80" w:type="dxa"/>
            <w:vAlign w:val="bottom"/>
            <w:gridSpan w:val="2"/>
          </w:tcPr>
          <w:p>
            <w:pPr>
              <w:ind w:left="120"/>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80"/>
              <w:spacing w:after="0"/>
              <w:rPr>
                <w:sz w:val="20"/>
                <w:szCs w:val="20"/>
                <w:color w:val="auto"/>
              </w:rPr>
            </w:pPr>
            <w:r>
              <w:rPr>
                <w:rFonts w:ascii="Arial" w:cs="Arial" w:eastAsia="Arial" w:hAnsi="Arial"/>
                <w:sz w:val="13"/>
                <w:szCs w:val="13"/>
                <w:color w:val="0000FF"/>
                <w:w w:val="98"/>
              </w:rPr>
              <w:t>6,736</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1" w:lineRule="exact"/>
        <w:rPr>
          <w:rFonts w:ascii="Arial" w:cs="Arial" w:eastAsia="Arial" w:hAnsi="Arial"/>
          <w:sz w:val="13"/>
          <w:szCs w:val="13"/>
          <w:color w:val="008000"/>
        </w:rPr>
      </w:pPr>
    </w:p>
    <w:p>
      <w:pPr>
        <w:ind w:left="40" w:right="2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775 shares of Company stock on October 24, 2014 at prices ranging from $396.28 to $396.98. Upon request by the Commission staff, the Company, or a security holder of the Company, the reporting person will provide full information regarding the number of shares sold by the reporting person on October 24, 2014 at each separate price.</w:t>
      </w:r>
    </w:p>
    <w:p>
      <w:pPr>
        <w:ind w:left="180" w:hanging="132"/>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1,700 shares of Company stock on October 24, 2014 at prices ranging from $397.14 to $397.93. Upon request by the Commission staff, the Company, or</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a security holder of the Company, the reporting person will provide full information regarding the number of shares sold by the reporting person on October 24, 2014 at each separate price.</w:t>
      </w:r>
    </w:p>
    <w:p>
      <w:pPr>
        <w:spacing w:after="0" w:line="52" w:lineRule="exact"/>
        <w:rPr>
          <w:sz w:val="20"/>
          <w:szCs w:val="20"/>
          <w:color w:val="auto"/>
        </w:rPr>
      </w:pP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2,100 shares of Company stock on October 24, 2014 at prices ranging from $398.03 to $398.98. Upon request by the Commission staff, the Company, or a security holder of the Company, the reporting person will provide full information regarding the number of shares sold by the reporting person on October 24, 2014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3,200 shares of Company stock on October 24, 2014 at prices ranging from $399.02 to $399.99. Upon request by the Commission staff, the Company, or a security holder of the Company, the reporting person will provide full information regarding the number of shares sold by the reporting person on October 24, 2014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7,531 shares of Company stock on October 24, 2014 at prices ranging from $400.10 to $400.99. Upon request by the Commission staff, the Company, or a security holder of the Company, the reporting person will provide full information regarding the number of shares sold by the reporting person on October 24, 2014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5,293 shares of Company stock on October 24, 2014 at prices ranging from $401.00 to $401.96. Upon request by the Commission staff, the Company, or a security holder of the Company, the reporting person will provide full information regarding the number of shares sold by the reporting person on October 24, 2014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2,500 shares of Company stock on October 24, 2014 at prices ranging from $402.00 to $402.89. Upon request by the Commission staff, the Company, or a security holder of the Company, the reporting person will provide full information regarding the number of shares sold by the reporting person on October 24, 2014 at each separate price.</w:t>
      </w:r>
    </w:p>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2,454 shares of Company stock on October 24, 2014 at prices ranging from $403.00 to $403.99. Upon request by the Commission staff, the Company, or a security holder of the Company, the reporting person will provide full information regarding the number of shares sold by the reporting person on October 24, 2014 at each separate price.</w:t>
      </w:r>
    </w:p>
    <w:p>
      <w:pPr>
        <w:ind w:right="80" w:firstLine="8"/>
        <w:spacing w:after="0" w:line="303" w:lineRule="auto"/>
        <w:tabs>
          <w:tab w:leader="none" w:pos="20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1,035 shares of Company stock on October 24, 2014 at prices ranging from $404.00 to $404.41. Upon request by the Commission staff, the Company, or a security holder of the Company, the reporting person will provide full information regarding the number of shares sold by the reporting person on October 24, 2014 at each separate price.</w:t>
      </w:r>
    </w:p>
    <w:p>
      <w:pPr>
        <w:ind w:right="220" w:firstLine="8"/>
        <w:spacing w:after="0" w:line="272" w:lineRule="auto"/>
        <w:tabs>
          <w:tab w:leader="none" w:pos="19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2013, based upon the satisfaction by the company of certain performance criteria during the period ended December 31, 2013.</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/s/**Murray A. Goldberg</w:t>
            </w:r>
          </w:p>
        </w:tc>
        <w:tc>
          <w:tcPr>
            <w:tcW w:w="5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10/27/2014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4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2019-12-18T10:25:45Z</dcterms:created>
  <dcterms:modified xsi:type="dcterms:W3CDTF">2019-12-18T10:25:45Z</dcterms:modified>
</cp:coreProperties>
</file>