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2" w:lineRule="exact"/>
        <w:rPr>
          <w:sz w:val="24"/>
          <w:szCs w:val="24"/>
          <w:color w:val="auto"/>
        </w:rPr>
      </w:pPr>
    </w:p>
    <w:p>
      <w:pPr>
        <w:jc w:val="center"/>
        <w:ind w:right="440"/>
        <w:spacing w:after="0"/>
        <w:rPr>
          <w:sz w:val="20"/>
          <w:szCs w:val="20"/>
          <w:color w:val="auto"/>
        </w:rPr>
      </w:pPr>
      <w:r>
        <w:rPr>
          <w:rFonts w:ascii="Arial" w:cs="Arial" w:eastAsia="Arial" w:hAnsi="Arial"/>
          <w:sz w:val="20"/>
          <w:szCs w:val="20"/>
          <w:b w:val="1"/>
          <w:bCs w:val="1"/>
          <w:color w:val="auto"/>
        </w:rPr>
        <w:t>SECURITIES AND EXCHANGE COMMISSION</w:t>
      </w:r>
    </w:p>
    <w:p>
      <w:pPr>
        <w:spacing w:after="0" w:line="2"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440"/>
        <w:spacing w:after="0"/>
        <w:rPr>
          <w:sz w:val="20"/>
          <w:szCs w:val="20"/>
          <w:color w:val="auto"/>
        </w:rPr>
      </w:pPr>
      <w:r>
        <w:rPr>
          <w:rFonts w:ascii="Arial" w:cs="Arial" w:eastAsia="Arial" w:hAnsi="Arial"/>
          <w:sz w:val="27"/>
          <w:szCs w:val="27"/>
          <w:b w:val="1"/>
          <w:bCs w:val="1"/>
          <w:color w:val="auto"/>
        </w:rPr>
        <w:t>SCHEDULE 13G</w:t>
      </w:r>
    </w:p>
    <w:p>
      <w:pPr>
        <w:spacing w:after="0" w:line="225"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9" w:lineRule="exact"/>
        <w:rPr>
          <w:sz w:val="24"/>
          <w:szCs w:val="24"/>
          <w:color w:val="auto"/>
        </w:rPr>
      </w:pPr>
    </w:p>
    <w:p>
      <w:pPr>
        <w:jc w:val="center"/>
        <w:ind w:right="440"/>
        <w:spacing w:after="0"/>
        <w:rPr>
          <w:sz w:val="20"/>
          <w:szCs w:val="20"/>
          <w:color w:val="auto"/>
        </w:rPr>
      </w:pPr>
      <w:r>
        <w:rPr>
          <w:rFonts w:ascii="Arial" w:cs="Arial" w:eastAsia="Arial" w:hAnsi="Arial"/>
          <w:sz w:val="18"/>
          <w:szCs w:val="18"/>
          <w:color w:val="auto"/>
        </w:rPr>
        <w:t>(Amendment No. 1)*</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Intellia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45826J105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360" w:lineRule="exact"/>
        <w:rPr>
          <w:rFonts w:ascii="MS PGothic" w:cs="MS PGothic" w:eastAsia="MS PGothic" w:hAnsi="MS PGothic"/>
          <w:sz w:val="18"/>
          <w:szCs w:val="18"/>
          <w:color w:val="auto"/>
        </w:rPr>
      </w:pPr>
    </w:p>
    <w:p>
      <w:pPr>
        <w:ind w:right="20" w:firstLine="648"/>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50" w:lineRule="exact"/>
        <w:rPr>
          <w:sz w:val="24"/>
          <w:szCs w:val="24"/>
          <w:color w:val="auto"/>
        </w:rPr>
      </w:pPr>
    </w:p>
    <w:p>
      <w:pPr>
        <w:jc w:val="both"/>
        <w:ind w:firstLine="810"/>
        <w:spacing w:after="0" w:line="263"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sectPr>
      </w:pPr>
    </w:p>
    <w:bookmarkStart w:id="1" w:name="page2"/>
    <w:bookmarkEnd w:id="1"/>
    <w:p>
      <w:pPr>
        <w:ind w:left="680" w:hanging="575"/>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t>Names of Reporting Persons.</w:t>
      </w:r>
    </w:p>
    <w:p>
      <w:pPr>
        <w:spacing w:after="0" w:line="27"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62" w:lineRule="exact"/>
        <w:rPr>
          <w:rFonts w:ascii="Arial" w:cs="Arial" w:eastAsia="Arial" w:hAnsi="Arial"/>
          <w:sz w:val="18"/>
          <w:szCs w:val="18"/>
          <w:b w:val="1"/>
          <w:bCs w:val="1"/>
          <w:color w:val="auto"/>
        </w:rPr>
      </w:pPr>
    </w:p>
    <w:p>
      <w:pPr>
        <w:ind w:left="680" w:right="7220"/>
        <w:spacing w:after="0" w:line="527" w:lineRule="auto"/>
        <w:rPr>
          <w:rFonts w:ascii="Arial" w:cs="Arial" w:eastAsia="Arial" w:hAnsi="Arial"/>
          <w:sz w:val="18"/>
          <w:szCs w:val="18"/>
          <w:b w:val="1"/>
          <w:bCs w:val="1"/>
          <w:color w:val="auto"/>
        </w:rPr>
      </w:pPr>
      <w:r>
        <w:rPr>
          <w:rFonts w:ascii="Arial" w:cs="Arial" w:eastAsia="Arial" w:hAnsi="Arial"/>
          <w:sz w:val="18"/>
          <w:szCs w:val="18"/>
          <w:color w:val="auto"/>
        </w:rPr>
        <w:t>REGENERON PHARMACEUTICALS, INC. 13-3444607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-610235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 w:lineRule="exact"/>
        <w:rPr>
          <w:sz w:val="20"/>
          <w:szCs w:val="20"/>
          <w:color w:val="auto"/>
        </w:rPr>
      </w:pPr>
    </w:p>
    <w:p>
      <w:pPr>
        <w:ind w:left="680" w:hanging="575"/>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30" w:lineRule="exact"/>
        <w:rPr>
          <w:rFonts w:ascii="Arial" w:cs="Arial" w:eastAsia="Arial" w:hAnsi="Arial"/>
          <w:sz w:val="18"/>
          <w:szCs w:val="18"/>
          <w:color w:val="auto"/>
        </w:rPr>
      </w:pPr>
    </w:p>
    <w:p>
      <w:pPr>
        <w:ind w:left="1060" w:hanging="388"/>
        <w:spacing w:after="0" w:line="207" w:lineRule="exact"/>
        <w:tabs>
          <w:tab w:leader="none" w:pos="10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76" w:lineRule="exact"/>
        <w:rPr>
          <w:rFonts w:ascii="Arial" w:cs="Arial" w:eastAsia="Arial" w:hAnsi="Arial"/>
          <w:sz w:val="18"/>
          <w:szCs w:val="18"/>
          <w:color w:val="auto"/>
        </w:rPr>
      </w:pPr>
    </w:p>
    <w:p>
      <w:pPr>
        <w:ind w:left="1060" w:hanging="388"/>
        <w:spacing w:after="0" w:line="207" w:lineRule="exact"/>
        <w:tabs>
          <w:tab w:leader="none" w:pos="10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6" w:lineRule="exact"/>
        <w:rPr>
          <w:sz w:val="20"/>
          <w:szCs w:val="20"/>
          <w:color w:val="auto"/>
        </w:rPr>
      </w:pPr>
    </w:p>
    <w:p>
      <w:pPr>
        <w:ind w:left="680" w:hanging="575"/>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680" w:right="7900" w:hanging="575"/>
        <w:spacing w:after="0" w:line="52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rPr>
              <w:t>5</w:t>
            </w:r>
          </w:p>
        </w:tc>
        <w:tc>
          <w:tcPr>
            <w:tcW w:w="96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120" w:type="dxa"/>
            <w:vAlign w:val="bottom"/>
            <w:vMerge w:val="restart"/>
          </w:tcPr>
          <w:p>
            <w:pPr>
              <w:jc w:val="center"/>
              <w:ind w:right="150"/>
              <w:spacing w:after="0"/>
              <w:rPr>
                <w:sz w:val="20"/>
                <w:szCs w:val="20"/>
                <w:color w:val="auto"/>
              </w:rPr>
            </w:pPr>
            <w:r>
              <w:rPr>
                <w:rFonts w:ascii="Arial" w:cs="Arial" w:eastAsia="Arial" w:hAnsi="Arial"/>
                <w:sz w:val="18"/>
                <w:szCs w:val="18"/>
                <w:color w:val="auto"/>
                <w:w w:val="93"/>
              </w:rPr>
              <w:t>Number</w:t>
            </w:r>
          </w:p>
        </w:tc>
        <w:tc>
          <w:tcPr>
            <w:tcW w:w="98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3,702,995 shares</w:t>
            </w:r>
          </w:p>
        </w:tc>
        <w:tc>
          <w:tcPr>
            <w:tcW w:w="0" w:type="dxa"/>
            <w:vAlign w:val="bottom"/>
          </w:tcPr>
          <w:p>
            <w:pPr>
              <w:spacing w:after="0"/>
              <w:rPr>
                <w:sz w:val="1"/>
                <w:szCs w:val="1"/>
                <w:color w:val="auto"/>
              </w:rPr>
            </w:pPr>
          </w:p>
        </w:tc>
      </w:tr>
      <w:tr>
        <w:trPr>
          <w:trHeight w:val="168"/>
        </w:trPr>
        <w:tc>
          <w:tcPr>
            <w:tcW w:w="1120" w:type="dxa"/>
            <w:vAlign w:val="bottom"/>
            <w:vMerge w:val="continue"/>
          </w:tcPr>
          <w:p>
            <w:pPr>
              <w:spacing w:after="0"/>
              <w:rPr>
                <w:sz w:val="14"/>
                <w:szCs w:val="14"/>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auto"/>
              </w:rPr>
              <w:t>6</w:t>
            </w:r>
          </w:p>
        </w:tc>
        <w:tc>
          <w:tcPr>
            <w:tcW w:w="960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1120" w:type="dxa"/>
            <w:vAlign w:val="bottom"/>
            <w:vMerge w:val="restart"/>
          </w:tcPr>
          <w:p>
            <w:pPr>
              <w:jc w:val="center"/>
              <w:ind w:right="150"/>
              <w:spacing w:after="0"/>
              <w:rPr>
                <w:sz w:val="20"/>
                <w:szCs w:val="20"/>
                <w:color w:val="auto"/>
              </w:rPr>
            </w:pPr>
            <w:r>
              <w:rPr>
                <w:rFonts w:ascii="Arial" w:cs="Arial" w:eastAsia="Arial" w:hAnsi="Arial"/>
                <w:sz w:val="18"/>
                <w:szCs w:val="18"/>
                <w:color w:val="auto"/>
                <w:w w:val="88"/>
              </w:rPr>
              <w:t>of Shares</w:t>
            </w:r>
          </w:p>
        </w:tc>
        <w:tc>
          <w:tcPr>
            <w:tcW w:w="280" w:type="dxa"/>
            <w:vAlign w:val="bottom"/>
            <w:vMerge w:val="continue"/>
          </w:tcPr>
          <w:p>
            <w:pPr>
              <w:spacing w:after="0"/>
              <w:rPr>
                <w:sz w:val="8"/>
                <w:szCs w:val="8"/>
                <w:color w:val="auto"/>
              </w:rPr>
            </w:pPr>
          </w:p>
        </w:tc>
        <w:tc>
          <w:tcPr>
            <w:tcW w:w="9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1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9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right="150"/>
              <w:spacing w:after="0"/>
              <w:rPr>
                <w:sz w:val="20"/>
                <w:szCs w:val="20"/>
                <w:color w:val="auto"/>
              </w:rPr>
            </w:pPr>
            <w:r>
              <w:rPr>
                <w:rFonts w:ascii="Arial" w:cs="Arial" w:eastAsia="Arial" w:hAnsi="Arial"/>
                <w:sz w:val="18"/>
                <w:szCs w:val="18"/>
                <w:color w:val="auto"/>
                <w:w w:val="96"/>
              </w:rPr>
              <w:t>Beneficially</w:t>
            </w:r>
          </w:p>
        </w:tc>
        <w:tc>
          <w:tcPr>
            <w:tcW w:w="9880" w:type="dxa"/>
            <w:vAlign w:val="bottom"/>
            <w:gridSpan w:val="2"/>
            <w:vMerge w:val="restart"/>
          </w:tcPr>
          <w:p>
            <w:pPr>
              <w:ind w:left="10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00"/>
        </w:trPr>
        <w:tc>
          <w:tcPr>
            <w:tcW w:w="1120" w:type="dxa"/>
            <w:vAlign w:val="bottom"/>
            <w:vMerge w:val="restart"/>
          </w:tcPr>
          <w:p>
            <w:pPr>
              <w:jc w:val="center"/>
              <w:ind w:right="130"/>
              <w:spacing w:after="0"/>
              <w:rPr>
                <w:sz w:val="20"/>
                <w:szCs w:val="20"/>
                <w:color w:val="auto"/>
              </w:rPr>
            </w:pPr>
            <w:r>
              <w:rPr>
                <w:rFonts w:ascii="Arial" w:cs="Arial" w:eastAsia="Arial" w:hAnsi="Arial"/>
                <w:sz w:val="18"/>
                <w:szCs w:val="18"/>
                <w:color w:val="auto"/>
                <w:w w:val="91"/>
              </w:rPr>
              <w:t>Owned by</w:t>
            </w:r>
          </w:p>
        </w:tc>
        <w:tc>
          <w:tcPr>
            <w:tcW w:w="9880" w:type="dxa"/>
            <w:vAlign w:val="bottom"/>
            <w:tcBorders>
              <w:bottom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120" w:type="dxa"/>
            <w:vAlign w:val="bottom"/>
            <w:vMerge w:val="continue"/>
          </w:tcPr>
          <w:p>
            <w:pPr>
              <w:spacing w:after="0"/>
              <w:rPr>
                <w:sz w:val="8"/>
                <w:szCs w:val="8"/>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auto"/>
              </w:rPr>
              <w:t>7</w:t>
            </w:r>
          </w:p>
        </w:tc>
        <w:tc>
          <w:tcPr>
            <w:tcW w:w="960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1120" w:type="dxa"/>
            <w:vAlign w:val="bottom"/>
            <w:vMerge w:val="restart"/>
          </w:tcPr>
          <w:p>
            <w:pPr>
              <w:jc w:val="center"/>
              <w:ind w:right="150"/>
              <w:spacing w:after="0"/>
              <w:rPr>
                <w:sz w:val="20"/>
                <w:szCs w:val="20"/>
                <w:color w:val="auto"/>
              </w:rPr>
            </w:pPr>
            <w:r>
              <w:rPr>
                <w:rFonts w:ascii="Arial" w:cs="Arial" w:eastAsia="Arial" w:hAnsi="Arial"/>
                <w:sz w:val="18"/>
                <w:szCs w:val="18"/>
                <w:color w:val="auto"/>
                <w:w w:val="87"/>
              </w:rPr>
              <w:t>Each</w:t>
            </w:r>
          </w:p>
        </w:tc>
        <w:tc>
          <w:tcPr>
            <w:tcW w:w="280" w:type="dxa"/>
            <w:vAlign w:val="bottom"/>
            <w:vMerge w:val="continue"/>
          </w:tcPr>
          <w:p>
            <w:pPr>
              <w:spacing w:after="0"/>
              <w:rPr>
                <w:sz w:val="14"/>
                <w:szCs w:val="14"/>
                <w:color w:val="auto"/>
              </w:rPr>
            </w:pPr>
          </w:p>
        </w:tc>
        <w:tc>
          <w:tcPr>
            <w:tcW w:w="9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1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9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right="150"/>
              <w:spacing w:after="0"/>
              <w:rPr>
                <w:sz w:val="20"/>
                <w:szCs w:val="20"/>
                <w:color w:val="auto"/>
              </w:rPr>
            </w:pPr>
            <w:r>
              <w:rPr>
                <w:rFonts w:ascii="Arial" w:cs="Arial" w:eastAsia="Arial" w:hAnsi="Arial"/>
                <w:sz w:val="18"/>
                <w:szCs w:val="18"/>
                <w:color w:val="auto"/>
                <w:w w:val="92"/>
              </w:rPr>
              <w:t>Reporting</w:t>
            </w:r>
          </w:p>
        </w:tc>
        <w:tc>
          <w:tcPr>
            <w:tcW w:w="9880" w:type="dxa"/>
            <w:vAlign w:val="bottom"/>
            <w:gridSpan w:val="2"/>
            <w:vMerge w:val="restart"/>
          </w:tcPr>
          <w:p>
            <w:pPr>
              <w:ind w:left="100"/>
              <w:spacing w:after="0"/>
              <w:rPr>
                <w:sz w:val="20"/>
                <w:szCs w:val="20"/>
                <w:color w:val="auto"/>
              </w:rPr>
            </w:pPr>
            <w:r>
              <w:rPr>
                <w:rFonts w:ascii="Arial" w:cs="Arial" w:eastAsia="Arial" w:hAnsi="Arial"/>
                <w:sz w:val="18"/>
                <w:szCs w:val="18"/>
                <w:color w:val="auto"/>
              </w:rPr>
              <w:t>3,702,995 shares</w:t>
            </w:r>
          </w:p>
        </w:tc>
        <w:tc>
          <w:tcPr>
            <w:tcW w:w="0" w:type="dxa"/>
            <w:vAlign w:val="bottom"/>
          </w:tcPr>
          <w:p>
            <w:pPr>
              <w:spacing w:after="0"/>
              <w:rPr>
                <w:sz w:val="1"/>
                <w:szCs w:val="1"/>
                <w:color w:val="auto"/>
              </w:rPr>
            </w:pPr>
          </w:p>
        </w:tc>
      </w:tr>
      <w:tr>
        <w:trPr>
          <w:trHeight w:val="168"/>
        </w:trPr>
        <w:tc>
          <w:tcPr>
            <w:tcW w:w="1120" w:type="dxa"/>
            <w:vAlign w:val="bottom"/>
          </w:tcPr>
          <w:p>
            <w:pPr>
              <w:jc w:val="center"/>
              <w:ind w:right="150"/>
              <w:spacing w:after="0" w:line="157" w:lineRule="exact"/>
              <w:rPr>
                <w:sz w:val="20"/>
                <w:szCs w:val="20"/>
                <w:color w:val="auto"/>
              </w:rPr>
            </w:pPr>
            <w:r>
              <w:rPr>
                <w:rFonts w:ascii="Arial" w:cs="Arial" w:eastAsia="Arial" w:hAnsi="Arial"/>
                <w:sz w:val="18"/>
                <w:szCs w:val="18"/>
                <w:color w:val="auto"/>
                <w:w w:val="89"/>
              </w:rPr>
              <w:t>Person With</w:t>
            </w:r>
          </w:p>
        </w:tc>
        <w:tc>
          <w:tcPr>
            <w:tcW w:w="98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2"/>
                <w:szCs w:val="22"/>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rPr>
              <w:t>8</w:t>
            </w:r>
          </w:p>
        </w:tc>
        <w:tc>
          <w:tcPr>
            <w:tcW w:w="96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680" w:hanging="575"/>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3,702,995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p>
      <w:pPr>
        <w:ind w:left="680" w:hanging="575"/>
        <w:spacing w:after="0"/>
        <w:tabs>
          <w:tab w:leader="none" w:pos="6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18" w:lineRule="exact"/>
        <w:rPr>
          <w:rFonts w:ascii="Arial" w:cs="Arial" w:eastAsia="Arial" w:hAnsi="Arial"/>
          <w:sz w:val="18"/>
          <w:szCs w:val="18"/>
          <w:color w:val="auto"/>
        </w:rPr>
      </w:pPr>
    </w:p>
    <w:p>
      <w:pPr>
        <w:ind w:left="6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4" w:lineRule="exact"/>
        <w:rPr>
          <w:rFonts w:ascii="Arial" w:cs="Arial" w:eastAsia="Arial" w:hAnsi="Arial"/>
          <w:sz w:val="18"/>
          <w:szCs w:val="18"/>
          <w:color w:val="auto"/>
        </w:rPr>
      </w:pPr>
    </w:p>
    <w:p>
      <w:pPr>
        <w:ind w:left="680" w:hanging="575"/>
        <w:spacing w:after="0"/>
        <w:tabs>
          <w:tab w:leader="none" w:pos="680" w:val="left"/>
        </w:tabs>
        <w:numPr>
          <w:ilvl w:val="1"/>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4.98% *</w:t>
      </w:r>
    </w:p>
    <w:p>
      <w:pPr>
        <w:spacing w:after="0" w:line="292" w:lineRule="exact"/>
        <w:rPr>
          <w:rFonts w:ascii="Arial" w:cs="Arial" w:eastAsia="Arial" w:hAnsi="Arial"/>
          <w:sz w:val="18"/>
          <w:szCs w:val="18"/>
          <w:color w:val="auto"/>
        </w:rPr>
      </w:pPr>
    </w:p>
    <w:p>
      <w:pPr>
        <w:ind w:left="680" w:right="7400" w:hanging="575"/>
        <w:spacing w:after="0" w:line="449" w:lineRule="auto"/>
        <w:tabs>
          <w:tab w:leader="none" w:pos="6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 CO (Corporation)</w:t>
      </w:r>
    </w:p>
    <w:p>
      <w:pPr>
        <w:spacing w:after="0" w:line="62" w:lineRule="exact"/>
        <w:rPr>
          <w:rFonts w:ascii="Arial" w:cs="Arial" w:eastAsia="Arial" w:hAnsi="Arial"/>
          <w:sz w:val="18"/>
          <w:szCs w:val="18"/>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The percentages reported herein with respect to the Reporting Person’s holdings are calculated based upon a statement in the Issuer’s Quarterly Report on Form 10-Q, as filed with the Securities and Exchange Commission on November 4, 2021, that as of October 29, 2021, the Issuer had 74,419,414 shares of its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-996950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-1588135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1360" w:hanging="556"/>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Intellia Therapeutics, Inc.</w:t>
      </w:r>
    </w:p>
    <w:p>
      <w:pPr>
        <w:spacing w:after="0" w:line="210" w:lineRule="exact"/>
        <w:rPr>
          <w:rFonts w:ascii="Arial" w:cs="Arial" w:eastAsia="Arial" w:hAnsi="Arial"/>
          <w:sz w:val="18"/>
          <w:szCs w:val="18"/>
          <w:color w:val="auto"/>
        </w:rPr>
      </w:pPr>
    </w:p>
    <w:p>
      <w:pPr>
        <w:ind w:left="1360" w:right="5359" w:hanging="556"/>
        <w:spacing w:after="0" w:line="258" w:lineRule="auto"/>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 of Issuer’s Principal Executive Offices 40 Erie Street, Suite 130</w:t>
      </w:r>
    </w:p>
    <w:p>
      <w:pPr>
        <w:spacing w:after="0" w:line="1"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Cambridge, MA 02139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1360" w:right="6419" w:hanging="556"/>
        <w:spacing w:after="0" w:line="381" w:lineRule="auto"/>
        <w:tabs>
          <w:tab w:leader="none" w:pos="13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Name of Person Filing Regeneron Pharmaceuticals, Inc.</w:t>
      </w:r>
    </w:p>
    <w:p>
      <w:pPr>
        <w:spacing w:after="0" w:line="100" w:lineRule="exact"/>
        <w:rPr>
          <w:rFonts w:ascii="Arial" w:cs="Arial" w:eastAsia="Arial" w:hAnsi="Arial"/>
          <w:sz w:val="15"/>
          <w:szCs w:val="15"/>
          <w:color w:val="auto"/>
        </w:rPr>
      </w:pPr>
    </w:p>
    <w:p>
      <w:pPr>
        <w:ind w:left="1360" w:right="4499" w:hanging="556"/>
        <w:spacing w:after="0" w:line="258" w:lineRule="auto"/>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777 Old Saw Mill River Road,</w:t>
      </w:r>
    </w:p>
    <w:p>
      <w:pPr>
        <w:spacing w:after="0" w:line="1"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Tarrytown, NY 10591</w:t>
      </w:r>
    </w:p>
    <w:p>
      <w:pPr>
        <w:spacing w:after="0" w:line="210" w:lineRule="exact"/>
        <w:rPr>
          <w:rFonts w:ascii="Arial" w:cs="Arial" w:eastAsia="Arial" w:hAnsi="Arial"/>
          <w:sz w:val="18"/>
          <w:szCs w:val="18"/>
          <w:color w:val="auto"/>
        </w:rPr>
      </w:pPr>
    </w:p>
    <w:p>
      <w:pPr>
        <w:ind w:left="1360" w:right="7959" w:hanging="556"/>
        <w:spacing w:after="0" w:line="563" w:lineRule="auto"/>
        <w:tabs>
          <w:tab w:leader="none" w:pos="1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Citizenship New York</w:t>
      </w:r>
    </w:p>
    <w:p>
      <w:pPr>
        <w:ind w:left="1360" w:hanging="556"/>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Common Stock, par value $0.0001 per share</w:t>
      </w:r>
    </w:p>
    <w:p>
      <w:pPr>
        <w:spacing w:after="0" w:line="210" w:lineRule="exact"/>
        <w:rPr>
          <w:rFonts w:ascii="Arial" w:cs="Arial" w:eastAsia="Arial" w:hAnsi="Arial"/>
          <w:sz w:val="18"/>
          <w:szCs w:val="18"/>
          <w:color w:val="auto"/>
        </w:rPr>
      </w:pPr>
    </w:p>
    <w:p>
      <w:pPr>
        <w:ind w:left="1360" w:right="7639" w:hanging="556"/>
        <w:spacing w:after="0" w:line="342" w:lineRule="auto"/>
        <w:tabs>
          <w:tab w:leader="none" w:pos="1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CUSIP Number 45826J105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1360" w:right="7800" w:hanging="556"/>
        <w:spacing w:after="0" w:line="500" w:lineRule="auto"/>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Beneficially Owned 3,702,995</w:t>
      </w:r>
    </w:p>
    <w:p>
      <w:pPr>
        <w:spacing w:after="0" w:line="1" w:lineRule="exact"/>
        <w:rPr>
          <w:rFonts w:ascii="Arial" w:cs="Arial" w:eastAsia="Arial" w:hAnsi="Arial"/>
          <w:sz w:val="18"/>
          <w:szCs w:val="18"/>
          <w:color w:val="auto"/>
        </w:rPr>
      </w:pPr>
    </w:p>
    <w:p>
      <w:pPr>
        <w:ind w:left="1360" w:right="8720" w:hanging="556"/>
        <w:spacing w:after="0" w:line="500" w:lineRule="auto"/>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4.98% *</w:t>
      </w:r>
    </w:p>
    <w:p>
      <w:pPr>
        <w:spacing w:after="0" w:line="1" w:lineRule="exact"/>
        <w:rPr>
          <w:rFonts w:ascii="Arial" w:cs="Arial" w:eastAsia="Arial" w:hAnsi="Arial"/>
          <w:sz w:val="18"/>
          <w:szCs w:val="18"/>
          <w:color w:val="auto"/>
        </w:rPr>
      </w:pPr>
    </w:p>
    <w:p>
      <w:pPr>
        <w:ind w:left="1380" w:hanging="576"/>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20" w:right="6540" w:hanging="549"/>
        <w:spacing w:after="0" w:line="383" w:lineRule="auto"/>
        <w:tabs>
          <w:tab w:leader="none" w:pos="1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power to vote or to direct the vote 3,702,995</w:t>
      </w:r>
    </w:p>
    <w:p>
      <w:pPr>
        <w:spacing w:after="0" w:line="1" w:lineRule="exact"/>
        <w:rPr>
          <w:rFonts w:ascii="Arial" w:cs="Arial" w:eastAsia="Arial" w:hAnsi="Arial"/>
          <w:sz w:val="18"/>
          <w:szCs w:val="18"/>
          <w:color w:val="auto"/>
        </w:rPr>
      </w:pPr>
    </w:p>
    <w:p>
      <w:pPr>
        <w:ind w:left="1920" w:right="6360" w:hanging="549"/>
        <w:spacing w:after="0" w:line="492" w:lineRule="auto"/>
        <w:tabs>
          <w:tab w:leader="none" w:pos="1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1" w:lineRule="exact"/>
        <w:rPr>
          <w:rFonts w:ascii="Arial" w:cs="Arial" w:eastAsia="Arial" w:hAnsi="Arial"/>
          <w:sz w:val="18"/>
          <w:szCs w:val="18"/>
          <w:color w:val="auto"/>
        </w:rPr>
      </w:pPr>
    </w:p>
    <w:p>
      <w:pPr>
        <w:ind w:left="1920" w:right="5640" w:hanging="549"/>
        <w:spacing w:after="0" w:line="383" w:lineRule="auto"/>
        <w:tabs>
          <w:tab w:leader="none" w:pos="1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3,702,995</w:t>
      </w:r>
    </w:p>
    <w:p>
      <w:pPr>
        <w:spacing w:after="0" w:line="1" w:lineRule="exact"/>
        <w:rPr>
          <w:rFonts w:ascii="Arial" w:cs="Arial" w:eastAsia="Arial" w:hAnsi="Arial"/>
          <w:sz w:val="18"/>
          <w:szCs w:val="18"/>
          <w:color w:val="auto"/>
        </w:rPr>
      </w:pPr>
    </w:p>
    <w:p>
      <w:pPr>
        <w:ind w:left="1920" w:right="5460" w:hanging="549"/>
        <w:spacing w:after="0" w:line="492" w:lineRule="auto"/>
        <w:tabs>
          <w:tab w:leader="none" w:pos="1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1" w:lineRule="exact"/>
        <w:rPr>
          <w:sz w:val="20"/>
          <w:szCs w:val="20"/>
          <w:color w:val="auto"/>
        </w:rPr>
      </w:pPr>
    </w:p>
    <w:p>
      <w:pPr>
        <w:jc w:val="both"/>
        <w:ind w:left="660" w:hanging="4"/>
        <w:spacing w:after="0" w:line="263" w:lineRule="auto"/>
        <w:tabs>
          <w:tab w:leader="none" w:pos="80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percentages reported herein with respect to the Reporting Person’s holdings are calculated based upon a statement in the Issuer’s Quarterly Report on Form 10-Q, as filed with the Securities and Exchange Commission on November 4, 2021, that as of October 29, 2021, the Issuer had 74,419,414 shares of its common stock, $0.0001 par value per share, outstanding.</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firstLine="972"/>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9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Exhibits</w:t>
      </w:r>
      <w:r>
        <w:rPr>
          <w:sz w:val="20"/>
          <w:szCs w:val="20"/>
          <w:color w:val="auto"/>
        </w:rPr>
        <w:tab/>
      </w:r>
      <w:r>
        <w:rPr>
          <w:rFonts w:ascii="Arial" w:cs="Arial" w:eastAsia="Arial" w:hAnsi="Arial"/>
          <w:sz w:val="18"/>
          <w:szCs w:val="18"/>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11,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REGENERON PHARMACEUTICALS, INC.</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Leonard N.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Leonard N. Brooks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Vice President,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lvl w:ilvl="1">
      <w:lvlJc w:val="left"/>
      <w:lvlText w:val="*"/>
      <w:numFmt w:val="bullet"/>
      <w:start w:val="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2"/>
      <w:numFmt w:val="bullet"/>
      <w:start w:val="1"/>
    </w:lvl>
    <w:lvl w:ilvl="1">
      <w:lvlJc w:val="left"/>
      <w:lvlText w:val="(%2)"/>
      <w:numFmt w:val="lowerLetter"/>
      <w:start w:val="1"/>
    </w:lvl>
  </w:abstractNum>
  <w:abstractNum w:abstractNumId="5">
    <w:nsid w:val="12200854"/>
    <w:multiLevelType w:val="hybridMultilevel"/>
    <w:lvl w:ilvl="0">
      <w:lvlJc w:val="left"/>
      <w:lvlText w:val="3"/>
      <w:numFmt w:val="bullet"/>
      <w:start w:val="1"/>
    </w:lvl>
  </w:abstractNum>
  <w:abstractNum w:abstractNumId="6">
    <w:nsid w:val="4DB127F8"/>
    <w:multiLevelType w:val="hybridMultilevel"/>
    <w:lvl w:ilvl="0">
      <w:lvlJc w:val="left"/>
      <w:lvlText w:val="4"/>
      <w:numFmt w:val="bullet"/>
      <w:start w:val="1"/>
    </w:lvl>
  </w:abstractNum>
  <w:abstractNum w:abstractNumId="7">
    <w:nsid w:val="216231B"/>
    <w:multiLevelType w:val="hybridMultilevel"/>
    <w:lvl w:ilvl="0">
      <w:lvlJc w:val="left"/>
      <w:lvlText w:val="9"/>
      <w:numFmt w:val="bullet"/>
      <w:start w:val="1"/>
    </w:lvl>
  </w:abstractNum>
  <w:abstractNum w:abstractNumId="8">
    <w:nsid w:val="1F16E9E8"/>
    <w:multiLevelType w:val="hybridMultilevel"/>
    <w:lvl w:ilvl="0">
      <w:lvlJc w:val="left"/>
      <w:lvlText w:val="*"/>
      <w:numFmt w:val="bullet"/>
      <w:start w:val="1"/>
    </w:lvl>
    <w:lvl w:ilvl="1">
      <w:lvlJc w:val="left"/>
      <w:lvlText w:val="%2"/>
      <w:numFmt w:val="decimal"/>
      <w:start w:val="10"/>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lvl w:ilvl="1">
      <w:lvlJc w:val="left"/>
      <w:lvlText w:val="(%2)"/>
      <w:numFmt w:val="lowerRoman"/>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2022-02-12T02:31:28Z</dcterms:created>
  <dcterms:modified xsi:type="dcterms:W3CDTF">2022-02-12T02:31:28Z</dcterms:modified>
</cp:coreProperties>
</file>