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No.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Number 333-74464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NO.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$200,000,000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5.50% Convertible Senior Subordinated Notes due 2008</w:t>
      </w:r>
    </w:p>
    <w:p>
      <w:pPr>
        <w:jc w:val="center"/>
        <w:ind w:right="1779"/>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supplement supplements the prospectus dated January 24, 2002 of Regeneron Pharmaceuticals, Inc. relating to the sale by certain of our securityholders (including their pledgees,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15"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table of selling securityholders contained in the prospectus is hereby modified as follows:</w:t>
      </w:r>
    </w:p>
    <w:p>
      <w:pPr>
        <w:spacing w:after="0" w:line="203"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8"/>
          <w:szCs w:val="18"/>
          <w:color w:val="auto"/>
        </w:rPr>
        <w:t>Name</w:t>
      </w:r>
    </w:p>
    <w:p>
      <w:pPr>
        <w:jc w:val="center"/>
        <w:ind w:right="90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9059"/>
        <w:spacing w:after="0"/>
        <w:rPr>
          <w:sz w:val="20"/>
          <w:szCs w:val="20"/>
          <w:color w:val="auto"/>
        </w:rPr>
      </w:pPr>
      <w:r>
        <w:rPr>
          <w:rFonts w:ascii="Courier New" w:cs="Courier New" w:eastAsia="Courier New" w:hAnsi="Courier New"/>
          <w:sz w:val="18"/>
          <w:szCs w:val="18"/>
          <w:color w:val="auto"/>
        </w:rPr>
        <w:t>Percentage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 - ----</w:t>
      </w:r>
    </w:p>
    <w:p>
      <w:pPr>
        <w:jc w:val="center"/>
        <w:ind w:right="9059"/>
        <w:spacing w:after="0"/>
        <w:rPr>
          <w:sz w:val="20"/>
          <w:szCs w:val="20"/>
          <w:color w:val="auto"/>
        </w:rPr>
      </w:pPr>
      <w:r>
        <w:rPr>
          <w:rFonts w:ascii="Courier New" w:cs="Courier New" w:eastAsia="Courier New" w:hAnsi="Courier New"/>
          <w:sz w:val="18"/>
          <w:szCs w:val="18"/>
          <w:color w:val="auto"/>
        </w:rPr>
        <w:t>Amount at</w:t>
      </w:r>
    </w:p>
    <w:p>
      <w:pPr>
        <w:jc w:val="center"/>
        <w:ind w:right="905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9059"/>
        <w:spacing w:after="0"/>
        <w:rPr>
          <w:sz w:val="20"/>
          <w:szCs w:val="20"/>
          <w:color w:val="auto"/>
        </w:rPr>
      </w:pPr>
      <w:r>
        <w:rPr>
          <w:rFonts w:ascii="Courier New" w:cs="Courier New" w:eastAsia="Courier New" w:hAnsi="Courier New"/>
          <w:sz w:val="18"/>
          <w:szCs w:val="18"/>
          <w:color w:val="auto"/>
        </w:rPr>
        <w:t>of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Maturity</w:t>
      </w:r>
    </w:p>
    <w:p>
      <w:pPr>
        <w:jc w:val="center"/>
        <w:ind w:right="9059"/>
        <w:spacing w:after="0"/>
        <w:rPr>
          <w:sz w:val="20"/>
          <w:szCs w:val="20"/>
          <w:color w:val="auto"/>
        </w:rPr>
      </w:pPr>
      <w:r>
        <w:rPr>
          <w:rFonts w:ascii="Courier New" w:cs="Courier New" w:eastAsia="Courier New" w:hAnsi="Courier New"/>
          <w:sz w:val="18"/>
          <w:szCs w:val="18"/>
          <w:color w:val="auto"/>
        </w:rPr>
        <w:t>of 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Notes</w:t>
      </w:r>
    </w:p>
    <w:p>
      <w:pPr>
        <w:jc w:val="center"/>
        <w:ind w:right="9059"/>
        <w:spacing w:after="0"/>
        <w:rPr>
          <w:sz w:val="20"/>
          <w:szCs w:val="20"/>
          <w:color w:val="auto"/>
        </w:rPr>
      </w:pPr>
      <w:r>
        <w:rPr>
          <w:rFonts w:ascii="Courier New" w:cs="Courier New" w:eastAsia="Courier New" w:hAnsi="Courier New"/>
          <w:sz w:val="18"/>
          <w:szCs w:val="18"/>
          <w:color w:val="auto"/>
        </w:rPr>
        <w:t>Notes that</w:t>
      </w:r>
    </w:p>
    <w:p>
      <w:pPr>
        <w:jc w:val="center"/>
        <w:ind w:right="9059"/>
        <w:spacing w:after="0" w:line="237" w:lineRule="auto"/>
        <w:rPr>
          <w:sz w:val="20"/>
          <w:szCs w:val="20"/>
          <w:color w:val="auto"/>
        </w:rPr>
      </w:pPr>
      <w:r>
        <w:rPr>
          <w:rFonts w:ascii="Courier New" w:cs="Courier New" w:eastAsia="Courier New" w:hAnsi="Courier New"/>
          <w:sz w:val="18"/>
          <w:szCs w:val="18"/>
          <w:color w:val="auto"/>
        </w:rPr>
        <w:t>may 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 that</w:t>
      </w:r>
    </w:p>
    <w:p>
      <w:pPr>
        <w:jc w:val="center"/>
        <w:ind w:right="9059"/>
        <w:spacing w:after="0"/>
        <w:rPr>
          <w:sz w:val="20"/>
          <w:szCs w:val="20"/>
          <w:color w:val="auto"/>
        </w:rPr>
      </w:pPr>
      <w:r>
        <w:rPr>
          <w:rFonts w:ascii="Courier New" w:cs="Courier New" w:eastAsia="Courier New" w:hAnsi="Courier New"/>
          <w:sz w:val="18"/>
          <w:szCs w:val="18"/>
          <w:color w:val="auto"/>
        </w:rPr>
        <w:t>may be</w:t>
      </w:r>
    </w:p>
    <w:p>
      <w:pPr>
        <w:jc w:val="center"/>
        <w:ind w:right="9059"/>
        <w:spacing w:after="0" w:line="237" w:lineRule="auto"/>
        <w:rPr>
          <w:sz w:val="20"/>
          <w:szCs w:val="20"/>
          <w:color w:val="auto"/>
        </w:rPr>
      </w:pPr>
      <w:r>
        <w:rPr>
          <w:rFonts w:ascii="Courier New" w:cs="Courier New" w:eastAsia="Courier New" w:hAnsi="Courier New"/>
          <w:sz w:val="18"/>
          <w:szCs w:val="18"/>
          <w:color w:val="auto"/>
        </w:rPr>
        <w:t>Sold</w:t>
      </w:r>
    </w:p>
    <w:p>
      <w:pPr>
        <w:spacing w:after="0" w:line="5"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8"/>
          <w:szCs w:val="18"/>
          <w:color w:val="auto"/>
        </w:rPr>
        <w:t>be sold</w:t>
      </w:r>
    </w:p>
    <w:p>
      <w:pPr>
        <w:jc w:val="center"/>
        <w:ind w:right="9059"/>
        <w:spacing w:after="0" w:line="238" w:lineRule="auto"/>
        <w:rPr>
          <w:sz w:val="20"/>
          <w:szCs w:val="20"/>
          <w:color w:val="auto"/>
        </w:rPr>
      </w:pPr>
      <w:r>
        <w:rPr>
          <w:rFonts w:ascii="Courier New" w:cs="Courier New" w:eastAsia="Courier New" w:hAnsi="Courier New"/>
          <w:sz w:val="18"/>
          <w:szCs w:val="18"/>
          <w:color w:val="auto"/>
        </w:rPr>
        <w:t>(1)</w:t>
      </w:r>
    </w:p>
    <w:p>
      <w:pPr>
        <w:spacing w:after="0" w:line="5"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4"/>
          <w:szCs w:val="24"/>
          <w:color w:val="auto"/>
        </w:rPr>
      </w:pPr>
    </w:p>
    <w:p>
      <w:pPr>
        <w:ind w:left="480" w:hanging="425"/>
        <w:spacing w:after="0"/>
        <w:tabs>
          <w:tab w:leader="none" w:pos="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209"/>
        <w:spacing w:after="0" w:line="238" w:lineRule="auto"/>
        <w:tabs>
          <w:tab w:leader="none" w:pos="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JP</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w:t>
      </w:r>
    </w:p>
    <w:p>
      <w:pPr>
        <w:jc w:val="center"/>
        <w:ind w:right="9059"/>
        <w:spacing w:after="0"/>
        <w:rPr>
          <w:sz w:val="20"/>
          <w:szCs w:val="20"/>
          <w:color w:val="auto"/>
        </w:rPr>
      </w:pPr>
      <w:r>
        <w:rPr>
          <w:rFonts w:ascii="Courier New" w:cs="Courier New" w:eastAsia="Courier New" w:hAnsi="Courier New"/>
          <w:sz w:val="18"/>
          <w:szCs w:val="18"/>
          <w:color w:val="auto"/>
        </w:rPr>
        <w:t>Securities</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w:t>
      </w:r>
    </w:p>
    <w:p>
      <w:pPr>
        <w:jc w:val="center"/>
        <w:ind w:right="9059"/>
        <w:spacing w:after="0" w:line="238" w:lineRule="auto"/>
        <w:rPr>
          <w:sz w:val="20"/>
          <w:szCs w:val="20"/>
          <w:color w:val="auto"/>
        </w:rPr>
      </w:pPr>
      <w:r>
        <w:rPr>
          <w:rFonts w:ascii="Courier New" w:cs="Courier New" w:eastAsia="Courier New" w:hAnsi="Courier New"/>
          <w:sz w:val="18"/>
          <w:szCs w:val="18"/>
          <w:color w:val="auto"/>
        </w:rPr>
        <w:t>17,000,000</w:t>
      </w:r>
    </w:p>
    <w:p>
      <w:pPr>
        <w:jc w:val="center"/>
        <w:ind w:right="9059"/>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6"/>
          <w:szCs w:val="16"/>
          <w:color w:val="auto"/>
        </w:rPr>
        <w:t>561,960(10)</w:t>
      </w:r>
    </w:p>
    <w:p>
      <w:pPr>
        <w:spacing w:after="0" w:line="16" w:lineRule="exact"/>
        <w:rPr>
          <w:sz w:val="24"/>
          <w:szCs w:val="24"/>
          <w:color w:val="auto"/>
        </w:rPr>
      </w:pPr>
    </w:p>
    <w:p>
      <w:pPr>
        <w:jc w:val="center"/>
        <w:ind w:right="9059"/>
        <w:spacing w:after="0"/>
        <w:rPr>
          <w:sz w:val="20"/>
          <w:szCs w:val="20"/>
          <w:color w:val="auto"/>
        </w:rPr>
      </w:pPr>
      <w:r>
        <w:rPr>
          <w:rFonts w:ascii="Courier New" w:cs="Courier New" w:eastAsia="Courier New" w:hAnsi="Courier New"/>
          <w:sz w:val="18"/>
          <w:szCs w:val="18"/>
          <w:color w:val="auto"/>
        </w:rPr>
        <w:t>1.27%</w:t>
      </w:r>
    </w:p>
    <w:p>
      <w:pPr>
        <w:spacing w:after="0" w:line="200" w:lineRule="exact"/>
        <w:rPr>
          <w:sz w:val="24"/>
          <w:szCs w:val="24"/>
          <w:color w:val="auto"/>
        </w:rPr>
      </w:pPr>
    </w:p>
    <w:p>
      <w:pPr>
        <w:spacing w:after="0" w:line="209" w:lineRule="exact"/>
        <w:rPr>
          <w:sz w:val="24"/>
          <w:szCs w:val="24"/>
          <w:color w:val="auto"/>
        </w:rPr>
      </w:pPr>
    </w:p>
    <w:p>
      <w:pPr>
        <w:ind w:right="20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 Does not include 6,450 shares of common stock owned by JP Morgan Securities</w:t>
      </w:r>
    </w:p>
    <w:p>
      <w:pPr>
        <w:sectPr>
          <w:pgSz w:w="11900" w:h="16838" w:orient="portrait"/>
          <w:cols w:equalWidth="0" w:num="1">
            <w:col w:w="10219"/>
          </w:cols>
          <w:pgMar w:left="240" w:top="447" w:right="1440" w:bottom="0" w:gutter="0" w:footer="0" w:header="0"/>
        </w:sectPr>
      </w:pPr>
    </w:p>
    <w:bookmarkStart w:id="1" w:name="page2"/>
    <w:bookmarkEnd w:id="1"/>
    <w:p>
      <w:pPr>
        <w:ind w:right="2739"/>
        <w:spacing w:after="0" w:line="235" w:lineRule="auto"/>
        <w:rPr>
          <w:sz w:val="20"/>
          <w:szCs w:val="20"/>
          <w:color w:val="auto"/>
        </w:rPr>
      </w:pPr>
      <w:r>
        <w:rPr>
          <w:rFonts w:ascii="Courier New" w:cs="Courier New" w:eastAsia="Courier New" w:hAnsi="Courier New"/>
          <w:sz w:val="18"/>
          <w:szCs w:val="18"/>
          <w:color w:val="auto"/>
        </w:rPr>
        <w:t>Inc. in addition to the common stock into which such holder's notes are convertible.</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Investing in the notes or shares of common stock involves risks that are described in the "Risk Factors" section beginning on page 5 of the prospectus.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February 13, 2002.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2019-12-20T02:05:44Z</dcterms:created>
  <dcterms:modified xsi:type="dcterms:W3CDTF">2019-12-20T02:05:44Z</dcterms:modified>
</cp:coreProperties>
</file>