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228600</wp:posOffset>
            </wp:positionV>
            <wp:extent cx="917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28575</wp:posOffset>
            </wp:positionV>
            <wp:extent cx="917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8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(Mark One)</w:t>
            </w:r>
          </w:p>
        </w:tc>
        <w:tc>
          <w:tcPr>
            <w:tcW w:w="720" w:type="dxa"/>
            <w:vAlign w:val="bottom"/>
          </w:tcPr>
          <w:p>
            <w:pPr>
              <w:spacing w:after="0"/>
              <w:rPr>
                <w:sz w:val="20"/>
                <w:szCs w:val="20"/>
                <w:color w:val="auto"/>
              </w:rPr>
            </w:pPr>
          </w:p>
        </w:tc>
      </w:tr>
      <w:tr>
        <w:trPr>
          <w:trHeight w:val="252"/>
        </w:trPr>
        <w:tc>
          <w:tcPr>
            <w:tcW w:w="400" w:type="dxa"/>
            <w:vAlign w:val="bottom"/>
          </w:tcPr>
          <w:p>
            <w:pPr>
              <w:spacing w:after="0"/>
              <w:rPr>
                <w:sz w:val="21"/>
                <w:szCs w:val="21"/>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b w:val="1"/>
                <w:bCs w:val="1"/>
                <w:color w:val="auto"/>
              </w:rPr>
              <w:t>ANNUAL REPORT PURSUANT TO SECTION 13 OR</w:t>
            </w:r>
          </w:p>
        </w:tc>
        <w:tc>
          <w:tcPr>
            <w:tcW w:w="720" w:type="dxa"/>
            <w:vAlign w:val="bottom"/>
          </w:tcPr>
          <w:p>
            <w:pPr>
              <w:spacing w:after="0"/>
              <w:rPr>
                <w:sz w:val="21"/>
                <w:szCs w:val="21"/>
                <w:color w:val="auto"/>
              </w:rPr>
            </w:pPr>
          </w:p>
        </w:tc>
      </w:t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(X)</w:t>
            </w:r>
          </w:p>
        </w:tc>
        <w:tc>
          <w:tcPr>
            <w:tcW w:w="4740" w:type="dxa"/>
            <w:vAlign w:val="bottom"/>
            <w:gridSpan w:val="3"/>
          </w:tcPr>
          <w:p>
            <w:pPr>
              <w:ind w:left="140"/>
              <w:spacing w:after="0"/>
              <w:rPr>
                <w:sz w:val="20"/>
                <w:szCs w:val="20"/>
                <w:color w:val="auto"/>
              </w:rPr>
            </w:pPr>
            <w:r>
              <w:rPr>
                <w:rFonts w:ascii="Arial" w:cs="Arial" w:eastAsia="Arial" w:hAnsi="Arial"/>
                <w:sz w:val="18"/>
                <w:szCs w:val="18"/>
                <w:b w:val="1"/>
                <w:bCs w:val="1"/>
                <w:color w:val="auto"/>
              </w:rPr>
              <w:t>15(d) OF THE SECURITIES EXCHANGE ACT OF 1934</w:t>
            </w:r>
          </w:p>
        </w:tc>
        <w:tc>
          <w:tcPr>
            <w:tcW w:w="720" w:type="dxa"/>
            <w:vAlign w:val="bottom"/>
          </w:tcPr>
          <w:p>
            <w:pPr>
              <w:spacing w:after="0"/>
              <w:rPr>
                <w:sz w:val="20"/>
                <w:szCs w:val="20"/>
                <w:color w:val="auto"/>
              </w:rPr>
            </w:pPr>
          </w:p>
        </w:tc>
      </w:tr>
      <w:tr>
        <w:trPr>
          <w:trHeight w:val="500"/>
        </w:trPr>
        <w:tc>
          <w:tcPr>
            <w:tcW w:w="400" w:type="dxa"/>
            <w:vAlign w:val="bottom"/>
          </w:tcPr>
          <w:p>
            <w:pPr>
              <w:spacing w:after="0"/>
              <w:rPr>
                <w:sz w:val="24"/>
                <w:szCs w:val="24"/>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b w:val="1"/>
                <w:bCs w:val="1"/>
                <w:color w:val="auto"/>
              </w:rPr>
              <w:t>For the fiscal year ended December 31, 2013</w:t>
            </w:r>
          </w:p>
        </w:tc>
        <w:tc>
          <w:tcPr>
            <w:tcW w:w="720" w:type="dxa"/>
            <w:vAlign w:val="bottom"/>
          </w:tcPr>
          <w:p>
            <w:pPr>
              <w:spacing w:after="0"/>
              <w:rPr>
                <w:sz w:val="24"/>
                <w:szCs w:val="24"/>
                <w:color w:val="auto"/>
              </w:rPr>
            </w:pPr>
          </w:p>
        </w:tc>
      </w:tr>
      <w:tr>
        <w:trPr>
          <w:trHeight w:val="561"/>
        </w:trPr>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OR</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22"/>
        </w:trPr>
        <w:tc>
          <w:tcPr>
            <w:tcW w:w="400" w:type="dxa"/>
            <w:vAlign w:val="bottom"/>
          </w:tcPr>
          <w:p>
            <w:pPr>
              <w:spacing w:after="0"/>
              <w:rPr>
                <w:sz w:val="24"/>
                <w:szCs w:val="24"/>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b w:val="1"/>
                <w:bCs w:val="1"/>
                <w:color w:val="auto"/>
              </w:rPr>
              <w:t>TRANSITION REPORT PURSUANT TO SECTION 13</w:t>
            </w:r>
          </w:p>
        </w:tc>
        <w:tc>
          <w:tcPr>
            <w:tcW w:w="72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b w:val="1"/>
                <w:bCs w:val="1"/>
                <w:color w:val="auto"/>
              </w:rPr>
              <w:t>OR 15(d) OF THE SECURITIES EXCHANGE ACT OF</w:t>
            </w:r>
          </w:p>
        </w:tc>
        <w:tc>
          <w:tcPr>
            <w:tcW w:w="72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 )</w:t>
            </w:r>
          </w:p>
        </w:tc>
        <w:tc>
          <w:tcPr>
            <w:tcW w:w="2080" w:type="dxa"/>
            <w:vAlign w:val="bottom"/>
          </w:tcPr>
          <w:p>
            <w:pPr>
              <w:ind w:left="140"/>
              <w:spacing w:after="0"/>
              <w:rPr>
                <w:sz w:val="20"/>
                <w:szCs w:val="20"/>
                <w:color w:val="auto"/>
              </w:rPr>
            </w:pPr>
            <w:r>
              <w:rPr>
                <w:rFonts w:ascii="Arial" w:cs="Arial" w:eastAsia="Arial" w:hAnsi="Arial"/>
                <w:sz w:val="18"/>
                <w:szCs w:val="18"/>
                <w:b w:val="1"/>
                <w:bCs w:val="1"/>
                <w:color w:val="auto"/>
              </w:rPr>
              <w:t>1934</w:t>
            </w: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40"/>
        </w:trPr>
        <w:tc>
          <w:tcPr>
            <w:tcW w:w="400" w:type="dxa"/>
            <w:vAlign w:val="bottom"/>
          </w:tcPr>
          <w:p>
            <w:pPr>
              <w:spacing w:after="0"/>
              <w:rPr>
                <w:sz w:val="24"/>
                <w:szCs w:val="24"/>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b w:val="1"/>
                <w:bCs w:val="1"/>
                <w:color w:val="auto"/>
                <w:w w:val="94"/>
              </w:rPr>
              <w:t>For the transition period from __________ to __________</w:t>
            </w:r>
          </w:p>
        </w:tc>
        <w:tc>
          <w:tcPr>
            <w:tcW w:w="720" w:type="dxa"/>
            <w:vAlign w:val="bottom"/>
          </w:tcPr>
          <w:p>
            <w:pPr>
              <w:spacing w:after="0"/>
              <w:rPr>
                <w:sz w:val="24"/>
                <w:szCs w:val="24"/>
                <w:color w:val="auto"/>
              </w:rPr>
            </w:pPr>
          </w:p>
        </w:tc>
      </w:tr>
      <w:tr>
        <w:trPr>
          <w:trHeight w:val="621"/>
        </w:trPr>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Commission File Number</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0-19034</w:t>
            </w:r>
          </w:p>
        </w:tc>
      </w:tr>
    </w:tbl>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REGENERON PHARMACEUTICALS,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32"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2920" w:type="dxa"/>
            <w:vAlign w:val="bottom"/>
            <w:gridSpan w:val="2"/>
          </w:tcPr>
          <w:p>
            <w:pPr>
              <w:spacing w:after="0"/>
              <w:rPr>
                <w:sz w:val="17"/>
                <w:szCs w:val="17"/>
                <w:color w:val="auto"/>
              </w:rPr>
            </w:pPr>
          </w:p>
        </w:tc>
        <w:tc>
          <w:tcPr>
            <w:tcW w:w="3600" w:type="dxa"/>
            <w:vAlign w:val="bottom"/>
            <w:gridSpan w:val="3"/>
          </w:tcPr>
          <w:p>
            <w:pPr>
              <w:jc w:val="center"/>
              <w:ind w:left="1213"/>
              <w:spacing w:after="0"/>
              <w:rPr>
                <w:sz w:val="20"/>
                <w:szCs w:val="20"/>
                <w:color w:val="auto"/>
              </w:rPr>
            </w:pPr>
            <w:r>
              <w:rPr>
                <w:rFonts w:ascii="Arial" w:cs="Arial" w:eastAsia="Arial" w:hAnsi="Arial"/>
                <w:sz w:val="18"/>
                <w:szCs w:val="18"/>
                <w:b w:val="1"/>
                <w:bCs w:val="1"/>
                <w:color w:val="auto"/>
                <w:w w:val="89"/>
              </w:rPr>
              <w:t>13-3444607</w:t>
            </w:r>
          </w:p>
        </w:tc>
      </w:tr>
      <w:tr>
        <w:trPr>
          <w:trHeight w:val="20"/>
        </w:trPr>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85"/>
        </w:trPr>
        <w:tc>
          <w:tcPr>
            <w:tcW w:w="5320" w:type="dxa"/>
            <w:vAlign w:val="bottom"/>
            <w:gridSpan w:val="4"/>
          </w:tcPr>
          <w:p>
            <w:pPr>
              <w:jc w:val="center"/>
              <w:ind w:right="1300"/>
              <w:spacing w:after="0"/>
              <w:rPr>
                <w:sz w:val="20"/>
                <w:szCs w:val="20"/>
                <w:color w:val="auto"/>
              </w:rPr>
            </w:pPr>
            <w:r>
              <w:rPr>
                <w:rFonts w:ascii="Arial" w:cs="Arial" w:eastAsia="Arial" w:hAnsi="Arial"/>
                <w:sz w:val="16"/>
                <w:szCs w:val="16"/>
                <w:i w:val="1"/>
                <w:iCs w:val="1"/>
                <w:color w:val="auto"/>
                <w:w w:val="94"/>
              </w:rPr>
              <w:t>(State or other jurisdiction of</w:t>
            </w:r>
          </w:p>
        </w:tc>
        <w:tc>
          <w:tcPr>
            <w:tcW w:w="3600" w:type="dxa"/>
            <w:vAlign w:val="bottom"/>
            <w:gridSpan w:val="3"/>
          </w:tcPr>
          <w:p>
            <w:pPr>
              <w:jc w:val="center"/>
              <w:ind w:left="1213"/>
              <w:spacing w:after="0"/>
              <w:rPr>
                <w:sz w:val="20"/>
                <w:szCs w:val="20"/>
                <w:color w:val="auto"/>
              </w:rPr>
            </w:pPr>
            <w:r>
              <w:rPr>
                <w:rFonts w:ascii="Arial" w:cs="Arial" w:eastAsia="Arial" w:hAnsi="Arial"/>
                <w:sz w:val="16"/>
                <w:szCs w:val="16"/>
                <w:i w:val="1"/>
                <w:iCs w:val="1"/>
                <w:color w:val="auto"/>
                <w:w w:val="93"/>
              </w:rPr>
              <w:t>(I.R.S. Employer Identification No.)</w:t>
            </w:r>
          </w:p>
        </w:tc>
      </w:tr>
      <w:tr>
        <w:trPr>
          <w:trHeight w:val="270"/>
        </w:trPr>
        <w:tc>
          <w:tcPr>
            <w:tcW w:w="5320" w:type="dxa"/>
            <w:vAlign w:val="bottom"/>
            <w:gridSpan w:val="4"/>
          </w:tcPr>
          <w:p>
            <w:pPr>
              <w:jc w:val="center"/>
              <w:ind w:right="1300"/>
              <w:spacing w:after="0"/>
              <w:rPr>
                <w:sz w:val="20"/>
                <w:szCs w:val="20"/>
                <w:color w:val="auto"/>
              </w:rPr>
            </w:pPr>
            <w:r>
              <w:rPr>
                <w:rFonts w:ascii="Arial" w:cs="Arial" w:eastAsia="Arial" w:hAnsi="Arial"/>
                <w:sz w:val="16"/>
                <w:szCs w:val="16"/>
                <w:i w:val="1"/>
                <w:iCs w:val="1"/>
                <w:color w:val="auto"/>
                <w:w w:val="97"/>
              </w:rPr>
              <w:t>incorporation or organization)</w:t>
            </w:r>
          </w:p>
        </w:tc>
        <w:tc>
          <w:tcPr>
            <w:tcW w:w="2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506"/>
        </w:trPr>
        <w:tc>
          <w:tcPr>
            <w:tcW w:w="532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600" w:type="dxa"/>
            <w:vAlign w:val="bottom"/>
            <w:gridSpan w:val="3"/>
          </w:tcPr>
          <w:p>
            <w:pPr>
              <w:jc w:val="center"/>
              <w:ind w:left="1213"/>
              <w:spacing w:after="0"/>
              <w:rPr>
                <w:sz w:val="20"/>
                <w:szCs w:val="20"/>
                <w:color w:val="auto"/>
              </w:rPr>
            </w:pPr>
            <w:r>
              <w:rPr>
                <w:rFonts w:ascii="Arial" w:cs="Arial" w:eastAsia="Arial" w:hAnsi="Arial"/>
                <w:sz w:val="18"/>
                <w:szCs w:val="18"/>
                <w:b w:val="1"/>
                <w:bCs w:val="1"/>
                <w:color w:val="auto"/>
                <w:w w:val="89"/>
              </w:rPr>
              <w:t>10591-6707</w:t>
            </w:r>
          </w:p>
        </w:tc>
      </w:tr>
      <w:tr>
        <w:trPr>
          <w:trHeight w:val="285"/>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(Zip Code)</w:t>
            </w:r>
          </w:p>
        </w:tc>
        <w:tc>
          <w:tcPr>
            <w:tcW w:w="720" w:type="dxa"/>
            <w:vAlign w:val="bottom"/>
          </w:tcPr>
          <w:p>
            <w:pPr>
              <w:spacing w:after="0"/>
              <w:rPr>
                <w:sz w:val="24"/>
                <w:szCs w:val="24"/>
                <w:color w:val="auto"/>
              </w:rPr>
            </w:pPr>
          </w:p>
        </w:tc>
      </w:tr>
    </w:tbl>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(914) 847-7000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3120" w:type="dxa"/>
            <w:vAlign w:val="bottom"/>
          </w:tcPr>
          <w:p>
            <w:pPr>
              <w:spacing w:after="0"/>
              <w:rPr>
                <w:sz w:val="18"/>
                <w:szCs w:val="18"/>
                <w:color w:val="auto"/>
              </w:rPr>
            </w:pPr>
          </w:p>
        </w:tc>
        <w:tc>
          <w:tcPr>
            <w:tcW w:w="3760" w:type="dxa"/>
            <w:vAlign w:val="bottom"/>
            <w:gridSpan w:val="7"/>
          </w:tcPr>
          <w:p>
            <w:pPr>
              <w:ind w:left="580"/>
              <w:spacing w:after="0"/>
              <w:rPr>
                <w:sz w:val="20"/>
                <w:szCs w:val="20"/>
                <w:color w:val="auto"/>
              </w:rPr>
            </w:pPr>
            <w:r>
              <w:rPr>
                <w:rFonts w:ascii="Arial" w:cs="Arial" w:eastAsia="Arial" w:hAnsi="Arial"/>
                <w:sz w:val="18"/>
                <w:szCs w:val="18"/>
                <w:i w:val="1"/>
                <w:iCs w:val="1"/>
                <w:color w:val="auto"/>
                <w:w w:val="88"/>
              </w:rPr>
              <w:t>Name of each exchange on which registered</w:t>
            </w: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gridSpan w:val="6"/>
            <w:shd w:val="clear" w:color="auto" w:fill="000000"/>
          </w:tcPr>
          <w:p>
            <w:pPr>
              <w:spacing w:after="0" w:line="20" w:lineRule="exact"/>
              <w:rPr>
                <w:sz w:val="1"/>
                <w:szCs w:val="1"/>
                <w:color w:val="auto"/>
              </w:rPr>
            </w:pPr>
          </w:p>
        </w:tc>
      </w:tr>
      <w:tr>
        <w:trPr>
          <w:trHeight w:val="291"/>
        </w:trPr>
        <w:tc>
          <w:tcPr>
            <w:tcW w:w="64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580" w:type="dxa"/>
            <w:vAlign w:val="bottom"/>
          </w:tcPr>
          <w:p>
            <w:pPr>
              <w:spacing w:after="0"/>
              <w:rPr>
                <w:sz w:val="24"/>
                <w:szCs w:val="24"/>
                <w:color w:val="auto"/>
              </w:rPr>
            </w:pPr>
          </w:p>
        </w:tc>
        <w:tc>
          <w:tcPr>
            <w:tcW w:w="3180" w:type="dxa"/>
            <w:vAlign w:val="bottom"/>
            <w:gridSpan w:val="6"/>
          </w:tcPr>
          <w:p>
            <w:pPr>
              <w:ind w:left="360"/>
              <w:spacing w:after="0"/>
              <w:rPr>
                <w:sz w:val="20"/>
                <w:szCs w:val="20"/>
                <w:color w:val="auto"/>
              </w:rPr>
            </w:pPr>
            <w:r>
              <w:rPr>
                <w:rFonts w:ascii="Arial" w:cs="Arial" w:eastAsia="Arial" w:hAnsi="Arial"/>
                <w:sz w:val="18"/>
                <w:szCs w:val="18"/>
                <w:b w:val="1"/>
                <w:bCs w:val="1"/>
                <w:color w:val="auto"/>
              </w:rPr>
              <w:t>NASDAQ Global Select Market</w:t>
            </w:r>
          </w:p>
        </w:tc>
      </w:tr>
      <w:tr>
        <w:trPr>
          <w:trHeight w:val="243"/>
        </w:trPr>
        <w:tc>
          <w:tcPr>
            <w:tcW w:w="2060" w:type="dxa"/>
            <w:vAlign w:val="bottom"/>
          </w:tcPr>
          <w:p>
            <w:pPr>
              <w:spacing w:after="0"/>
              <w:rPr>
                <w:sz w:val="21"/>
                <w:szCs w:val="21"/>
                <w:color w:val="auto"/>
              </w:rPr>
            </w:pPr>
          </w:p>
        </w:tc>
        <w:tc>
          <w:tcPr>
            <w:tcW w:w="6920" w:type="dxa"/>
            <w:vAlign w:val="bottom"/>
            <w:gridSpan w:val="5"/>
          </w:tcPr>
          <w:p>
            <w:pPr>
              <w:ind w:left="122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97"/>
        </w:trPr>
        <w:tc>
          <w:tcPr>
            <w:tcW w:w="6480" w:type="dxa"/>
            <w:vAlign w:val="bottom"/>
            <w:gridSpan w:val="3"/>
          </w:tcPr>
          <w:p>
            <w:pPr>
              <w:spacing w:after="0"/>
              <w:rPr>
                <w:sz w:val="20"/>
                <w:szCs w:val="20"/>
                <w:color w:val="auto"/>
              </w:rPr>
            </w:pPr>
            <w:r>
              <w:rPr>
                <w:rFonts w:ascii="Arial" w:cs="Arial" w:eastAsia="Arial" w:hAnsi="Arial"/>
                <w:sz w:val="13"/>
                <w:szCs w:val="13"/>
                <w:color w:val="auto"/>
                <w:w w:val="96"/>
              </w:rPr>
              <w:t>Indicate by check mark if the registrant is a well-known seasoned issuer, as defined in Rule 405 of the Securities Act.</w:t>
            </w:r>
          </w:p>
        </w:tc>
        <w:tc>
          <w:tcPr>
            <w:tcW w:w="580" w:type="dxa"/>
            <w:vAlign w:val="bottom"/>
          </w:tcPr>
          <w:p>
            <w:pPr>
              <w:spacing w:after="0"/>
              <w:rPr>
                <w:sz w:val="24"/>
                <w:szCs w:val="24"/>
                <w:color w:val="auto"/>
              </w:rPr>
            </w:pPr>
          </w:p>
        </w:tc>
        <w:tc>
          <w:tcPr>
            <w:tcW w:w="1920" w:type="dxa"/>
            <w:vAlign w:val="bottom"/>
            <w:gridSpan w:val="2"/>
          </w:tcPr>
          <w:p>
            <w:pPr>
              <w:ind w:left="1580"/>
              <w:spacing w:after="0"/>
              <w:rPr>
                <w:sz w:val="20"/>
                <w:szCs w:val="20"/>
                <w:color w:val="auto"/>
              </w:rPr>
            </w:pPr>
            <w:r>
              <w:rPr>
                <w:rFonts w:ascii="Arial" w:cs="Arial" w:eastAsia="Arial" w:hAnsi="Arial"/>
                <w:sz w:val="13"/>
                <w:szCs w:val="13"/>
                <w:color w:val="auto"/>
                <w:w w:val="90"/>
              </w:rPr>
              <w:t>Yes a</w:t>
            </w:r>
          </w:p>
        </w:tc>
        <w:tc>
          <w:tcPr>
            <w:tcW w:w="1260" w:type="dxa"/>
            <w:vAlign w:val="bottom"/>
            <w:gridSpan w:val="4"/>
          </w:tcPr>
          <w:p>
            <w:pPr>
              <w:ind w:left="200"/>
              <w:spacing w:after="0"/>
              <w:rPr>
                <w:sz w:val="20"/>
                <w:szCs w:val="20"/>
                <w:color w:val="auto"/>
              </w:rPr>
            </w:pPr>
            <w:r>
              <w:rPr>
                <w:rFonts w:ascii="Arial" w:cs="Arial" w:eastAsia="Arial" w:hAnsi="Arial"/>
                <w:sz w:val="13"/>
                <w:szCs w:val="13"/>
                <w:color w:val="auto"/>
              </w:rPr>
              <w:t>No</w:t>
            </w:r>
          </w:p>
        </w:tc>
      </w:tr>
      <w:tr>
        <w:trPr>
          <w:trHeight w:val="22"/>
        </w:trPr>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9"/>
        </w:trPr>
        <w:tc>
          <w:tcPr>
            <w:tcW w:w="6480" w:type="dxa"/>
            <w:vAlign w:val="bottom"/>
            <w:gridSpan w:val="3"/>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tc>
        <w:tc>
          <w:tcPr>
            <w:tcW w:w="580" w:type="dxa"/>
            <w:vAlign w:val="bottom"/>
          </w:tcPr>
          <w:p>
            <w:pPr>
              <w:spacing w:after="0"/>
              <w:rPr>
                <w:sz w:val="24"/>
                <w:szCs w:val="24"/>
                <w:color w:val="auto"/>
              </w:rPr>
            </w:pPr>
          </w:p>
        </w:tc>
        <w:tc>
          <w:tcPr>
            <w:tcW w:w="1800" w:type="dxa"/>
            <w:vAlign w:val="bottom"/>
          </w:tcPr>
          <w:p>
            <w:pPr>
              <w:ind w:left="1580"/>
              <w:spacing w:after="0"/>
              <w:rPr>
                <w:sz w:val="20"/>
                <w:szCs w:val="20"/>
                <w:color w:val="auto"/>
              </w:rPr>
            </w:pPr>
            <w:r>
              <w:rPr>
                <w:rFonts w:ascii="Arial" w:cs="Arial" w:eastAsia="Arial" w:hAnsi="Arial"/>
                <w:sz w:val="13"/>
                <w:szCs w:val="13"/>
                <w:color w:val="auto"/>
                <w:w w:val="89"/>
              </w:rPr>
              <w:t>Yes</w:t>
            </w:r>
          </w:p>
        </w:tc>
        <w:tc>
          <w:tcPr>
            <w:tcW w:w="120" w:type="dxa"/>
            <w:vAlign w:val="bottom"/>
          </w:tcPr>
          <w:p>
            <w:pPr>
              <w:spacing w:after="0"/>
              <w:rPr>
                <w:sz w:val="24"/>
                <w:szCs w:val="24"/>
                <w:color w:val="auto"/>
              </w:rPr>
            </w:pPr>
          </w:p>
        </w:tc>
        <w:tc>
          <w:tcPr>
            <w:tcW w:w="1260" w:type="dxa"/>
            <w:vAlign w:val="bottom"/>
            <w:gridSpan w:val="4"/>
          </w:tcPr>
          <w:p>
            <w:pPr>
              <w:ind w:left="180"/>
              <w:spacing w:after="0"/>
              <w:rPr>
                <w:sz w:val="20"/>
                <w:szCs w:val="20"/>
                <w:color w:val="auto"/>
              </w:rPr>
            </w:pPr>
            <w:r>
              <w:rPr>
                <w:rFonts w:ascii="Arial" w:cs="Arial" w:eastAsia="Arial" w:hAnsi="Arial"/>
                <w:sz w:val="13"/>
                <w:szCs w:val="13"/>
                <w:color w:val="auto"/>
              </w:rPr>
              <w:t>No a</w:t>
            </w:r>
          </w:p>
        </w:tc>
      </w:tr>
      <w:tr>
        <w:trPr>
          <w:trHeight w:val="283"/>
        </w:trPr>
        <w:tc>
          <w:tcPr>
            <w:tcW w:w="8860" w:type="dxa"/>
            <w:vAlign w:val="bottom"/>
            <w:gridSpan w:val="5"/>
          </w:tcPr>
          <w:p>
            <w:pPr>
              <w:spacing w:after="0"/>
              <w:rPr>
                <w:sz w:val="20"/>
                <w:szCs w:val="20"/>
                <w:color w:val="auto"/>
              </w:rPr>
            </w:pPr>
            <w:r>
              <w:rPr>
                <w:rFonts w:ascii="Arial" w:cs="Arial" w:eastAsia="Arial" w:hAnsi="Arial"/>
                <w:sz w:val="13"/>
                <w:szCs w:val="13"/>
                <w:color w:val="auto"/>
                <w:w w:val="95"/>
              </w:rPr>
              <w:t>Indicate by check mark whether the registrant: (1) has filed all reports required to be filed by Section 13 or 15(d) of the Securities Exchange Act of 1934 during the</w:t>
            </w:r>
          </w:p>
        </w:tc>
        <w:tc>
          <w:tcPr>
            <w:tcW w:w="1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135"/>
        </w:trPr>
        <w:tc>
          <w:tcPr>
            <w:tcW w:w="8980" w:type="dxa"/>
            <w:vAlign w:val="bottom"/>
            <w:gridSpan w:val="6"/>
          </w:tcPr>
          <w:p>
            <w:pPr>
              <w:spacing w:after="0" w:line="135" w:lineRule="exact"/>
              <w:rPr>
                <w:sz w:val="20"/>
                <w:szCs w:val="20"/>
                <w:color w:val="auto"/>
              </w:rPr>
            </w:pPr>
            <w:r>
              <w:rPr>
                <w:rFonts w:ascii="Arial" w:cs="Arial" w:eastAsia="Arial" w:hAnsi="Arial"/>
                <w:sz w:val="13"/>
                <w:szCs w:val="13"/>
                <w:color w:val="auto"/>
                <w:w w:val="92"/>
              </w:rPr>
              <w:t>preceding 12 months (or for such shorter period that the registrant was required to file such reports), and (2) has been subject to such filing requirements for the past 90</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0"/>
        </w:trPr>
        <w:tc>
          <w:tcPr>
            <w:tcW w:w="6480" w:type="dxa"/>
            <w:vAlign w:val="bottom"/>
            <w:gridSpan w:val="3"/>
          </w:tcPr>
          <w:p>
            <w:pPr>
              <w:spacing w:after="0"/>
              <w:rPr>
                <w:sz w:val="20"/>
                <w:szCs w:val="20"/>
                <w:color w:val="auto"/>
              </w:rPr>
            </w:pPr>
            <w:r>
              <w:rPr>
                <w:rFonts w:ascii="Arial" w:cs="Arial" w:eastAsia="Arial" w:hAnsi="Arial"/>
                <w:sz w:val="13"/>
                <w:szCs w:val="13"/>
                <w:color w:val="auto"/>
              </w:rPr>
              <w:t>days.</w:t>
            </w:r>
          </w:p>
        </w:tc>
        <w:tc>
          <w:tcPr>
            <w:tcW w:w="580" w:type="dxa"/>
            <w:vAlign w:val="bottom"/>
          </w:tcPr>
          <w:p>
            <w:pPr>
              <w:spacing w:after="0"/>
              <w:rPr>
                <w:sz w:val="14"/>
                <w:szCs w:val="14"/>
                <w:color w:val="auto"/>
              </w:rPr>
            </w:pPr>
          </w:p>
        </w:tc>
        <w:tc>
          <w:tcPr>
            <w:tcW w:w="1920" w:type="dxa"/>
            <w:vAlign w:val="bottom"/>
            <w:gridSpan w:val="2"/>
          </w:tcPr>
          <w:p>
            <w:pPr>
              <w:ind w:left="1580"/>
              <w:spacing w:after="0"/>
              <w:rPr>
                <w:sz w:val="20"/>
                <w:szCs w:val="20"/>
                <w:color w:val="auto"/>
              </w:rPr>
            </w:pPr>
            <w:r>
              <w:rPr>
                <w:rFonts w:ascii="Arial" w:cs="Arial" w:eastAsia="Arial" w:hAnsi="Arial"/>
                <w:sz w:val="13"/>
                <w:szCs w:val="13"/>
                <w:color w:val="auto"/>
                <w:w w:val="90"/>
              </w:rPr>
              <w:t>Yes a</w:t>
            </w:r>
          </w:p>
        </w:tc>
        <w:tc>
          <w:tcPr>
            <w:tcW w:w="1260" w:type="dxa"/>
            <w:vAlign w:val="bottom"/>
            <w:gridSpan w:val="4"/>
          </w:tcPr>
          <w:p>
            <w:pPr>
              <w:ind w:left="200"/>
              <w:spacing w:after="0"/>
              <w:rPr>
                <w:sz w:val="20"/>
                <w:szCs w:val="20"/>
                <w:color w:val="auto"/>
              </w:rPr>
            </w:pPr>
            <w:r>
              <w:rPr>
                <w:rFonts w:ascii="Arial" w:cs="Arial" w:eastAsia="Arial" w:hAnsi="Arial"/>
                <w:sz w:val="13"/>
                <w:szCs w:val="13"/>
                <w:color w:val="auto"/>
              </w:rPr>
              <w:t>No</w:t>
            </w:r>
          </w:p>
        </w:tc>
      </w:tr>
      <w:tr>
        <w:trPr>
          <w:trHeight w:val="283"/>
        </w:trPr>
        <w:tc>
          <w:tcPr>
            <w:tcW w:w="8860" w:type="dxa"/>
            <w:vAlign w:val="bottom"/>
            <w:gridSpan w:val="5"/>
          </w:tcPr>
          <w:p>
            <w:pPr>
              <w:spacing w:after="0"/>
              <w:rPr>
                <w:sz w:val="20"/>
                <w:szCs w:val="20"/>
                <w:color w:val="auto"/>
              </w:rPr>
            </w:pPr>
            <w:r>
              <w:rPr>
                <w:rFonts w:ascii="Arial" w:cs="Arial" w:eastAsia="Arial" w:hAnsi="Arial"/>
                <w:sz w:val="13"/>
                <w:szCs w:val="13"/>
                <w:color w:val="auto"/>
                <w:w w:val="95"/>
              </w:rPr>
              <w:t>Indicate by check mark whether the registrant has submitted electronically and posted on its corporate Web site, if any, every Interactive Data File required to be</w:t>
            </w:r>
          </w:p>
        </w:tc>
        <w:tc>
          <w:tcPr>
            <w:tcW w:w="1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135"/>
        </w:trPr>
        <w:tc>
          <w:tcPr>
            <w:tcW w:w="8980" w:type="dxa"/>
            <w:vAlign w:val="bottom"/>
            <w:gridSpan w:val="6"/>
          </w:tcPr>
          <w:p>
            <w:pPr>
              <w:spacing w:after="0" w:line="135" w:lineRule="exact"/>
              <w:rPr>
                <w:sz w:val="20"/>
                <w:szCs w:val="20"/>
                <w:color w:val="auto"/>
              </w:rPr>
            </w:pPr>
            <w:r>
              <w:rPr>
                <w:rFonts w:ascii="Arial" w:cs="Arial" w:eastAsia="Arial" w:hAnsi="Arial"/>
                <w:sz w:val="13"/>
                <w:szCs w:val="13"/>
                <w:color w:val="auto"/>
                <w:w w:val="94"/>
              </w:rPr>
              <w:t>submitted and posted pursuant to Rule 405 of Regulation S-T (§232.405 of this chapter) during the preceding 12 months (or for such shorter period that the registrant</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6480" w:type="dxa"/>
            <w:vAlign w:val="bottom"/>
            <w:gridSpan w:val="3"/>
          </w:tcPr>
          <w:p>
            <w:pPr>
              <w:spacing w:after="0"/>
              <w:rPr>
                <w:sz w:val="20"/>
                <w:szCs w:val="20"/>
                <w:color w:val="auto"/>
              </w:rPr>
            </w:pPr>
            <w:r>
              <w:rPr>
                <w:rFonts w:ascii="Arial" w:cs="Arial" w:eastAsia="Arial" w:hAnsi="Arial"/>
                <w:sz w:val="13"/>
                <w:szCs w:val="13"/>
                <w:color w:val="auto"/>
              </w:rPr>
              <w:t>was required to submit and post such files).</w:t>
            </w:r>
          </w:p>
        </w:tc>
        <w:tc>
          <w:tcPr>
            <w:tcW w:w="580" w:type="dxa"/>
            <w:vAlign w:val="bottom"/>
          </w:tcPr>
          <w:p>
            <w:pPr>
              <w:spacing w:after="0"/>
              <w:rPr>
                <w:sz w:val="14"/>
                <w:szCs w:val="14"/>
                <w:color w:val="auto"/>
              </w:rPr>
            </w:pPr>
          </w:p>
        </w:tc>
        <w:tc>
          <w:tcPr>
            <w:tcW w:w="1920" w:type="dxa"/>
            <w:vAlign w:val="bottom"/>
            <w:gridSpan w:val="2"/>
          </w:tcPr>
          <w:p>
            <w:pPr>
              <w:ind w:left="1580"/>
              <w:spacing w:after="0"/>
              <w:rPr>
                <w:sz w:val="20"/>
                <w:szCs w:val="20"/>
                <w:color w:val="auto"/>
              </w:rPr>
            </w:pPr>
            <w:r>
              <w:rPr>
                <w:rFonts w:ascii="Arial" w:cs="Arial" w:eastAsia="Arial" w:hAnsi="Arial"/>
                <w:sz w:val="13"/>
                <w:szCs w:val="13"/>
                <w:color w:val="auto"/>
                <w:w w:val="90"/>
              </w:rPr>
              <w:t>Yes a</w:t>
            </w:r>
          </w:p>
        </w:tc>
        <w:tc>
          <w:tcPr>
            <w:tcW w:w="1260" w:type="dxa"/>
            <w:vAlign w:val="bottom"/>
            <w:gridSpan w:val="4"/>
          </w:tcPr>
          <w:p>
            <w:pPr>
              <w:ind w:left="200"/>
              <w:spacing w:after="0"/>
              <w:rPr>
                <w:sz w:val="20"/>
                <w:szCs w:val="20"/>
                <w:color w:val="auto"/>
              </w:rPr>
            </w:pPr>
            <w:r>
              <w:rPr>
                <w:rFonts w:ascii="Arial" w:cs="Arial" w:eastAsia="Arial" w:hAnsi="Arial"/>
                <w:sz w:val="13"/>
                <w:szCs w:val="13"/>
                <w:color w:val="auto"/>
              </w:rPr>
              <w:t>No</w:t>
            </w:r>
          </w:p>
        </w:tc>
      </w:tr>
      <w:tr>
        <w:trPr>
          <w:trHeight w:val="22"/>
        </w:trPr>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48" w:lineRule="exact"/>
        <w:rPr>
          <w:sz w:val="24"/>
          <w:szCs w:val="24"/>
          <w:color w:val="auto"/>
        </w:rPr>
      </w:pPr>
    </w:p>
    <w:p>
      <w:pPr>
        <w:ind w:left="40" w:right="2920"/>
        <w:spacing w:after="0" w:line="230" w:lineRule="auto"/>
        <w:rPr>
          <w:sz w:val="20"/>
          <w:szCs w:val="20"/>
          <w:color w:val="auto"/>
        </w:rPr>
      </w:pPr>
      <w:r>
        <w:rPr>
          <w:rFonts w:ascii="Arial" w:cs="Arial" w:eastAsia="Arial" w:hAnsi="Arial"/>
          <w:sz w:val="13"/>
          <w:szCs w:val="13"/>
          <w:color w:val="auto"/>
        </w:rPr>
        <w:t>Indicate by check mark if disclosure of delinquent filers pursuant to Item 405 of Regulation S-K (§232.405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5656580</wp:posOffset>
            </wp:positionH>
            <wp:positionV relativeFrom="paragraph">
              <wp:posOffset>10795</wp:posOffset>
            </wp:positionV>
            <wp:extent cx="68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8" w:lineRule="exact"/>
        <w:rPr>
          <w:sz w:val="24"/>
          <w:szCs w:val="24"/>
          <w:color w:val="auto"/>
        </w:rPr>
      </w:pPr>
    </w:p>
    <w:p>
      <w:pPr>
        <w:ind w:left="40" w:right="244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Large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Non-</w:t>
            </w:r>
          </w:p>
        </w:tc>
        <w:tc>
          <w:tcPr>
            <w:tcW w:w="100" w:type="dxa"/>
            <w:vAlign w:val="bottom"/>
          </w:tcPr>
          <w:p>
            <w:pPr>
              <w:spacing w:after="0"/>
              <w:rPr>
                <w:sz w:val="12"/>
                <w:szCs w:val="12"/>
                <w:color w:val="auto"/>
              </w:rPr>
            </w:pPr>
          </w:p>
        </w:tc>
        <w:tc>
          <w:tcPr>
            <w:tcW w:w="3960" w:type="dxa"/>
            <w:vAlign w:val="bottom"/>
            <w:gridSpan w:val="3"/>
          </w:tcPr>
          <w:p>
            <w:pPr>
              <w:ind w:left="220"/>
              <w:spacing w:after="0"/>
              <w:rPr>
                <w:sz w:val="20"/>
                <w:szCs w:val="20"/>
                <w:color w:val="auto"/>
              </w:rPr>
            </w:pPr>
            <w:r>
              <w:rPr>
                <w:rFonts w:ascii="Arial" w:cs="Arial" w:eastAsia="Arial" w:hAnsi="Arial"/>
                <w:sz w:val="13"/>
                <w:szCs w:val="13"/>
                <w:color w:val="auto"/>
              </w:rPr>
              <w:t>Smaller</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accelerated</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Accelerated</w:t>
            </w:r>
          </w:p>
        </w:tc>
        <w:tc>
          <w:tcPr>
            <w:tcW w:w="1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accelerated</w:t>
            </w:r>
          </w:p>
        </w:tc>
        <w:tc>
          <w:tcPr>
            <w:tcW w:w="100" w:type="dxa"/>
            <w:vAlign w:val="bottom"/>
          </w:tcPr>
          <w:p>
            <w:pPr>
              <w:spacing w:after="0"/>
              <w:rPr>
                <w:sz w:val="11"/>
                <w:szCs w:val="11"/>
                <w:color w:val="auto"/>
              </w:rPr>
            </w:pPr>
          </w:p>
        </w:tc>
        <w:tc>
          <w:tcPr>
            <w:tcW w:w="396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reporting</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8"/>
        </w:trPr>
        <w:tc>
          <w:tcPr>
            <w:tcW w:w="920" w:type="dxa"/>
            <w:vAlign w:val="bottom"/>
            <w:gridSpan w:val="2"/>
          </w:tcPr>
          <w:p>
            <w:pPr>
              <w:ind w:left="560"/>
              <w:spacing w:after="0"/>
              <w:rPr>
                <w:sz w:val="20"/>
                <w:szCs w:val="20"/>
                <w:color w:val="auto"/>
              </w:rPr>
            </w:pPr>
            <w:r>
              <w:rPr>
                <w:rFonts w:ascii="Arial" w:cs="Arial" w:eastAsia="Arial" w:hAnsi="Arial"/>
                <w:sz w:val="13"/>
                <w:szCs w:val="13"/>
                <w:color w:val="auto"/>
              </w:rPr>
              <w:t>filer a</w:t>
            </w:r>
          </w:p>
        </w:tc>
        <w:tc>
          <w:tcPr>
            <w:tcW w:w="1040" w:type="dxa"/>
            <w:vAlign w:val="bottom"/>
          </w:tcPr>
          <w:p>
            <w:pPr>
              <w:jc w:val="right"/>
              <w:spacing w:after="0"/>
              <w:rPr>
                <w:sz w:val="20"/>
                <w:szCs w:val="20"/>
                <w:color w:val="auto"/>
              </w:rPr>
            </w:pPr>
            <w:r>
              <w:rPr>
                <w:rFonts w:ascii="Arial" w:cs="Arial" w:eastAsia="Arial" w:hAnsi="Arial"/>
                <w:sz w:val="13"/>
                <w:szCs w:val="13"/>
                <w:color w:val="auto"/>
              </w:rPr>
              <w:t>filer</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filer</w:t>
            </w:r>
          </w:p>
        </w:tc>
        <w:tc>
          <w:tcPr>
            <w:tcW w:w="100" w:type="dxa"/>
            <w:vAlign w:val="bottom"/>
          </w:tcPr>
          <w:p>
            <w:pPr>
              <w:spacing w:after="0"/>
              <w:rPr>
                <w:sz w:val="14"/>
                <w:szCs w:val="14"/>
                <w:color w:val="auto"/>
              </w:rPr>
            </w:pPr>
          </w:p>
        </w:tc>
        <w:tc>
          <w:tcPr>
            <w:tcW w:w="3960" w:type="dxa"/>
            <w:vAlign w:val="bottom"/>
            <w:gridSpan w:val="3"/>
          </w:tcPr>
          <w:p>
            <w:pPr>
              <w:ind w:left="220"/>
              <w:spacing w:after="0"/>
              <w:rPr>
                <w:sz w:val="20"/>
                <w:szCs w:val="20"/>
                <w:color w:val="auto"/>
              </w:rPr>
            </w:pPr>
            <w:r>
              <w:rPr>
                <w:rFonts w:ascii="Arial" w:cs="Arial" w:eastAsia="Arial" w:hAnsi="Arial"/>
                <w:sz w:val="13"/>
                <w:szCs w:val="13"/>
                <w:color w:val="auto"/>
              </w:rPr>
              <w:t>company</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
        </w:trPr>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3"/>
        </w:trPr>
        <w:tc>
          <w:tcPr>
            <w:tcW w:w="7180" w:type="dxa"/>
            <w:vAlign w:val="bottom"/>
            <w:gridSpan w:val="9"/>
          </w:tcPr>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tc>
        <w:tc>
          <w:tcPr>
            <w:tcW w:w="1680" w:type="dxa"/>
            <w:vAlign w:val="bottom"/>
          </w:tcPr>
          <w:p>
            <w:pPr>
              <w:ind w:left="1460"/>
              <w:spacing w:after="0"/>
              <w:rPr>
                <w:sz w:val="20"/>
                <w:szCs w:val="20"/>
                <w:color w:val="auto"/>
              </w:rPr>
            </w:pPr>
            <w:r>
              <w:rPr>
                <w:rFonts w:ascii="Arial" w:cs="Arial" w:eastAsia="Arial" w:hAnsi="Arial"/>
                <w:sz w:val="13"/>
                <w:szCs w:val="13"/>
                <w:color w:val="auto"/>
                <w:w w:val="89"/>
              </w:rPr>
              <w:t>Yes</w:t>
            </w:r>
          </w:p>
        </w:tc>
        <w:tc>
          <w:tcPr>
            <w:tcW w:w="100" w:type="dxa"/>
            <w:vAlign w:val="bottom"/>
          </w:tcPr>
          <w:p>
            <w:pPr>
              <w:spacing w:after="0"/>
              <w:rPr>
                <w:sz w:val="24"/>
                <w:szCs w:val="24"/>
                <w:color w:val="auto"/>
              </w:rPr>
            </w:pPr>
          </w:p>
        </w:tc>
        <w:tc>
          <w:tcPr>
            <w:tcW w:w="500" w:type="dxa"/>
            <w:vAlign w:val="bottom"/>
            <w:gridSpan w:val="2"/>
          </w:tcPr>
          <w:p>
            <w:pPr>
              <w:ind w:left="200"/>
              <w:spacing w:after="0"/>
              <w:rPr>
                <w:sz w:val="20"/>
                <w:szCs w:val="20"/>
                <w:color w:val="auto"/>
              </w:rPr>
            </w:pPr>
            <w:r>
              <w:rPr>
                <w:rFonts w:ascii="Arial" w:cs="Arial" w:eastAsia="Arial" w:hAnsi="Arial"/>
                <w:sz w:val="13"/>
                <w:szCs w:val="13"/>
                <w:color w:val="auto"/>
              </w:rPr>
              <w:t>No a</w:t>
            </w:r>
          </w:p>
        </w:tc>
      </w:tr>
      <w:tr>
        <w:trPr>
          <w:trHeight w:val="22"/>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18" w:lineRule="exact"/>
        <w:rPr>
          <w:sz w:val="24"/>
          <w:szCs w:val="24"/>
          <w:color w:val="auto"/>
        </w:rPr>
      </w:pPr>
    </w:p>
    <w:p>
      <w:pPr>
        <w:jc w:val="both"/>
        <w:spacing w:after="0" w:line="247" w:lineRule="auto"/>
        <w:rPr>
          <w:sz w:val="20"/>
          <w:szCs w:val="20"/>
          <w:color w:val="auto"/>
        </w:rPr>
      </w:pPr>
      <w:r>
        <w:rPr>
          <w:rFonts w:ascii="Arial" w:cs="Arial" w:eastAsia="Arial" w:hAnsi="Arial"/>
          <w:sz w:val="13"/>
          <w:szCs w:val="13"/>
          <w:color w:val="auto"/>
        </w:rPr>
        <w:t>The aggregate market value of the common stock held by non-affiliates of the registrant was approximately $21,192,000,000, computed by reference to the closing sales price of the stock on NASDAQ on June 28, 2013,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133"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outstanding of each of the registrant’s classes of common stock as of February 6, 2014:</w:t>
      </w:r>
    </w:p>
    <w:p>
      <w:pPr>
        <w:spacing w:after="0" w:line="242" w:lineRule="exact"/>
        <w:rPr>
          <w:sz w:val="24"/>
          <w:szCs w:val="24"/>
          <w:color w:val="auto"/>
        </w:rPr>
      </w:pPr>
    </w:p>
    <w:tbl>
      <w:tblPr>
        <w:tblLayout w:type="fixed"/>
        <w:tblInd w:w="2340" w:type="dxa"/>
        <w:tblCellMar>
          <w:top w:w="0" w:type="dxa"/>
          <w:left w:w="0" w:type="dxa"/>
          <w:bottom w:w="0" w:type="dxa"/>
          <w:right w:w="0" w:type="dxa"/>
        </w:tblCellMar>
      </w:tblPr>
      <w:tr>
        <w:trPr>
          <w:trHeight w:val="1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Class of Common Stock</w:t>
            </w:r>
          </w:p>
        </w:tc>
        <w:tc>
          <w:tcPr>
            <w:tcW w:w="100" w:type="dxa"/>
            <w:vAlign w:val="bottom"/>
          </w:tcPr>
          <w:p>
            <w:pPr>
              <w:spacing w:after="0"/>
              <w:rPr>
                <w:sz w:val="14"/>
                <w:szCs w:val="14"/>
                <w:color w:val="auto"/>
              </w:rPr>
            </w:pPr>
          </w:p>
        </w:tc>
        <w:tc>
          <w:tcPr>
            <w:tcW w:w="3300" w:type="dxa"/>
            <w:vAlign w:val="bottom"/>
            <w:tcBorders>
              <w:bottom w:val="single" w:sz="8" w:color="auto"/>
            </w:tcBorders>
          </w:tcPr>
          <w:p>
            <w:pPr>
              <w:ind w:left="1180"/>
              <w:spacing w:after="0"/>
              <w:rPr>
                <w:sz w:val="20"/>
                <w:szCs w:val="20"/>
                <w:color w:val="auto"/>
              </w:rPr>
            </w:pPr>
            <w:r>
              <w:rPr>
                <w:rFonts w:ascii="Arial" w:cs="Arial" w:eastAsia="Arial" w:hAnsi="Arial"/>
                <w:sz w:val="13"/>
                <w:szCs w:val="13"/>
                <w:color w:val="auto"/>
              </w:rPr>
              <w:t>Number of Shares</w:t>
            </w:r>
          </w:p>
        </w:tc>
      </w:tr>
      <w:tr>
        <w:trPr>
          <w:trHeight w:val="241"/>
        </w:trPr>
        <w:tc>
          <w:tcPr>
            <w:tcW w:w="34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Class A Stock, $.001 par value</w:t>
            </w:r>
          </w:p>
        </w:tc>
        <w:tc>
          <w:tcPr>
            <w:tcW w:w="3300" w:type="dxa"/>
            <w:vAlign w:val="bottom"/>
          </w:tcPr>
          <w:p>
            <w:pPr>
              <w:jc w:val="right"/>
              <w:ind w:right="1337"/>
              <w:spacing w:after="0"/>
              <w:rPr>
                <w:sz w:val="20"/>
                <w:szCs w:val="20"/>
                <w:color w:val="auto"/>
              </w:rPr>
            </w:pPr>
            <w:r>
              <w:rPr>
                <w:rFonts w:ascii="Arial" w:cs="Arial" w:eastAsia="Arial" w:hAnsi="Arial"/>
                <w:sz w:val="13"/>
                <w:szCs w:val="13"/>
                <w:color w:val="auto"/>
              </w:rPr>
              <w:t>2,020,481</w:t>
            </w:r>
          </w:p>
        </w:tc>
      </w:tr>
      <w:tr>
        <w:trPr>
          <w:trHeight w:val="270"/>
        </w:trPr>
        <w:tc>
          <w:tcPr>
            <w:tcW w:w="34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Common Stock, $.001 par value</w:t>
            </w:r>
          </w:p>
        </w:tc>
        <w:tc>
          <w:tcPr>
            <w:tcW w:w="3300" w:type="dxa"/>
            <w:vAlign w:val="bottom"/>
          </w:tcPr>
          <w:p>
            <w:pPr>
              <w:jc w:val="right"/>
              <w:ind w:right="1317"/>
              <w:spacing w:after="0"/>
              <w:rPr>
                <w:sz w:val="20"/>
                <w:szCs w:val="20"/>
                <w:color w:val="auto"/>
              </w:rPr>
            </w:pPr>
            <w:r>
              <w:rPr>
                <w:rFonts w:ascii="Arial" w:cs="Arial" w:eastAsia="Arial" w:hAnsi="Arial"/>
                <w:sz w:val="13"/>
                <w:szCs w:val="13"/>
                <w:color w:val="auto"/>
              </w:rPr>
              <w:t>97,907,887</w:t>
            </w:r>
          </w:p>
        </w:tc>
      </w:tr>
    </w:tbl>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r>
        <w:rPr>
          <w:rFonts w:ascii="Arial" w:cs="Arial" w:eastAsia="Arial" w:hAnsi="Arial"/>
          <w:sz w:val="14"/>
          <w:szCs w:val="14"/>
          <w:b w:val="1"/>
          <w:bCs w:val="1"/>
          <w:color w:val="auto"/>
        </w:rPr>
        <w:t>:</w:t>
      </w:r>
    </w:p>
    <w:p>
      <w:pPr>
        <w:sectPr>
          <w:pgSz w:w="11900" w:h="16838" w:orient="portrait"/>
          <w:cols w:equalWidth="0" w:num="1">
            <w:col w:w="11420"/>
          </w:cols>
          <w:pgMar w:left="240" w:top="472" w:right="239" w:bottom="0" w:gutter="0" w:footer="0" w:header="0"/>
        </w:sectPr>
      </w:pPr>
    </w:p>
    <w:bookmarkStart w:id="1" w:name="page2"/>
    <w:bookmarkEnd w:id="1"/>
    <w:p>
      <w:pPr>
        <w:spacing w:after="0"/>
        <w:rPr>
          <w:sz w:val="20"/>
          <w:szCs w:val="20"/>
          <w:color w:val="auto"/>
        </w:rPr>
      </w:pPr>
      <w:r>
        <w:rPr>
          <w:rFonts w:ascii="Arial" w:cs="Arial" w:eastAsia="Arial" w:hAnsi="Arial"/>
          <w:sz w:val="11"/>
          <w:szCs w:val="11"/>
          <w:color w:val="auto"/>
        </w:rPr>
        <w:t>Specified portions of the Registrant's definitive proxy statement to be filed in connection with solicitation of proxies for its 2014 Annual Meeting of Shareholders are incorporated by reference into Part III of this Form 10-K.</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Exhibit index is located on pages 83 to 87 of this filing.</w:t>
      </w:r>
    </w:p>
    <w:p>
      <w:pPr>
        <w:sectPr>
          <w:pgSz w:w="11900" w:h="16838" w:orient="portrait"/>
          <w:cols w:equalWidth="0" w:num="1">
            <w:col w:w="11260"/>
          </w:cols>
          <w:pgMar w:left="240" w:top="287"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gridSpan w:val="7"/>
          </w:tcPr>
          <w:p>
            <w:pPr>
              <w:ind w:left="400"/>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Item 1A.</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1B.</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Unresolved Staff Comments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Properties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Item 4.</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Item 5.</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Market for Registrant's Common Equity, Related Stockholder Matters, and Issuer</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Purchases of Equity Securities</w:t>
              </w:r>
            </w:hyperlink>
          </w:p>
        </w:tc>
        <w:tc>
          <w:tcPr>
            <w:tcW w:w="100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Item 6.</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Selected Financial Data</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7.</w:t>
              </w:r>
            </w:hyperlink>
          </w:p>
        </w:tc>
        <w:tc>
          <w:tcPr>
            <w:tcW w:w="6860" w:type="dxa"/>
            <w:vAlign w:val="bottom"/>
            <w:gridSpan w:val="22"/>
          </w:tcPr>
          <w:p>
            <w:pPr>
              <w:spacing w:after="0" w:line="202" w:lineRule="exact"/>
              <w:rPr>
                <w:rFonts w:ascii="Arial" w:cs="Arial" w:eastAsia="Arial" w:hAnsi="Arial"/>
                <w:sz w:val="18"/>
                <w:szCs w:val="18"/>
                <w:color w:val="0000FF"/>
                <w:w w:val="96"/>
              </w:rPr>
            </w:pPr>
            <w:hyperlink w:anchor="page50">
              <w:r>
                <w:rPr>
                  <w:rFonts w:ascii="Arial" w:cs="Arial" w:eastAsia="Arial" w:hAnsi="Arial"/>
                  <w:sz w:val="18"/>
                  <w:szCs w:val="18"/>
                  <w:color w:val="0000FF"/>
                  <w:w w:val="96"/>
                </w:rPr>
                <w:t>Management's Discussion and Analysis of Financial Condition and Results of Operations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2">
              <w:r>
                <w:rPr>
                  <w:rFonts w:ascii="Arial" w:cs="Arial" w:eastAsia="Arial" w:hAnsi="Arial"/>
                  <w:sz w:val="18"/>
                  <w:szCs w:val="18"/>
                  <w:color w:val="0000FF"/>
                </w:rPr>
                <w:t>Item 7A.</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2">
              <w:r>
                <w:rPr>
                  <w:rFonts w:ascii="Arial" w:cs="Arial" w:eastAsia="Arial" w:hAnsi="Arial"/>
                  <w:sz w:val="18"/>
                  <w:szCs w:val="18"/>
                  <w:color w:val="0000FF"/>
                </w:rPr>
                <w:t>Quantitative and Qualitative Disclosures About Market Risk</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81</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Item 8.</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Financial Statements and Supplementary Data</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Item 9.</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w w:val="95"/>
              </w:rPr>
            </w:pPr>
            <w:hyperlink w:anchor="page83">
              <w:r>
                <w:rPr>
                  <w:rFonts w:ascii="Arial" w:cs="Arial" w:eastAsia="Arial" w:hAnsi="Arial"/>
                  <w:sz w:val="18"/>
                  <w:szCs w:val="18"/>
                  <w:color w:val="0000FF"/>
                  <w:w w:val="95"/>
                </w:rPr>
                <w:t>Changes in and Disagreements with Accountants on Accounting and Financial Disclosure</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Item 9A.</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Controls and Procedures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Item 9B.</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Other Information</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82</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84">
              <w:r>
                <w:rPr>
                  <w:rFonts w:ascii="Arial" w:cs="Arial" w:eastAsia="Arial" w:hAnsi="Arial"/>
                  <w:sz w:val="18"/>
                  <w:szCs w:val="18"/>
                  <w:b w:val="1"/>
                  <w:bCs w:val="1"/>
                  <w:color w:val="0000FF"/>
                </w:rPr>
                <w:t>PART III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Item 10.</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Directors, Executive Officers and Corporate Governance</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Item 11.</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Executive Compensation</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Item 12.</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Security Ownership of Certain Beneficial Owners and Management and Related</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w:anchor="page84">
              <w:r>
                <w:rPr>
                  <w:rFonts w:ascii="Arial" w:cs="Arial" w:eastAsia="Arial" w:hAnsi="Arial"/>
                  <w:sz w:val="18"/>
                  <w:szCs w:val="18"/>
                  <w:color w:val="0000FF"/>
                </w:rPr>
                <w:t>Stockholder Matters</w:t>
              </w:r>
            </w:hyperlink>
          </w:p>
        </w:tc>
        <w:tc>
          <w:tcPr>
            <w:tcW w:w="10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Item 13.</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Certain Relationships and Related Transactions, and Director Independence</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Item 14.</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Principal Accounting Fees and Services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7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b w:val="1"/>
                <w:bCs w:val="1"/>
                <w:color w:val="0000FF"/>
              </w:rPr>
            </w:pPr>
            <w:hyperlink w:anchor="page85">
              <w:r>
                <w:rPr>
                  <w:rFonts w:ascii="Arial" w:cs="Arial" w:eastAsia="Arial" w:hAnsi="Arial"/>
                  <w:sz w:val="18"/>
                  <w:szCs w:val="18"/>
                  <w:b w:val="1"/>
                  <w:bCs w:val="1"/>
                  <w:color w:val="0000FF"/>
                </w:rPr>
                <w:t>PART IV</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Item 15.</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Exhibits and Financial Statement Schedules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83</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240030</wp:posOffset>
            </wp:positionV>
            <wp:extent cx="633730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367" w:lineRule="exact"/>
        <w:rPr>
          <w:sz w:val="20"/>
          <w:szCs w:val="20"/>
          <w:color w:val="auto"/>
        </w:rPr>
      </w:pPr>
    </w:p>
    <w:p>
      <w:pPr>
        <w:ind w:left="760"/>
        <w:spacing w:after="0"/>
        <w:rPr>
          <w:rFonts w:ascii="Arial" w:cs="Arial" w:eastAsia="Arial" w:hAnsi="Arial"/>
          <w:sz w:val="18"/>
          <w:szCs w:val="18"/>
          <w:b w:val="1"/>
          <w:bCs w:val="1"/>
          <w:u w:val="single" w:color="auto"/>
          <w:color w:val="0000FF"/>
        </w:rPr>
      </w:pPr>
      <w:hyperlink w:anchor="page89">
        <w:r>
          <w:rPr>
            <w:rFonts w:ascii="Arial" w:cs="Arial" w:eastAsia="Arial" w:hAnsi="Arial"/>
            <w:sz w:val="18"/>
            <w:szCs w:val="18"/>
            <w:b w:val="1"/>
            <w:bCs w:val="1"/>
            <w:u w:val="single" w:color="auto"/>
            <w:color w:val="0000FF"/>
          </w:rPr>
          <w:t>SIGNATURE PAGE</w:t>
        </w:r>
      </w:hyperlink>
    </w:p>
    <w:p>
      <w:pPr>
        <w:spacing w:after="0" w:line="202"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sarilumab, alirocumab, and dupilumab; ongoing regulatory obligations and oversight impacting our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to be cancelled or terminated without any further product success; and risks associated with third party intellectual property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Our total revenues were $2,104.7 million in 2013, compared to $1,378.5 million in 2012 and $445.8 million in 2011. Our net income was $424.4 million, or $3.81 per diluted share, in 2013, compared to net income of $750.3 million, or $6.75 per diluted share, in 2012, and a net loss of $221.8 million, or $2.45 per diluted share, in 2011. Net income in 2012 included an income tax benefit of $335.8 million, primarily attributable to the release of substantially all of the valuation allowance against our deferred tax assets. Refer to Part II, Item 7. "Management's Discussion and Analysis of Financial Condition and Results of Operations - Results of Operations" below for further details of our financial results.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279" w:lineRule="exact"/>
        <w:rPr>
          <w:sz w:val="20"/>
          <w:szCs w:val="20"/>
          <w:color w:val="auto"/>
        </w:rPr>
      </w:pPr>
    </w:p>
    <w:p>
      <w:pPr>
        <w:jc w:val="both"/>
        <w:ind w:left="660" w:hanging="328"/>
        <w:spacing w:after="0" w:line="29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EYLEA (aflibercept) Injection, known in the scientific literature as VEGF Trap-Eye, which is available in the United States, European Union (EU), Japan, and certain other countries outside the United States for the treatment of neovascular age-related macular degeneration (wet AMD) and macular edema following central retinal vein occlusion (CRVO). Net product sales of EYLEA in the United States were $1,408.7 million in 2013, $837.9 million in 2012, and $24.8 million in 2011. Bayer HealthCare records revenue from sales of EYLEA outside the United States. EYLEA net product sales outside of the United States commenced in the fourth quarter of 2012, and were $472.1 million in 2013 and $19.0 million in 2012.</w:t>
      </w:r>
    </w:p>
    <w:p>
      <w:pPr>
        <w:spacing w:after="0" w:line="212" w:lineRule="exact"/>
        <w:rPr>
          <w:rFonts w:ascii="Arial" w:cs="Arial" w:eastAsia="Arial" w:hAnsi="Arial"/>
          <w:sz w:val="16"/>
          <w:szCs w:val="16"/>
          <w:color w:val="auto"/>
        </w:rPr>
      </w:pPr>
    </w:p>
    <w:p>
      <w:pPr>
        <w:jc w:val="both"/>
        <w:ind w:left="660"/>
        <w:spacing w:after="0" w:line="276" w:lineRule="auto"/>
        <w:rPr>
          <w:rFonts w:ascii="Arial" w:cs="Arial" w:eastAsia="Arial" w:hAnsi="Arial"/>
          <w:sz w:val="16"/>
          <w:szCs w:val="16"/>
          <w:color w:val="auto"/>
        </w:rPr>
      </w:pPr>
      <w:r>
        <w:rPr>
          <w:rFonts w:ascii="Arial" w:cs="Arial" w:eastAsia="Arial" w:hAnsi="Arial"/>
          <w:sz w:val="17"/>
          <w:szCs w:val="17"/>
          <w:color w:val="auto"/>
        </w:rPr>
        <w:t>We commenced sales of EYLEA for the treatment of wet AMD in November 2011 and for the treatment of macular edema following CRVO in September 2012, following receipt of regulatory approval in the United States. Bayer HealthCare commenced sales of EYLEA for the treatment of wet AMD in the fourth quarter of 2012 following receipt of regulatory approvals outside the United States, and for the treatment of macular edema secondary to CRVO in the fourth quarter of 2013 following receipt of regulatory approvals in the EU and Japan. Bayer HealthCare has additional regulatory applications for EYLEA for the treatment of wet AMD and macular edema secondary to CRVO pending in other countries.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August 2013, we and Bayer HealthCare announced positive week 52 results from the Phase 3 VISTA-DME and VIVID-DME trials of EYLEA for the treatment of diabetic macular edema (DME), as described below under “Clinical Programs: </w:t>
      </w:r>
      <w:r>
        <w:rPr>
          <w:rFonts w:ascii="Arial" w:cs="Arial" w:eastAsia="Arial" w:hAnsi="Arial"/>
          <w:sz w:val="18"/>
          <w:szCs w:val="18"/>
          <w:i w:val="1"/>
          <w:iCs w:val="1"/>
          <w:color w:val="auto"/>
        </w:rPr>
        <w:t>EYLEA - Ophthalmologic Diseases.</w:t>
      </w:r>
      <w:r>
        <w:rPr>
          <w:rFonts w:ascii="Arial" w:cs="Arial" w:eastAsia="Arial" w:hAnsi="Arial"/>
          <w:sz w:val="18"/>
          <w:szCs w:val="18"/>
          <w:color w:val="auto"/>
        </w:rPr>
        <w:t xml:space="preserve">” Based on the positive results of these studies, we submitted a supplemental Biologics License Application (BLA) for U.S. regulatory approval of EYLEA in DME in the fourth quarter of 2013; the target date for an FDA decision on the supplemental BLA is August 18, 2014. An application for marketing approval for the treatment of DME in the EU was also submitted by Bayer HealthCare during the fourth quarter of 2013. In addition, in February 2014, we and Bayer HealthCare announced positive week 100 results from the Phase 3 VISTA-DME trial, as described below under “Clinical Programs: </w:t>
      </w:r>
      <w:r>
        <w:rPr>
          <w:rFonts w:ascii="Arial" w:cs="Arial" w:eastAsia="Arial" w:hAnsi="Arial"/>
          <w:sz w:val="18"/>
          <w:szCs w:val="18"/>
          <w:i w:val="1"/>
          <w:iCs w:val="1"/>
          <w:color w:val="auto"/>
        </w:rPr>
        <w:t>EYLEA - Ophthalmologic Diseases.</w:t>
      </w:r>
      <w:r>
        <w:rPr>
          <w:rFonts w:ascii="Arial" w:cs="Arial" w:eastAsia="Arial" w:hAnsi="Arial"/>
          <w:sz w:val="18"/>
          <w:szCs w:val="18"/>
          <w:color w:val="auto"/>
        </w:rPr>
        <w:t>”</w:t>
      </w:r>
    </w:p>
    <w:p>
      <w:pPr>
        <w:spacing w:after="0" w:line="243"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 xml:space="preserve">In October 2013, we announced positive week 24 results from the Phase 3 VIBRANT trial of EYLEA for the treatment of macular edema following branch retinal vein occlusion (BRVO), as described below under “Clinical Programs: </w:t>
      </w:r>
      <w:r>
        <w:rPr>
          <w:rFonts w:ascii="Arial" w:cs="Arial" w:eastAsia="Arial" w:hAnsi="Arial"/>
          <w:sz w:val="17"/>
          <w:szCs w:val="17"/>
          <w:i w:val="1"/>
          <w:iCs w:val="1"/>
          <w:color w:val="auto"/>
        </w:rPr>
        <w:t>EYLEA - Ophthalmologic Diseases.</w:t>
      </w:r>
      <w:r>
        <w:rPr>
          <w:rFonts w:ascii="Arial" w:cs="Arial" w:eastAsia="Arial" w:hAnsi="Arial"/>
          <w:sz w:val="17"/>
          <w:szCs w:val="17"/>
          <w:color w:val="auto"/>
        </w:rPr>
        <w:t>”</w:t>
      </w:r>
    </w:p>
    <w:p>
      <w:pPr>
        <w:spacing w:after="0" w:line="20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as described below. We maintain exclusive rights to EYLEA in the United States and are entitled to all profits from any such sales.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(ziv-aflibercept) Injection for Intravenous Infusion, known in the scientific literature as VEGF Trap, which is available in the United States, EU, and certain other countries for treatment, in combination with 5-fluorouracil, leucovorin, irinotecan (FOLFIRI), of patients with metastatic colorectal cancer (mCRC) that is resistant to or has progressed following an oxaliplatin-containing regimen. Regulatory applications for marketing authorization of ZALTRAP for the treatment of previously treated mCRC patients in other countries have also been submitted and are currently under review by the respective regulatory agencies. We and Sanofi globally collaborate on the development and commercialization of ZALTRAP, and share profits and losses from commercialization of ZALTRAP, except for Japan, where we are entitled to receive a percentage of the sales of ZALTRAP, as described below. ZALTRAP net product sales, which are recorded by Sanofi, commenced in the United States in August 2012 and in Europe in the first quarter of 2013, and were $70.2 million in 2013 and $31.7 million in 2012.</w:t>
      </w:r>
    </w:p>
    <w:p>
      <w:pPr>
        <w:spacing w:after="0" w:line="244" w:lineRule="exact"/>
        <w:rPr>
          <w:rFonts w:ascii="Arial" w:cs="Arial" w:eastAsia="Arial" w:hAnsi="Arial"/>
          <w:sz w:val="17"/>
          <w:szCs w:val="17"/>
          <w:color w:val="auto"/>
        </w:rPr>
      </w:pPr>
    </w:p>
    <w:p>
      <w:pPr>
        <w:jc w:val="both"/>
        <w:ind w:left="660" w:hanging="328"/>
        <w:spacing w:after="0" w:line="23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Net product sales of ARCALYST totaled $17.1 million in 2013, $20.2 million in 2012, and $19.9 million in 2011.</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have 16 product candidates in clinical development, all of which were discovered in our research laboratories. Our Trap-based clinical programs are:</w:t>
      </w:r>
    </w:p>
    <w:p>
      <w:pPr>
        <w:spacing w:after="0" w:line="16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EYLEA, which is in clinical trials for the treatment of DME and macular edema following BRVO in collaboration with Bayer HealthCare; and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ZALTRAP, which is being studied in combination with our angiopoietin-2 inhibitor (nesvacumab) in oncology in collaboration with Sanofi.</w:t>
      </w:r>
    </w:p>
    <w:p>
      <w:pPr>
        <w:spacing w:after="0" w:line="14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antibody-based clinical programs include 14 fully human monoclonal antibody product candidates. The following seven are being developed in collaboration with Sanofi:</w:t>
      </w:r>
    </w:p>
    <w:p>
      <w:pPr>
        <w:spacing w:after="0" w:line="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Sarilumab (REGN88), an antibody to the interleukin-6 receptor (IL-6R), which is being developed in rheumatoid arthritis and non-infectious uveitis;</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Alirocumab (REGN727), an antibody to Proprotein Convertase Subtilisin/Kexin type 9 (PCSK9), which is being developed for low-density lipoprotein (LDL) cholesterol reduction;</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Dupilumab (REGN668), an antibody to the interleukin-4 receptor alpha (IL-4R), which is being developed in atopic dermatitis, asthma, and nasal polyposis;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Enoticumab (REGN421), an antibody to Delta-like ligand-4 (Dll4), a novel angiogenesis target, which is being developed in oncology;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Nesvacumab (REGN910), an antibody to angiopoietin-2 (Ang2), another novel angiogenesis target, which is being developed in oncology;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REGN1033, an antibody to myostatin (GDF8), which is being developed in skeletal muscle disorders;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REGN2009, an antibody in clinical development against an undisclosed target.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developing the following six antibody product candidates independently:</w:t>
      </w:r>
    </w:p>
    <w:p>
      <w:pPr>
        <w:spacing w:after="0" w:line="14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REGN1400, an antibody to ErbB3, which is being developed in oncology;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REGN1154,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REGN1500,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REGN1193,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REGN1908-1909, an antibody combination in clinical development against an undisclosed target;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Fasinumab (REGN475), an antibody to Nerve Growth Factor (NGF), which is being developed for the treatment of pain and is currently on clinical hold by the FDA.</w:t>
      </w:r>
    </w:p>
    <w:p>
      <w:pPr>
        <w:spacing w:after="0" w:line="184"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In addition, REGN2176-3, a combination product that is comprised of an antibody to Platelet Derived Growth Factor Receptor Beta (PDGFR-beta) co-formulated with EYLEA for use in ophthalmology, entered clinical development in the first quarter of 2014, and is being developed in collaboration with Bayer HealthCare.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Development of REGN846, which completed a Phase 1 study against an undisclosed target, was discontinued in the second quarter of 2013.</w:t>
      </w:r>
    </w:p>
    <w:p>
      <w:pPr>
        <w:spacing w:after="0" w:line="29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201" w:lineRule="exact"/>
        <w:rPr>
          <w:sz w:val="20"/>
          <w:szCs w:val="20"/>
          <w:color w:val="auto"/>
        </w:rPr>
      </w:pPr>
    </w:p>
    <w:p>
      <w:pPr>
        <w:jc w:val="both"/>
        <w:ind w:firstLine="243"/>
        <w:spacing w:after="0" w:line="20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25"/>
          <w:szCs w:val="25"/>
          <w:color w:val="auto"/>
          <w:vertAlign w:val="superscript"/>
        </w:rPr>
        <w:t>®</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6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recently launched a new human genetics initiative via a wholly owned subsidiary, Regeneron Genetics Center LLC (RGC). RGC will perform sequencing and genotyping to generate de-identified genomic data. The objective of RGC is to expand the use of human genetics for discovering and validating genetic factors that cause or influence a range of diseases where there are major unmet medical needs, with the prospect of improving the drug discovery and development process. RGC intends to pursue both large population-based efforts as well as family-based approaches.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EYLEA - Ophthalmologic Diseases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In CRVO and BRVO, a blockage occurs in the main blood vessel that transports deoxygenated blood away from the retina. VEGF levels are elevated in response, contributing to macular edema. For clinically significant DME, VEGF-mediated leakage of fluid from blood vessels in the eye results in interference with vision.</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EYLEA is being evaluated in Phase 3 programs in patients with DME and macular edema following BRVO.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August 2013, we and Bayer HealthCare announced that in the Phase 3 VISTA-DME and VIVID-DME trials of EYLEA for the treatment of DME, EYLEA 2 milligrams (mg) dosed monthly and EYLEA 2 mg dosed every two months (after 5 initial monthly injections) achieved the primary endpoint of a significantly greater improvement in best-corrected visual acuity (BCVA) from</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baseline compared to laser photocoagulation at 52 weeks. Both EYLEA treatment arms demonstrated similar improvements in BCVA. Based on the positive results of these studies, during the fourth quarter of 2013, we submitted a supplemental BLA for U.S. regulatory approval of EYLEA in DME. the target date for an FDA decision on the supplemental BLA is August 18, 2014. Bayer HealthCare also submitted an application for marketing approval for the treatment of DME in the EU in the fourth quarter of 2013.</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conducting the VISTA-DME study in the United States. Bayer HealthCare is conducting the VIVID-DME study in Europe, Japan, and Australia. Both of these Phase 3 trials were initiated in the second quarter of 2011, and are similarly designed, randomized, double-masked, active control trials to evaluate the safety and efficacy of EYLEA in patients with DME. Patients in both trials were randomized to receive either EYLEA 2 mg monthly, EYLEA 2 mg every two months (after 5 initial monthly injections), or the comparator treatment of laser photocoagulation.</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VISTA-DME trial, after one year patients receiving EYLEA 2 mg monthly had a mean change from baseline in BCVA of 12.5 letters (p&lt;0.0001 compared to laser) and patients receiving EYLEA 2 mg every other month (after 5 initial monthly injections) had a mean change from baseline in BCVA of 10.7 letters (p&lt;0.0001 compared to laser), compared to patients receiving laser photocoagulation who had a mean change from baseline in BCVA of 0.2 letters. In the VIVID-DME trial, after one year patients receiving EYLEA 2 mg monthly had a mean change from baseline in BCVA of 10.5 letters (p&lt;0.0001 compared to laser) and patients receiving EYLEA 2 mg every other month (after 5 initial monthly injections) had a mean change from baseline in BCVA of 10.7 letters (p&lt;0.0001 compared to laser), compared to patients receiving laser photocoagulation who had a mean change from baseline in BCVA of 1.2 letters.</w:t>
      </w:r>
    </w:p>
    <w:p>
      <w:pPr>
        <w:spacing w:after="0" w:line="24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addition, in February 2014, we and Bayer HealthCare announced that in the Phase 3 VISTA-DME trial of EYLEA for the treatment of DME, EYLEA 2 mg dosed monthly and EYLEA 2 mg dosed every two months (after 5 initial monthly injections) showed a sustained improvement from baseline in BCVA at week 100, compared to laser photocoagulation. After two years, patients receiving EYLEA 2 mg monthly had a mean change from baseline in BCVA of 11.5 letters and patients receiving EYLEA 2 mg every other month (after 5 initial monthly injections) had a mean change from baseline in BCVA of 11.1 letters, compared to patients receiving laser photocoagulation who had a mean change from baseline in BCVA of 0.9 letters.</w:t>
      </w:r>
    </w:p>
    <w:p>
      <w:pPr>
        <w:spacing w:after="0" w:line="2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these trials, EYLEA was generally well tolerated with a similar overall incidence of adverse events (AEs), ocular serious AEs, and non-ocular serious AEs across the treatment groups and the laser control group. Arterial thromboembolic events as defined by the Anti-Platelet Trialists' Collaboration (non-fatal stroke, non-fatal myocardial infarction, and vascular death) also occurred at similar rates across the treatment groups and the laser control group. AEs were typical of those seen in other studies in patients with diabetes receiving intravitreal anti-VEGF therapy. The most frequent ocular treatment emergent AEs (TEAEs) observed in the VIVID-DME and VISTA-DME trials included conjunctival hemorrhage, eye pain, and vitreous floaters. The most frequent non-ocular TEAEs included hypertension, nasopharyngitis, anemia, and urinary tract infection, which occurred with similar frequency in the treatment groups and the laser control group.</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Full one-year data from the VIVID-DME and VISTA-DME trials were presented at the Retina Society and EURETINA medical conferences in September 2013. Both trials are planned to continue up to 148 weeks. An additional Phase 3 safety study in Japan (VIVID-Japan) was initiated in the first quarter of 2012 and is required for approval in Japan. In February 2013, we and Bayer HealthCare also initiated another Phase 3 study to evaluate the efficacy and safety of EYLEA in DME in Russia, China, and other Asian countries (VIVID EAST-DME).</w:t>
      </w:r>
    </w:p>
    <w:p>
      <w:pPr>
        <w:spacing w:after="0" w:line="24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fourth quarter of 2011, we and Bayer HealthCare initiated a Phase 3 trial in China evaluating the efficacy and safety of EYLEA in wet AMD (SIGHT). The trial is fully enrolled.</w:t>
      </w:r>
    </w:p>
    <w:p>
      <w:pPr>
        <w:spacing w:after="0" w:line="224"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the second quarter of 2012, we initiated a multinational study (VIBRANT) of EYLEA in patients with macular edema following BRVO. In October 2013, we reported positive, top line results from the VIBRANT trial. In this trial, 53% of patients who received EYLEA 2 mg every four weeks gained at least 15 letters in vision from baseline at week 24, the primary endpoint of the study, compared to 27% of patients who received laser, a standard-of-care treatment (p&lt;0.001). Patients who received EYLEA 2 mg every four weeks achieved a 17.0 letter mean improvement over baseline in BCVA compared to a 6.9 letter mean improvement in patients who received laser (p&lt;0.0001), a key secondary endpoint. VIBRANT is the first Phase 3 trial in this indication in which an anti-VEGF agent was directly compared to an active comparator. The incidence of serious AEs (SAEs) was 9.9% in the EYLEA group and 9.8% in the laser group. One death and one Anti-Platelet Trialists’ Collaboration (APTC) defined event (non-fatal stroke) occurred during the trial, both in patients in the laser group. The most common ocular adverse events in the EYLEA treated patients were conjunctival hemorrhage and eye pain. There were no cases of intraocular inflammation. There was one ocular SAE in a patient in the EYLEA group, which was a traumatic cataract. The Phase 3 VIBRANT results were presented during the annual meeting of the American Academy of Ophthalmology (AAO) held in November 2013 in New Orleans.</w:t>
      </w:r>
    </w:p>
    <w:p>
      <w:pPr>
        <w:spacing w:after="0" w:line="22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fourth quarter of 2012, we initiated a study (RE-VIEW) to fulfill a post-marketing requirement by the FDA, which is evaluating the effect of EYLEA on corneal endothelium. The trial is fully enrolled.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June 2013, we and Bayer HealthCare announced positive top-line results for EYLEA from the Phase 3 MYRROR study in myopic choroidal neovascularization (mCNV). In this trial, patients receiving EYLEA at an initial dose of 2 mg, followed by treatment on an as-needed (PRN) basis, had a mean improvement in BCVA from baseline at week 24 of 12.1 letters, compared to a loss of 2.0 letters in patients receiving sham injections (p &lt; 0.0001). The most common adverse events observed in the MYRROR trial that occurred with a frequency of 2% or more were conjunctival hemorrhage, dry eye, eye pain, headache, and nasopharyngitis. Bayer HealthCare submitted its first application for regulatory approval for this indication in Japan in the fourth quarter of 2013.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ZALTRAP (ziv-aflibercept) - Oncology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ZALTRAP is a fusion protein that is designed to bind all forms of VEGF-A, VEGF-B, and P1GF, and prevent their interaction with cell surface receptors.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VEGF-A (and to a lesser degree, P1GF) is required for angiogenesis that is needed for tumors to grow.</w:t>
      </w:r>
    </w:p>
    <w:p>
      <w:pPr>
        <w:spacing w:after="0" w:line="26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During the third quarter of 2012, we and Sanofi initiated a Phase 1b study of a combination of ZALTRAP and our angiopoietin-2 inhibitor (nesvacumab) in patients with advanced solid malignancies.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Sarilumab (REGN88; IL-6R Antibody) for inflammatory diseases</w:t>
      </w:r>
    </w:p>
    <w:p>
      <w:pPr>
        <w:spacing w:after="0" w:line="279" w:lineRule="exact"/>
        <w:rPr>
          <w:sz w:val="20"/>
          <w:szCs w:val="20"/>
          <w:color w:val="auto"/>
        </w:rPr>
      </w:pPr>
    </w:p>
    <w:p>
      <w:pPr>
        <w:jc w:val="both"/>
        <w:ind w:firstLine="216"/>
        <w:spacing w:after="0" w:line="226" w:lineRule="auto"/>
        <w:rPr>
          <w:sz w:val="20"/>
          <w:szCs w:val="20"/>
          <w:color w:val="auto"/>
        </w:rPr>
      </w:pPr>
      <w:r>
        <w:rPr>
          <w:rFonts w:ascii="Arial" w:cs="Arial" w:eastAsia="Arial" w:hAnsi="Arial"/>
          <w:sz w:val="18"/>
          <w:szCs w:val="18"/>
          <w:color w:val="auto"/>
        </w:rPr>
        <w:t>IL-6 is a key cytokine involved in the pathogenesis of rheumatoid arthritis (RA), causing inflammation and joint destruction. A therapeutic antibody to IL-6R, ACTEMRA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(tocilizumab), a registered trademark of Chugai Seiyaku Kabushiki Kaisha, has been approved for the treatment of rheumatoid arthritis.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5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the fourth quarter of 2013, we and Sanofi announced that in the SARIL-RA-MOBILITY Phase 3 clinical trial in adult patients with active RA who were inadequate responders to MTX therapy, sarilumab treatment in combination with MTX improved disease signs and symptoms as well as physical function, and inhibited progression of joint damage. The 52 week SARIL-RA-MOBILITY Phase 3 trial enrolled approximately 1,200 patients with active, moderate-to-severe rheumatoid arthritis, and who were inadequate responders to MTX therapy. Patients were randomized to one of three subcutaneous treatment groups, all in combination with MTX and dosed every other week: sarilumab 200 mg, sarilumab 150 mg, or placebo. Both sarilumab groups showed clinically relevant and statistically significant improvements compared to the placebo group in all three co-primary endpoints (p &lt; 0.0001).</w:t>
      </w:r>
    </w:p>
    <w:p>
      <w:pPr>
        <w:spacing w:after="0" w:line="21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SARIL-RA-MOBILITY trial, there was a higher incidence of treatment emergent adverse events leading to withdrawal in the sarilumab treatment groups compared to placebo (13.9 percent in 200 mg, 12.5 percent in 150 mg and 4.7 percent in placebo). Infections were the most frequently reported adverse events and were reported with a higher incidence in the sarilumab groups compared to placebo, all in combination with MTX (39.6 percent for 200 mg, 40.1 percent for the 150 mg group and 31.1 percent for placebo). The incidence of serious infections was 4.0 percent in the 200 mg + MTX group, 2.6 percent in the 150 mg + MTX group, and 2.3 percent in the placebo + MTX group. Among patients treated with sarilumab, a dose dependent decrease in mean neutrophil counts was observed. Serious infections were not associated with grades 3 and 4 neutropenia in this study. Increases in mean LDL cholesterol, and transaminases were observed. These safety findings were consistent with those observed in prior investigational studies with sarilumab.</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analyses of efficacy and safety data from the SARIL-RA-MOBILITY study will be presented at a future medical conference.</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and Sanofi have also initiated additional Phase 3 studies, SARIL-RA-TARGET, SARIL-RA-COMPARE, and SARIL-RA- ASCERTAIN. The broad SARIL-RA clinical development program is focused on adult populations with moderate-to-severe RA who are inadequate responders to either MTX or tumor necrosis factor alpha (TNF-alpha) inhibitor therapy. SARIL-RA-TARGET is a randomized, double-blind, placebo-controlled study evaluating sarilumab in combination with non-biologic, disease-modifying anti-rheumatic drugs (DMARDS) in moderate-to-severe active RA patients with inadequate responses to, or who are intolerant of, one or more TNF-alpha inhibitors. The SARIL-RA-COMPARE study is evaluating the safety and efficacy of sarilumab plus MTX compared to etanercept (a TNF-alpha inhibitor) plus MTX in adult patients with moderate-to-severe RA who demonstrate an inadequate response to adalimumab as their first TNF-alpha inhibitor therapy. The SARIL-RA-ASCERTAIN study is a safety study evaluating the safety and tolerability of sarilumab versus a calibrator, tocilizumab, both in combination with MTX, in patients with RA who are inadequate responders to, or intolerant of, TNF-alpha inhibitors. Patients who complete SARIL-RA-MOBILITY, SARIL-RA-TARGET, or SARIL-RA-ASCERTAIN are offered enrollment into the ongoing SARIL-RA-EXTEND, which is an open-label, long-term safety study of sarilumab.</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Phase 1 study was initiated in the second quarter of 2013 in Japan assessing the safety and tolerability of sarilumab in patients with RA.</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addition, a Phase 2 study, SARIL-NIU-SATURN, was initiated in the fourth quarter of 2013 and is a placebo-controlled proof of concept study evaluating the safety and efficacy of sarilumab in non-infectious uveitis.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Alirocumab (REGN727; PCSK9 Antibody) for LDL cholesterol reduction</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Elevated LDL cholesterol (“bad cholesterol”) level is a validated risk factor leading to cardiovascular disease. Statins are a class of drugs that lower LDL through inhibition of HMG-CoA, an enzyme regulating the early and rate-limiting step in cholesterol biosynthesis that ultimately results in an increase in LDL receptors to increase the uptake of plasma LDL lipoproteins. PCSK9 is a secreted protein that plays a key role in modulating LDL cholesterol (LDL-C) levels in the body. PCSK9 binds to and induces the destruction of the LDL receptor, thereby interfering with cellular uptake and increasing circulating levels of LDL cholesterol. In a landmark study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generate a fully human monoclonal antibody inhibitor of PCSK9, called alirocumab, that is intended to lower LDL cholesterol.</w:t>
      </w:r>
    </w:p>
    <w:p>
      <w:pPr>
        <w:spacing w:after="0" w:line="246"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Alirocumab has been studied in three Phase 2 clinical studies, two in patients with primary hypercholesterolemia and one in patients with heterozygous familial hypercholesterolemia (heFH). In the Phase 2 studies, alirocumab significantly reduced LDL-C from baseline up to 72% on top of standard of care statin therapy. Consistent and robust reductions in other lipid parameters, including a reduction in lipoprotein-a (Lp(a)) were also observed. Lp(a) is another form of bad cholesterol which is believed to be a risk factor for coronary heart disease and strokes when elevated. In the Phase 2 program, injection site reactions were the most common adverse events with alirocumab, and were rare. Rare cases of hypersensitivity reaction were also reported. Serious adverse events were reported in 1.8% of patients in the active treatment arms and 2.6% of patients in the placebo groups.</w:t>
      </w:r>
    </w:p>
    <w:p>
      <w:pPr>
        <w:spacing w:after="0" w:line="21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and Sanofi initiated the global Phase 3 ODYSSEY program for alirocumab in the second quarter of 2012. The ODYSSEY program is expected to enroll more than 23,000 patients. This includes eleven clinical trials evaluating the effect of alirocumab, dosed every two weeks, on lowering LDL cholesterol. In addition, the 18,000 patient ODYSSEY OUTCOMES trial, assessing reduction in serious cardiovascular events, is currently enrolling patients, while the other trials exploring every two week dosing in the ODYSSEY program are fully enrolled. LDL cholesterol reduction is expected to be the primary efficacy endpoint for initial regulatory filings. Also, two trials of alirocumab dosed every four weeks, ODYSSEY CHOICE I and CHOICE II, were initiated in the fourth quarter of 2013 and the first quarter of 2014, respectively. The ODYSSEY studies are being conducted in clinical centers around the world including the United States, Canada, Western and Eastern Europe, South America, Australia, and Asia.</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first trial to report data from the Phase 3 ODYSSEY program was the ODYSSEY MONO trial (in the fourth quarter of 2013), which evaluated the efficacy and safety of alirocumab monotherapy versus ezetimibe monotherapy in patients with primary hypercholesterolemia. The study achieved its primary efficacy endpoint and demonstrated that patients randomized to receive alirocumab monotherapy experienced a mean reduction in LDL-C levels of 47.2% from baseline to week 24, compared to 15.6% in patients receiving ezetimibe monotherapy (p&lt;0.0001). In the trial, which employed a dose increase (up-titration) for patients who did not achieve an LDL-C level of 70 milligrams/deciliter (mg/dL), the majority of patients remained on the initial low dose of alirocumab of 75 mg. The percentage of patients who reported TEAEs was 78.4% in the ezetimibe group and 69.2% in the alirocumab group. The most common class of AEs was infections (39.2% with ezetimibe vs. 42.3% with alirocumab), which included nasopharyngitis, influenza, and upper respiratory tract infection. Injection-site reactions occurred in less than 2% of patients in both groups. Muscle-related AEs occurred in 3.9% of patients treated with ezetimibe and 3.8% of patients treated with alirocumab.</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Dupilumab (REGN668; IL-4R Antibody) for allergic and immune conditions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dermatitis and asthma. Dupilumab is a fully human monoclonal antibody generated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that is designed to bind to IL-4R.</w:t>
      </w:r>
    </w:p>
    <w:p>
      <w:pPr>
        <w:spacing w:after="0" w:line="20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Dupilumab demonstrated positive proof of concept in patients with atopic dermatitis and asthma. Data from two Phase 1b trials in atopic dermatitis were presented at the American Academy of Dermatology annual meeting in March 2013. The efficacy data showed that treatment with four weekly subcutaneous injections of dupilumab at either 150 mg or 300 mg per week, significantly improved the signs and symptoms of patients with moderate-to-severe atopic dermatitis whose disease was not adequately controlled with topical medications. The most common AEs were nasopharyngitis (19.6% vs 12.5% for placebo) and headache (11.8% vs 6.3% for placebo).</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Data from a Phase 2a trial in asthma patients with elevated eosinophils were presented at the American Thoracic Society in May 2013, and were also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in June 2013. In this study, patients receiving dupilumab at 300 mg weekly for 12 weeks experienced an 87% reduction in the incidence of asthma exacerbations compared to patients receiving placebo (p&lt;0.0001). Clinically meaningful and statistically significant improvements were observed for lung function and other asthma control parameters, such as forced expiratory volume over one second (FEV</w:t>
      </w:r>
      <w:r>
        <w:rPr>
          <w:rFonts w:ascii="Arial" w:cs="Arial" w:eastAsia="Arial" w:hAnsi="Arial"/>
          <w:sz w:val="11"/>
          <w:szCs w:val="11"/>
          <w:color w:val="auto"/>
        </w:rPr>
        <w:t>1</w:t>
      </w:r>
      <w:r>
        <w:rPr>
          <w:rFonts w:ascii="Arial" w:cs="Arial" w:eastAsia="Arial" w:hAnsi="Arial"/>
          <w:sz w:val="16"/>
          <w:szCs w:val="16"/>
          <w:color w:val="auto"/>
        </w:rPr>
        <w:t>) (difference from baseline to week 12 between dupilumab and placebo of 0.27 L, p &lt; 0.001). TEAEs were reported by a similar proportion of patients in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groups (76.9% placebo; 80.8% dupilumab). AEs were generally non-specific and of mild-to-moderate intensity. The most common AEs for placebo and dupilumab were injection-site reaction (9.6% and 28.8%), nasopharyngitis (3.8% and 13.5%), upper respiratory tract infection (17.3% and 13.5%), headache (5.8% and 11.5%) and nausea (1.9% and 7.7%).</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Data from a 4-week Phase 2 trial in atopic dermatitis were presented at the 22nd Congress of the European Academy of Dermatology and Venereology in October 2013.</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second quarter of 2013, Phase 2b trials in atopic dermatitis and asthma were initiated. The Phase 2b asthma trial is currently enrolling patients, while the Phase 2b atopic dermatitis trial is fully enrolled. In addition, in the third quarter of 2013, a Phase 2 study in nasal polyposis was initiated and is currently enrolling patients.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Enoticumab (REGN421; Dll4 Antibody) for advanced malignancies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Enoticumab is a fully human monoclonal antibody to Dll4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is in Phase 1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Nesvacumab (REGN910; Ang2 Antibody) for oncology and ophthalmology</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angiopoietins, which were discovered at Regeneron, are ligands for the endothelial cell receptor Tie2 and are essential for vascular development and angiogenesis. Unlike other family members, angiopoietin-2 (Ang2) is strongly upregulated by endothelial cells at sites of angiogenesis and vascular remodeling, including tumors. Enhanced anti-tumor effects have been observed in preclinical models with combined blockade of both VEGF and Ang2.</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Nesvacumab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block Ang2. Nesvacumab is in Phase 1 clinical development in oncology. In addition, during the third quarter of 2012, we and Sanofi initiated a Phase 1b study evaluating nesvacumab in combination with ZALTRAP in patients with advanced solid malignancies.</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May 2013, we acquired from Sanofi full rights to antibodies targeting the Ang2 receptor and ligand in ophthalmology, as described below. We expect to initiate a clinical study for Ang2 in ophthalmology in 2014.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REGN1033 (GDF8 Antibody)</w:t>
      </w:r>
    </w:p>
    <w:p>
      <w:pPr>
        <w:spacing w:after="0" w:line="27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 xml:space="preserve">In the first quarter of 2012, we initiated a Phase 1 clinical study for REGN1033, a fully human monoclonal GDF8 antibody generated using our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 Myostatin has been validated as a target to increase muscle mass and strength through genetic mutations in both animals and</w:t>
      </w:r>
      <w:r>
        <w:rPr>
          <w:rFonts w:ascii="Arial" w:cs="Arial" w:eastAsia="Arial" w:hAnsi="Arial"/>
          <w:sz w:val="18"/>
          <w:szCs w:val="18"/>
          <w:i w:val="1"/>
          <w:iCs w:val="1"/>
          <w:color w:val="auto"/>
        </w:rPr>
        <w:t xml:space="preserve"> </w:t>
      </w:r>
      <w:r>
        <w:rPr>
          <w:rFonts w:ascii="Arial" w:cs="Arial" w:eastAsia="Arial" w:hAnsi="Arial"/>
          <w:sz w:val="18"/>
          <w:szCs w:val="18"/>
          <w:color w:val="auto"/>
        </w:rPr>
        <w:t>humans that abrogate its bioactivity. A Phase 2 program for REGN1033 was initiated in the fourth quarter of 2013.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REGN2009</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REGN2009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the second quarter of 2013, we initiated a Phase 1 clinical study.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REGN1400 (ErbB3 Antibody) for oncology</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REGN1400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ErbB3. In the fourth quarter of 2012, REGN1400 entered into Phase 1 clinical development in oncology.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REGN1154</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REGN1154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Our Phase 1 clinical study in Australia, which was initiated in the first quarter of 2012, has been completed. We are currently evaluating next steps for this program. Sanofi did not opt-in to the REGN1154 program and we have sole global rights. Under the terms of our agreement, Sanofi is entitled to receive a mid-single digit royalty on any future sales of REGN1154.</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REGN1500</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REGN1500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the fourth quarter of 2012, we initiated a Phase 1 clinical study. Sanofi did not opt-in to the REGN1500 program and we have sole global rights. Under the terms of our agreement, Sanofi is entitled to receive a mid-single digit royalty on any future sales of REGN1500.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REGN1193</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REGN1193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A Phase 1 clinical study of REGN1193 was initiated in the second quarter of 2013. Sanofi did not opt-in to the REGN1193 program and we have sole global rights. Under the terms of our agreement, Sanofi is entitled to receive a mid-single digit royalty on any future sales of REGN1193.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REGN1908-1909</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REGN1908-1909 is a fully human monocolonal antibody combination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against an undisclosed target. A Phase 1 clinical study of REGN1908-1909 was initiated in the second quarter of 2013. Sanofi did not opt-in to the REGN1908-1909 program and we have sole global rights. Under the terms of our agreement, Sanofi is entitled to receive a mid-single digit royalty on any future sales of REGN1908-1909.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REGN2176-3 (PDGFR-beta Antibody in combination with EYLEA) for ophthalmology</w:t>
      </w:r>
    </w:p>
    <w:p>
      <w:pPr>
        <w:spacing w:after="0" w:line="27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 xml:space="preserve">REGN2176-3 is a combination product comprised of an antibody to PDGFR-beta, which was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co-formulated with EYLEA for use in ophthalmology. In February 2014, we initiated a Phase 1 clinical study of REGN2176-3 for the treatment of wet AMD.</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May 2013, we acquired from Sanofi full rights to antibodies targeting the PDGF family of receptors and ligands in ophthalmology, as described below.</w:t>
      </w:r>
    </w:p>
    <w:p>
      <w:pPr>
        <w:spacing w:after="0" w:line="3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January 2014, we and Bayer HealthCare entered into an agreement regarding the joint development and commercialization outside the United States of an antibody product candidate to PDGFR-beta, including in combination therapy with EYLEA, for the treatment of ocular diseases or disorders (including wet AMD) as described further in the "Collaborations with Bayer HealthCare" section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Fasinumab (REGN475; NGF Antibody) for pain (on clinical hold)</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Fasinumab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which is designed to block pain sensitization in neurons. Preclinical experiments indicate that fasinumab specifically binds to and blocks NGF activity and does not bind to or block cell signaling for the closely related neurotrophins NT-3 and BDNF.</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December 2012, the FDA placed fasinumab and other investigational agents targeting NGF on clinical hold based on preclinical findings with other anti-NGF agents in development. Prior to the FDA clinical hold action, we were planning to initiate late-stage clinical trials with fasinumab. There are currently no ongoing trials with fasinumab that are either enrolling or treating patients.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Sanofi elected not to continue co-development of fasinumab, and we have sole global rights. Under the terms of our agreement, Sanofi is entitled to receive a mid-single digit royalty on any future sales of fasinumab.</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Ophthalmology Development Programs from Sanofi</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2013, we acquired from Sanofi full exclusive rights to two families of novel antibodies invented at Regeneron and previously included in our antibody collaboration with Sanofi. We acquired full rights to antibodies targeting the PDGF family of receptors and ligands in ophthalmology and all other indications and to antibodies targeting the Ang2 receptor and ligand in ophthalmology.</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With respect to PDGF antibodies, we made a $10.0 million up-front payment to Sanofi in May 2013, a $5.0 million development milestone payment to Sanofi in January 2014, and are obligated to pay up to $35 million in additional potential development milestones and royalties on any future sales. With respect to Ang2 antibodies in ophthalmology, we also made a $10.0 million up-front payment to Sanofi in May 2013, and are obligated to pay a potential $5 million development milestone payment and royalties on any future sales.</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and Sanofi have agreed to continue to develop antibodies to Ang2 outside of ophthalmology under our antibody collaboration agreement, including nesvacumab, as described above.</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0"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preclinical research programs are in the areas of oncology, angiogenesis, ophthalmology, metabolic and related diseases, muscle diseases and disorders, inflammation and immune diseases, bone and cartilage, pain, cardiovascular diseases, and infectious diseases.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42"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and VelociMab</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 platform is utilized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fully human 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We have utilized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we expect to advance into clinical development later in 2014, targets CD20 and CD3.</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i w:val="1"/>
          <w:iCs w:val="1"/>
          <w:color w:val="auto"/>
        </w:rPr>
        <w:t xml:space="preserve">Regeneron Genetics Center (RGC). </w:t>
      </w:r>
      <w:r>
        <w:rPr>
          <w:rFonts w:ascii="Arial" w:cs="Arial" w:eastAsia="Arial" w:hAnsi="Arial"/>
          <w:sz w:val="18"/>
          <w:szCs w:val="18"/>
          <w:color w:val="auto"/>
        </w:rPr>
        <w:t>We recently launched a new human genetics initiative via a wholly owned subsidiary, Regeneron Genetics Center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The objective of RGC is to expand the use of human genetics for discovering and validating genetic factors that cause or influence a range of diseases where there are major unmet medical needs, with the prospect of improving the drug discovery and development process. RGC intends to pursue both large population-based efforts as well as family-based approaches.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Central to the work of RGC will be a collaboration with the Geisinger Health System of Pennsylvania. During the initial five-year collaboration term, Geisinger plans to collect samples from more than 100,000 consented patient volunteers, while RGC will perform sequencing and genotyping to generate de-identified genomic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i w:val="1"/>
          <w:iCs w:val="1"/>
          <w:color w:val="auto"/>
        </w:rPr>
        <w:t>ZALTRAP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September 2003, we and Sanofi have been parties to a global collaboration for the development and commercialization of ZALTRAP.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current terms of our collaboration agreement we and Sanofi share co-promotion rights and share profits and losses from commercialization of ZALTRAP outside of Japan. In Japan, we are entitled to receive a percentage of approximately 35% on sales of ZALTRAP, subject to certain potential adjustments.</w:t>
      </w:r>
    </w:p>
    <w:p>
      <w:pPr>
        <w:spacing w:after="0" w:line="23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the collaboration agreement, agreed upon worldwide development expenses incurred by both companies during the term of the agreement are funded by Sanofi. If the collaboration becomes profitable, we will be obligated to reimburse Sanofi out of our share of ZALTRAP profits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initially, our share of any ZALTRAP profits will be used to reimburse Sanofi for this repayment obligation.</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i w:val="1"/>
          <w:iCs w:val="1"/>
          <w:color w:val="auto"/>
        </w:rPr>
        <w:t>Antibodies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November 2007, we and Sanofi have been parties to a global, strategic collaboration to discover, develop, and commercialize 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monoclonal antibodies. The collaboration is governed by a Discovery and Preclinical Development Agreement and a License and Collaboration Agreement (each as amended). Pursuant to the collaboration, Sanofi is funding up to $160 million per year of our antibody discovery activities over the period from 2010-2017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IND or its equivalent, toxicology studies, and manufacture of preclinical and clinical supplies. Sanofi has an option to extend certain antibody development and preclinical activities relating to selected program targets for up to an additional three years after 2017.</w:t>
      </w:r>
    </w:p>
    <w:p>
      <w:pPr>
        <w:spacing w:after="0" w:line="22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Sanofi will lead commercialization activities for products developed under the license agreement, subject to our right to co-promote such products.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 HealthCare</w:t>
      </w:r>
    </w:p>
    <w:p>
      <w:pPr>
        <w:spacing w:after="0" w:line="2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HealthCare have been parties to a license and collaboration agreement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May 2012, Bayer HealthCare's Japanese subsidiary, Bayer Yakuhin, Ltd., and Santen Pharmaceutical Co., Ltd. entered into an agreement to co-promote EYLEA in Japan. In conjunction with this agreement, we and Bayer HealthCare amended our existing global license and collaboration agreement for EYLEA to convert the 50/50 profit share for Japan into an agreement under which we are entitled to receive a tiered percentage of between 33.5% and 40.0% of EYLEA annual net sales in Japan. In certain specified circumstances, the Japan arrangement may revert to a profit share arrangement.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To date, we have received $110.0 million of development milestone payments and $45.0 million of sales milestone payments from Bayer HealthCare. In addition, we may earn up to $120 million in additional sales milestone payments if twelve-month sales of EYLEA outside the United States achieve certain specified levels.</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a portion of our share of EYLEA profits outside the United States will be used to reimburse Bayer HealthCare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PDGFR-beta antibody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January 2014, we entered into a license and collaboration agreement with Bayer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the joint 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the collaboration for further development and commercialization outside the United States.</w:t>
      </w:r>
    </w:p>
    <w:p>
      <w:pPr>
        <w:spacing w:after="0" w:line="24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as described above. In that regard, Bayer HealthCare made a $2.5 million payment to us in January 2014. Further, in connection with our initial development of the PDGFR-beta antibody through completion of the first proof-of-concept study, we are eligible to receive up to $17.5 million in future development milestone payments from Bayer HealthCare, although certain of these development milestone payments could be reduced by half if Bayer HealthCare does not opt-in to the collaboration.</w:t>
      </w:r>
    </w:p>
    <w:p>
      <w:pPr>
        <w:spacing w:after="0" w:line="9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Bayer HealthCare exercises their right to opt-in to the collaboration, they will obtain exclusive commercialization rights to the product outside the United States, pay for 25% of global development costs and 50% of development costs exclusively for the territory outside the United States, pay a $20 million opt-in payment to us, pay a $20 million development milestone to us upon receipt of the first marketing approval in the European Union or Japan, share profits from sales outside the United States equally with us, and be responsible for the payment of royalties on sales outside the United States to Sanofi.</w:t>
      </w:r>
    </w:p>
    <w:p>
      <w:pPr>
        <w:spacing w:after="0" w:line="11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1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their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us and Bayer HealthCare in writing.</w:t>
      </w:r>
    </w:p>
    <w:p>
      <w:pPr>
        <w:spacing w:after="0" w:line="14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Under the agreement, Bayer HealthCare has also agreed to a “standstill” provision, which prohibits Bayer HealthCare and its affiliates from seeking to influence the control of our company or acquiring more than 20% of our then outstanding shares of Class A Stock and Common Stock (taken together). For further information regarding this provision, see Part I, Item 1A. “Risk Factors - </w:t>
      </w:r>
      <w:r>
        <w:rPr>
          <w:rFonts w:ascii="Arial" w:cs="Arial" w:eastAsia="Arial" w:hAnsi="Arial"/>
          <w:sz w:val="17"/>
          <w:szCs w:val="17"/>
          <w:i w:val="1"/>
          <w:iCs w:val="1"/>
          <w:color w:val="auto"/>
        </w:rPr>
        <w:t>The anti-takeover effects of provisions of our charter, by-laws, and of New</w:t>
      </w:r>
      <w:r>
        <w:rPr>
          <w:rFonts w:ascii="Arial" w:cs="Arial" w:eastAsia="Arial" w:hAnsi="Arial"/>
          <w:sz w:val="17"/>
          <w:szCs w:val="17"/>
          <w:color w:val="auto"/>
        </w:rPr>
        <w:t xml:space="preserve"> </w:t>
      </w:r>
      <w:r>
        <w:rPr>
          <w:rFonts w:ascii="Arial" w:cs="Arial" w:eastAsia="Arial" w:hAnsi="Arial"/>
          <w:sz w:val="17"/>
          <w:szCs w:val="17"/>
          <w:i w:val="1"/>
          <w:iCs w:val="1"/>
          <w:color w:val="auto"/>
        </w:rPr>
        <w:t>York corporate law, as well as the contractual provisions in our investor and collaboration agreements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manufacturing facilities are located in Rensselaer, New York and currently consist of three buildings totaling approximately 425,000 square feet of research, manufacturing, office, and warehouse space. We currently have approximately 54,000 liters of cell culture capacity at these facilities. A current expansion project will add 20,000 liters of cell culture capacity and 65,000 additional square feet of space once construction is completed, which is expected by 2015. At December 31, 2013, we employed approximately 750 people at our Rensselaer facilities. We also depend on a limited number of third party providers for other services with respect to our clinical and commercial product supply requirements, including product packaging, filling, and labeling.</w:t>
      </w:r>
    </w:p>
    <w:p>
      <w:pPr>
        <w:spacing w:after="0" w:line="2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July 2013, we reached preliminary agreement to acquire a 400,000 square foot facility in Limerick, Ireland, subject to entering into definitive agreements as well as securing permits from the local government in Limerick. We intend to renovate this facility to accommodate and support our growth, primarily in connection with expanding our bulk manufacturing capacity to support our global supply chain.</w:t>
      </w:r>
    </w:p>
    <w:p>
      <w:pPr>
        <w:spacing w:after="0" w:line="2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Certain raw materials or other products necessary for the manufacture and formulation of EYLEA, ZALTRAP, ARCALYST, and our product candidates are provided by single-source unaffiliated third-party suppliers. In addition, we rely on certain third parties to perform filling, finishing, distribution, laboratory testing, and other services related to the manufacture of EYLEA, ZALTRAP, ARCALYST, and our product candidates, and to supply various raw materials and other products. See Part I, Item 1A. “Risk Factors - Risks Related to Manufacturing and Supply” for further information.</w:t>
      </w:r>
    </w:p>
    <w:p>
      <w:pPr>
        <w:spacing w:after="0" w:line="20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We are approved to manufacture our marketed products at our Rensselaer facilities.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 New Products Marketing and Planning group and a Market Research group to evaluate commercial opportunities for our targets and drug candidates, assess the competitive environment, and analyze the commercial potential of our product portfolio, and prepare for market launch of new products. This group works in close collaboration with our collaborators for co-developed products to develop marketing plans and forecasts and to develop and execute pre-launch market development programs.</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also have a full-service commercialization group to handle various aspects of our EYLEA program. The group includes experienced professionals in the fields of marketing, communications, professional education, patient education and advocacy, reimbursement and managed markets, trade and distribution, commercial operations, commercial analytics, market research, and forecasting. Moreover, we have hired, trained, and deployed a field-based organization including regional sales directors, medical sales specialists, and reimbursement managers, each typically with 7 or more years of experience in the biopharmaceutical industry in a variety of therapeutic areas including oncology, ophthalmology, immunology, and inflammation. We outsource the warehousing and distribution of our finished drug products.</w:t>
      </w:r>
    </w:p>
    <w:p>
      <w:pPr>
        <w:spacing w:after="0" w:line="2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sales and marketing of ARCALYST for CAPS, we have a marketing, trade, reimbursement, and distribution group to provide case management and reimbursement services to patients with CAPS and their treating physicians.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connection with the U.S. marketing of ZALTRAP, we have a marketing and market access group to work in collaboration with Sanofi.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sell EYLEA in the United States to three distributors and several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For the years ended December 31, 2013, 2012, and 2011, we recorded 76%, 78%, and 42%, respectively, of our total gross product revenue from sales to a single distributor, Besse Medical, which is a subsidiary of AmerisourceBergen Corporation.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face substantial competition from pharmaceutical, biotechnology, and chemical companies. Our competitors include Genentech (a member of the Roche Group), Roche, Novartis AG, Pfizer Inc., Bayer HealthCare, Allergan, Inc., Eli Lilly and Company, AbbVie Inc., Sanofi, Merck &amp; Co., Inc., Amgen Inc., AstraZeneca PLC, Bristol-Myers Squibb Company, Johnson &amp; Johnson, GlaxoSmithKline plc, and others. Many of our competitors have substantially greater research, preclinical, and clinical product development and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if we are able to commercialize additional product candidates, one or more of our competitors may have brought a competitive product to market earlier than us or may have obtained or obtain patent protection that dominates or adversely affects our activities or products. Our ability to compete depends, to a great extent, on how fast we can develop safe and effective product candidates, complete clinical testing and approval processes, and supply commercial quantities of the product to the market. Competition among product candidates approved for sale is based on efficacy, safety, reliability, availability, price, patent position, and other factors.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EYLEA. </w:t>
      </w:r>
      <w:r>
        <w:rPr>
          <w:rFonts w:ascii="Arial" w:cs="Arial" w:eastAsia="Arial" w:hAnsi="Arial"/>
          <w:sz w:val="18"/>
          <w:szCs w:val="18"/>
          <w:color w:val="auto"/>
        </w:rPr>
        <w:t>The following table provides an overview of the competitive landscape for EYLEA:</w:t>
      </w:r>
    </w:p>
    <w:p>
      <w:pPr>
        <w:spacing w:after="0" w:line="200" w:lineRule="exact"/>
        <w:rPr>
          <w:sz w:val="20"/>
          <w:szCs w:val="20"/>
          <w:color w:val="auto"/>
        </w:rPr>
      </w:pPr>
    </w:p>
    <w:p>
      <w:pPr>
        <w:spacing w:after="0" w:line="23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Competitor</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Commercial or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Product/Product</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700" w:type="dxa"/>
            <w:vAlign w:val="bottom"/>
            <w:gridSpan w:val="2"/>
          </w:tcPr>
          <w:p>
            <w:pPr>
              <w:ind w:left="360"/>
              <w:spacing w:after="0"/>
              <w:rPr>
                <w:sz w:val="20"/>
                <w:szCs w:val="20"/>
                <w:color w:val="auto"/>
              </w:rPr>
            </w:pPr>
            <w:r>
              <w:rPr>
                <w:rFonts w:ascii="Arial" w:cs="Arial" w:eastAsia="Arial" w:hAnsi="Arial"/>
                <w:sz w:val="18"/>
                <w:szCs w:val="18"/>
                <w:b w:val="1"/>
                <w:bCs w:val="1"/>
                <w:color w:val="auto"/>
              </w:rPr>
              <w:t>Competitor</w:t>
            </w:r>
          </w:p>
        </w:tc>
        <w:tc>
          <w:tcPr>
            <w:tcW w:w="2040" w:type="dxa"/>
            <w:vAlign w:val="bottom"/>
            <w:gridSpan w:val="2"/>
          </w:tcPr>
          <w:p>
            <w:pPr>
              <w:ind w:left="560"/>
              <w:spacing w:after="0"/>
              <w:rPr>
                <w:sz w:val="20"/>
                <w:szCs w:val="20"/>
                <w:color w:val="auto"/>
              </w:rPr>
            </w:pPr>
            <w:r>
              <w:rPr>
                <w:rFonts w:ascii="Arial" w:cs="Arial" w:eastAsia="Arial" w:hAnsi="Arial"/>
                <w:sz w:val="18"/>
                <w:szCs w:val="18"/>
                <w:b w:val="1"/>
                <w:bCs w:val="1"/>
                <w:color w:val="auto"/>
              </w:rPr>
              <w:t>Indication</w:t>
            </w:r>
          </w:p>
        </w:tc>
        <w:tc>
          <w:tcPr>
            <w:tcW w:w="1700" w:type="dxa"/>
            <w:vAlign w:val="bottom"/>
          </w:tcPr>
          <w:p>
            <w:pPr>
              <w:ind w:left="480"/>
              <w:spacing w:after="0"/>
              <w:rPr>
                <w:sz w:val="20"/>
                <w:szCs w:val="20"/>
                <w:color w:val="auto"/>
              </w:rPr>
            </w:pPr>
            <w:r>
              <w:rPr>
                <w:rFonts w:ascii="Arial" w:cs="Arial" w:eastAsia="Arial" w:hAnsi="Arial"/>
                <w:sz w:val="18"/>
                <w:szCs w:val="18"/>
                <w:b w:val="1"/>
                <w:bCs w:val="1"/>
                <w:color w:val="auto"/>
              </w:rPr>
              <w:t>Territory</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0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8"/>
                <w:szCs w:val="18"/>
                <w:color w:val="auto"/>
              </w:rPr>
              <w:t>Lucentis</w:t>
            </w:r>
            <w:r>
              <w:rPr>
                <w:rFonts w:ascii="Arial" w:cs="Arial" w:eastAsia="Arial" w:hAnsi="Arial"/>
                <w:sz w:val="25"/>
                <w:szCs w:val="25"/>
                <w:color w:val="auto"/>
                <w:vertAlign w:val="superscript"/>
              </w:rPr>
              <w:t>®</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Novartis/Genentech</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DME,</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macular edema following</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RVO, choroidal</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neovascularization</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secondary to pathologic</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myopia, and other eye</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indications</w:t>
            </w: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(off-label)</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Used to treat wet AMD, DME,</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Genentech</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Wet AMD, DME, and</w:t>
            </w:r>
          </w:p>
        </w:tc>
        <w:tc>
          <w:tcPr>
            <w:tcW w:w="1700" w:type="dxa"/>
            <w:vAlign w:val="bottom"/>
          </w:tcPr>
          <w:p>
            <w:pPr>
              <w:ind w:left="20"/>
              <w:spacing w:after="0"/>
              <w:rPr>
                <w:sz w:val="20"/>
                <w:szCs w:val="20"/>
                <w:color w:val="auto"/>
              </w:rPr>
            </w:pPr>
            <w:r>
              <w:rPr>
                <w:rFonts w:ascii="Arial" w:cs="Arial" w:eastAsia="Arial" w:hAnsi="Arial"/>
                <w:sz w:val="18"/>
                <w:szCs w:val="18"/>
                <w:color w:val="auto"/>
              </w:rPr>
              <w:t>Sold worldwide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and macular edema following</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macular edema following</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RVO</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RVO</w:t>
            </w:r>
          </w:p>
        </w:tc>
        <w:tc>
          <w:tcPr>
            <w:tcW w:w="1700" w:type="dxa"/>
            <w:vAlign w:val="bottom"/>
          </w:tcPr>
          <w:p>
            <w:pPr>
              <w:ind w:left="20"/>
              <w:spacing w:after="0"/>
              <w:rPr>
                <w:sz w:val="20"/>
                <w:szCs w:val="20"/>
                <w:color w:val="auto"/>
              </w:rPr>
            </w:pPr>
            <w:r>
              <w:rPr>
                <w:rFonts w:ascii="Arial" w:cs="Arial" w:eastAsia="Arial" w:hAnsi="Arial"/>
                <w:sz w:val="18"/>
                <w:szCs w:val="18"/>
                <w:color w:val="auto"/>
              </w:rPr>
              <w:t>Being evaluated 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trials in the United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Kingdom, Canada,</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w w:val="98"/>
              </w:rPr>
              <w:t>Brazil, Germany, and</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other countries</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Conbercept</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 in China for wet</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Chengdu Kanghong</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 development for other eye</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Group</w:t>
            </w: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40" w:type="dxa"/>
            <w:vAlign w:val="bottom"/>
            <w:gridSpan w:val="2"/>
            <w:vMerge w:val="continue"/>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indications</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Fovista</w:t>
            </w:r>
            <w:r>
              <w:rPr>
                <w:rFonts w:ascii="Arial" w:cs="Arial" w:eastAsia="Arial" w:hAnsi="Arial"/>
                <w:sz w:val="18"/>
                <w:szCs w:val="18"/>
                <w:color w:val="auto"/>
                <w:vertAlign w:val="superscript"/>
              </w:rPr>
              <w:t>TM</w:t>
            </w:r>
            <w:r>
              <w:rPr>
                <w:rFonts w:ascii="Arial" w:cs="Arial" w:eastAsia="Arial" w:hAnsi="Arial"/>
                <w:sz w:val="18"/>
                <w:szCs w:val="18"/>
                <w:color w:val="auto"/>
              </w:rPr>
              <w:t>, an aptamer directed</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In development (Phase 3 trials</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Ophthotech</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Wet AMD</w:t>
            </w:r>
          </w:p>
        </w:tc>
        <w:tc>
          <w:tcPr>
            <w:tcW w:w="170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against PDGF-B</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initiated in 2013 evaluating</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multiple combinations of</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ind w:left="20"/>
              <w:spacing w:after="0" w:line="216" w:lineRule="exact"/>
              <w:rPr>
                <w:sz w:val="20"/>
                <w:szCs w:val="20"/>
                <w:color w:val="auto"/>
              </w:rPr>
            </w:pPr>
            <w:r>
              <w:rPr>
                <w:rFonts w:ascii="Arial" w:cs="Arial" w:eastAsia="Arial" w:hAnsi="Arial"/>
                <w:sz w:val="18"/>
                <w:szCs w:val="18"/>
                <w:color w:val="auto"/>
                <w:w w:val="97"/>
              </w:rPr>
              <w:t>Fovista</w:t>
            </w:r>
            <w:r>
              <w:rPr>
                <w:rFonts w:ascii="Arial" w:cs="Arial" w:eastAsia="Arial" w:hAnsi="Arial"/>
                <w:sz w:val="18"/>
                <w:szCs w:val="18"/>
                <w:color w:val="auto"/>
                <w:w w:val="97"/>
                <w:vertAlign w:val="superscript"/>
              </w:rPr>
              <w:t>TM</w:t>
            </w:r>
            <w:r>
              <w:rPr>
                <w:rFonts w:ascii="Arial" w:cs="Arial" w:eastAsia="Arial" w:hAnsi="Arial"/>
                <w:sz w:val="18"/>
                <w:szCs w:val="18"/>
                <w:color w:val="auto"/>
                <w:w w:val="97"/>
              </w:rPr>
              <w:t>, including Lucentis</w:t>
            </w:r>
            <w:r>
              <w:rPr>
                <w:rFonts w:ascii="Arial" w:cs="Arial" w:eastAsia="Arial" w:hAnsi="Arial"/>
                <w:sz w:val="25"/>
                <w:szCs w:val="25"/>
                <w:color w:val="auto"/>
                <w:w w:val="97"/>
                <w:vertAlign w:val="superscript"/>
              </w:rPr>
              <w:t>®</w:t>
            </w:r>
            <w:r>
              <w:rPr>
                <w:rFonts w:ascii="Arial" w:cs="Arial" w:eastAsia="Arial" w:hAnsi="Arial"/>
                <w:sz w:val="18"/>
                <w:szCs w:val="18"/>
                <w:color w:val="auto"/>
                <w:w w:val="97"/>
              </w:rPr>
              <w:t xml:space="preserve"> +</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ind w:left="20"/>
              <w:spacing w:after="0" w:line="216" w:lineRule="exact"/>
              <w:rPr>
                <w:sz w:val="20"/>
                <w:szCs w:val="20"/>
                <w:color w:val="auto"/>
              </w:rPr>
            </w:pPr>
            <w:r>
              <w:rPr>
                <w:rFonts w:ascii="Arial" w:cs="Arial" w:eastAsia="Arial" w:hAnsi="Arial"/>
                <w:sz w:val="18"/>
                <w:szCs w:val="18"/>
                <w:color w:val="auto"/>
                <w:w w:val="97"/>
              </w:rPr>
              <w:t>Fovista</w:t>
            </w:r>
            <w:r>
              <w:rPr>
                <w:rFonts w:ascii="Arial" w:cs="Arial" w:eastAsia="Arial" w:hAnsi="Arial"/>
                <w:sz w:val="18"/>
                <w:szCs w:val="18"/>
                <w:color w:val="auto"/>
                <w:w w:val="97"/>
                <w:vertAlign w:val="superscript"/>
              </w:rPr>
              <w:t>TM</w:t>
            </w:r>
            <w:r>
              <w:rPr>
                <w:rFonts w:ascii="Arial" w:cs="Arial" w:eastAsia="Arial" w:hAnsi="Arial"/>
                <w:sz w:val="18"/>
                <w:szCs w:val="18"/>
                <w:color w:val="auto"/>
                <w:w w:val="97"/>
              </w:rPr>
              <w:t>, Avastin</w:t>
            </w:r>
            <w:r>
              <w:rPr>
                <w:rFonts w:ascii="Arial" w:cs="Arial" w:eastAsia="Arial" w:hAnsi="Arial"/>
                <w:sz w:val="25"/>
                <w:szCs w:val="25"/>
                <w:color w:val="auto"/>
                <w:w w:val="97"/>
                <w:vertAlign w:val="superscript"/>
              </w:rPr>
              <w:t>®</w:t>
            </w:r>
            <w:r>
              <w:rPr>
                <w:rFonts w:ascii="Arial" w:cs="Arial" w:eastAsia="Arial" w:hAnsi="Arial"/>
                <w:sz w:val="18"/>
                <w:szCs w:val="18"/>
                <w:color w:val="auto"/>
                <w:w w:val="97"/>
              </w:rPr>
              <w:t xml:space="preserve"> + Fovista</w:t>
            </w:r>
            <w:r>
              <w:rPr>
                <w:rFonts w:ascii="Arial" w:cs="Arial" w:eastAsia="Arial" w:hAnsi="Arial"/>
                <w:sz w:val="18"/>
                <w:szCs w:val="18"/>
                <w:color w:val="auto"/>
                <w:w w:val="97"/>
                <w:vertAlign w:val="superscript"/>
              </w:rPr>
              <w:t>TM</w:t>
            </w:r>
            <w:r>
              <w:rPr>
                <w:rFonts w:ascii="Arial" w:cs="Arial" w:eastAsia="Arial" w:hAnsi="Arial"/>
                <w:sz w:val="18"/>
                <w:szCs w:val="18"/>
                <w:color w:val="auto"/>
                <w:w w:val="97"/>
              </w:rPr>
              <w: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and EYLEA + Fovista</w:t>
            </w:r>
            <w:r>
              <w:rPr>
                <w:rFonts w:ascii="Arial" w:cs="Arial" w:eastAsia="Arial" w:hAnsi="Arial"/>
                <w:sz w:val="18"/>
                <w:szCs w:val="18"/>
                <w:color w:val="auto"/>
                <w:vertAlign w:val="superscript"/>
              </w:rPr>
              <w:t>TM</w:t>
            </w:r>
            <w:r>
              <w:rPr>
                <w:rFonts w:ascii="Arial" w:cs="Arial" w:eastAsia="Arial" w:hAnsi="Arial"/>
                <w:sz w:val="14"/>
                <w:szCs w:val="14"/>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ESBA1008, a single chain</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 (Phase 2 trial</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7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antibody fragment directed against</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in 2013 comparing</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VEGF-A</w:t>
            </w:r>
          </w:p>
        </w:tc>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ESBA1008 and EYLEA)</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Anti-VEGF-A-DARPin</w:t>
            </w:r>
            <w:r>
              <w:rPr>
                <w:rFonts w:ascii="Arial" w:cs="Arial" w:eastAsia="Arial" w:hAnsi="Arial"/>
                <w:sz w:val="25"/>
                <w:szCs w:val="25"/>
                <w:color w:val="auto"/>
                <w:vertAlign w:val="superscript"/>
              </w:rPr>
              <w:t>®</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In development (Phase 2)</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Allergan</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70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Bi-specific antibody</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 (Phase 1)</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Genentech</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7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R06867461</w:t>
            </w:r>
          </w:p>
        </w:tc>
        <w:tc>
          <w:tcPr>
            <w:tcW w:w="2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Sustained Delivery</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In development (Phase 1)</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Genentech</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System</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 xml:space="preserve">The table above is not exhaustive. For additional information regarding the substantial competition EYLEA faces, see Part I, Item 1A. "Risk Factors - Risks Related to Commercialization of EYLEA - </w:t>
      </w:r>
      <w:r>
        <w:rPr>
          <w:rFonts w:ascii="Arial" w:cs="Arial" w:eastAsia="Arial" w:hAnsi="Arial"/>
          <w:sz w:val="18"/>
          <w:szCs w:val="18"/>
          <w:i w:val="1"/>
          <w:iCs w:val="1"/>
          <w:color w:val="auto"/>
        </w:rPr>
        <w:t>The commercial success of EYLEA is subject to strong</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competition</w:t>
      </w:r>
      <w:r>
        <w:rPr>
          <w:rFonts w:ascii="Arial" w:cs="Arial" w:eastAsia="Arial" w:hAnsi="Arial"/>
          <w:sz w:val="16"/>
          <w:szCs w:val="16"/>
          <w:color w:val="auto"/>
        </w:rPr>
        <w:t>" and Part I, Item 1A. "Risk Factors - Risks Related to Commercialization of Products -</w:t>
      </w:r>
      <w:r>
        <w:rPr>
          <w:rFonts w:ascii="Arial" w:cs="Arial" w:eastAsia="Arial" w:hAnsi="Arial"/>
          <w:sz w:val="16"/>
          <w:szCs w:val="16"/>
          <w:i w:val="1"/>
          <w:iCs w:val="1"/>
          <w:color w:val="auto"/>
        </w:rPr>
        <w:t xml:space="preserve"> Our marketed products are subject to significant competition, and our product candidates or new indications for our marketed products, if any are approved for marketing, may face significant competition.</w:t>
      </w:r>
      <w:r>
        <w:rPr>
          <w:rFonts w:ascii="Arial" w:cs="Arial" w:eastAsia="Arial" w:hAnsi="Arial"/>
          <w:sz w:val="16"/>
          <w:szCs w:val="16"/>
          <w:color w:val="auto"/>
        </w:rPr>
        <w:t>"</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ZALTRAP. </w:t>
      </w:r>
      <w:r>
        <w:rPr>
          <w:rFonts w:ascii="Arial" w:cs="Arial" w:eastAsia="Arial" w:hAnsi="Arial"/>
          <w:sz w:val="18"/>
          <w:szCs w:val="18"/>
          <w:color w:val="auto"/>
        </w:rPr>
        <w:t>The following table provides an overview of the competitive landscape for ZALTRAP:</w:t>
      </w:r>
    </w:p>
    <w:p>
      <w:pPr>
        <w:spacing w:after="0" w:line="200" w:lineRule="exact"/>
        <w:rPr>
          <w:sz w:val="20"/>
          <w:szCs w:val="20"/>
          <w:color w:val="auto"/>
        </w:rPr>
      </w:pP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 or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80" w:type="dxa"/>
            <w:vAlign w:val="bottom"/>
            <w:gridSpan w:val="2"/>
          </w:tcPr>
          <w:p>
            <w:pPr>
              <w:ind w:left="220"/>
              <w:spacing w:after="0"/>
              <w:rPr>
                <w:sz w:val="20"/>
                <w:szCs w:val="20"/>
                <w:color w:val="auto"/>
              </w:rPr>
            </w:pPr>
            <w:r>
              <w:rPr>
                <w:rFonts w:ascii="Arial" w:cs="Arial" w:eastAsia="Arial" w:hAnsi="Arial"/>
                <w:sz w:val="18"/>
                <w:szCs w:val="18"/>
                <w:b w:val="1"/>
                <w:bCs w:val="1"/>
                <w:color w:val="auto"/>
              </w:rPr>
              <w:t>Competitor Product/Product</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780" w:type="dxa"/>
            <w:vAlign w:val="bottom"/>
            <w:gridSpan w:val="2"/>
          </w:tcPr>
          <w:p>
            <w:pPr>
              <w:ind w:left="920"/>
              <w:spacing w:after="0"/>
              <w:rPr>
                <w:sz w:val="20"/>
                <w:szCs w:val="20"/>
                <w:color w:val="auto"/>
              </w:rPr>
            </w:pPr>
            <w:r>
              <w:rPr>
                <w:rFonts w:ascii="Arial" w:cs="Arial" w:eastAsia="Arial" w:hAnsi="Arial"/>
                <w:sz w:val="18"/>
                <w:szCs w:val="18"/>
                <w:b w:val="1"/>
                <w:bCs w:val="1"/>
                <w:color w:val="auto"/>
              </w:rPr>
              <w:t>Candidate</w:t>
            </w: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2020" w:type="dxa"/>
            <w:vAlign w:val="bottom"/>
            <w:gridSpan w:val="2"/>
          </w:tcPr>
          <w:p>
            <w:pPr>
              <w:ind w:left="500"/>
              <w:spacing w:after="0"/>
              <w:rPr>
                <w:sz w:val="20"/>
                <w:szCs w:val="20"/>
                <w:color w:val="auto"/>
              </w:rPr>
            </w:pPr>
            <w:r>
              <w:rPr>
                <w:rFonts w:ascii="Arial" w:cs="Arial" w:eastAsia="Arial" w:hAnsi="Arial"/>
                <w:sz w:val="18"/>
                <w:szCs w:val="18"/>
                <w:b w:val="1"/>
                <w:bCs w:val="1"/>
                <w:color w:val="auto"/>
              </w:rPr>
              <w:t>Competitor</w:t>
            </w: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Indication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Territory</w:t>
            </w:r>
          </w:p>
        </w:tc>
      </w:tr>
      <w:tr>
        <w:trPr>
          <w:trHeight w:val="27"/>
        </w:trPr>
        <w:tc>
          <w:tcPr>
            <w:tcW w:w="2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278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8"/>
                <w:szCs w:val="18"/>
                <w:color w:val="auto"/>
              </w:rPr>
              <w:t>Avastin</w:t>
            </w:r>
            <w:r>
              <w:rPr>
                <w:rFonts w:ascii="Arial" w:cs="Arial" w:eastAsia="Arial" w:hAnsi="Arial"/>
                <w:sz w:val="25"/>
                <w:szCs w:val="25"/>
                <w:color w:val="auto"/>
                <w:vertAlign w:val="superscript"/>
              </w:rPr>
              <w:t>®</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 and launched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Genentech</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cancers</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r>
      <w:tr>
        <w:trPr>
          <w:trHeight w:val="237"/>
        </w:trPr>
        <w:tc>
          <w:tcPr>
            <w:tcW w:w="2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 2004</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Oral medications that target tumor</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9"/>
              </w:rPr>
              <w:t>Being sold and marketed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Pfizer, Amgen (together</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Certain cancers</w:t>
            </w:r>
          </w:p>
        </w:tc>
        <w:tc>
          <w:tcPr>
            <w:tcW w:w="114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216"/>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cell growth and new vasculature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with its partner Bayer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formation that fuels growth of</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tumors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GlaxoSmithKline, and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Bayer HealthCare</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VEGF antagonists</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various phases of</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 Amgen,</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cancers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Imclone LLC/Eli Lilly,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Pfizer, AstraZeneca,</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GlaxoSmithKline, and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Aveo</w:t>
            </w: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7"/>
        </w:trPr>
        <w:tc>
          <w:tcPr>
            <w:tcW w:w="2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 table above is not exhaustive. For additional information regarding the substantial competition ZALTRAP faces, see Item 1A. "Risk Factors - Risks Related to Commercialization of Products - </w:t>
      </w:r>
      <w:r>
        <w:rPr>
          <w:rFonts w:ascii="Arial" w:cs="Arial" w:eastAsia="Arial" w:hAnsi="Arial"/>
          <w:sz w:val="18"/>
          <w:szCs w:val="18"/>
          <w:i w:val="1"/>
          <w:iCs w:val="1"/>
          <w:color w:val="auto"/>
        </w:rPr>
        <w:t>Our marketed products are subject to significant competition, and our product candidates or new indications for</w:t>
      </w:r>
      <w:r>
        <w:rPr>
          <w:rFonts w:ascii="Arial" w:cs="Arial" w:eastAsia="Arial" w:hAnsi="Arial"/>
          <w:sz w:val="18"/>
          <w:szCs w:val="18"/>
          <w:color w:val="auto"/>
        </w:rPr>
        <w:t xml:space="preserve"> </w:t>
      </w:r>
      <w:r>
        <w:rPr>
          <w:rFonts w:ascii="Arial" w:cs="Arial" w:eastAsia="Arial" w:hAnsi="Arial"/>
          <w:sz w:val="18"/>
          <w:szCs w:val="18"/>
          <w:i w:val="1"/>
          <w:iCs w:val="1"/>
          <w:color w:val="auto"/>
        </w:rPr>
        <w:t>our marketed products, if any are approved for marketing, may face significant competition</w:t>
      </w:r>
      <w:r>
        <w:rPr>
          <w:rFonts w:ascii="Arial" w:cs="Arial" w:eastAsia="Arial" w:hAnsi="Arial"/>
          <w:sz w:val="18"/>
          <w:szCs w:val="18"/>
          <w:color w:val="auto"/>
        </w:rPr>
        <w: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 xml:space="preserve">Monoclonal Antibodies. </w:t>
      </w:r>
      <w:r>
        <w:rPr>
          <w:rFonts w:ascii="Arial" w:cs="Arial" w:eastAsia="Arial" w:hAnsi="Arial"/>
          <w:sz w:val="17"/>
          <w:szCs w:val="17"/>
          <w:color w:val="auto"/>
        </w:rPr>
        <w:t>Our clinical candidates in development are all fully human monoclonal antibodies which were generated using our</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 xml:space="preserve">technology. Our antibody generation technologies and clinical candidates face competition from many pharmaceutical and biotechnology companies using various technologies. Numerous other companies are developing therapeutic antibody products. Companies such as Pfizer, Johnson &amp; Johnson, AstraZeneca, Amgen, Biogen Idec, Inc., Novartis, Genentech, Bristol-Myers Squibb, AbbVie, and GlaxoSmithKline have generated therapeutic products that are currently in development or on the market that are derived from recombinant DNA that comprise human antibody sequences. Astellas has licensed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as part of their internal antibody development programs.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an overview of the competitive landscape for our antibody programs that are in late-stage clinical development.</w:t>
      </w:r>
    </w:p>
    <w:p>
      <w:pPr>
        <w:spacing w:after="0" w:line="200" w:lineRule="exact"/>
        <w:rPr>
          <w:sz w:val="20"/>
          <w:szCs w:val="20"/>
          <w:color w:val="auto"/>
        </w:rPr>
      </w:pPr>
    </w:p>
    <w:p>
      <w:pPr>
        <w:spacing w:after="0" w:line="237"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Competitor</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 or</w:t>
            </w:r>
          </w:p>
        </w:tc>
        <w:tc>
          <w:tcPr>
            <w:tcW w:w="1480" w:type="dxa"/>
            <w:vAlign w:val="bottom"/>
          </w:tcPr>
          <w:p>
            <w:pPr>
              <w:spacing w:after="0"/>
              <w:rPr>
                <w:sz w:val="18"/>
                <w:szCs w:val="18"/>
                <w:color w:val="auto"/>
              </w:rPr>
            </w:pPr>
          </w:p>
        </w:tc>
      </w:tr>
      <w:tr>
        <w:trPr>
          <w:trHeight w:val="216"/>
        </w:trPr>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Regeneron Antibody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Product/Product</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480" w:type="dxa"/>
            <w:vAlign w:val="bottom"/>
          </w:tcPr>
          <w:p>
            <w:pPr>
              <w:spacing w:after="0"/>
              <w:rPr>
                <w:sz w:val="18"/>
                <w:szCs w:val="18"/>
                <w:color w:val="auto"/>
              </w:rPr>
            </w:pPr>
          </w:p>
        </w:tc>
      </w:tr>
      <w:tr>
        <w:trPr>
          <w:trHeight w:val="234"/>
        </w:trPr>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Program</w:t>
            </w:r>
          </w:p>
        </w:tc>
        <w:tc>
          <w:tcPr>
            <w:tcW w:w="2160" w:type="dxa"/>
            <w:vAlign w:val="bottom"/>
            <w:gridSpan w:val="2"/>
          </w:tcPr>
          <w:p>
            <w:pPr>
              <w:ind w:left="580"/>
              <w:spacing w:after="0"/>
              <w:rPr>
                <w:sz w:val="20"/>
                <w:szCs w:val="20"/>
                <w:color w:val="auto"/>
              </w:rPr>
            </w:pPr>
            <w:r>
              <w:rPr>
                <w:rFonts w:ascii="Arial" w:cs="Arial" w:eastAsia="Arial" w:hAnsi="Arial"/>
                <w:sz w:val="18"/>
                <w:szCs w:val="18"/>
                <w:b w:val="1"/>
                <w:bCs w:val="1"/>
                <w:color w:val="auto"/>
              </w:rPr>
              <w:t>Competitor</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Candidate</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480" w:type="dxa"/>
            <w:vAlign w:val="bottom"/>
          </w:tcPr>
          <w:p>
            <w:pPr>
              <w:ind w:left="480"/>
              <w:spacing w:after="0"/>
              <w:rPr>
                <w:sz w:val="20"/>
                <w:szCs w:val="20"/>
                <w:color w:val="auto"/>
              </w:rPr>
            </w:pPr>
            <w:r>
              <w:rPr>
                <w:rFonts w:ascii="Arial" w:cs="Arial" w:eastAsia="Arial" w:hAnsi="Arial"/>
                <w:sz w:val="18"/>
                <w:szCs w:val="18"/>
                <w:b w:val="1"/>
                <w:bCs w:val="1"/>
                <w:color w:val="auto"/>
              </w:rPr>
              <w:t>Target</w:t>
            </w:r>
          </w:p>
        </w:tc>
      </w:tr>
      <w:tr>
        <w:trPr>
          <w:trHeight w:val="27"/>
        </w:trPr>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Alirocumab (Phase 3)</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Evolocumab</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w:t>
            </w:r>
          </w:p>
        </w:tc>
      </w:tr>
      <w:tr>
        <w:trPr>
          <w:trHeight w:val="237"/>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Target: PCSK9</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(AMG-145)</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PCSK9</w:t>
            </w:r>
          </w:p>
        </w:tc>
      </w:tr>
      <w:tr>
        <w:trPr>
          <w:trHeight w:val="229"/>
        </w:trPr>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Pfizer</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Bococizumab</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In development</w:t>
            </w:r>
          </w:p>
        </w:tc>
        <w:tc>
          <w:tcPr>
            <w:tcW w:w="1480" w:type="dxa"/>
            <w:vAlign w:val="bottom"/>
          </w:tcPr>
          <w:p>
            <w:pPr>
              <w:ind w:left="20"/>
              <w:spacing w:after="0"/>
              <w:rPr>
                <w:sz w:val="20"/>
                <w:szCs w:val="20"/>
                <w:color w:val="auto"/>
              </w:rPr>
            </w:pPr>
            <w:r>
              <w:rPr>
                <w:rFonts w:ascii="Arial" w:cs="Arial" w:eastAsia="Arial" w:hAnsi="Arial"/>
                <w:sz w:val="18"/>
                <w:szCs w:val="18"/>
                <w:color w:val="auto"/>
              </w:rPr>
              <w:t>Antibody against</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(RN316 / PF-</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(Phase 3)</w:t>
            </w:r>
          </w:p>
        </w:tc>
        <w:tc>
          <w:tcPr>
            <w:tcW w:w="1480" w:type="dxa"/>
            <w:vAlign w:val="bottom"/>
          </w:tcPr>
          <w:p>
            <w:pPr>
              <w:ind w:left="20"/>
              <w:spacing w:after="0"/>
              <w:rPr>
                <w:sz w:val="20"/>
                <w:szCs w:val="20"/>
                <w:color w:val="auto"/>
              </w:rPr>
            </w:pPr>
            <w:r>
              <w:rPr>
                <w:rFonts w:ascii="Arial" w:cs="Arial" w:eastAsia="Arial" w:hAnsi="Arial"/>
                <w:sz w:val="18"/>
                <w:szCs w:val="18"/>
                <w:color w:val="auto"/>
              </w:rPr>
              <w:t>PCSK9</w:t>
            </w:r>
          </w:p>
        </w:tc>
      </w:tr>
      <w:tr>
        <w:trPr>
          <w:trHeight w:val="230"/>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04950615</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Genentech</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RG7652</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w:t>
            </w:r>
          </w:p>
        </w:tc>
      </w:tr>
      <w:tr>
        <w:trPr>
          <w:trHeight w:val="237"/>
        </w:trPr>
        <w:tc>
          <w:tcPr>
            <w:tcW w:w="2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(Phase 2)</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PCSK9</w:t>
            </w:r>
          </w:p>
        </w:tc>
      </w:tr>
      <w:tr>
        <w:trPr>
          <w:trHeight w:val="229"/>
        </w:trPr>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Eli Lilly</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LY3015014</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In development</w:t>
            </w:r>
          </w:p>
        </w:tc>
        <w:tc>
          <w:tcPr>
            <w:tcW w:w="1480" w:type="dxa"/>
            <w:vAlign w:val="bottom"/>
          </w:tcPr>
          <w:p>
            <w:pPr>
              <w:ind w:left="20"/>
              <w:spacing w:after="0"/>
              <w:rPr>
                <w:sz w:val="20"/>
                <w:szCs w:val="20"/>
                <w:color w:val="auto"/>
              </w:rPr>
            </w:pPr>
            <w:r>
              <w:rPr>
                <w:rFonts w:ascii="Arial" w:cs="Arial" w:eastAsia="Arial" w:hAnsi="Arial"/>
                <w:sz w:val="18"/>
                <w:szCs w:val="18"/>
                <w:color w:val="auto"/>
              </w:rPr>
              <w:t>Antibody against</w:t>
            </w:r>
          </w:p>
        </w:tc>
      </w:tr>
      <w:tr>
        <w:trPr>
          <w:trHeight w:val="230"/>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(Phase 2)</w:t>
            </w:r>
          </w:p>
        </w:tc>
        <w:tc>
          <w:tcPr>
            <w:tcW w:w="1480" w:type="dxa"/>
            <w:vAlign w:val="bottom"/>
          </w:tcPr>
          <w:p>
            <w:pPr>
              <w:ind w:left="20"/>
              <w:spacing w:after="0"/>
              <w:rPr>
                <w:sz w:val="20"/>
                <w:szCs w:val="20"/>
                <w:color w:val="auto"/>
              </w:rPr>
            </w:pPr>
            <w:r>
              <w:rPr>
                <w:rFonts w:ascii="Arial" w:cs="Arial" w:eastAsia="Arial" w:hAnsi="Arial"/>
                <w:sz w:val="18"/>
                <w:szCs w:val="18"/>
                <w:color w:val="auto"/>
              </w:rPr>
              <w:t>PCSK9</w:t>
            </w: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Bristol-Myers Squibb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BMS-962476</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Adnectin against</w:t>
            </w:r>
          </w:p>
        </w:tc>
      </w:tr>
      <w:tr>
        <w:trPr>
          <w:trHeight w:val="237"/>
        </w:trPr>
        <w:tc>
          <w:tcPr>
            <w:tcW w:w="2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(Phase 1)</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PCSK9</w:t>
            </w:r>
          </w:p>
        </w:tc>
      </w:tr>
      <w:tr>
        <w:trPr>
          <w:trHeight w:val="229"/>
        </w:trPr>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Alnylam (in partnership</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ALN-PCS</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In development</w:t>
            </w:r>
          </w:p>
        </w:tc>
        <w:tc>
          <w:tcPr>
            <w:tcW w:w="1480" w:type="dxa"/>
            <w:vAlign w:val="bottom"/>
          </w:tcPr>
          <w:p>
            <w:pPr>
              <w:ind w:left="20"/>
              <w:spacing w:after="0"/>
              <w:rPr>
                <w:sz w:val="20"/>
                <w:szCs w:val="20"/>
                <w:color w:val="auto"/>
              </w:rPr>
            </w:pPr>
            <w:r>
              <w:rPr>
                <w:rFonts w:ascii="Arial" w:cs="Arial" w:eastAsia="Arial" w:hAnsi="Arial"/>
                <w:sz w:val="18"/>
                <w:szCs w:val="18"/>
                <w:color w:val="auto"/>
              </w:rPr>
              <w:t>RNAi against</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with The Medicines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PCSK9</w:t>
            </w:r>
          </w:p>
        </w:tc>
      </w:tr>
      <w:tr>
        <w:trPr>
          <w:trHeight w:val="230"/>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621"/>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Competitor</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Commercial or</w:t>
            </w:r>
          </w:p>
        </w:tc>
        <w:tc>
          <w:tcPr>
            <w:tcW w:w="1640" w:type="dxa"/>
            <w:vAlign w:val="bottom"/>
          </w:tcPr>
          <w:p>
            <w:pPr>
              <w:spacing w:after="0"/>
              <w:rPr>
                <w:sz w:val="18"/>
                <w:szCs w:val="18"/>
                <w:color w:val="auto"/>
              </w:rPr>
            </w:pPr>
          </w:p>
        </w:tc>
      </w:tr>
      <w:tr>
        <w:trPr>
          <w:trHeight w:val="216"/>
        </w:trPr>
        <w:tc>
          <w:tcPr>
            <w:tcW w:w="2300" w:type="dxa"/>
            <w:vAlign w:val="bottom"/>
            <w:gridSpan w:val="2"/>
          </w:tcPr>
          <w:p>
            <w:pPr>
              <w:ind w:left="300"/>
              <w:spacing w:after="0"/>
              <w:rPr>
                <w:sz w:val="20"/>
                <w:szCs w:val="20"/>
                <w:color w:val="auto"/>
              </w:rPr>
            </w:pPr>
            <w:r>
              <w:rPr>
                <w:rFonts w:ascii="Arial" w:cs="Arial" w:eastAsia="Arial" w:hAnsi="Arial"/>
                <w:sz w:val="18"/>
                <w:szCs w:val="18"/>
                <w:b w:val="1"/>
                <w:bCs w:val="1"/>
                <w:color w:val="auto"/>
              </w:rPr>
              <w:t>Regeneron Antibody</w:t>
            </w:r>
          </w:p>
        </w:tc>
        <w:tc>
          <w:tcPr>
            <w:tcW w:w="20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Product/Product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Development</w:t>
            </w:r>
          </w:p>
        </w:tc>
        <w:tc>
          <w:tcPr>
            <w:tcW w:w="1640" w:type="dxa"/>
            <w:vAlign w:val="bottom"/>
          </w:tcPr>
          <w:p>
            <w:pPr>
              <w:spacing w:after="0"/>
              <w:rPr>
                <w:sz w:val="18"/>
                <w:szCs w:val="18"/>
                <w:color w:val="auto"/>
              </w:rPr>
            </w:pPr>
          </w:p>
        </w:tc>
      </w:tr>
      <w:tr>
        <w:trPr>
          <w:trHeight w:val="234"/>
        </w:trPr>
        <w:tc>
          <w:tcPr>
            <w:tcW w:w="2300" w:type="dxa"/>
            <w:vAlign w:val="bottom"/>
            <w:gridSpan w:val="2"/>
          </w:tcPr>
          <w:p>
            <w:pPr>
              <w:ind w:left="760"/>
              <w:spacing w:after="0"/>
              <w:rPr>
                <w:sz w:val="20"/>
                <w:szCs w:val="20"/>
                <w:color w:val="auto"/>
              </w:rPr>
            </w:pPr>
            <w:r>
              <w:rPr>
                <w:rFonts w:ascii="Arial" w:cs="Arial" w:eastAsia="Arial" w:hAnsi="Arial"/>
                <w:sz w:val="18"/>
                <w:szCs w:val="18"/>
                <w:b w:val="1"/>
                <w:bCs w:val="1"/>
                <w:color w:val="auto"/>
              </w:rPr>
              <w:t>Program</w:t>
            </w:r>
          </w:p>
        </w:tc>
        <w:tc>
          <w:tcPr>
            <w:tcW w:w="2020" w:type="dxa"/>
            <w:vAlign w:val="bottom"/>
          </w:tcPr>
          <w:p>
            <w:pPr>
              <w:ind w:left="580"/>
              <w:spacing w:after="0"/>
              <w:rPr>
                <w:sz w:val="20"/>
                <w:szCs w:val="20"/>
                <w:color w:val="auto"/>
              </w:rPr>
            </w:pPr>
            <w:r>
              <w:rPr>
                <w:rFonts w:ascii="Arial" w:cs="Arial" w:eastAsia="Arial" w:hAnsi="Arial"/>
                <w:sz w:val="18"/>
                <w:szCs w:val="18"/>
                <w:b w:val="1"/>
                <w:bCs w:val="1"/>
                <w:color w:val="auto"/>
              </w:rPr>
              <w:t>Competitor</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Candidate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640" w:type="dxa"/>
            <w:vAlign w:val="bottom"/>
          </w:tcPr>
          <w:p>
            <w:pPr>
              <w:ind w:left="660"/>
              <w:spacing w:after="0"/>
              <w:rPr>
                <w:sz w:val="20"/>
                <w:szCs w:val="20"/>
                <w:color w:val="auto"/>
              </w:rPr>
            </w:pPr>
            <w:r>
              <w:rPr>
                <w:rFonts w:ascii="Arial" w:cs="Arial" w:eastAsia="Arial" w:hAnsi="Arial"/>
                <w:sz w:val="18"/>
                <w:szCs w:val="18"/>
                <w:b w:val="1"/>
                <w:bCs w:val="1"/>
                <w:color w:val="auto"/>
              </w:rPr>
              <w:t>Target</w:t>
            </w:r>
          </w:p>
        </w:tc>
      </w:tr>
      <w:tr>
        <w:trPr>
          <w:trHeight w:val="27"/>
        </w:trPr>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2"/>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Sarilumab (Phase 3)</w:t>
            </w: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Roche</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Tocilizumab</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Approved</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Antibody against</w:t>
            </w:r>
          </w:p>
        </w:tc>
      </w:tr>
      <w:tr>
        <w:trPr>
          <w:trHeight w:val="21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Target: IL-6R</w:t>
            </w:r>
          </w:p>
        </w:tc>
        <w:tc>
          <w:tcPr>
            <w:tcW w:w="20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(Actemra</w:t>
            </w:r>
            <w:r>
              <w:rPr>
                <w:rFonts w:ascii="Arial" w:cs="Arial" w:eastAsia="Arial" w:hAnsi="Arial"/>
                <w:sz w:val="25"/>
                <w:szCs w:val="25"/>
                <w:color w:val="auto"/>
                <w:vertAlign w:val="superscript"/>
              </w:rPr>
              <w:t>®</w:t>
            </w:r>
            <w:r>
              <w:rPr>
                <w:rFonts w:ascii="Arial" w:cs="Arial" w:eastAsia="Arial" w:hAnsi="Arial"/>
                <w:sz w:val="18"/>
                <w:szCs w:val="18"/>
                <w:color w:val="auto"/>
              </w:rPr>
              <w:t>)</w:t>
            </w:r>
          </w:p>
        </w:tc>
        <w:tc>
          <w:tcPr>
            <w:tcW w:w="1620" w:type="dxa"/>
            <w:vAlign w:val="bottom"/>
            <w:shd w:val="clear" w:color="auto" w:fill="CCEEFF"/>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IL-6R for the</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treatment of</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rheumatoid arthritis</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systemic</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juvenile idiopathic</w:t>
            </w: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arthritis</w:t>
            </w:r>
          </w:p>
        </w:tc>
      </w:tr>
      <w:tr>
        <w:trPr>
          <w:trHeight w:val="229"/>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Johnson &amp; Johnson (in</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Sirukumab</w:t>
            </w:r>
          </w:p>
        </w:tc>
        <w:tc>
          <w:tcPr>
            <w:tcW w:w="1620" w:type="dxa"/>
            <w:vAlign w:val="bottom"/>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tcPr>
          <w:p>
            <w:pPr>
              <w:ind w:left="180"/>
              <w:spacing w:after="0"/>
              <w:rPr>
                <w:sz w:val="20"/>
                <w:szCs w:val="20"/>
                <w:color w:val="auto"/>
              </w:rPr>
            </w:pPr>
            <w:r>
              <w:rPr>
                <w:rFonts w:ascii="Arial" w:cs="Arial" w:eastAsia="Arial" w:hAnsi="Arial"/>
                <w:sz w:val="18"/>
                <w:szCs w:val="18"/>
                <w:color w:val="auto"/>
              </w:rPr>
              <w:t>Antibody against</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partnership with</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(Phase 3)</w:t>
            </w:r>
          </w:p>
        </w:tc>
        <w:tc>
          <w:tcPr>
            <w:tcW w:w="1640" w:type="dxa"/>
            <w:vAlign w:val="bottom"/>
          </w:tcPr>
          <w:p>
            <w:pPr>
              <w:ind w:left="180"/>
              <w:spacing w:after="0"/>
              <w:rPr>
                <w:sz w:val="20"/>
                <w:szCs w:val="20"/>
                <w:color w:val="auto"/>
              </w:rPr>
            </w:pPr>
            <w:r>
              <w:rPr>
                <w:rFonts w:ascii="Arial" w:cs="Arial" w:eastAsia="Arial" w:hAnsi="Arial"/>
                <w:sz w:val="18"/>
                <w:szCs w:val="18"/>
                <w:color w:val="auto"/>
              </w:rPr>
              <w:t>IL-6</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GlaxoSmithKline)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Bristol-Myers Squibb (in</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Clazakizumab</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Antibody against</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with Alder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2)</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IL-6</w:t>
            </w: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Biopharmaceuticals, Inc.)</w:t>
            </w: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29"/>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Ablynx (in partnership</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ALX-0061</w:t>
            </w:r>
          </w:p>
        </w:tc>
        <w:tc>
          <w:tcPr>
            <w:tcW w:w="1620" w:type="dxa"/>
            <w:vAlign w:val="bottom"/>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tcPr>
          <w:p>
            <w:pPr>
              <w:ind w:left="180"/>
              <w:spacing w:after="0"/>
              <w:rPr>
                <w:sz w:val="20"/>
                <w:szCs w:val="20"/>
                <w:color w:val="auto"/>
              </w:rPr>
            </w:pPr>
            <w:r>
              <w:rPr>
                <w:rFonts w:ascii="Arial" w:cs="Arial" w:eastAsia="Arial" w:hAnsi="Arial"/>
                <w:sz w:val="18"/>
                <w:szCs w:val="18"/>
                <w:color w:val="auto"/>
              </w:rPr>
              <w:t>Antibody against</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with AbbVie)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(Phase 2)</w:t>
            </w:r>
          </w:p>
        </w:tc>
        <w:tc>
          <w:tcPr>
            <w:tcW w:w="1640" w:type="dxa"/>
            <w:vAlign w:val="bottom"/>
          </w:tcPr>
          <w:p>
            <w:pPr>
              <w:ind w:left="180"/>
              <w:spacing w:after="0"/>
              <w:rPr>
                <w:sz w:val="20"/>
                <w:szCs w:val="20"/>
                <w:color w:val="auto"/>
              </w:rPr>
            </w:pPr>
            <w:r>
              <w:rPr>
                <w:rFonts w:ascii="Arial" w:cs="Arial" w:eastAsia="Arial" w:hAnsi="Arial"/>
                <w:sz w:val="18"/>
                <w:szCs w:val="18"/>
                <w:color w:val="auto"/>
              </w:rPr>
              <w:t>IL-6R</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R-Pharm</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Olokizumab</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Antibody against</w:t>
            </w: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(Phase 2)</w:t>
            </w:r>
          </w:p>
        </w:tc>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IL-6</w:t>
            </w:r>
          </w:p>
        </w:tc>
      </w:tr>
      <w:tr>
        <w:trPr>
          <w:trHeight w:val="229"/>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Pfizer</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PF-04236921</w:t>
            </w:r>
          </w:p>
        </w:tc>
        <w:tc>
          <w:tcPr>
            <w:tcW w:w="1620" w:type="dxa"/>
            <w:vAlign w:val="bottom"/>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tcPr>
          <w:p>
            <w:pPr>
              <w:ind w:left="180"/>
              <w:spacing w:after="0"/>
              <w:rPr>
                <w:sz w:val="20"/>
                <w:szCs w:val="20"/>
                <w:color w:val="auto"/>
              </w:rPr>
            </w:pPr>
            <w:r>
              <w:rPr>
                <w:rFonts w:ascii="Arial" w:cs="Arial" w:eastAsia="Arial" w:hAnsi="Arial"/>
                <w:sz w:val="18"/>
                <w:szCs w:val="18"/>
                <w:color w:val="auto"/>
              </w:rPr>
              <w:t>Antibody against</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(Phase 1)</w:t>
            </w:r>
          </w:p>
        </w:tc>
        <w:tc>
          <w:tcPr>
            <w:tcW w:w="1640" w:type="dxa"/>
            <w:vAlign w:val="bottom"/>
          </w:tcPr>
          <w:p>
            <w:pPr>
              <w:ind w:left="180"/>
              <w:spacing w:after="0"/>
              <w:rPr>
                <w:sz w:val="20"/>
                <w:szCs w:val="20"/>
                <w:color w:val="auto"/>
              </w:rPr>
            </w:pPr>
            <w:r>
              <w:rPr>
                <w:rFonts w:ascii="Arial" w:cs="Arial" w:eastAsia="Arial" w:hAnsi="Arial"/>
                <w:sz w:val="18"/>
                <w:szCs w:val="18"/>
                <w:color w:val="auto"/>
              </w:rPr>
              <w:t>IL-6</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Roche</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 237</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Antibody against</w:t>
            </w: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(Phase 1)</w:t>
            </w:r>
          </w:p>
        </w:tc>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IL-6R</w:t>
            </w:r>
          </w:p>
        </w:tc>
      </w:tr>
      <w:tr>
        <w:trPr>
          <w:trHeight w:val="229"/>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Dupilumab (Phase 2)</w:t>
            </w:r>
          </w:p>
        </w:tc>
        <w:tc>
          <w:tcPr>
            <w:tcW w:w="2020" w:type="dxa"/>
            <w:vAlign w:val="bottom"/>
          </w:tcPr>
          <w:p>
            <w:pPr>
              <w:ind w:left="20"/>
              <w:spacing w:after="0"/>
              <w:rPr>
                <w:sz w:val="20"/>
                <w:szCs w:val="20"/>
                <w:color w:val="auto"/>
              </w:rPr>
            </w:pPr>
            <w:r>
              <w:rPr>
                <w:rFonts w:ascii="Arial" w:cs="Arial" w:eastAsia="Arial" w:hAnsi="Arial"/>
                <w:sz w:val="18"/>
                <w:szCs w:val="18"/>
                <w:color w:val="auto"/>
              </w:rPr>
              <w:t>Roche</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Lebrikizumab</w:t>
            </w:r>
          </w:p>
        </w:tc>
        <w:tc>
          <w:tcPr>
            <w:tcW w:w="1620" w:type="dxa"/>
            <w:vAlign w:val="bottom"/>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tcPr>
          <w:p>
            <w:pPr>
              <w:ind w:left="180"/>
              <w:spacing w:after="0"/>
              <w:rPr>
                <w:sz w:val="20"/>
                <w:szCs w:val="20"/>
                <w:color w:val="auto"/>
              </w:rPr>
            </w:pPr>
            <w:r>
              <w:rPr>
                <w:rFonts w:ascii="Arial" w:cs="Arial" w:eastAsia="Arial" w:hAnsi="Arial"/>
                <w:sz w:val="18"/>
                <w:szCs w:val="18"/>
                <w:color w:val="auto"/>
              </w:rPr>
              <w:t>Antibody against</w:t>
            </w:r>
          </w:p>
        </w:tc>
      </w:tr>
      <w:tr>
        <w:trPr>
          <w:trHeight w:val="230"/>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Target: IL-4R</w:t>
            </w:r>
          </w:p>
        </w:tc>
        <w:tc>
          <w:tcPr>
            <w:tcW w:w="2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(Phase 3)</w:t>
            </w:r>
          </w:p>
        </w:tc>
        <w:tc>
          <w:tcPr>
            <w:tcW w:w="1640" w:type="dxa"/>
            <w:vAlign w:val="bottom"/>
          </w:tcPr>
          <w:p>
            <w:pPr>
              <w:ind w:left="180"/>
              <w:spacing w:after="0"/>
              <w:rPr>
                <w:sz w:val="20"/>
                <w:szCs w:val="20"/>
                <w:color w:val="auto"/>
              </w:rPr>
            </w:pPr>
            <w:r>
              <w:rPr>
                <w:rFonts w:ascii="Arial" w:cs="Arial" w:eastAsia="Arial" w:hAnsi="Arial"/>
                <w:sz w:val="18"/>
                <w:szCs w:val="18"/>
                <w:color w:val="auto"/>
              </w:rPr>
              <w:t>IL-13</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Teva</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Reslizumab</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Antibody against</w:t>
            </w: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IL-5</w:t>
            </w:r>
          </w:p>
        </w:tc>
      </w:tr>
      <w:tr>
        <w:trPr>
          <w:trHeight w:val="229"/>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GlaxoSmithKline</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Mepolizumab</w:t>
            </w:r>
          </w:p>
        </w:tc>
        <w:tc>
          <w:tcPr>
            <w:tcW w:w="1620" w:type="dxa"/>
            <w:vAlign w:val="bottom"/>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tcPr>
          <w:p>
            <w:pPr>
              <w:ind w:left="180"/>
              <w:spacing w:after="0"/>
              <w:rPr>
                <w:sz w:val="20"/>
                <w:szCs w:val="20"/>
                <w:color w:val="auto"/>
              </w:rPr>
            </w:pPr>
            <w:r>
              <w:rPr>
                <w:rFonts w:ascii="Arial" w:cs="Arial" w:eastAsia="Arial" w:hAnsi="Arial"/>
                <w:sz w:val="18"/>
                <w:szCs w:val="18"/>
                <w:color w:val="auto"/>
              </w:rPr>
              <w:t>Antibody against</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(Phase 3)</w:t>
            </w:r>
          </w:p>
        </w:tc>
        <w:tc>
          <w:tcPr>
            <w:tcW w:w="1640" w:type="dxa"/>
            <w:vAlign w:val="bottom"/>
          </w:tcPr>
          <w:p>
            <w:pPr>
              <w:ind w:left="180"/>
              <w:spacing w:after="0"/>
              <w:rPr>
                <w:sz w:val="20"/>
                <w:szCs w:val="20"/>
                <w:color w:val="auto"/>
              </w:rPr>
            </w:pPr>
            <w:r>
              <w:rPr>
                <w:rFonts w:ascii="Arial" w:cs="Arial" w:eastAsia="Arial" w:hAnsi="Arial"/>
                <w:sz w:val="18"/>
                <w:szCs w:val="18"/>
                <w:color w:val="auto"/>
              </w:rPr>
              <w:t>IL-5</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AstraZeneca</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Benralizumab</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Antibody against</w:t>
            </w: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IL-5R</w:t>
            </w:r>
          </w:p>
        </w:tc>
      </w:tr>
      <w:tr>
        <w:trPr>
          <w:trHeight w:val="229"/>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AstraZeneca</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Tralokinumab</w:t>
            </w:r>
          </w:p>
        </w:tc>
        <w:tc>
          <w:tcPr>
            <w:tcW w:w="1620" w:type="dxa"/>
            <w:vAlign w:val="bottom"/>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tcPr>
          <w:p>
            <w:pPr>
              <w:ind w:left="180"/>
              <w:spacing w:after="0"/>
              <w:rPr>
                <w:sz w:val="20"/>
                <w:szCs w:val="20"/>
                <w:color w:val="auto"/>
              </w:rPr>
            </w:pPr>
            <w:r>
              <w:rPr>
                <w:rFonts w:ascii="Arial" w:cs="Arial" w:eastAsia="Arial" w:hAnsi="Arial"/>
                <w:sz w:val="18"/>
                <w:szCs w:val="18"/>
                <w:color w:val="auto"/>
              </w:rPr>
              <w:t>Antibody against</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(Phase 2)</w:t>
            </w:r>
          </w:p>
        </w:tc>
        <w:tc>
          <w:tcPr>
            <w:tcW w:w="1640" w:type="dxa"/>
            <w:vAlign w:val="bottom"/>
          </w:tcPr>
          <w:p>
            <w:pPr>
              <w:ind w:left="180"/>
              <w:spacing w:after="0"/>
              <w:rPr>
                <w:sz w:val="20"/>
                <w:szCs w:val="20"/>
                <w:color w:val="auto"/>
              </w:rPr>
            </w:pPr>
            <w:r>
              <w:rPr>
                <w:rFonts w:ascii="Arial" w:cs="Arial" w:eastAsia="Arial" w:hAnsi="Arial"/>
                <w:sz w:val="18"/>
                <w:szCs w:val="18"/>
                <w:color w:val="auto"/>
              </w:rPr>
              <w:t>IL-13</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QBX258</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dose</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2)</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 of</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antibodies against</w:t>
            </w: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IL-4 and IL-13</w:t>
            </w:r>
          </w:p>
        </w:tc>
      </w:tr>
      <w:tr>
        <w:trPr>
          <w:trHeight w:val="229"/>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GlaxoSmithKline</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GSK2434735</w:t>
            </w:r>
          </w:p>
        </w:tc>
        <w:tc>
          <w:tcPr>
            <w:tcW w:w="1620" w:type="dxa"/>
            <w:vAlign w:val="bottom"/>
          </w:tcPr>
          <w:p>
            <w:pPr>
              <w:ind w:left="20"/>
              <w:spacing w:after="0"/>
              <w:rPr>
                <w:sz w:val="20"/>
                <w:szCs w:val="20"/>
                <w:color w:val="auto"/>
              </w:rPr>
            </w:pPr>
            <w:r>
              <w:rPr>
                <w:rFonts w:ascii="Arial" w:cs="Arial" w:eastAsia="Arial" w:hAnsi="Arial"/>
                <w:sz w:val="18"/>
                <w:szCs w:val="18"/>
                <w:color w:val="auto"/>
              </w:rPr>
              <w:t>In development</w:t>
            </w:r>
          </w:p>
        </w:tc>
        <w:tc>
          <w:tcPr>
            <w:tcW w:w="1640" w:type="dxa"/>
            <w:vAlign w:val="bottom"/>
          </w:tcPr>
          <w:p>
            <w:pPr>
              <w:ind w:left="180"/>
              <w:spacing w:after="0"/>
              <w:rPr>
                <w:sz w:val="20"/>
                <w:szCs w:val="20"/>
                <w:color w:val="auto"/>
              </w:rPr>
            </w:pPr>
            <w:r>
              <w:rPr>
                <w:rFonts w:ascii="Arial" w:cs="Arial" w:eastAsia="Arial" w:hAnsi="Arial"/>
                <w:sz w:val="18"/>
                <w:szCs w:val="18"/>
                <w:color w:val="auto"/>
              </w:rPr>
              <w:t>Bi-specific</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(Phase 1)</w:t>
            </w:r>
          </w:p>
        </w:tc>
        <w:tc>
          <w:tcPr>
            <w:tcW w:w="1640" w:type="dxa"/>
            <w:vAlign w:val="bottom"/>
          </w:tcPr>
          <w:p>
            <w:pPr>
              <w:ind w:left="180"/>
              <w:spacing w:after="0"/>
              <w:rPr>
                <w:sz w:val="20"/>
                <w:szCs w:val="20"/>
                <w:color w:val="auto"/>
              </w:rPr>
            </w:pPr>
            <w:r>
              <w:rPr>
                <w:rFonts w:ascii="Arial" w:cs="Arial" w:eastAsia="Arial" w:hAnsi="Arial"/>
                <w:sz w:val="18"/>
                <w:szCs w:val="18"/>
                <w:color w:val="auto"/>
              </w:rPr>
              <w:t>antibody against</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40" w:type="dxa"/>
            <w:vAlign w:val="bottom"/>
          </w:tcPr>
          <w:p>
            <w:pPr>
              <w:ind w:left="180"/>
              <w:spacing w:after="0"/>
              <w:rPr>
                <w:sz w:val="20"/>
                <w:szCs w:val="20"/>
                <w:color w:val="auto"/>
              </w:rPr>
            </w:pPr>
            <w:r>
              <w:rPr>
                <w:rFonts w:ascii="Arial" w:cs="Arial" w:eastAsia="Arial" w:hAnsi="Arial"/>
                <w:sz w:val="18"/>
                <w:szCs w:val="18"/>
                <w:color w:val="auto"/>
              </w:rPr>
              <w:t>IL-4 and IL-13</w:t>
            </w:r>
          </w:p>
        </w:tc>
      </w:tr>
    </w:tbl>
    <w:p>
      <w:pPr>
        <w:spacing w:after="0" w:line="2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The table above is not exhaustive. For additional information regarding our antibody programs and the substantial competition they face, see "Clinical Programs" above and Part I, Item 1A. "Risk Factors - Risks Related to Commercialization of Products - </w:t>
      </w:r>
      <w:r>
        <w:rPr>
          <w:rFonts w:ascii="Arial" w:cs="Arial" w:eastAsia="Arial" w:hAnsi="Arial"/>
          <w:sz w:val="16"/>
          <w:szCs w:val="16"/>
          <w:i w:val="1"/>
          <w:iCs w:val="1"/>
          <w:color w:val="auto"/>
        </w:rPr>
        <w:t>Our marketed products are subject to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competition, and our product candidates or new indications for our marketed products, if any are approved for marketing, may face significant competition</w:t>
      </w:r>
      <w:r>
        <w:rPr>
          <w:rFonts w:ascii="Arial" w:cs="Arial" w:eastAsia="Arial" w:hAnsi="Arial"/>
          <w:sz w:val="16"/>
          <w:szCs w:val="16"/>
          <w:color w:val="auto"/>
        </w:rPr>
        <w:t>."</w:t>
      </w:r>
    </w:p>
    <w:p>
      <w:pPr>
        <w:spacing w:after="0" w:line="20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Other Areas. </w:t>
      </w:r>
      <w:r>
        <w:rPr>
          <w:rFonts w:ascii="Arial" w:cs="Arial" w:eastAsia="Arial" w:hAnsi="Arial"/>
          <w:sz w:val="18"/>
          <w:szCs w:val="18"/>
          <w:color w:val="auto"/>
        </w:rPr>
        <w:t>Many pharmaceutical and biotechnology companies are attempting to discover new therapeutics for indications in which we invest</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research or development programs we are now conducting.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8"/>
          <w:szCs w:val="18"/>
          <w:i w:val="1"/>
          <w:iCs w:val="1"/>
          <w:color w:val="auto"/>
        </w:rPr>
        <w:t>We may be restricted in our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manufacturing, and/or commercialization activities by, and could be subject to damage awards if we are found to have infringed, patents or other proprietary rights of others.”</w:t>
      </w:r>
      <w:r>
        <w:rPr>
          <w:rFonts w:ascii="Arial" w:cs="Arial" w:eastAsia="Arial" w:hAnsi="Arial"/>
          <w:sz w:val="18"/>
          <w:szCs w:val="18"/>
          <w:color w:val="auto"/>
        </w:rPr>
        <w:t>). Our policy is to file patent applications to protect technology, inventions, and improvements that we consider important to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operations. As of December 31, 2013, we held an ownership interest in a total of approximately 233 issued patents in the United States and approximately 1,162 issued patents in foreign countries with respect to our products and technologies. In addition, we hold an ownership interest in hundreds of patent applications in the United States and foreign countries.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monoclonal antibodies. Our issued patents covering these technologies generally expire between 2020 and 2028. However, we continue to file patent applications directed to improvements to these technology platforms.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patent portfolio also includes issued patents and pending applications relating to our marketed products, EYLEA, ZALTRAP, and ARCALYST, and our product candidates in clinical development. These patents cover the proteins and DNA encoding the proteins, manufacturing patents, method of use patents, and pharmaceutical compositions, as well as various methods of using the products. For each of EYLEA, ZALTRAP, and ARCALYST, these patents generally expire between 2020 and 2028. However, the projected patent terms may be subject to extension based on potential patent term extensions in countries where such extensions are available.</w:t>
      </w:r>
    </w:p>
    <w:p>
      <w:pPr>
        <w:spacing w:after="0" w:line="24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also are the nonexclusive licensee of a number of additional patents and patent applications. In December 2011, we and Genentech entered into a Non-Exclusive License and Partial Settlement Agreement relating to ophthalmic sales of EYLEA in the United States. Pursuant to this agreement, we received a non-exclusive license to certain patents relating to VEGF receptor proteins, known as the Davis-Smyth patents, and other technology patents. In May 2013, we entered into an Amended and Restated Non-Exclusive License and Settlement Agreement with Genentech; under the amended agreement, we received a worldwide non-exclusive license to the Davis-Smyth patents, and certain other patents, owned or co-owned by Genentech for the prevention or treatment of human eye diseases and eye disorders through administration of EYLEA to the eye. Also in May 2013, we entered into a Non-Exclusive License and Settlement Agreement with Genentech and Sanofi under which we and Sanofi received a worldwide non-exclusive license to the Davis-Smyth patents, and certain other patents, in all indications for human use other than the prevention or treatment of eye diseases and eye disorders through administration to the eye.</w:t>
      </w:r>
    </w:p>
    <w:p>
      <w:pPr>
        <w:spacing w:after="0" w:line="25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 July 2008 we entered into an Amended and Restated Non-Exclusive License Agreement with Cellectis S.A. pursuant to which we licensed certain patents and patent applications relating to a process for the specific replacement of a copy of a gene in the receiver genome by homologous recombination.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non-exclusive license agreements with Amgen and other organizations for patent rights related to ARCALYST.</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24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6"/>
          <w:szCs w:val="16"/>
          <w:i w:val="1"/>
          <w:iCs w:val="1"/>
          <w:color w:val="auto"/>
        </w:rPr>
        <w:t>We may be restricted in our development, manufacturing, and/or</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activities by, and could be subject to damage awards if we are found to have infringed, patents or other proprietary rights of others.</w:t>
      </w:r>
      <w:r>
        <w:rPr>
          <w:rFonts w:ascii="Arial" w:cs="Arial" w:eastAsia="Arial" w:hAnsi="Arial"/>
          <w:sz w:val="16"/>
          <w:szCs w:val="16"/>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Regulation by government authorities in the United States and foreign countries is a significant factor in the research, development, manufacture, and marketing of EYLEA, ZALTRAP, ARCALYST, and our product candidates (see Part I, Item 1A. “Risk Factors - Risks Related to Commercialization of EYLEA - </w:t>
      </w:r>
      <w:r>
        <w:rPr>
          <w:rFonts w:ascii="Arial" w:cs="Arial" w:eastAsia="Arial" w:hAnsi="Arial"/>
          <w:sz w:val="17"/>
          <w:szCs w:val="17"/>
          <w:i w:val="1"/>
          <w:iCs w:val="1"/>
          <w:color w:val="auto"/>
        </w:rPr>
        <w:t>Our regulatory approval for sales of EYLEA is limited to the treatment of wet AMD and macular edema following CRVO and is limited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geographically. If we don't receive approval for EYLEA for other indications, or if approvals are not obtained for sales in other countries, our sales and profits will be limited </w:t>
      </w:r>
      <w:r>
        <w:rPr>
          <w:rFonts w:ascii="Arial" w:cs="Arial" w:eastAsia="Arial" w:hAnsi="Arial"/>
          <w:sz w:val="17"/>
          <w:szCs w:val="17"/>
          <w:color w:val="auto"/>
        </w:rPr>
        <w:t>and Risks Related to the Development and Approval of Our Product Candidates and New Indications for Our Marketed Products -</w:t>
      </w:r>
      <w:r>
        <w:rPr>
          <w:rFonts w:ascii="Arial" w:cs="Arial" w:eastAsia="Arial" w:hAnsi="Arial"/>
          <w:sz w:val="17"/>
          <w:szCs w:val="17"/>
          <w:i w:val="1"/>
          <w:iCs w:val="1"/>
          <w:color w:val="auto"/>
        </w:rPr>
        <w:t xml:space="preserve"> 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r>
        <w:rPr>
          <w:rFonts w:ascii="Arial" w:cs="Arial" w:eastAsia="Arial" w:hAnsi="Arial"/>
          <w:sz w:val="17"/>
          <w:szCs w:val="17"/>
          <w:color w:val="auto"/>
        </w:rPr>
        <w:t>. All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23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IND,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BLA for evaluation to determine whether the product candidate may be approved for commercial sale. In responding to a BLA, the FDA may grant marketing approval, request additional information, or deny the application.</w:t>
      </w:r>
    </w:p>
    <w:p>
      <w:pPr>
        <w:spacing w:after="0" w:line="23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2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20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National Environmental Policy Act, the Toxic Substances Control Act, the Resource Conservation and Recovery Act, national restrictions, and other current and potential future local, state, federal, and foreign regulations.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We manage our business as one segment which includes all activities related to the discovery of pharmaceutical products for the treatment of serious medical conditions and the development and commercialization of these discoveries. This segment includes revenues and expenses related to (i) product sales of EYLEA and ARCALYST, (ii) research and development activities conducted under our collaboration agreements with third parties, (iii) our share of the income (loss) from commercialization of products under our collaboration agreements, (iv) licensing agreements to utilize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(v) the supply of specified, ordered research materials using our </w:t>
      </w:r>
      <w:r>
        <w:rPr>
          <w:rFonts w:ascii="Arial" w:cs="Arial" w:eastAsia="Arial" w:hAnsi="Arial"/>
          <w:sz w:val="17"/>
          <w:szCs w:val="17"/>
          <w:i w:val="1"/>
          <w:iCs w:val="1"/>
          <w:color w:val="auto"/>
        </w:rPr>
        <w:t>VelociGen</w:t>
      </w:r>
      <w:r>
        <w:rPr>
          <w:rFonts w:ascii="Arial" w:cs="Arial" w:eastAsia="Arial" w:hAnsi="Arial"/>
          <w:sz w:val="17"/>
          <w:szCs w:val="17"/>
          <w:color w:val="auto"/>
        </w:rPr>
        <w:t>e technology platform.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2013, we had approximately 2,340 full-time employees, of whom approximately 410 held a Ph.D. and/or M.D., or PharmD degree.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6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make available free of charge on or through our Internet website (http://www.regeneron.com)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We are substantially dependent on the success of EYLEA. If we are unable to continue to commercialize EYLEA or if we are unable to obtain additional marketing approvals, our business, prospects, operating results, and financial condition will be materially harmed.</w:t>
      </w:r>
    </w:p>
    <w:p>
      <w:pPr>
        <w:spacing w:after="0" w:line="20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years ended December 31, 2013 and 2012, EYLEA net sales in the United States represented 67% and 61%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 In addition, if we are unable to obtain approval of EYLEA in the United States for the treatment of DME, or if Bayer HealthCare is unable to obtain approval of EYLEA in additional countries or in additional indications, our prospects would be materially harmed.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17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EYLEA is currently available in the United States, EU, Japan, and certain other countries outside of the United States for treatment of wet AMD and macular edema following CRVO. We are subject to significant ongoing regulatory obligations with respect to EYLEA for the treatment of wet AMD and macular edema following CRVO in the United States and the EU, and, in other countries, the commercialization of EYLEA is subject to additional significant ongoing regulatory obligations and oversight in those countries where the product is approved. If we fail to maintain regulatory compliance for EYLEA for the treatment of wet AMD and macular edema following CRVO, we may lose marketing approval, which would materially harm our business, prospects, operating results, and financial condition. Failure to comply may also subject us to sanctions, product recalls, or withdrawals of previously approved marketing applications. See also “Risks Related to Manufacturing and Supply—</w:t>
      </w:r>
      <w:r>
        <w:rPr>
          <w:rFonts w:ascii="Arial" w:cs="Arial" w:eastAsia="Arial" w:hAnsi="Arial"/>
          <w:sz w:val="18"/>
          <w:szCs w:val="18"/>
          <w:i w:val="1"/>
          <w:iCs w:val="1"/>
          <w:color w:val="auto"/>
        </w:rPr>
        <w:t>If we fail to meet the stringent requirements of governmental regulation in the</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24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regulatory approval for sales of EYLEA is limited to the treatment of wet AMD and macular edema following CRVO and is limited geographically.</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don't receive approval for EYLEA for other indications, or if approvals are not obtained for sales in other countries, sales and profits will be limited.</w:t>
      </w:r>
    </w:p>
    <w:p>
      <w:pPr>
        <w:spacing w:after="0" w:line="2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and Bayer HealthCare have received regulatory approvals for sale of EYLEA for the treatment of wet AMD and macular edema following CRVO in certain countries throughout the world. If we do not receive approval for EYLEA for other uses, or if approvals for sales in other countries are not obtained, sales will be limited and our potential for profits will be limited. As a result, our business, prospects, operating results, and financial condition would be materially impacted.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sales in the United States of EYLEA are dependent, in part, on the availability and extent of reimbursement from third-party payers, including private payer healthcare and insurance programs and government programs such as Medicare and Medicaid. Sales of EYLEA in other countries are dependent, in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w:t>
      </w:r>
      <w:r>
        <w:rPr>
          <w:rFonts w:ascii="Arial" w:cs="Arial" w:eastAsia="Arial" w:hAnsi="Arial"/>
          <w:sz w:val="16"/>
          <w:szCs w:val="16"/>
          <w:i w:val="1"/>
          <w:iCs w:val="1"/>
          <w:color w:val="auto"/>
        </w:rPr>
        <w:t>The successful</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6"/>
          <w:szCs w:val="16"/>
          <w:color w:val="auto"/>
        </w:rPr>
        <w:t xml:space="preserve">The market for eye disease products is very competitive, as summarized under Part I, Item 1. “Business - Competition - </w:t>
      </w:r>
      <w:r>
        <w:rPr>
          <w:rFonts w:ascii="Arial" w:cs="Arial" w:eastAsia="Arial" w:hAnsi="Arial"/>
          <w:sz w:val="16"/>
          <w:szCs w:val="16"/>
          <w:i w:val="1"/>
          <w:iCs w:val="1"/>
          <w:color w:val="auto"/>
        </w:rPr>
        <w:t>EYLEA</w:t>
      </w:r>
      <w:r>
        <w:rPr>
          <w:rFonts w:ascii="Arial" w:cs="Arial" w:eastAsia="Arial" w:hAnsi="Arial"/>
          <w:sz w:val="16"/>
          <w:szCs w:val="16"/>
          <w:color w:val="auto"/>
        </w:rPr>
        <w:t>” above.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for the treatment of wet AMD, macular edema following CRVO, DME, visual impairment due to mCNV,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in June 2010 for the treatment of macular edema following RVO (including CRVO and BRVO), and in August 2012 for the treatment of DME.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was also approved by the European Medicines Agency for wet AMD in January 2007, for DME in January 2011, for the treatment of macular edema following RVO (including CRVO and BRVO) in June 2011, and for mCNV in July 2013.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Novartis is developing ESBA1008, a humanized monoclonal single-chain FV (scFv) antibody fragment targeting VEGF-A for wet AMD, and initiated Phase 2 trials comparing ESBA1008 and EYLEA in 2013. Allergan is developing an anti-VEGF-A DARPin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wet AMD and related conditions and a Phase 2 trial is ongoing. Additionally, companies are developing products (or combinations of products) to treat wet AMD that act by blocking VEGF and VEGF receptors, as well as other targets (for example, PDGF).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w:t>
      </w:r>
      <w:r>
        <w:rPr>
          <w:rFonts w:ascii="Arial" w:cs="Arial" w:eastAsia="Arial" w:hAnsi="Arial"/>
          <w:sz w:val="22"/>
          <w:szCs w:val="22"/>
          <w:color w:val="auto"/>
          <w:vertAlign w:val="superscript"/>
        </w:rPr>
        <w:t>™</w:t>
      </w:r>
      <w:r>
        <w:rPr>
          <w:rFonts w:ascii="Arial" w:cs="Arial" w:eastAsia="Arial" w:hAnsi="Arial"/>
          <w:sz w:val="16"/>
          <w:szCs w:val="16"/>
          <w:color w:val="auto"/>
        </w:rPr>
        <w:t>, including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 Fovista</w:t>
      </w:r>
      <w:r>
        <w:rPr>
          <w:rFonts w:ascii="Arial" w:cs="Arial" w:eastAsia="Arial" w:hAnsi="Arial"/>
          <w:sz w:val="22"/>
          <w:szCs w:val="22"/>
          <w:color w:val="auto"/>
          <w:vertAlign w:val="superscript"/>
        </w:rPr>
        <w:t>™</w:t>
      </w:r>
      <w:r>
        <w:rPr>
          <w:rFonts w:ascii="Arial" w:cs="Arial" w:eastAsia="Arial" w:hAnsi="Arial"/>
          <w:sz w:val="16"/>
          <w:szCs w:val="16"/>
          <w:color w:val="auto"/>
        </w:rPr>
        <w: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 Fovista</w:t>
      </w:r>
      <w:r>
        <w:rPr>
          <w:rFonts w:ascii="Arial" w:cs="Arial" w:eastAsia="Arial" w:hAnsi="Arial"/>
          <w:sz w:val="22"/>
          <w:szCs w:val="22"/>
          <w:color w:val="auto"/>
          <w:vertAlign w:val="superscript"/>
        </w:rPr>
        <w:t>™</w:t>
      </w:r>
      <w:r>
        <w:rPr>
          <w:rFonts w:ascii="Arial" w:cs="Arial" w:eastAsia="Arial" w:hAnsi="Arial"/>
          <w:sz w:val="16"/>
          <w:szCs w:val="16"/>
          <w:color w:val="auto"/>
        </w:rPr>
        <w:t>, and EYLEA + Fovista</w:t>
      </w:r>
      <w:r>
        <w:rPr>
          <w:rFonts w:ascii="Arial" w:cs="Arial" w:eastAsia="Arial" w:hAnsi="Arial"/>
          <w:sz w:val="22"/>
          <w:szCs w:val="22"/>
          <w:color w:val="auto"/>
          <w:vertAlign w:val="superscript"/>
        </w:rPr>
        <w:t>™</w:t>
      </w:r>
      <w:r>
        <w:rPr>
          <w:rFonts w:ascii="Arial" w:cs="Arial" w:eastAsia="Arial" w:hAnsi="Arial"/>
          <w:sz w:val="16"/>
          <w:szCs w:val="16"/>
          <w:color w:val="auto"/>
        </w:rPr>
        <w:t>. Genentech initiated a Phase 1 trial of a bi-specific antibody for wet AMD.</w:t>
      </w:r>
    </w:p>
    <w:p>
      <w:pPr>
        <w:spacing w:after="0" w:line="148"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6"/>
          <w:szCs w:val="16"/>
          <w:color w:val="auto"/>
        </w:rPr>
        <w:t>In addition, ophthalmologists are using with success off-label, third-party repackaged versions of Genentech's approved VEGF antagonist, Avastin</w:t>
      </w:r>
      <w:r>
        <w:rPr>
          <w:rFonts w:ascii="Arial" w:cs="Arial" w:eastAsia="Arial" w:hAnsi="Arial"/>
          <w:sz w:val="22"/>
          <w:szCs w:val="22"/>
          <w:color w:val="auto"/>
          <w:vertAlign w:val="superscript"/>
        </w:rPr>
        <w:t>®</w:t>
      </w:r>
      <w:r>
        <w:rPr>
          <w:rFonts w:ascii="Arial" w:cs="Arial" w:eastAsia="Arial" w:hAnsi="Arial"/>
          <w:sz w:val="16"/>
          <w:szCs w:val="16"/>
          <w:color w:val="auto"/>
        </w:rPr>
        <w:t>, for the treatment of wet AMD, DME, and RVO. The relatively low cost of therapy with Avastin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in patients with wet AMD presents a significant competitive challenge in this indication. Long-term, controlled clinical trials comparing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was non-inferior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13"/>
          <w:szCs w:val="13"/>
          <w:color w:val="auto"/>
        </w:rPr>
        <w:t>®</w:t>
      </w:r>
      <w:r>
        <w:rPr>
          <w:rFonts w:ascii="Arial" w:cs="Arial" w:eastAsia="Arial" w:hAnsi="Arial"/>
          <w:sz w:val="16"/>
          <w:szCs w:val="16"/>
          <w:color w:val="auto"/>
        </w:rPr>
        <w:t xml:space="preserve"> was non-inferior to monthly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mean visual acuity gain; as-needed dosing was </w:t>
      </w:r>
      <w:r>
        <w:rPr>
          <w:rFonts w:ascii="Arial" w:cs="Arial" w:eastAsia="Arial" w:hAnsi="Arial"/>
          <w:sz w:val="16"/>
          <w:szCs w:val="16"/>
          <w:i w:val="1"/>
          <w:iCs w:val="1"/>
          <w:color w:val="auto"/>
        </w:rPr>
        <w:t>not</w:t>
      </w:r>
      <w:r>
        <w:rPr>
          <w:rFonts w:ascii="Arial" w:cs="Arial" w:eastAsia="Arial" w:hAnsi="Arial"/>
          <w:sz w:val="16"/>
          <w:szCs w:val="16"/>
          <w:color w:val="auto"/>
        </w:rPr>
        <w:t xml:space="preserve"> non-inferior to monthly dosing.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also being evaluated in eye diseases in trials that have been initiated in the United Kingdom, Canada, Brazil, Mexico, Germany, Israel, and other countries. Furthermore,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present significant competitive challenges as doctors and patients have had significant experience using these medicines. Moreover, the reported results of the CATT study, combined with the relatively low cost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wet AMD, macular edema following CRVO, or other eye indications. See also “Risks Related to Commercialization of Products—</w:t>
      </w:r>
      <w:r>
        <w:rPr>
          <w:rFonts w:ascii="Arial" w:cs="Arial" w:eastAsia="Arial" w:hAnsi="Arial"/>
          <w:sz w:val="16"/>
          <w:szCs w:val="16"/>
          <w:i w:val="1"/>
          <w:iCs w:val="1"/>
          <w:color w:val="auto"/>
        </w:rPr>
        <w:t>We may be unsuccessful in</w:t>
      </w:r>
      <w:r>
        <w:rPr>
          <w:rFonts w:ascii="Arial" w:cs="Arial" w:eastAsia="Arial" w:hAnsi="Arial"/>
          <w:sz w:val="16"/>
          <w:szCs w:val="16"/>
          <w:color w:val="auto"/>
        </w:rPr>
        <w:t xml:space="preserve"> </w:t>
      </w:r>
      <w:r>
        <w:rPr>
          <w:rFonts w:ascii="Arial" w:cs="Arial" w:eastAsia="Arial" w:hAnsi="Arial"/>
          <w:sz w:val="16"/>
          <w:szCs w:val="16"/>
          <w:i w:val="1"/>
          <w:iCs w:val="1"/>
          <w:color w:val="auto"/>
        </w:rPr>
        <w:t>continuing the commercialization of our marketed products or in commercializing our product candidates or new indications for our marketed products, if approved, which would materially and adversely affect our business, profitability, and future prospects</w:t>
      </w:r>
      <w:r>
        <w:rPr>
          <w:rFonts w:ascii="Arial" w:cs="Arial" w:eastAsia="Arial" w:hAnsi="Arial"/>
          <w:sz w:val="16"/>
          <w:szCs w:val="16"/>
          <w:color w:val="auto"/>
        </w:rPr>
        <w:t>” below.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sales could be reduced by imports from countries where our products are available at lower prices.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is marketed in those nations and imported into the United States. In addition, there have been proposals to legalize the import of pharmaceuticals from outside the United States. If such legislation were enacted, our future revenues could be reduced.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Approval of Our Product Candidates and New Indications for Our Marketed Products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cannot sell or market products without regulatory approval. If we do not maintain regulatory approval for our marketed products, and obtain regulatory approval for our product candidates, or new indications of our marketed products, including EYLEA for the treatment of ophthalmologic diseases other than wet AMD and macular edema following CRVO, the value of our company and our business, prospects, operating results, and financial condition will be materially harmed. Our product candidates, including EYLEA for DME and macular edema following BRVO, may not receive regulatory approval. If we are unable to obtain regulatory approval for EYLEA in DME and macular edema following BRVO, or if we are materially delayed in doing so, our business, prospects, operating results, and financial condition will be materially harmed. In addition, if we fail to maintain regulatory approval for EYLEA for the treatment of wet AMD and macular edema following CRVO, we may lose marketing approval and the ability to generate EYLEA product sales revenue, which would materially and negatively impact our business, prospects, operating results, and financial condition.</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similarly likely to be a lengthy and expensive process, and approval is highly uncertain.</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EYLEA is being studied in diseases of the eye in addition to wet AMD and macular edema following CRVO. There are many potential safety concerns associated with significant blockade of VEGF that may limit our ability to further successfully develop and/or commercialize EYLEA and ZALTRAP.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EYLEA or ZALTRAP.</w:t>
      </w:r>
    </w:p>
    <w:p>
      <w:pPr>
        <w:spacing w:after="0" w:line="8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and Sanofi are conducting a global development program, currently in Phase 3, studying alirocumab, our PCSK9 antibody for the reduction of LDL cholesterol, as discussed above in Part I, Item 1. "Business - Clinical Programs." As part of this development program, we and Sanofi collect adverse events and report them to the FDA and foreign regulatory authorities. In the Phase 2 program, injection site reactions were the most common adverse events with alirocumab, and were rare. Rare cases of hypersensitivity reaction were also reported. In a recent Phase 3 trial comparing alirocumab with ezetimibe, the most common class of adverse events was infections (39.2% with ezetimibe vs. 42.3% with alirocumab), which included nasopharyngitis, influenza, and upper respiratory tract infection. Injection-site reactions occurred in less than 2% of patients in both groups. Muscle-related adverse events occurred in 3.9% of patients treated with ezetimibe and 3.8% of patients treated with alirocumab. We and Sanofi have been advised by the FDA that it has become aware of neurocognitive adverse events in the PCSK9 inhibitor class. Neurocognitive adverse events have also been associated with the use of statins for lowering LDL cholesterol. We do not know the circumstances under which the FDA became aware of these adverse events or whether these adverse events were observed with a drug candidate tested as monotherapy or in combination with a statin or other cholesterol-lowering agent. The FDA has requested that we and Sanofi make an assessment of potential neurocognitive adverse events across the global development program for alirocumab, especially in the longer-term studies. Additionally, the FDA requested that we address the feasibility of incorporating neurocognitive testing into at least a subset of patients in our ODYSSEY OUTCOMES trial or other long-term Phase 3 trial(s). While we are not aware of any neurocognitive adverse event signal relating to alirocumab, if this or another adverse event signal is detected, the further development of alirocumab may be delayed or fail, or its commercial value diminished, which could severely harm our future prospects.</w:t>
      </w:r>
    </w:p>
    <w:p>
      <w:pPr>
        <w:spacing w:after="0" w:line="1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studied fasinumab in a variety of pain indications, including osteoarthritis of the knee. In December 2010, the FDA placed fasinumab and other investigational agents targeting NGF on clinical hold after a case of rapidly progressive osteoarthritis leading to joint replacement was seen in another company's anti-NGF program due to the FDA's concern that this case was suggestive of a class effect. In December 2012, the FDA removed the clinical hold on fasinumab after reviewing our proposed Phase 3 program in osteoarthritis. However, shortly thereafter, the entire class was again placed on clinical hold as a result of preclinical data from other investigational agents targeting NGF in development. There are currently no trials with fasinumab that are either enrolling or treating patients. Discussions with the FDA about fasinumab are ongoing.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United States may be challenged by other parties, for example, by filing an opposition. Such opposition proceedings are increasingly common in the EU and are costly to defend. We have pending patent applications in the United States Patent and Trademark Office, the European Patent Office, and the patent offices of other foreign jurisdictions, and it is likely that we will need to defend patent applications from challenges by others from time to time in the future. Certain patent applications filed in the United States may also be challenged by parties who file a request for post-grant review under the America Invents Act of 2011. We expect that post-grant review proceedings will become common in the United States and will be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42"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and could be subject to damage awards if we are found to have infringed, patents or other proprietary rights of others.</w:t>
      </w:r>
    </w:p>
    <w:p>
      <w:pPr>
        <w:spacing w:after="0" w:line="224"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have been in the past, are currently, and may in the future be involved in patent litigation. For example, we are currently parties to patent infringement proceedings relating to our European Patent No. 1,360,287, which concerns genetically altered mice capable of producing chimeric antibodies that are part human and part mouse, as described in Part I, Item 3. "Legal Proceedings." We are aware of patents and pending applications owned by others that respectively claim antibodies to IL-6R and PCSK9 and methods of treating rheumatoid arthritis and hypercholesterolemia with such antibodies. We are developing sarilumab, an antibody to IL-6R, for the treatment of rheumatoid arthritis, and alirocumab, a PCSK9 antibody, for LDL cholesterol reduction. Although we do not believe that sarilumab or alirocumab infringes any valid claim in these patents or patent applications, these other parties could initiate a lawsuit for patent infringement and assert their patents are valid and cover sarilumab or alirocumab, as applicable. We are also aware of a U.S. patent jointly owned by Genentech and City of Hope relating to the production of recombinant antibodies in host cells. We currently produce our antibody product candidates using recombinant antibodies from host cells and</w:t>
      </w:r>
    </w:p>
    <w:p>
      <w:pPr>
        <w:sectPr>
          <w:pgSz w:w="11900" w:h="16838" w:orient="portrait"/>
          <w:cols w:equalWidth="0" w:num="1">
            <w:col w:w="11420"/>
          </w:cols>
          <w:pgMar w:left="240" w:top="130"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may choose to produce additional antibody product candidates in this manner. Neither ARCALYST, ZALTRAP, nor EYLEA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make recombinant antibodies in, or to import them into, the United States.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3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drug candidates, and a court may find that we are infringing validly issued patents of others. In the event that the manufacture, use, or sale of any of our drug candidates, or our other late-stage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commercialize our other product candidates or other indications for our marketed products if they receive regulatory approval,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may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corporate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reached preliminary agreement to acquire a 400,000 square foot facility in Limerick, Ireland, subject to entering into definitive agreements as well as securing permits from the local government in Limerick,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our contemplated acquisition of the Limerick, Ireland facility remains subject to entering into definitive agreements as well as securing permits from the local government, and there is no guarantee that a final agreement will be reached on terms favorable to us or that we will be able to obtain the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continue to manufacture EYLEA,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to which those intellectual property rights apply, which could materially harm our business, prospects, operating results, and financial condition.</w:t>
      </w:r>
    </w:p>
    <w:p>
      <w:pPr>
        <w:spacing w:after="0" w:line="24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sales of EYLEA and ZALTRAP do not meet the levels currently expected, or if the launch of new indications for EYLEA or of any of our product candidates is delayed or unsuccessful, we may face costs related to excess inventory or unused capacity at our manufacturing facilities and at the facilities of third parties.</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have large-scale manufacturing operations in Rensselaer, New York. We use our facilities to produce bulk product of EYLEA for the treatment of wet AMD and macular edema following CRVO, bulk product of ZALTRAP for the treatment of patients with mCRC that is resistant to or has progressed following an oxaliplatin-containing regimen, bulk product of ARCALYST for the treatment of CAPS,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21"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 at the facilities.</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Also, certain raw materials or other products necessary for the manufacture and formulation of EYLEA, ZALTRAP, ARCALYST, and our product candidates, some of which are difficult to source, are provided by single-source unaffiliated third-party suppliers. In addition, we rely on certain third parties to perform filling, finishing, distribution, laboratory testing, and other services related to the manufacture of EYLEA, ZALTRAP, ARCALYST, and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This, in turn, could materially and adversely affect our ability to manufacture or supply EYLEA, ZALTRAP, ARCALYST, and our product candidates, which could materially and adversely affect our business and future prospects.</w:t>
      </w:r>
    </w:p>
    <w:p>
      <w:pPr>
        <w:spacing w:after="0" w:line="2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241"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6"/>
          <w:szCs w:val="16"/>
          <w:color w:val="auto"/>
        </w:rPr>
        <w:t>Currently, we have three marketed products, EYLEA, ZALTRAP, and ARCALYST. While we have established our own sales and marketing organization for EYLEA in the United States for the treatment of wet AMD and macular edema following CRVO, we have limited commercialization experience and we have no sales, marketing, commercial, or distribution capabilities outside the United States. In addition, EYLEA faces intense competition from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from off-label use of repackaged Avastin</w:t>
      </w:r>
      <w:r>
        <w:rPr>
          <w:rFonts w:ascii="Arial" w:cs="Arial" w:eastAsia="Arial" w:hAnsi="Arial"/>
          <w:sz w:val="22"/>
          <w:szCs w:val="22"/>
          <w:color w:val="auto"/>
          <w:vertAlign w:val="superscript"/>
        </w:rPr>
        <w:t>®</w:t>
      </w:r>
      <w:r>
        <w:rPr>
          <w:rFonts w:ascii="Arial" w:cs="Arial" w:eastAsia="Arial" w:hAnsi="Arial"/>
          <w:sz w:val="16"/>
          <w:szCs w:val="16"/>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14"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right="20" w:hanging="328"/>
        <w:spacing w:after="0" w:line="22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effectively communicate to the marketplace the benefits of the dosing regimen of EYLEA as compared to the dosing regimen of Lucentis</w:t>
      </w:r>
      <w:r>
        <w:rPr>
          <w:rFonts w:ascii="Arial" w:cs="Arial" w:eastAsia="Arial" w:hAnsi="Arial"/>
          <w:sz w:val="24"/>
          <w:szCs w:val="24"/>
          <w:color w:val="auto"/>
          <w:vertAlign w:val="superscript"/>
        </w:rPr>
        <w:t>®</w:t>
      </w:r>
      <w:r>
        <w:rPr>
          <w:rFonts w:ascii="Arial" w:cs="Arial" w:eastAsia="Arial" w:hAnsi="Arial"/>
          <w:sz w:val="17"/>
          <w:szCs w:val="17"/>
          <w:color w:val="auto"/>
        </w:rPr>
        <w:t>, and the willingness of retinal specialists and patients to switch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off-label use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EYLEA;</w:t>
      </w:r>
    </w:p>
    <w:p>
      <w:pPr>
        <w:spacing w:after="0" w:line="1" w:lineRule="exact"/>
        <w:rPr>
          <w:rFonts w:ascii="Arial" w:cs="Arial" w:eastAsia="Arial" w:hAnsi="Arial"/>
          <w:sz w:val="17"/>
          <w:szCs w:val="17"/>
          <w:color w:val="auto"/>
        </w:rPr>
      </w:pPr>
    </w:p>
    <w:p>
      <w:pPr>
        <w:ind w:left="660" w:hanging="328"/>
        <w:spacing w:after="0" w:line="28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new health care legislation currently being implemented in the United States.</w:t>
      </w:r>
    </w:p>
    <w:p>
      <w:pPr>
        <w:spacing w:after="0" w:line="13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0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as summarized under Part I, Item 1. “Business - Competition” above.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47"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As previously noted, Genentech has an approved VEGF antagonist, Avastin</w:t>
      </w:r>
      <w:r>
        <w:rPr>
          <w:rFonts w:ascii="Arial" w:cs="Arial" w:eastAsia="Arial" w:hAnsi="Arial"/>
          <w:sz w:val="17"/>
          <w:szCs w:val="17"/>
          <w:color w:val="auto"/>
          <w:vertAlign w:val="superscript"/>
        </w:rPr>
        <w:t>®</w:t>
      </w:r>
      <w:r>
        <w:rPr>
          <w:rFonts w:ascii="Arial" w:cs="Arial" w:eastAsia="Arial" w:hAnsi="Arial"/>
          <w:sz w:val="17"/>
          <w:szCs w:val="17"/>
          <w:color w:val="auto"/>
        </w:rPr>
        <w:t>, on the market for treating certain cancers, and many different pharmaceutical and biotechnology companies are working to develop competing VEGF antagonists, including Novartis, Amgen Inc., Imclone LLC/Eli Lilly, Pfizer Inc., AstraZeneca, and GlaxoSmithKline. Some of these molecules may offer competitive advantages over our molecule. Each of Pfizer, Onyx (recently acquired by Amgen), together with its partner Bayer HealthCare, and GlaxoSmithKline are marketing and selling oral medications that target tumor cell growth and new vasculature formation that fuels the growth of tumors. In January 2012, Roche announced that a Phase 3 trial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had met the primary endpoint of overall survival in mCRC in patients who had previously received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with standard chemotherapy. The positive results of this trial in a similar patient population could impact the potential commercial opportunity for ZALTRAP in mCRC. It will be difficult for ZALTRAP to compete against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and the FDA-approved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43"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market for eye disease products is very competitive, as described in greater detail above under “Risks Related to Commercialization of EYLEA-</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 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early-stage product candidates. For example, Pfizer (in partnership with Eli Lilly), Johnson &amp; Johnson, and AbbVie are developing antibody product candidates against NGF. Genentech/Roche is marketing an antibody against IL-6R (tocilizumab) for the treatment of rheumatoid arthritis, and several other companies, including Johnson &amp; Johnson (in partnership with GlaxoSmithKline), Bristol-Myers Squibb (in partnership with Alder Biopharmaceuticals), Ablynx (in partnership with AbbVie), and Pfizer have antibodies against IL-6 or IL-6R in clinical development. Several companies, including Amgen, Pfizer, Genentech, Bristol-Myers Squibb, and Eli Lilly, have development programs for antibodies against PCSK9. Amgen's PCSK9 program appears to be the most advanced of the competitors, having already announced positive results from multiple Phase 3 trials, and may obtain marketing approval in one or more countries before our PCSK9 antibody is approved. Alnylam, in partnership with The Medicines Company, has a clinical program underway with an RNAi molecule against PCSK9. In addition, there are therapeutic products targeting PCSK9 operating through other mechanisms of action currently on the market or in development, including oral products and a biosimilar product in Europe. Further, Amgen, Genentech, and AstraZeneca have development programs underway for antibodies against Ang2 for indications in oncology. Celgene (in partnership with OncoMed Pharmaceuticals, Inc.) and AstraZeneca have antibodies that target Dll4 in clinical development. For muscle-wasting conditions, both Pfizer and Eli Lilly have anti-GDF8 monoclonal antibodies in development, and Novartis has a competing antibody targeting ActRIIB.</w:t>
      </w:r>
    </w:p>
    <w:p>
      <w:pPr>
        <w:spacing w:after="0" w:line="22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future revenues and profitability will be adversely affected in a material manner if United States and foreign governmental payers, private third-party insurers and payers, and other third-party payers, including Medicare and Medicaid, do not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1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Avastin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rather than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3"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Since EYLEA for the treatment of wet AMD, macular edema following CRVO, and other eye diseases, and ZALTRAP for the treatment of patients with mCRC that is resistant to or has progressed following an oxaliplatin-containing regimen, will likely continue to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sell EYLEA in the United States to three distributors and several specialty pharmacies. Under this distribution model, the distributors and specialty pharmacies generally take physical delivery of product and generally sell the product directly to healthcare providers. For the years ended December 31, 2013, 2012, and 2011, we recorded 76%, 78%, and 42%,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In addition, as part of the PPACA, the federal government recently enacted the Physician Payment Sunshine Act and related regulations. The Physician Payment Sunshine Act will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started to be required to collect information regarding such payments in August 2013 and will be required to begin reporting such information in March 2014.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w:t>
      </w:r>
    </w:p>
    <w:p>
      <w:pPr>
        <w:spacing w:after="0" w:line="226"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the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 and the cost of currency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tax consequences, including those that might result from the failure to operate in conformity with the requirements for certain tax treatment, tax incentives, or grants;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research institutions and our collaborators.</w:t>
      </w:r>
    </w:p>
    <w:p>
      <w:pPr>
        <w:spacing w:after="0" w:line="18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information, are subject to privacy and security regulations promulgated under HIPAA, as amended by the Health Information Technology for Economic and Clinical Health Act. For example, as part of our human genetics initiative, our wholly-owned subsidiary, Regeneron Genetics Center LLC, is collaborating with the Geisinger Health System, which is subject to such regulations, and may enter into collaboration arrangements with additional institutions in the future. Our clinical research efforts are not directly regulated by HIPAA. However, conduct by a person that may not be prosecuted directly under HIPAA’s criminal provisions could potentially be prosecuted under aiding-and-abetting or conspiracy laws. Consequently, depending on the facts and circumstances, we could face substantial criminal penalties if we knowingly receive individually identifiable health information from a health care provider or research institution that has not satisfied HIPAA’s disclosure standards. In addition, international data protection laws, including the EU Data Protection Directive and member state implementing legislation, may apply to some or all of the clinical data obtained outside of the U.S. Furthermore, certain privacy laws and genetic testing laws may apply directly to our operations and/or those of our collaborators and may impose restrictions on our use and dissemination of individuals' health information. Moreover, patients about whom we or our collaborators obtain information, as well as the providers who share this information with us, may have contractual rights that limit our ability to use and disclose the information.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3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alirocumab, dupilumab, enoticumab, nesvacumab, REGN1033, and REGN2009,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 out of their development, unless we enter into a partnership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and decided not to opt in to the REGN1154, REGN 1193, REGN1500, and other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If our collaboration with Sanofi for ZALTRAP is terminated, or Sanofi materially breaches its obligations thereunder, our business, prospects, operating results, and financial condition, and our ability to develop and commercialize ZALTRAP, would be materially harmed.</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collaborator,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24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EYLEA is currently available in the United States, EU, Japan, and certain other countries outside of the United States for treatment of wet AMD and macular edema following CRVO. We cannot assure you that additional regulatory approvals will be received for EYLEA outside the United States or that EYLEA will be successfully commercialized.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2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and macular edema following CRVO, ZALTRAP for the treatment of patients with mCRC,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rely on third-party service providers to support the distribution of EYLEA in the United States and for many other related activities in connection with the commercialization of this marketed product. Despite our arrangements with them, these third parties may not perform adequately. If these service providers do not perform their services adequately, our sales of EYLEA will suffer.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Chief Scientific Officer and President, Regeneron Laboratories; and Neil Stahl, Ph.D., our Senior Vice President, Research and Development Sciences. As we continue to commercialize EYLEA,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20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and have only recently achieved profitability. If we cannot sustain profitability, our business, prospects, operating results, and financial condition would be materially harmed.</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Beginning in the first quarter of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marketing of EYLEA and the potential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3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and British pound sterling.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of December 31, 2013, we had $535.6 million in cash and cash equivalents and $548.3 million in marketable securities. Our investments consist primarily of fixed-income securities, including investment-grade corporate bonds, direct obligations of the U.S. government and its agencies, and other debt securities guaranteed by the U.S. government. These investments are subject to external factors that may adversely affect their market value or liquidity, such as interest rate, liquidity, market, and issuer credit risks, including actual or anticipated changes in credit ratings. If our investments suffer market price declines that are other than temporary, their value could be impaired, which may have an adverse effect on our financial condition and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 and, to a lesser degree, sales of ZALTRAP;</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or reimbursement actions or decisions by government authorities or insurers affecting the coverage or reimbursement of any of our marketed products or competitors’ products;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in our relationships with collaborative partners or key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in the fourth quarter of 2012, we determined, based on our facts and circumstances, that it was more likely than not that a substantial portion of our deferred tax assets would be realized and, as a result, substantially all of our valuation allowance against deferred tax assets was released. Therefore, beginning in 2013, we began recording income tax expense, which results in a significant reduction in our net income and net income per share and may have an impact on the market price of our Common Stock.</w:t>
      </w:r>
    </w:p>
    <w:p>
      <w:pPr>
        <w:spacing w:after="0" w:line="24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12"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December 31, 2013, our four largest shareholders plus Dr. Schleifer, our Chief Executive Officer, beneficially owned approximately 42.9% of our outstanding shares of Common Stock, assuming, in the case of our Chief Executive Officer, the conversion of his Class A Stock into Common Stock and the exercise of all options held by him which are exercisable within 60 days of December 31, 2013. As of December 31, 2013, Sanofi beneficially owned 15,816,953 shares of our Common Stock, representing approximately 16.2% of the shares of Common Stock then outstanding. Under our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2013, holders of Class A Stock held 17.1%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2013:</w:t>
      </w:r>
    </w:p>
    <w:p>
      <w:pPr>
        <w:spacing w:after="0" w:line="232" w:lineRule="exact"/>
        <w:rPr>
          <w:sz w:val="20"/>
          <w:szCs w:val="20"/>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10.8% of our outstanding shares of Common Stock, assuming conversion of their Class A Stock into Common Stock and the exercise of all options held by such persons which are exercisable within 60 days of December 31, 2013, and 22.9% of the combined voting power of our outstanding shares of Common Stock and Class A Stock, assuming the exercise of all options held by such persons which are exercisable within 60 days of December 31, 2013; and</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four largest shareholders plus Dr. Schleifer, our Chief Executive Officer, beneficially owned approximately 42.9% of our outstanding shares of Common Stock, assuming, in the case of our Chief Executive Officer, the conversion of his Class A Stock into Common Stock and the exercise of all options held by him which are exercisable within 60 days of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December 31, 2013. In addition, these four shareholders plus our Chief Executive Officer held approximately 49.3% of the combined voting power of our outstanding shares of Common Stock and Class A Stock, assuming the exercise of all options held by our Chief Executive Officer which are exercisable within 60 days of December 31, 2013.</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w:t>
      </w:r>
    </w:p>
    <w:p>
      <w:pPr>
        <w:spacing w:after="0" w:line="22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our offering of our 1.875% Convertible Senior Notes due October 1, 2016 ("convertible senior notes" or "notes"), we entered into convertible note hedge transactions with four financial institutions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4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we intend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party’s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under our 2014 PDGFR-beta license and collaboration agreement with Bayer HealthCare, Bayer HealthCare is prohibited from seeking to influence the control of our company or acquiring more than 20% of our then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Healthcare; (v) other specified events, such as a liquidation or dissolution of our company.</w:t>
      </w:r>
    </w:p>
    <w:p>
      <w:pPr>
        <w:spacing w:after="0" w:line="2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holders of our convertible senior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provide for severance benefits in the event of termination as a result of a change in control of our company. Also, many of our stock options issued under our Second Amended and Restated 2000 Long-Term Incentive Plan, as amended and restated, may become fully vested in connection with a “change in control” of our company, as defined in the plan. Further, under the amended and restated investor agreement between us and Sanofi, we are required under certain circumstances to appoint an individual agreed upon by us and Sanofi to our board of directors, as described above under "</w:t>
      </w:r>
      <w:r>
        <w:rPr>
          <w:rFonts w:ascii="Arial" w:cs="Arial" w:eastAsia="Arial" w:hAnsi="Arial"/>
          <w:sz w:val="17"/>
          <w:szCs w:val="17"/>
          <w:i w:val="1"/>
          <w:iCs w:val="1"/>
          <w:color w:val="auto"/>
        </w:rPr>
        <w:t>Our existing shareholders may be able to exert significant influence over</w:t>
      </w:r>
      <w:r>
        <w:rPr>
          <w:rFonts w:ascii="Arial" w:cs="Arial" w:eastAsia="Arial" w:hAnsi="Arial"/>
          <w:sz w:val="17"/>
          <w:szCs w:val="17"/>
          <w:color w:val="auto"/>
        </w:rPr>
        <w:t xml:space="preserve"> </w:t>
      </w:r>
      <w:r>
        <w:rPr>
          <w:rFonts w:ascii="Arial" w:cs="Arial" w:eastAsia="Arial" w:hAnsi="Arial"/>
          <w:sz w:val="17"/>
          <w:szCs w:val="17"/>
          <w:i w:val="1"/>
          <w:iCs w:val="1"/>
          <w:color w:val="auto"/>
        </w:rPr>
        <w:t>matters requiring shareholder approval and over our management</w:t>
      </w:r>
      <w:r>
        <w:rPr>
          <w:rFonts w:ascii="Arial" w:cs="Arial" w:eastAsia="Arial" w:hAnsi="Arial"/>
          <w:sz w:val="17"/>
          <w:szCs w:val="17"/>
          <w:color w:val="auto"/>
        </w:rPr>
        <w:t>." These contractual provisions may also have the effect of deterring, delaying, or</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preventing an acquisition or other change in control.</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Under our lease in Tarrytown, New York, as amended, we lease approximately 664,000 square feet of laboratory and office facilities. In April 2013, we executed an agreement related to approximately 360,000 square feet of space that we currently lease at our Tarrytown location, which extended the term of the lease from June 2024 to June 2029; the remaining space will expire in June 2024. The lease contains three renewal options to extend the term of the lease by five years each, as well as early termination options on approximately 271,000 square feet of space. The lease provides for monthly payments over its term and additional charges for utilities, taxes, and operating expenses.</w:t>
      </w:r>
    </w:p>
    <w:p>
      <w:pPr>
        <w:spacing w:after="0" w:line="24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April 2013, we entered into a new lease agreement for approximately 297,000 square feet of additional new laboratory and office space to be constructed in two new buildings, which are expected to be completed in the second half of 2015, at our current Tarrytown, New York location. The initial term of the lease, which is expected to commence in mid-2014, is approximately 15 years and contains three renewal options to extend the term of the lease by five years each. The lease provides for (i) monthly payments over its term, which will be based on the landlord's costs of construction and tenant allowances, and (ii) additional charges for utilities, taxes, and operating expenses.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information regarding our current real property leases:</w:t>
      </w:r>
    </w:p>
    <w:p>
      <w:pPr>
        <w:spacing w:after="0" w:line="200" w:lineRule="exact"/>
        <w:rPr>
          <w:sz w:val="20"/>
          <w:szCs w:val="20"/>
          <w:color w:val="auto"/>
        </w:rPr>
      </w:pPr>
    </w:p>
    <w:p>
      <w:pPr>
        <w:spacing w:after="0" w:line="23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Current Monthly</w:t>
            </w:r>
          </w:p>
        </w:tc>
        <w:tc>
          <w:tcPr>
            <w:tcW w:w="154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Base Rental</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Renewal Option</w:t>
            </w:r>
          </w:p>
        </w:tc>
      </w:tr>
      <w:tr>
        <w:trPr>
          <w:trHeight w:val="26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Square Footage</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50"/>
              <w:spacing w:after="0" w:line="262" w:lineRule="exact"/>
              <w:rPr>
                <w:sz w:val="20"/>
                <w:szCs w:val="20"/>
                <w:color w:val="auto"/>
              </w:rPr>
            </w:pPr>
            <w:r>
              <w:rPr>
                <w:rFonts w:ascii="Arial" w:cs="Arial" w:eastAsia="Arial" w:hAnsi="Arial"/>
                <w:sz w:val="18"/>
                <w:szCs w:val="18"/>
                <w:b w:val="1"/>
                <w:bCs w:val="1"/>
                <w:color w:val="auto"/>
                <w:w w:val="84"/>
              </w:rPr>
              <w:t>Charges</w:t>
            </w:r>
            <w:r>
              <w:rPr>
                <w:rFonts w:ascii="Arial" w:cs="Arial" w:eastAsia="Arial" w:hAnsi="Arial"/>
                <w:sz w:val="25"/>
                <w:szCs w:val="25"/>
                <w:b w:val="1"/>
                <w:bCs w:val="1"/>
                <w:color w:val="auto"/>
                <w:w w:val="84"/>
                <w:vertAlign w:val="superscript"/>
              </w:rPr>
              <w:t>(1)</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Available</w:t>
            </w:r>
          </w:p>
        </w:tc>
      </w:tr>
      <w:tr>
        <w:trPr>
          <w:trHeight w:val="222"/>
        </w:trPr>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June 2024 - June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Tarrytown, New York</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664,000</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2,239,000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Three 5-year terms</w:t>
            </w:r>
          </w:p>
        </w:tc>
      </w:tr>
      <w:tr>
        <w:trPr>
          <w:trHeight w:val="341"/>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Tarrytown, New York</w:t>
            </w:r>
            <w:r>
              <w:rPr>
                <w:rFonts w:ascii="Arial" w:cs="Arial" w:eastAsia="Arial" w:hAnsi="Arial"/>
                <w:sz w:val="25"/>
                <w:szCs w:val="25"/>
                <w:color w:val="auto"/>
                <w:w w:val="91"/>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297,000</w:t>
            </w: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June 2029</w:t>
            </w:r>
          </w:p>
        </w:tc>
        <w:tc>
          <w:tcPr>
            <w:tcW w:w="22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Three 5-year terms</w:t>
            </w:r>
          </w:p>
        </w:tc>
      </w:tr>
    </w:tbl>
    <w:p>
      <w:pPr>
        <w:spacing w:after="0" w:line="162"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Excludes additional charges for utilities, real estate taxes, and operating expenses, as defined.</w:t>
      </w:r>
    </w:p>
    <w:p>
      <w:pPr>
        <w:spacing w:after="0" w:line="1" w:lineRule="exact"/>
        <w:rPr>
          <w:rFonts w:ascii="Arial" w:cs="Arial" w:eastAsia="Arial" w:hAnsi="Arial"/>
          <w:sz w:val="22"/>
          <w:szCs w:val="22"/>
          <w:color w:val="auto"/>
          <w:vertAlign w:val="superscript"/>
        </w:rPr>
      </w:pPr>
    </w:p>
    <w:p>
      <w:pPr>
        <w:ind w:left="660" w:hanging="4"/>
        <w:spacing w:after="0" w:line="208" w:lineRule="auto"/>
        <w:tabs>
          <w:tab w:leader="none" w:pos="868"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As noted above, pursuant to a new lease agreement entered into in April 2013, there are two new buildings currently under construction. Rent payments on these buildings are expected to commence in 2015.</w:t>
      </w:r>
    </w:p>
    <w:p>
      <w:pPr>
        <w:spacing w:after="0" w:line="258"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We own facilities in Rensselaer, New York, consisting of three buildings totaling approximately 425,000 square feet of research, manufacturing, office, and warehouse space. In addition, we are constructing approximately 65,000 square feet of additional manufacturing space at our Rensselaer site.</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July 2013, we reached preliminary agreement to acquire a 400,000 square foot facility in Limerick, Ireland, subject to entering into definitive agreements as well as securing permits from the local government in Limerick. We intend to renovate this facility to accommodate and support our growth, primarily in connection with expanding our bulk manufacturing capacity to support our global supply chain.</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future, we may lease, operate, purchase, or construct additional facilities in which to conduct expanded research and development and manufacturing activities and support commercial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‘287 Patent</w:t>
      </w:r>
    </w:p>
    <w:p>
      <w:pPr>
        <w:spacing w:after="0" w:line="14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described more specifically below, we are parties to patent infringement litigation involving our European Patent No. 1,360,287 (the “‘287 Patent”), which concerns genetically altered mice capable of producing chimeric antibodies that are part human and part mouse. Chimeric antibody sequences can be used to produce high-affinity fully human monoclonal antibodies. In these proceedings (referred to below as “‘287 Patent Infringement Litigation”), we claim infringement of several claims of the ‘287 Patent, and seek,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w:t>
      </w:r>
    </w:p>
    <w:p>
      <w:pPr>
        <w:spacing w:after="0" w:line="9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September 25, 2013, we commenced ‘287 Patent Infringement Litigation against Kymab Ltd, a company based in the United Kingdom, in the English High Court of Justice, Chancery Division, Patents Court, in London. On December 18, 2013, Kymab filed a defense to our lawsuit and counterclaimed alleging invalidity of the '287 Patent. Kymab previously filed an opposition to the '287 Patent in the European Patent Office in June 2013.</w:t>
      </w:r>
    </w:p>
    <w:p>
      <w:pPr>
        <w:spacing w:after="0" w:line="20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January 3, 2014, we commenced ‘287 Patent Infringement Litigation against Novo Nordisk A/S, a company based in Denmark, in the English High Court of Justice, Chancery Division, Patents Court, in London.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820" w:right="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Common Stock, par value $.001 per share, is quoted on The NASDAQ Global Select Market under the symbol “REGN.” Our Class A Stock, par value $.001 per share, is not publicly quoted or traded.</w:t>
      </w:r>
    </w:p>
    <w:p>
      <w:pPr>
        <w:spacing w:after="0" w:line="22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our Common Stock as reported by The NASDAQ Global Select Market:</w:t>
      </w:r>
    </w:p>
    <w:p>
      <w:pPr>
        <w:spacing w:after="0" w:line="24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Low</w:t>
            </w:r>
          </w:p>
        </w:tc>
      </w:tr>
      <w:tr>
        <w:trPr>
          <w:trHeight w:val="27"/>
        </w:trPr>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121.39</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56.01</w:t>
            </w:r>
          </w:p>
        </w:tc>
      </w:tr>
      <w:tr>
        <w:trPr>
          <w:trHeight w:val="27"/>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107.31</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153.98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111.50</w:t>
            </w:r>
          </w:p>
        </w:tc>
      </w:tr>
      <w:tr>
        <w:trPr>
          <w:trHeight w:val="27"/>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136.13</w:t>
            </w:r>
          </w:p>
        </w:tc>
      </w:tr>
      <w:tr>
        <w:trPr>
          <w:trHeight w:val="324"/>
        </w:trPr>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185.78</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154.16</w:t>
            </w:r>
          </w:p>
        </w:tc>
      </w:tr>
      <w:tr>
        <w:trPr>
          <w:trHeight w:val="27"/>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283.99</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177.12</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319.83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225.78</w:t>
            </w:r>
          </w:p>
        </w:tc>
      </w:tr>
      <w:tr>
        <w:trPr>
          <w:trHeight w:val="27"/>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319.50</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257.69</w:t>
            </w:r>
          </w:p>
        </w:tc>
      </w:tr>
      <w:tr>
        <w:trPr>
          <w:trHeight w:val="27"/>
        </w:trPr>
        <w:tc>
          <w:tcPr>
            <w:tcW w:w="6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6, 2014, there were 282 shareholders of record of our Common Stock and 42 shareholders of record of our Class A Stock.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never paid cash dividends on our Common Stock or Class A Stock and do not anticipate paying any in the foreseeable future.</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Refer to information in Note 15. "Long-Term Incentive Plans" and Note 16. "Executive Stock Purchase Plan" under "Notes to Consolidated Financial Statements" for information related to our equity compensation plans.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Set forth below is a line graph comparing the cumulative total shareholder return on Regeneron's Common Stock with the cumulative total return of (i) The NASDAQ Pharmaceuticals Stocks Index, (ii) The NQ US Benchmark Pharma TR Index, (iii) The NASDAQ Stock Market (U.S.) Index, and (iv) Standard &amp; Poor's 500 Stock Index (S&amp;P 500) for the period from December 31, 2008 through December 31, 2013. Due to the fact that total shareholder return data for the NASDAQ Pharmaceutical Stock Index will no longer be available for periods starting on or after January 1, 2014, we have included in our performance graph below the NQ US Benchmark Pharma TR Index, which we believe is a comparable index and which we plan to include in our future performance graphs. Additionally, effective May 1, 2013, we joined the S&amp;P 500. In accordance with applicable SEC rules, the S&amp;P 500 index information is set forth in the performance graph below. In our future performance graphs, the S&amp;P 500 index will replace The NASDAQ Stock Market (U.S.) Index. The comparison assumes that $100 was invested on December 31, 2008 in our Common Stock and in each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156210</wp:posOffset>
            </wp:positionV>
            <wp:extent cx="5213985" cy="1998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398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12/31/2008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12/31/2013</w:t>
            </w:r>
          </w:p>
        </w:tc>
      </w:tr>
      <w:tr>
        <w:trPr>
          <w:trHeight w:val="27"/>
        </w:trPr>
        <w:tc>
          <w:tcPr>
            <w:tcW w:w="1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Regeneron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1,499.13</w:t>
            </w: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NASDAQ Pharm</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285.96</w:t>
            </w:r>
          </w:p>
        </w:tc>
      </w:tr>
      <w:tr>
        <w:trPr>
          <w:trHeight w:val="27"/>
        </w:trPr>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NQ US Pharm</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NASDAQ US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281.91</w:t>
            </w:r>
          </w:p>
        </w:tc>
      </w:tr>
      <w:tr>
        <w:trPr>
          <w:trHeight w:val="27"/>
        </w:trPr>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204.63</w:t>
            </w:r>
          </w:p>
        </w:tc>
      </w:tr>
      <w:tr>
        <w:trPr>
          <w:trHeight w:val="27"/>
        </w:trPr>
        <w:tc>
          <w:tcPr>
            <w:tcW w:w="1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our Amended and Restated Long-Term Incentive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Shares (or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Part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Publicly</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of Shares (or</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Units)</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Paid per Share</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(or Unit)</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2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58"/>
        </w:trPr>
        <w:tc>
          <w:tcPr>
            <w:tcW w:w="2440" w:type="dxa"/>
            <w:vAlign w:val="bottom"/>
          </w:tcPr>
          <w:p>
            <w:pPr>
              <w:jc w:val="right"/>
              <w:ind w:right="330"/>
              <w:spacing w:after="0"/>
              <w:rPr>
                <w:sz w:val="20"/>
                <w:szCs w:val="20"/>
                <w:color w:val="auto"/>
              </w:rPr>
            </w:pPr>
            <w:r>
              <w:rPr>
                <w:rFonts w:ascii="Arial" w:cs="Arial" w:eastAsia="Arial" w:hAnsi="Arial"/>
                <w:sz w:val="18"/>
                <w:szCs w:val="18"/>
                <w:color w:val="auto"/>
              </w:rPr>
              <w:t>12/1/2013-12/31/2013</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57,433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272.73</w:t>
            </w:r>
          </w:p>
        </w:tc>
        <w:tc>
          <w:tcPr>
            <w:tcW w:w="100" w:type="dxa"/>
            <w:vAlign w:val="bottom"/>
          </w:tcPr>
          <w:p>
            <w:pPr>
              <w:spacing w:after="0"/>
              <w:rPr>
                <w:sz w:val="24"/>
                <w:szCs w:val="24"/>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Pr>
          <w:p>
            <w:pPr>
              <w:ind w:left="124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unregistered sales of equity securities in 2013.</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130" w:right="1440"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selected financial data set forth below for the years ended December 31, 2013, 2012, and 2011 and at December 31, 2013 and 2012 are derived from and should be read in conjunction with our audited financial statements, including the notes thereto, included elsewhere in this report. The selected financial data for the years ended December 31, 2010 and 2009 and as of December 31, 2011, 2010, and 2009 are derived from our audited financial statements not included in this report.</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9"/>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product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858,093</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18,364</w:t>
            </w: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650,400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493,913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369,681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386,725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314,457</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licensing and other revenue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46,447</w:t>
            </w:r>
          </w:p>
        </w:tc>
      </w:tr>
      <w:tr>
        <w:trPr>
          <w:trHeight w:val="237"/>
        </w:trPr>
        <w:tc>
          <w:tcPr>
            <w:tcW w:w="4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2,104,745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1,378,477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445,824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459,074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379,268</w:t>
            </w: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859,947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625,554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529,506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489,252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398,762</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52,923</w:t>
            </w: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83,927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1,686</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collaboration manufacturing</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1,344,717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920,764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650,983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556,546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453,371</w:t>
            </w: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4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760,028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457,713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(74,103)</w:t>
            </w: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4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2,151</w:t>
            </w: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4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713,360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414,421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(71,952)</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4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70"/>
        </w:trPr>
        <w:tc>
          <w:tcPr>
            <w:tcW w:w="47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(288,998)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335,848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4,122</w:t>
            </w:r>
          </w:p>
        </w:tc>
      </w:tr>
      <w:tr>
        <w:trPr>
          <w:trHeight w:val="183"/>
        </w:trPr>
        <w:tc>
          <w:tcPr>
            <w:tcW w:w="47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304"/>
        </w:trPr>
        <w:tc>
          <w:tcPr>
            <w:tcW w:w="47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424,362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750,269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(221,760)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(104,468)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(67,830)</w:t>
            </w:r>
          </w:p>
        </w:tc>
      </w:tr>
      <w:tr>
        <w:trPr>
          <w:trHeight w:val="176"/>
        </w:trPr>
        <w:tc>
          <w:tcPr>
            <w:tcW w:w="47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7.92</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432"/>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8"/>
              </w:rPr>
              <w:t>As of 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Unrestricted and restricted cash, cash equivalents, and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marketable securities (current and non-current)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1,083,875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587,511</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810,550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626,939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390,010</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2,080,490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1,323,583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1,089,432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741,202</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Notes payable (current and non-current)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296,518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275,019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lease obligations (current and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109,022</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Capital lease obligations (current and non-current)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1,952,076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1,245,385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485,732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527,815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396,762</w:t>
            </w:r>
          </w:p>
        </w:tc>
      </w:tr>
      <w:tr>
        <w:trPr>
          <w:trHeight w:val="27"/>
        </w:trPr>
        <w:tc>
          <w:tcPr>
            <w:tcW w:w="4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left="980" w:hanging="162"/>
        <w:spacing w:after="0" w:line="243" w:lineRule="auto"/>
        <w:tabs>
          <w:tab w:leader="none" w:pos="1011"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Income tax benefit for the year ended December 31, 2012 was primarily attributable to the release of substantially all of the valuation allowance against our deferred tax assets, as described below under Part II, Item 7. "Management's Discussion and Analysis of Financial Condition and Results of Operations - Results of Operations."</w:t>
      </w:r>
    </w:p>
    <w:p>
      <w:pPr>
        <w:sectPr>
          <w:pgSz w:w="11900" w:h="16838" w:orient="portrait"/>
          <w:cols w:equalWidth="0" w:num="1">
            <w:col w:w="11420"/>
          </w:cols>
          <w:pgMar w:left="240" w:top="130"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0"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related notes included elsewhere in this report.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a fully integrated biopharmaceutical company that discovers, invents, develops, manufactures, and commercializes medicines for the treatment of serious medical conditions. Our total revenues were $2,104.7 million in 2013, compared to $1,378.5 million in 2012 and $445.8 million in 2011. Our net income was $424.4 million, or $3.81 per diluted share, in 2013, compared to net income of $750.3 million, or $6.75 per diluted share, in 2012, and a net loss of $221.8 million, or $2.45 per share (basic and diluted), in 2011. Net income in 2012 included an income tax benefit of $335.8 million, primarily attributable to the release of substantially all of the valuation allowance against our deferred tax assets. Refer to "Results of Operations" below for further details of our financial results.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279" w:lineRule="exact"/>
        <w:rPr>
          <w:sz w:val="20"/>
          <w:szCs w:val="20"/>
          <w:color w:val="auto"/>
        </w:rPr>
      </w:pPr>
    </w:p>
    <w:p>
      <w:pPr>
        <w:jc w:val="both"/>
        <w:ind w:left="660" w:hanging="328"/>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EYLEA (aflibercept) Injection, which is available in the United States, EU, Japan, and certain other countries outside the United States for the treatment of wet AMD and macular edema following CRVO. Net product sales of EYLEA in the United States were $1,408.7 million in 2013, $837.9 million in 2012, and $24.8 million in 2011. Bayer HealthCare records revenue from sales of EYLEA outside the United States. EYLEA net product sales outside of the United States commenced in the fourth quarter of 2012, and were $472.1 million in 2013 and $19.0 million in 2012.</w:t>
      </w:r>
    </w:p>
    <w:p>
      <w:pPr>
        <w:spacing w:after="0" w:line="208" w:lineRule="exact"/>
        <w:rPr>
          <w:rFonts w:ascii="Arial" w:cs="Arial" w:eastAsia="Arial" w:hAnsi="Arial"/>
          <w:sz w:val="16"/>
          <w:szCs w:val="16"/>
          <w:color w:val="auto"/>
        </w:rPr>
      </w:pPr>
    </w:p>
    <w:p>
      <w:pPr>
        <w:jc w:val="both"/>
        <w:ind w:left="660"/>
        <w:spacing w:after="0" w:line="276" w:lineRule="auto"/>
        <w:rPr>
          <w:rFonts w:ascii="Arial" w:cs="Arial" w:eastAsia="Arial" w:hAnsi="Arial"/>
          <w:sz w:val="16"/>
          <w:szCs w:val="16"/>
          <w:color w:val="auto"/>
        </w:rPr>
      </w:pPr>
      <w:r>
        <w:rPr>
          <w:rFonts w:ascii="Arial" w:cs="Arial" w:eastAsia="Arial" w:hAnsi="Arial"/>
          <w:sz w:val="17"/>
          <w:szCs w:val="17"/>
          <w:color w:val="auto"/>
        </w:rPr>
        <w:t>We commenced sales of EYLEA for the treatment of wet AMD in November 2011 and for the treatment of macular edema following CRVO in September 2012, following receipt of regulatory approval in the United States. Bayer HealthCare commenced sales of EYLEA for the treatment of wet AMD in the fourth quarter of 2012 following receipt of regulatory approvals outside the United States, and for the treatment of macular edema secondary to CRVO in the fourth quarter of 2013 following receipt of regulatory approvals in the EU and Japan. Bayer HealthCare has additional regulatory applications for EYLEA for the treatment of wet AMD and macular edema secondary to CRVO pending in other countries.</w:t>
      </w:r>
    </w:p>
    <w:p>
      <w:pPr>
        <w:spacing w:after="0" w:line="226"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EYLEA outside the United States, where, for countries other than Japan, the companies share equally the profits and losses from sales of EYLEA. In Japan, we are entitled to receive a percentage of the sales of EYLEA, as described below. We maintain exclusive rights to EYLEA in the United States and are entitled to all profits from any such sales.</w:t>
      </w:r>
    </w:p>
    <w:p>
      <w:pPr>
        <w:spacing w:after="0" w:line="240"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ZALTRAP (ziv-aflibercept) Injection for Intravenous Infusion, which is available in the United States, EU, and certain other countries for treatment, in combination with FOLFIRI, of patients with mCRC that is resistant to or has progressed following an oxaliplatin-containing regimen. Regulatory applications for marketing authorization of ZALTRAP for the treatment of previously treated mCRC patients in other countries have also been submitted and are currently under review by the respective regulatory agencies.</w:t>
      </w:r>
    </w:p>
    <w:p>
      <w:pPr>
        <w:spacing w:after="0" w:line="240"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We and Sanofi globally collaborate on the development and commercialization of ZALTRAP, and share profits and losses from commercialization of ZALTRAP, except for Japan, where we are entitled to receive a percentage of the sales of ZALTRAP, as described below. ZALTRAP net product sales, which are recorded by Sanofi, commenced in the United States in August 2012 and in Europe in the first quarter of 2013, and were $70.2 million in 2013 and $31.7 million in 2012.</w:t>
      </w:r>
    </w:p>
    <w:p>
      <w:pPr>
        <w:spacing w:after="0" w:line="24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ARCALYST (rilonacept) Injection for Subcutaneous Use, which is available in the United States for the treatment of CAPS, including FCAS and MWS, in adults and children 12 and older. CAPS are a group of rare, inherited, auto-inflammatory conditions characterized by life-long, recurrent symptoms of rash, fever/chills, joint pain, eye redness/pain, and fatigue. Net product sales of ARCALYST totaled $17.1 million in 2013, $20.2 million in 2012, and $19.9 million in 2011. We do not expect future net product sales of ARCALYST for the treatment of CAPS to be significant.</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from sales of commercialized products and the amount of reimbursement of our research and development expenses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have 16 product candidates in clinical development, all of which were discovered in our research laboratories. Our Trap-based clinical programs are:</w:t>
      </w:r>
    </w:p>
    <w:p>
      <w:pPr>
        <w:spacing w:after="0" w:line="16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EYLEA, which is in clinical trials for the treatment of DME and macular edema following BRVO in collaboration with Bayer HealthCare; and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ZALTRAP, which is being studied in combination with our angiopoietin-2 inhibitor (nesvacumab) in oncology in collaboration with Sanofi.</w:t>
      </w:r>
    </w:p>
    <w:p>
      <w:pPr>
        <w:spacing w:after="0" w:line="14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antibody-based clinical programs include 14 fully human monoclonal antibody product candidates. The following seven are being developed in collaboration with Sanofi:</w:t>
      </w:r>
    </w:p>
    <w:p>
      <w:pPr>
        <w:spacing w:after="0" w:line="8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Sarilumab (REGN88), an antibody to IL-6R, which is being developed in rheumatoid arthritis and non-infectious uveitis;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Alirocumab (REGN727), an antibody to PCSK9, which is being developed for LDL cholesterol reduction;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Dupilumab (REGN668), an antibody to IL-4R, which is being developed in atopic dermatitis, asthma, and nasal polyposis;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Enoticumab (REGN421), an antibody to Dll4, a novel angiogenesis target, which is being developed in oncology;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Nesvacumab (REGN910), an antibody to Ang2, another novel angiogenesis target, which is being developed in oncology;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REGN1033, an antibody to GDF8, which is being developed in skeletal muscle disorders;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REGN2009, an antibody in clinical development against an undisclosed target.</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developing the following six antibody product candidates independently:</w:t>
      </w:r>
    </w:p>
    <w:p>
      <w:pPr>
        <w:spacing w:after="0" w:line="1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REGN1400, an antibody to ErbB3, which is being developed in oncology;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REGN1154,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REGN1500,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REGN1193,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REGN1908-1909, an antibody combination in clinical development against an undisclosed target;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Fasinumab (REGN475), an antibody to NGF, which is being developed for the treatment of pain and is currently on clinical hold by the FDA.</w:t>
      </w:r>
    </w:p>
    <w:p>
      <w:pPr>
        <w:spacing w:after="0" w:line="14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 addition, REGN2176-3, a combination product that is comprised of an antibody to PDGFR-beta co-formulated with EYLEA for use in ophthalmology, entered clinical development in the first quarter of 2014, and is being developed in collaboration with Bayer HealthCare.</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Development of REGN846, which completed a Phase 1 study against an undisclosed target, was discontinued in the second quarter of 2013.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2013 and 2014 to date were, and plans for the remainder of 2014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Trap-based Clinical Programs:</w:t>
      </w:r>
    </w:p>
    <w:p>
      <w:pPr>
        <w:spacing w:after="0" w:line="167" w:lineRule="exact"/>
        <w:rPr>
          <w:sz w:val="20"/>
          <w:szCs w:val="20"/>
          <w:color w:val="auto"/>
        </w:rPr>
      </w:pPr>
    </w:p>
    <w:p>
      <w:pPr>
        <w:ind w:left="1560"/>
        <w:spacing w:after="0"/>
        <w:tabs>
          <w:tab w:leader="none" w:pos="8200" w:val="left"/>
        </w:tabs>
        <w:rPr>
          <w:sz w:val="20"/>
          <w:szCs w:val="20"/>
          <w:color w:val="auto"/>
        </w:rPr>
      </w:pPr>
      <w:r>
        <w:rPr>
          <w:rFonts w:ascii="Arial" w:cs="Arial" w:eastAsia="Arial" w:hAnsi="Arial"/>
          <w:sz w:val="18"/>
          <w:szCs w:val="18"/>
          <w:b w:val="1"/>
          <w:bCs w:val="1"/>
          <w:color w:val="auto"/>
        </w:rPr>
        <w:t>2013 and 2014 Events to Date</w:t>
      </w:r>
      <w:r>
        <w:rPr>
          <w:sz w:val="20"/>
          <w:szCs w:val="20"/>
          <w:color w:val="auto"/>
        </w:rPr>
        <w:tab/>
      </w:r>
      <w:r>
        <w:rPr>
          <w:rFonts w:ascii="Arial" w:cs="Arial" w:eastAsia="Arial" w:hAnsi="Arial"/>
          <w:sz w:val="15"/>
          <w:szCs w:val="15"/>
          <w:b w:val="1"/>
          <w:bCs w:val="1"/>
          <w:color w:val="auto"/>
        </w:rPr>
        <w:t>2014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ectPr>
          <w:pgSz w:w="11900" w:h="16838" w:orient="portrait"/>
          <w:cols w:equalWidth="0" w:num="1">
            <w:col w:w="11400"/>
          </w:cols>
          <w:pgMar w:left="240" w:top="130" w:right="259" w:bottom="1440" w:gutter="0" w:footer="0" w:header="0"/>
        </w:sectPr>
      </w:pPr>
    </w:p>
    <w:p>
      <w:pPr>
        <w:spacing w:after="0" w:line="63" w:lineRule="exact"/>
        <w:rPr>
          <w:sz w:val="20"/>
          <w:szCs w:val="20"/>
          <w:color w:val="auto"/>
        </w:rPr>
      </w:pPr>
    </w:p>
    <w:p>
      <w:pPr>
        <w:ind w:left="260" w:hanging="202"/>
        <w:spacing w:after="0" w:line="259"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Bayer HealthCare received regulatory approval for EYLEA in certain European and other countries for the treatment of patients with wet AMD and continued to pursue regulatory applications for marketing approval in additional countries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65" w:right="200" w:hanging="265"/>
        <w:spacing w:after="0" w:line="291"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agency decisions on additional applications outside the United States for the treatment of wet AMD and macular edema secondary to</w:t>
      </w:r>
    </w:p>
    <w:p>
      <w:pPr>
        <w:ind w:left="265"/>
        <w:spacing w:after="0"/>
        <w:rPr>
          <w:rFonts w:ascii="Arial" w:cs="Arial" w:eastAsia="Arial" w:hAnsi="Arial"/>
          <w:sz w:val="16"/>
          <w:szCs w:val="16"/>
          <w:color w:val="auto"/>
        </w:rPr>
      </w:pPr>
      <w:r>
        <w:rPr>
          <w:rFonts w:ascii="Arial" w:cs="Arial" w:eastAsia="Arial" w:hAnsi="Arial"/>
          <w:sz w:val="18"/>
          <w:szCs w:val="18"/>
          <w:color w:val="auto"/>
        </w:rPr>
        <w:t>CRVO</w:t>
      </w:r>
    </w:p>
    <w:p>
      <w:pPr>
        <w:spacing w:after="0" w:line="48" w:lineRule="exact"/>
        <w:rPr>
          <w:rFonts w:ascii="Arial" w:cs="Arial" w:eastAsia="Arial" w:hAnsi="Arial"/>
          <w:sz w:val="16"/>
          <w:szCs w:val="16"/>
          <w:color w:val="auto"/>
        </w:rPr>
      </w:pPr>
    </w:p>
    <w:p>
      <w:pPr>
        <w:ind w:left="265" w:right="160" w:hanging="265"/>
        <w:spacing w:after="0" w:line="277"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Bayer HealthCare to file for China regulatory approval for the treatment of wet AMD</w:t>
      </w:r>
    </w:p>
    <w:p>
      <w:pPr>
        <w:spacing w:after="0" w:line="8" w:lineRule="exact"/>
        <w:rPr>
          <w:sz w:val="20"/>
          <w:szCs w:val="20"/>
          <w:color w:val="auto"/>
        </w:rPr>
      </w:pPr>
    </w:p>
    <w:p>
      <w:pPr>
        <w:sectPr>
          <w:pgSz w:w="11900" w:h="16838" w:orient="portrait"/>
          <w:cols w:equalWidth="0" w:num="2">
            <w:col w:w="5080" w:space="515"/>
            <w:col w:w="5805"/>
          </w:cols>
          <w:pgMar w:left="240" w:top="130" w:right="259" w:bottom="1440" w:gutter="0" w:footer="0" w:header="0"/>
          <w:type w:val="continuous"/>
        </w:sectPr>
      </w:pPr>
    </w:p>
    <w:p>
      <w:pPr>
        <w:ind w:left="260" w:right="20" w:hanging="202"/>
        <w:spacing w:after="0" w:line="25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Bayer HealthCare received regulatory approval for EYLEA in the EU, Japan, and other certain other countries for the treatment of patients with macular edema secondary to CRVO and continued to pursue regulatory applications for marketing approval in additional countries</w:t>
      </w:r>
    </w:p>
    <w:p>
      <w:pPr>
        <w:spacing w:after="0" w:line="26" w:lineRule="exact"/>
        <w:rPr>
          <w:rFonts w:ascii="Arial" w:cs="Arial" w:eastAsia="Arial" w:hAnsi="Arial"/>
          <w:sz w:val="18"/>
          <w:szCs w:val="18"/>
          <w:color w:val="auto"/>
        </w:rPr>
      </w:pPr>
    </w:p>
    <w:p>
      <w:pPr>
        <w:ind w:left="260" w:right="140" w:hanging="20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Initiated Phase 3 VIVID EAST-DME study in Russia, China, and other Asian countries</w:t>
      </w:r>
    </w:p>
    <w:p>
      <w:pPr>
        <w:spacing w:after="0" w:line="8" w:lineRule="exact"/>
        <w:rPr>
          <w:rFonts w:ascii="Arial" w:cs="Arial" w:eastAsia="Arial" w:hAnsi="Arial"/>
          <w:sz w:val="18"/>
          <w:szCs w:val="18"/>
          <w:color w:val="auto"/>
        </w:rPr>
      </w:pPr>
    </w:p>
    <w:p>
      <w:pPr>
        <w:ind w:left="260" w:right="140" w:hanging="20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Reported positive one year results from the Phase 3 VIVID-DME and VISTA-DME studies</w:t>
      </w:r>
    </w:p>
    <w:p>
      <w:pPr>
        <w:spacing w:after="0" w:line="8" w:lineRule="exact"/>
        <w:rPr>
          <w:rFonts w:ascii="Arial" w:cs="Arial" w:eastAsia="Arial" w:hAnsi="Arial"/>
          <w:sz w:val="18"/>
          <w:szCs w:val="18"/>
          <w:color w:val="auto"/>
        </w:rPr>
      </w:pPr>
    </w:p>
    <w:p>
      <w:pPr>
        <w:ind w:left="260" w:hanging="20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Submitted supplemental BLA for regulatory approval in the United States for the treatment of DME</w:t>
      </w:r>
    </w:p>
    <w:p>
      <w:pPr>
        <w:spacing w:after="0" w:line="8" w:lineRule="exact"/>
        <w:rPr>
          <w:rFonts w:ascii="Arial" w:cs="Arial" w:eastAsia="Arial" w:hAnsi="Arial"/>
          <w:sz w:val="18"/>
          <w:szCs w:val="18"/>
          <w:color w:val="auto"/>
        </w:rPr>
      </w:pPr>
    </w:p>
    <w:p>
      <w:pPr>
        <w:ind w:left="260" w:right="220" w:hanging="20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Bayer HealthCare filed for marketing approval in the EU for the treatment of DME</w:t>
      </w:r>
    </w:p>
    <w:p>
      <w:pPr>
        <w:spacing w:after="0" w:line="8" w:lineRule="exact"/>
        <w:rPr>
          <w:rFonts w:ascii="Arial" w:cs="Arial" w:eastAsia="Arial" w:hAnsi="Arial"/>
          <w:sz w:val="18"/>
          <w:szCs w:val="18"/>
          <w:color w:val="auto"/>
        </w:rPr>
      </w:pPr>
    </w:p>
    <w:p>
      <w:pPr>
        <w:ind w:left="260" w:right="360" w:hanging="20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Reported positive results from the Phase 3 MYRROR study in myopic CNV</w:t>
      </w:r>
    </w:p>
    <w:p>
      <w:pPr>
        <w:spacing w:after="0" w:line="8" w:lineRule="exact"/>
        <w:rPr>
          <w:rFonts w:ascii="Arial" w:cs="Arial" w:eastAsia="Arial" w:hAnsi="Arial"/>
          <w:sz w:val="18"/>
          <w:szCs w:val="18"/>
          <w:color w:val="auto"/>
        </w:rPr>
      </w:pPr>
    </w:p>
    <w:p>
      <w:pPr>
        <w:ind w:left="260" w:right="320" w:hanging="20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Bayer HealthCare submitted the first application for regulatory approval for myopic CNV in Japan</w:t>
      </w:r>
    </w:p>
    <w:p>
      <w:pPr>
        <w:spacing w:after="0" w:line="8" w:lineRule="exact"/>
        <w:rPr>
          <w:rFonts w:ascii="Arial" w:cs="Arial" w:eastAsia="Arial" w:hAnsi="Arial"/>
          <w:sz w:val="18"/>
          <w:szCs w:val="18"/>
          <w:color w:val="auto"/>
        </w:rPr>
      </w:pPr>
    </w:p>
    <w:p>
      <w:pPr>
        <w:ind w:left="260" w:right="760" w:hanging="202"/>
        <w:spacing w:after="0" w:line="298"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Reported positive six month primary endpoint results for VIBRANT study in macular edema following BRVO</w:t>
      </w:r>
    </w:p>
    <w:p>
      <w:pPr>
        <w:ind w:left="260" w:right="240" w:hanging="202"/>
        <w:spacing w:after="0" w:line="264"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Bayer HealthCare opted-in to the global development and commercialization outside the United States for the treatment of macular edema following BRVO</w:t>
      </w:r>
    </w:p>
    <w:p>
      <w:pPr>
        <w:spacing w:after="0" w:line="19" w:lineRule="exact"/>
        <w:rPr>
          <w:rFonts w:ascii="Arial" w:cs="Arial" w:eastAsia="Arial" w:hAnsi="Arial"/>
          <w:sz w:val="18"/>
          <w:szCs w:val="18"/>
          <w:color w:val="auto"/>
        </w:rPr>
      </w:pPr>
    </w:p>
    <w:p>
      <w:pPr>
        <w:ind w:left="260" w:right="120" w:hanging="20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Reported positive two year results from the Phase 3 VISTA-DME study</w:t>
      </w:r>
    </w:p>
    <w:p>
      <w:pPr>
        <w:spacing w:after="0" w:line="20" w:lineRule="exact"/>
        <w:rPr>
          <w:sz w:val="20"/>
          <w:szCs w:val="20"/>
          <w:color w:val="auto"/>
        </w:rPr>
      </w:pPr>
      <w:r>
        <w:rPr>
          <w:sz w:val="20"/>
          <w:szCs w:val="20"/>
          <w:color w:val="auto"/>
        </w:rPr>
        <w:br w:type="column"/>
      </w:r>
    </w:p>
    <w:p>
      <w:pPr>
        <w:ind w:left="265" w:right="100" w:hanging="265"/>
        <w:spacing w:after="0" w:line="277"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Bayer HealthCare to file for additional ex-US regulatory approvals in DME and additional Asia regulatory approvals in myopic CNV</w:t>
      </w:r>
    </w:p>
    <w:p>
      <w:pPr>
        <w:spacing w:after="0" w:line="89" w:lineRule="exact"/>
        <w:rPr>
          <w:rFonts w:ascii="Arial" w:cs="Arial" w:eastAsia="Arial" w:hAnsi="Arial"/>
          <w:sz w:val="18"/>
          <w:szCs w:val="18"/>
          <w:color w:val="auto"/>
        </w:rPr>
      </w:pPr>
    </w:p>
    <w:p>
      <w:pPr>
        <w:ind w:left="265" w:right="580" w:hanging="265"/>
        <w:spacing w:after="0" w:line="277"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agency decisions on applications in the United States and outside the United States for the treatment of DME</w:t>
      </w:r>
    </w:p>
    <w:p>
      <w:pPr>
        <w:spacing w:after="0" w:line="89" w:lineRule="exact"/>
        <w:rPr>
          <w:rFonts w:ascii="Arial" w:cs="Arial" w:eastAsia="Arial" w:hAnsi="Arial"/>
          <w:sz w:val="18"/>
          <w:szCs w:val="18"/>
          <w:color w:val="auto"/>
        </w:rPr>
      </w:pPr>
    </w:p>
    <w:p>
      <w:pPr>
        <w:ind w:left="265" w:right="440" w:hanging="265"/>
        <w:spacing w:after="0" w:line="298" w:lineRule="auto"/>
        <w:tabs>
          <w:tab w:leader="none" w:pos="265"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Report two year results from Phase 3 VIVID-DME study and one-year results from Phase 3 macular edema following BRVO study</w:t>
      </w:r>
    </w:p>
    <w:p>
      <w:pPr>
        <w:ind w:left="265" w:right="360" w:hanging="265"/>
        <w:spacing w:after="0" w:line="308" w:lineRule="auto"/>
        <w:tabs>
          <w:tab w:leader="none" w:pos="265"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File for regulatory approvals in the United States and outside the United States for the treatment of macular edema following BRVO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2280285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7" w:lineRule="exact"/>
        <w:rPr>
          <w:sz w:val="20"/>
          <w:szCs w:val="20"/>
          <w:color w:val="auto"/>
        </w:rPr>
      </w:pPr>
    </w:p>
    <w:p>
      <w:pPr>
        <w:sectPr>
          <w:pgSz w:w="11900" w:h="16838" w:orient="portrait"/>
          <w:cols w:equalWidth="0" w:num="2">
            <w:col w:w="5120" w:space="475"/>
            <w:col w:w="5805"/>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i w:val="1"/>
          <w:iCs w:val="1"/>
          <w:color w:val="auto"/>
        </w:rPr>
        <w:t>ZALTRAP</w:t>
      </w:r>
    </w:p>
    <w:p>
      <w:pPr>
        <w:sectPr>
          <w:pgSz w:w="11900" w:h="16838" w:orient="portrait"/>
          <w:cols w:equalWidth="0" w:num="1">
            <w:col w:w="11400"/>
          </w:cols>
          <w:pgMar w:left="240" w:top="130" w:right="259" w:bottom="1440" w:gutter="0" w:footer="0" w:header="0"/>
          <w:type w:val="continuous"/>
        </w:sectPr>
      </w:pPr>
    </w:p>
    <w:p>
      <w:pPr>
        <w:spacing w:after="0" w:line="75" w:lineRule="exact"/>
        <w:rPr>
          <w:sz w:val="20"/>
          <w:szCs w:val="20"/>
          <w:color w:val="auto"/>
        </w:rPr>
      </w:pPr>
    </w:p>
    <w:p>
      <w:pPr>
        <w:ind w:left="260" w:hanging="202"/>
        <w:spacing w:after="0" w:line="259"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European Commission granted marketing authorization in the European Union for ZALTRAP for patients with mCRC that is resistant to or has progressed following an oxaliplatin-containing regimen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65" w:right="320" w:hanging="265"/>
        <w:spacing w:after="0" w:line="264"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agency decisions outside the United States on additional applications for ZALTRAP in the treatment of previously treated mCRC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141605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4940" w:space="655"/>
            <w:col w:w="5805"/>
          </w:cols>
          <w:pgMar w:left="240" w:top="130" w:right="259"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130" w:right="25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5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561"/>
        </w:trPr>
        <w:tc>
          <w:tcPr>
            <w:tcW w:w="6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6"/>
              </w:rPr>
              <w:t>Antibody-based Clinical Programs:</w:t>
            </w:r>
          </w:p>
        </w:tc>
        <w:tc>
          <w:tcPr>
            <w:tcW w:w="45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53"/>
        </w:trPr>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540" w:type="dxa"/>
            <w:vAlign w:val="bottom"/>
          </w:tcPr>
          <w:p>
            <w:pPr>
              <w:ind w:left="1620"/>
              <w:spacing w:after="0"/>
              <w:rPr>
                <w:sz w:val="20"/>
                <w:szCs w:val="20"/>
                <w:color w:val="auto"/>
              </w:rPr>
            </w:pPr>
            <w:r>
              <w:rPr>
                <w:rFonts w:ascii="Arial" w:cs="Arial" w:eastAsia="Arial" w:hAnsi="Arial"/>
                <w:sz w:val="18"/>
                <w:szCs w:val="18"/>
                <w:b w:val="1"/>
                <w:bCs w:val="1"/>
                <w:color w:val="auto"/>
              </w:rPr>
              <w:t>2013 and 2014 Events to Date</w:t>
            </w:r>
          </w:p>
        </w:tc>
        <w:tc>
          <w:tcPr>
            <w:tcW w:w="4180" w:type="dxa"/>
            <w:vAlign w:val="bottom"/>
          </w:tcPr>
          <w:p>
            <w:pPr>
              <w:ind w:left="1880"/>
              <w:spacing w:after="0"/>
              <w:rPr>
                <w:sz w:val="20"/>
                <w:szCs w:val="20"/>
                <w:color w:val="auto"/>
              </w:rPr>
            </w:pPr>
            <w:r>
              <w:rPr>
                <w:rFonts w:ascii="Arial" w:cs="Arial" w:eastAsia="Arial" w:hAnsi="Arial"/>
                <w:sz w:val="18"/>
                <w:szCs w:val="18"/>
                <w:b w:val="1"/>
                <w:bCs w:val="1"/>
                <w:color w:val="auto"/>
              </w:rPr>
              <w:t>2014 Plans</w:t>
            </w: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22"/>
        </w:trPr>
        <w:tc>
          <w:tcPr>
            <w:tcW w:w="2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Sarilumab (IL-6R Antibody)</w:t>
            </w:r>
          </w:p>
        </w:tc>
        <w:tc>
          <w:tcPr>
            <w:tcW w:w="4540" w:type="dxa"/>
            <w:vAlign w:val="bottom"/>
          </w:tcPr>
          <w:p>
            <w:pPr>
              <w:ind w:left="640"/>
              <w:spacing w:after="0"/>
              <w:rPr>
                <w:sz w:val="20"/>
                <w:szCs w:val="20"/>
                <w:color w:val="auto"/>
              </w:rPr>
            </w:pPr>
            <w:r>
              <w:rPr>
                <w:rFonts w:ascii="Arial" w:cs="Arial" w:eastAsia="Arial" w:hAnsi="Arial"/>
                <w:sz w:val="18"/>
                <w:szCs w:val="18"/>
                <w:color w:val="auto"/>
              </w:rPr>
              <w:t>Ÿ  Initiated SARIL-RA-ASCERTAIN and SARIL-</w:t>
            </w:r>
          </w:p>
        </w:tc>
        <w:tc>
          <w:tcPr>
            <w:tcW w:w="4180" w:type="dxa"/>
            <w:vAlign w:val="bottom"/>
          </w:tcPr>
          <w:p>
            <w:pPr>
              <w:ind w:left="180"/>
              <w:spacing w:after="0"/>
              <w:rPr>
                <w:sz w:val="20"/>
                <w:szCs w:val="20"/>
                <w:color w:val="auto"/>
              </w:rPr>
            </w:pPr>
            <w:r>
              <w:rPr>
                <w:rFonts w:ascii="Arial" w:cs="Arial" w:eastAsia="Arial" w:hAnsi="Arial"/>
                <w:sz w:val="18"/>
                <w:szCs w:val="18"/>
                <w:color w:val="auto"/>
              </w:rPr>
              <w:t>Ÿ  Continue enrollment in Phase 3 SARIL-RA</w:t>
            </w: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40" w:type="dxa"/>
            <w:vAlign w:val="bottom"/>
          </w:tcPr>
          <w:p>
            <w:pPr>
              <w:ind w:left="900"/>
              <w:spacing w:after="0"/>
              <w:rPr>
                <w:sz w:val="20"/>
                <w:szCs w:val="20"/>
                <w:color w:val="auto"/>
              </w:rPr>
            </w:pPr>
            <w:r>
              <w:rPr>
                <w:rFonts w:ascii="Arial" w:cs="Arial" w:eastAsia="Arial" w:hAnsi="Arial"/>
                <w:sz w:val="18"/>
                <w:szCs w:val="18"/>
                <w:color w:val="auto"/>
                <w:w w:val="98"/>
              </w:rPr>
              <w:t>RA-COMPARE Phase 3 studies in rheumatoid</w:t>
            </w:r>
          </w:p>
        </w:tc>
        <w:tc>
          <w:tcPr>
            <w:tcW w:w="4180" w:type="dxa"/>
            <w:vAlign w:val="bottom"/>
          </w:tcPr>
          <w:p>
            <w:pPr>
              <w:ind w:left="440"/>
              <w:spacing w:after="0"/>
              <w:rPr>
                <w:sz w:val="20"/>
                <w:szCs w:val="20"/>
                <w:color w:val="auto"/>
              </w:rPr>
            </w:pPr>
            <w:r>
              <w:rPr>
                <w:rFonts w:ascii="Arial" w:cs="Arial" w:eastAsia="Arial" w:hAnsi="Arial"/>
                <w:sz w:val="18"/>
                <w:szCs w:val="18"/>
                <w:color w:val="auto"/>
              </w:rPr>
              <w:t>program</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540" w:type="dxa"/>
            <w:vAlign w:val="bottom"/>
          </w:tcPr>
          <w:p>
            <w:pPr>
              <w:ind w:left="900"/>
              <w:spacing w:after="0"/>
              <w:rPr>
                <w:sz w:val="20"/>
                <w:szCs w:val="20"/>
                <w:color w:val="auto"/>
              </w:rPr>
            </w:pPr>
            <w:r>
              <w:rPr>
                <w:rFonts w:ascii="Arial" w:cs="Arial" w:eastAsia="Arial" w:hAnsi="Arial"/>
                <w:sz w:val="18"/>
                <w:szCs w:val="18"/>
                <w:color w:val="auto"/>
              </w:rPr>
              <w:t>arthritis</w:t>
            </w:r>
          </w:p>
        </w:tc>
        <w:tc>
          <w:tcPr>
            <w:tcW w:w="418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1">
            <w:col w:w="11400"/>
          </w:cols>
          <w:pgMar w:left="240" w:top="118" w:right="259" w:bottom="1440" w:gutter="0" w:footer="0" w:header="0"/>
        </w:sectPr>
      </w:pPr>
    </w:p>
    <w:p>
      <w:pPr>
        <w:ind w:left="3580" w:right="400" w:hanging="267"/>
        <w:spacing w:after="0" w:line="277" w:lineRule="auto"/>
        <w:tabs>
          <w:tab w:leader="none" w:pos="3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Reported positive results from SARIL-RA-MOBILITY study</w:t>
      </w:r>
    </w:p>
    <w:p>
      <w:pPr>
        <w:spacing w:after="0" w:line="8" w:lineRule="exact"/>
        <w:rPr>
          <w:rFonts w:ascii="Arial" w:cs="Arial" w:eastAsia="Arial" w:hAnsi="Arial"/>
          <w:sz w:val="18"/>
          <w:szCs w:val="18"/>
          <w:color w:val="auto"/>
        </w:rPr>
      </w:pPr>
    </w:p>
    <w:p>
      <w:pPr>
        <w:ind w:left="3580" w:hanging="267"/>
        <w:spacing w:after="0" w:line="277" w:lineRule="auto"/>
        <w:tabs>
          <w:tab w:leader="none" w:pos="3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Initiated SARIL-NIU-SATURN Phase 2 study in non-infectious uveitis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5" w:right="200" w:hanging="255"/>
        <w:spacing w:after="0" w:line="317"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Continue patient enrollment in SARIL-NIU-SATURN Phase 2 study in non-infectious uveitis</w:t>
      </w:r>
    </w:p>
    <w:p>
      <w:pPr>
        <w:ind w:left="255" w:hanging="255"/>
        <w:spacing w:after="0"/>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additional clinical studies</w:t>
      </w:r>
    </w:p>
    <w:p>
      <w:pPr>
        <w:spacing w:after="0" w:line="292" w:lineRule="exact"/>
        <w:rPr>
          <w:sz w:val="20"/>
          <w:szCs w:val="20"/>
          <w:color w:val="auto"/>
        </w:rPr>
      </w:pPr>
    </w:p>
    <w:p>
      <w:pPr>
        <w:sectPr>
          <w:pgSz w:w="11900" w:h="16838" w:orient="portrait"/>
          <w:cols w:equalWidth="0" w:num="2">
            <w:col w:w="7100" w:space="305"/>
            <w:col w:w="3995"/>
          </w:cols>
          <w:pgMar w:left="240" w:top="118" w:right="259" w:bottom="1440" w:gutter="0" w:footer="0" w:header="0"/>
          <w:type w:val="continuous"/>
        </w:sectPr>
      </w:pPr>
    </w:p>
    <w:p>
      <w:pPr>
        <w:ind w:left="40"/>
        <w:spacing w:after="0"/>
        <w:tabs>
          <w:tab w:leader="none" w:pos="3300" w:val="left"/>
        </w:tabs>
        <w:rPr>
          <w:sz w:val="20"/>
          <w:szCs w:val="20"/>
          <w:color w:val="auto"/>
        </w:rPr>
      </w:pPr>
      <w:r>
        <w:rPr>
          <w:rFonts w:ascii="Arial" w:cs="Arial" w:eastAsia="Arial" w:hAnsi="Arial"/>
          <w:sz w:val="18"/>
          <w:szCs w:val="18"/>
          <w:b w:val="1"/>
          <w:bCs w:val="1"/>
          <w:i w:val="1"/>
          <w:iCs w:val="1"/>
          <w:color w:val="auto"/>
        </w:rPr>
        <w:t>Alirocumab (PCSK9 Antibody)</w:t>
      </w:r>
      <w:r>
        <w:rPr>
          <w:sz w:val="20"/>
          <w:szCs w:val="20"/>
          <w:color w:val="auto"/>
        </w:rPr>
        <w:tab/>
      </w:r>
      <w:r>
        <w:rPr>
          <w:rFonts w:ascii="Arial" w:cs="Arial" w:eastAsia="Arial" w:hAnsi="Arial"/>
          <w:sz w:val="16"/>
          <w:szCs w:val="16"/>
          <w:color w:val="auto"/>
        </w:rPr>
        <w:t>Ÿ  Completed patient enrollment in majority of Phase</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3 ODYSSEY trials</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Ÿ  Reported positive results from Phase 3 ODYSSEY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MONO trial</w:t>
      </w:r>
    </w:p>
    <w:p>
      <w:pPr>
        <w:spacing w:after="0" w:line="4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Ÿ  Initiated Phase 3 ODYSSEY CHOICE I and</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ODYSSEY CHOICE II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5" w:right="280" w:hanging="255"/>
        <w:spacing w:after="0" w:line="26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enrollment of Phase 3 ODYSSEY OUTCOMES and ODYSSEY CHOICE I and II trials</w:t>
      </w:r>
    </w:p>
    <w:p>
      <w:pPr>
        <w:spacing w:after="0" w:line="19" w:lineRule="exact"/>
        <w:rPr>
          <w:rFonts w:ascii="Arial" w:cs="Arial" w:eastAsia="Arial" w:hAnsi="Arial"/>
          <w:sz w:val="18"/>
          <w:szCs w:val="18"/>
          <w:color w:val="auto"/>
        </w:rPr>
      </w:pPr>
    </w:p>
    <w:p>
      <w:pPr>
        <w:ind w:left="255" w:right="100" w:hanging="255"/>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 results from additional Phase 3 ODYSSEY trials</w:t>
      </w:r>
    </w:p>
    <w:p>
      <w:pPr>
        <w:spacing w:after="0" w:line="507" w:lineRule="exact"/>
        <w:rPr>
          <w:sz w:val="20"/>
          <w:szCs w:val="20"/>
          <w:color w:val="auto"/>
        </w:rPr>
      </w:pPr>
    </w:p>
    <w:p>
      <w:pPr>
        <w:sectPr>
          <w:pgSz w:w="11900" w:h="16838" w:orient="portrait"/>
          <w:cols w:equalWidth="0" w:num="2">
            <w:col w:w="7240" w:space="165"/>
            <w:col w:w="3995"/>
          </w:cols>
          <w:pgMar w:left="240" w:top="118"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Dupilumab (IL-4R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8"/>
              </w:rPr>
              <w:t>Reported results for Phase 1b studies in atopic</w:t>
            </w:r>
          </w:p>
        </w:tc>
        <w:tc>
          <w:tcPr>
            <w:tcW w:w="4140" w:type="dxa"/>
            <w:vAlign w:val="bottom"/>
          </w:tcPr>
          <w:p>
            <w:pPr>
              <w:ind w:left="140"/>
              <w:spacing w:after="0"/>
              <w:rPr>
                <w:sz w:val="20"/>
                <w:szCs w:val="20"/>
                <w:color w:val="auto"/>
              </w:rPr>
            </w:pPr>
            <w:r>
              <w:rPr>
                <w:rFonts w:ascii="Arial" w:cs="Arial" w:eastAsia="Arial" w:hAnsi="Arial"/>
                <w:sz w:val="18"/>
                <w:szCs w:val="18"/>
                <w:color w:val="auto"/>
              </w:rPr>
              <w:t>Ÿ  Continue patient enrollment in Phase 2 trials</w:t>
            </w: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dermatitis</w:t>
            </w:r>
          </w:p>
        </w:tc>
        <w:tc>
          <w:tcPr>
            <w:tcW w:w="4140" w:type="dxa"/>
            <w:vAlign w:val="bottom"/>
          </w:tcPr>
          <w:p>
            <w:pPr>
              <w:spacing w:after="0"/>
              <w:rPr>
                <w:sz w:val="20"/>
                <w:szCs w:val="20"/>
                <w:color w:val="auto"/>
              </w:rPr>
            </w:pPr>
          </w:p>
        </w:tc>
      </w:tr>
      <w:tr>
        <w:trPr>
          <w:trHeight w:val="256"/>
        </w:trPr>
        <w:tc>
          <w:tcPr>
            <w:tcW w:w="3180" w:type="dxa"/>
            <w:vAlign w:val="bottom"/>
          </w:tcPr>
          <w:p>
            <w:pPr>
              <w:spacing w:after="0"/>
              <w:rPr>
                <w:sz w:val="22"/>
                <w:szCs w:val="22"/>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3"/>
              </w:rPr>
              <w:t>Reported results from Phase 2a study in asthma.</w:t>
            </w:r>
          </w:p>
        </w:tc>
        <w:tc>
          <w:tcPr>
            <w:tcW w:w="4140" w:type="dxa"/>
            <w:vAlign w:val="bottom"/>
          </w:tcPr>
          <w:p>
            <w:pPr>
              <w:ind w:left="140"/>
              <w:spacing w:after="0"/>
              <w:rPr>
                <w:sz w:val="20"/>
                <w:szCs w:val="20"/>
                <w:color w:val="auto"/>
              </w:rPr>
            </w:pPr>
            <w:r>
              <w:rPr>
                <w:rFonts w:ascii="Arial" w:cs="Arial" w:eastAsia="Arial" w:hAnsi="Arial"/>
                <w:sz w:val="18"/>
                <w:szCs w:val="18"/>
                <w:color w:val="auto"/>
                <w:w w:val="91"/>
              </w:rPr>
              <w:t>Ÿ  Report results from Phase 2a and Phase 2b studies</w:t>
            </w:r>
          </w:p>
        </w:tc>
      </w:tr>
      <w:tr>
        <w:trPr>
          <w:trHeight w:val="216"/>
        </w:trPr>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w w:val="99"/>
              </w:rPr>
              <w:t xml:space="preserve">Results were also published online in the </w:t>
            </w:r>
            <w:r>
              <w:rPr>
                <w:rFonts w:ascii="Arial" w:cs="Arial" w:eastAsia="Arial" w:hAnsi="Arial"/>
                <w:sz w:val="18"/>
                <w:szCs w:val="18"/>
                <w:i w:val="1"/>
                <w:iCs w:val="1"/>
                <w:color w:val="auto"/>
                <w:w w:val="99"/>
              </w:rPr>
              <w:t>New</w:t>
            </w:r>
          </w:p>
        </w:tc>
        <w:tc>
          <w:tcPr>
            <w:tcW w:w="4140" w:type="dxa"/>
            <w:vAlign w:val="bottom"/>
          </w:tcPr>
          <w:p>
            <w:pPr>
              <w:ind w:left="400"/>
              <w:spacing w:after="0"/>
              <w:rPr>
                <w:sz w:val="20"/>
                <w:szCs w:val="20"/>
                <w:color w:val="auto"/>
              </w:rPr>
            </w:pPr>
            <w:r>
              <w:rPr>
                <w:rFonts w:ascii="Arial" w:cs="Arial" w:eastAsia="Arial" w:hAnsi="Arial"/>
                <w:sz w:val="18"/>
                <w:szCs w:val="18"/>
                <w:color w:val="auto"/>
              </w:rPr>
              <w:t>in atopic dermatitis</w:t>
            </w:r>
          </w:p>
        </w:tc>
      </w:tr>
      <w:tr>
        <w:trPr>
          <w:trHeight w:val="284"/>
        </w:trPr>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Arial" w:cs="Arial" w:eastAsia="Arial" w:hAnsi="Arial"/>
                <w:sz w:val="18"/>
                <w:szCs w:val="18"/>
                <w:i w:val="1"/>
                <w:iCs w:val="1"/>
                <w:color w:val="auto"/>
              </w:rPr>
              <w:t>England Journal of Medicine</w:t>
            </w:r>
            <w:r>
              <w:rPr>
                <w:rFonts w:ascii="Arial" w:cs="Arial" w:eastAsia="Arial" w:hAnsi="Arial"/>
                <w:sz w:val="18"/>
                <w:szCs w:val="18"/>
                <w:color w:val="auto"/>
              </w:rPr>
              <w:t>.</w:t>
            </w:r>
          </w:p>
        </w:tc>
        <w:tc>
          <w:tcPr>
            <w:tcW w:w="4140" w:type="dxa"/>
            <w:vAlign w:val="bottom"/>
          </w:tcPr>
          <w:p>
            <w:pPr>
              <w:ind w:left="140"/>
              <w:spacing w:after="0"/>
              <w:rPr>
                <w:sz w:val="20"/>
                <w:szCs w:val="20"/>
                <w:color w:val="auto"/>
              </w:rPr>
            </w:pPr>
            <w:r>
              <w:rPr>
                <w:rFonts w:ascii="Arial" w:cs="Arial" w:eastAsia="Arial" w:hAnsi="Arial"/>
                <w:sz w:val="18"/>
                <w:szCs w:val="18"/>
                <w:color w:val="auto"/>
              </w:rPr>
              <w:t>Ÿ  Initiate Phase 3 studies</w:t>
            </w:r>
          </w:p>
        </w:tc>
      </w:tr>
      <w:tr>
        <w:trPr>
          <w:trHeight w:val="256"/>
        </w:trPr>
        <w:tc>
          <w:tcPr>
            <w:tcW w:w="3180" w:type="dxa"/>
            <w:vAlign w:val="bottom"/>
          </w:tcPr>
          <w:p>
            <w:pPr>
              <w:spacing w:after="0"/>
              <w:rPr>
                <w:sz w:val="22"/>
                <w:szCs w:val="22"/>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Reported results from Phase 2 study in atopic</w:t>
            </w:r>
          </w:p>
        </w:tc>
        <w:tc>
          <w:tcPr>
            <w:tcW w:w="4140" w:type="dxa"/>
            <w:vAlign w:val="bottom"/>
          </w:tcPr>
          <w:p>
            <w:pPr>
              <w:spacing w:after="0"/>
              <w:rPr>
                <w:sz w:val="22"/>
                <w:szCs w:val="22"/>
                <w:color w:val="auto"/>
              </w:rPr>
            </w:pP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dermatitis</w:t>
            </w:r>
          </w:p>
        </w:tc>
        <w:tc>
          <w:tcPr>
            <w:tcW w:w="4140" w:type="dxa"/>
            <w:vAlign w:val="bottom"/>
          </w:tcPr>
          <w:p>
            <w:pPr>
              <w:spacing w:after="0"/>
              <w:rPr>
                <w:sz w:val="20"/>
                <w:szCs w:val="20"/>
                <w:color w:val="auto"/>
              </w:rPr>
            </w:pPr>
          </w:p>
        </w:tc>
      </w:tr>
      <w:tr>
        <w:trPr>
          <w:trHeight w:val="256"/>
        </w:trPr>
        <w:tc>
          <w:tcPr>
            <w:tcW w:w="3180" w:type="dxa"/>
            <w:vAlign w:val="bottom"/>
          </w:tcPr>
          <w:p>
            <w:pPr>
              <w:spacing w:after="0"/>
              <w:rPr>
                <w:sz w:val="22"/>
                <w:szCs w:val="22"/>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7"/>
              </w:rPr>
              <w:t>Initiated Phase 2b trials in atopic dermatitis and</w:t>
            </w:r>
          </w:p>
        </w:tc>
        <w:tc>
          <w:tcPr>
            <w:tcW w:w="4140" w:type="dxa"/>
            <w:vAlign w:val="bottom"/>
          </w:tcPr>
          <w:p>
            <w:pPr>
              <w:spacing w:after="0"/>
              <w:rPr>
                <w:sz w:val="22"/>
                <w:szCs w:val="22"/>
                <w:color w:val="auto"/>
              </w:rPr>
            </w:pP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asthma</w:t>
            </w:r>
          </w:p>
        </w:tc>
        <w:tc>
          <w:tcPr>
            <w:tcW w:w="4140" w:type="dxa"/>
            <w:vAlign w:val="bottom"/>
          </w:tcPr>
          <w:p>
            <w:pPr>
              <w:spacing w:after="0"/>
              <w:rPr>
                <w:sz w:val="20"/>
                <w:szCs w:val="20"/>
                <w:color w:val="auto"/>
              </w:rPr>
            </w:pPr>
          </w:p>
        </w:tc>
      </w:tr>
      <w:tr>
        <w:trPr>
          <w:trHeight w:val="270"/>
        </w:trPr>
        <w:tc>
          <w:tcPr>
            <w:tcW w:w="3180" w:type="dxa"/>
            <w:vAlign w:val="bottom"/>
          </w:tcPr>
          <w:p>
            <w:pPr>
              <w:spacing w:after="0"/>
              <w:rPr>
                <w:sz w:val="23"/>
                <w:szCs w:val="23"/>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2 trial in nasal polyposis</w:t>
            </w:r>
          </w:p>
        </w:tc>
        <w:tc>
          <w:tcPr>
            <w:tcW w:w="4140" w:type="dxa"/>
            <w:vAlign w:val="bottom"/>
          </w:tcPr>
          <w:p>
            <w:pPr>
              <w:spacing w:after="0"/>
              <w:rPr>
                <w:sz w:val="23"/>
                <w:szCs w:val="23"/>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Enoticumab (Dll4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40"/>
              <w:spacing w:after="0"/>
              <w:rPr>
                <w:sz w:val="20"/>
                <w:szCs w:val="20"/>
                <w:color w:val="auto"/>
              </w:rPr>
            </w:pPr>
            <w:r>
              <w:rPr>
                <w:rFonts w:ascii="Arial" w:cs="Arial" w:eastAsia="Arial" w:hAnsi="Arial"/>
                <w:sz w:val="18"/>
                <w:szCs w:val="18"/>
                <w:color w:val="auto"/>
                <w:w w:val="98"/>
              </w:rPr>
              <w:t>Ÿ  Complete patient enrollment in the expansion of</w:t>
            </w: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40" w:type="dxa"/>
            <w:vAlign w:val="bottom"/>
          </w:tcPr>
          <w:p>
            <w:pPr>
              <w:ind w:left="400"/>
              <w:spacing w:after="0"/>
              <w:rPr>
                <w:sz w:val="20"/>
                <w:szCs w:val="20"/>
                <w:color w:val="auto"/>
              </w:rPr>
            </w:pPr>
            <w:r>
              <w:rPr>
                <w:rFonts w:ascii="Arial" w:cs="Arial" w:eastAsia="Arial" w:hAnsi="Arial"/>
                <w:sz w:val="18"/>
                <w:szCs w:val="18"/>
                <w:color w:val="auto"/>
              </w:rPr>
              <w:t>the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Nesvacumab (Ang2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40"/>
              <w:spacing w:after="0"/>
              <w:rPr>
                <w:sz w:val="20"/>
                <w:szCs w:val="20"/>
                <w:color w:val="auto"/>
              </w:rPr>
            </w:pPr>
            <w:r>
              <w:rPr>
                <w:rFonts w:ascii="Arial" w:cs="Arial" w:eastAsia="Arial" w:hAnsi="Arial"/>
                <w:sz w:val="18"/>
                <w:szCs w:val="18"/>
                <w:color w:val="auto"/>
              </w:rPr>
              <w:t>Ÿ  Complete patient enrollment in the Phase 1b</w:t>
            </w: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40" w:type="dxa"/>
            <w:vAlign w:val="bottom"/>
          </w:tcPr>
          <w:p>
            <w:pPr>
              <w:ind w:left="400"/>
              <w:spacing w:after="0"/>
              <w:rPr>
                <w:sz w:val="20"/>
                <w:szCs w:val="20"/>
                <w:color w:val="auto"/>
              </w:rPr>
            </w:pPr>
            <w:r>
              <w:rPr>
                <w:rFonts w:ascii="Arial" w:cs="Arial" w:eastAsia="Arial" w:hAnsi="Arial"/>
                <w:sz w:val="18"/>
                <w:szCs w:val="18"/>
                <w:color w:val="auto"/>
              </w:rPr>
              <w:t>program in advanced malignancies</w:t>
            </w:r>
          </w:p>
        </w:tc>
      </w:tr>
      <w:tr>
        <w:trPr>
          <w:trHeight w:val="270"/>
        </w:trPr>
        <w:tc>
          <w:tcPr>
            <w:tcW w:w="3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Ÿ  Initiate clinical development in ophthalmology</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40"/>
              <w:spacing w:after="0"/>
              <w:rPr>
                <w:sz w:val="20"/>
                <w:szCs w:val="20"/>
                <w:color w:val="auto"/>
              </w:rPr>
            </w:pPr>
            <w:r>
              <w:rPr>
                <w:rFonts w:ascii="Arial" w:cs="Arial" w:eastAsia="Arial" w:hAnsi="Arial"/>
                <w:sz w:val="18"/>
                <w:szCs w:val="18"/>
                <w:color w:val="auto"/>
                <w:w w:val="92"/>
              </w:rPr>
              <w:t>Ÿ  Complete patient enrollment in Phase 1 and Phase</w:t>
            </w: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40" w:type="dxa"/>
            <w:vAlign w:val="bottom"/>
          </w:tcPr>
          <w:p>
            <w:pPr>
              <w:ind w:left="400"/>
              <w:spacing w:after="0"/>
              <w:rPr>
                <w:sz w:val="20"/>
                <w:szCs w:val="20"/>
                <w:color w:val="auto"/>
              </w:rPr>
            </w:pPr>
            <w:r>
              <w:rPr>
                <w:rFonts w:ascii="Arial" w:cs="Arial" w:eastAsia="Arial" w:hAnsi="Arial"/>
                <w:sz w:val="18"/>
                <w:szCs w:val="18"/>
                <w:color w:val="auto"/>
              </w:rPr>
              <w:t>2a programs</w:t>
            </w:r>
          </w:p>
        </w:tc>
      </w:tr>
      <w:tr>
        <w:trPr>
          <w:trHeight w:val="270"/>
        </w:trPr>
        <w:tc>
          <w:tcPr>
            <w:tcW w:w="3180" w:type="dxa"/>
            <w:vAlign w:val="bottom"/>
          </w:tcPr>
          <w:p>
            <w:pPr>
              <w:spacing w:after="0"/>
              <w:rPr>
                <w:sz w:val="23"/>
                <w:szCs w:val="23"/>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2a study</w:t>
            </w:r>
          </w:p>
        </w:tc>
        <w:tc>
          <w:tcPr>
            <w:tcW w:w="4140" w:type="dxa"/>
            <w:vAlign w:val="bottom"/>
          </w:tcPr>
          <w:p>
            <w:pPr>
              <w:spacing w:after="0"/>
              <w:rPr>
                <w:sz w:val="23"/>
                <w:szCs w:val="23"/>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REGN2009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140" w:type="dxa"/>
            <w:vAlign w:val="bottom"/>
          </w:tcPr>
          <w:p>
            <w:pPr>
              <w:ind w:left="140"/>
              <w:spacing w:after="0"/>
              <w:rPr>
                <w:sz w:val="20"/>
                <w:szCs w:val="20"/>
                <w:color w:val="auto"/>
              </w:rPr>
            </w:pPr>
            <w:r>
              <w:rPr>
                <w:rFonts w:ascii="Arial" w:cs="Arial" w:eastAsia="Arial" w:hAnsi="Arial"/>
                <w:sz w:val="18"/>
                <w:szCs w:val="18"/>
                <w:color w:val="auto"/>
                <w:w w:val="98"/>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REGN1400 (ErbB3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40"/>
              <w:spacing w:after="0"/>
              <w:rPr>
                <w:sz w:val="20"/>
                <w:szCs w:val="20"/>
                <w:color w:val="auto"/>
              </w:rPr>
            </w:pPr>
            <w:r>
              <w:rPr>
                <w:rFonts w:ascii="Arial" w:cs="Arial" w:eastAsia="Arial" w:hAnsi="Arial"/>
                <w:sz w:val="18"/>
                <w:szCs w:val="18"/>
                <w:color w:val="auto"/>
                <w:w w:val="98"/>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REGN1154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Completion of Phase 1 program</w:t>
            </w:r>
          </w:p>
        </w:tc>
        <w:tc>
          <w:tcPr>
            <w:tcW w:w="414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REGN1500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40"/>
              <w:spacing w:after="0"/>
              <w:rPr>
                <w:sz w:val="20"/>
                <w:szCs w:val="20"/>
                <w:color w:val="auto"/>
              </w:rPr>
            </w:pPr>
            <w:r>
              <w:rPr>
                <w:rFonts w:ascii="Arial" w:cs="Arial" w:eastAsia="Arial" w:hAnsi="Arial"/>
                <w:sz w:val="18"/>
                <w:szCs w:val="18"/>
                <w:color w:val="auto"/>
                <w:w w:val="98"/>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REGN1193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140" w:type="dxa"/>
            <w:vAlign w:val="bottom"/>
          </w:tcPr>
          <w:p>
            <w:pPr>
              <w:ind w:left="140"/>
              <w:spacing w:after="0"/>
              <w:rPr>
                <w:sz w:val="20"/>
                <w:szCs w:val="20"/>
                <w:color w:val="auto"/>
              </w:rPr>
            </w:pPr>
            <w:r>
              <w:rPr>
                <w:rFonts w:ascii="Arial" w:cs="Arial" w:eastAsia="Arial" w:hAnsi="Arial"/>
                <w:sz w:val="18"/>
                <w:szCs w:val="18"/>
                <w:color w:val="auto"/>
                <w:w w:val="98"/>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5"/>
              </w:rPr>
              <w:t>REGN1908-1909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140" w:type="dxa"/>
            <w:vAlign w:val="bottom"/>
          </w:tcPr>
          <w:p>
            <w:pPr>
              <w:ind w:left="140"/>
              <w:spacing w:after="0"/>
              <w:rPr>
                <w:sz w:val="20"/>
                <w:szCs w:val="20"/>
                <w:color w:val="auto"/>
              </w:rPr>
            </w:pPr>
            <w:r>
              <w:rPr>
                <w:rFonts w:ascii="Arial" w:cs="Arial" w:eastAsia="Arial" w:hAnsi="Arial"/>
                <w:sz w:val="18"/>
                <w:szCs w:val="18"/>
                <w:color w:val="auto"/>
                <w:w w:val="98"/>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REGN2176-3 (PDGFR-beta Antibody in</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140" w:type="dxa"/>
            <w:vAlign w:val="bottom"/>
          </w:tcPr>
          <w:p>
            <w:pPr>
              <w:ind w:left="140"/>
              <w:spacing w:after="0"/>
              <w:rPr>
                <w:sz w:val="20"/>
                <w:szCs w:val="20"/>
                <w:color w:val="auto"/>
              </w:rPr>
            </w:pPr>
            <w:r>
              <w:rPr>
                <w:rFonts w:ascii="Arial" w:cs="Arial" w:eastAsia="Arial" w:hAnsi="Arial"/>
                <w:sz w:val="18"/>
                <w:szCs w:val="18"/>
                <w:color w:val="auto"/>
                <w:w w:val="98"/>
              </w:rPr>
              <w:t>Ÿ  Continue patient enrollment in Phase 1 program</w:t>
            </w: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combination with EYLEA)</w:t>
            </w:r>
          </w:p>
        </w:tc>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340" w:type="dxa"/>
            <w:vAlign w:val="bottom"/>
          </w:tcPr>
          <w:p>
            <w:pPr>
              <w:ind w:left="1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On clinical hold</w:t>
            </w:r>
          </w:p>
        </w:tc>
        <w:tc>
          <w:tcPr>
            <w:tcW w:w="4140" w:type="dxa"/>
            <w:vAlign w:val="bottom"/>
          </w:tcPr>
          <w:p>
            <w:pPr>
              <w:ind w:left="140"/>
              <w:spacing w:after="0"/>
              <w:rPr>
                <w:sz w:val="20"/>
                <w:szCs w:val="20"/>
                <w:color w:val="auto"/>
              </w:rPr>
            </w:pPr>
            <w:r>
              <w:rPr>
                <w:rFonts w:ascii="Arial" w:cs="Arial" w:eastAsia="Arial" w:hAnsi="Arial"/>
                <w:sz w:val="18"/>
                <w:szCs w:val="18"/>
                <w:color w:val="auto"/>
              </w:rPr>
              <w:t>Ÿ  Determine future development plan</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18" w:right="25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2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06" w:lineRule="exact"/>
        <w:rPr>
          <w:sz w:val="20"/>
          <w:szCs w:val="20"/>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680" w:hanging="321"/>
        <w:spacing w:after="0" w:line="261"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0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we have no further performance obligations, and returns can be reasonably estimated. We record revenue from product sales upon delivery to our distributors and specialty pharmacies (collectively, our customers).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sell EYLEA in the United States to three distributors and several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For the years ended December 31, 2013, 2012, and 2011, we recorded 76%, 78%, and 42%, respectively, of our total gross product revenue from sales to Besse Medical, a subsidiary of AmerisourceBergen Corporation.</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(including Medicaid), distribution-related fees, prompt pay discounts, product returns, and other sales-related deductions. Calculating these provisions involves estimates and judgments. We review our estimates of rebates, chargebacks, and other applicable provisions each period and record any necessary adjustments in the current period's net product sales.</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provisions, and credits/payments, for these sales-related deductions; such amounts were not significant during the year ended December 31, 2011.</w:t>
      </w:r>
    </w:p>
    <w:p>
      <w:pPr>
        <w:spacing w:after="0" w:line="247"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7"/>
        </w:trPr>
        <w:tc>
          <w:tcPr>
            <w:tcW w:w="2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43"/>
        </w:trPr>
        <w:tc>
          <w:tcPr>
            <w:tcW w:w="2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20" w:type="dxa"/>
            <w:vAlign w:val="bottom"/>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Government Rebates and Chargebacks: </w:t>
      </w:r>
      <w:r>
        <w:rPr>
          <w:rFonts w:ascii="Arial" w:cs="Arial" w:eastAsia="Arial" w:hAnsi="Arial"/>
          <w:sz w:val="18"/>
          <w:szCs w:val="18"/>
          <w:color w:val="auto"/>
        </w:rPr>
        <w:t>We estimate reductions to product sales for Medicaid and Veterans' Administration (VA) programs, and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qualifying federal and state government programs. Based upon our contracts with government agencies, statutorily-defined discounts applicable to government-funded programs, historical experience, and estimated payer mix, we estimate and record an allowance for rebates and chargebacks. Our liability for Medicaid rebates consists of estimates for claims that a state will make for a current quarter, claims for prior quarters that have been estimated for which an invoice has not</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0" w:right="2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been received, and invoices received for claims from prior quarters that have not been paid. Our reserves related to discounted pricing offered to VA, Public Health Services (PHS), and other institutions (collectively, qualified healthcare providers) represent our estimated obligations resulting from contractual commitments to sell products to qualified healthcare providers at prices lower than the list prices we charge to our customers. Our customers charge us for the difference between what they pay for the products and the ultimate selling price to the qualified healthcare providers. Our reserve for this discounted pricing is based on expected sales to qualified healthcare providers and the chargebacks that customers have already claimed.</w:t>
      </w:r>
    </w:p>
    <w:p>
      <w:pPr>
        <w:spacing w:after="0" w:line="21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We have written contracts with our customers that include terms for distribution-related fees. We estimate and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related fees due to our customers based on gross sales.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Prompt Pay Discounts: </w:t>
      </w:r>
      <w:r>
        <w:rPr>
          <w:rFonts w:ascii="Arial" w:cs="Arial" w:eastAsia="Arial" w:hAnsi="Arial"/>
          <w:sz w:val="18"/>
          <w:szCs w:val="18"/>
          <w:color w:val="auto"/>
        </w:rPr>
        <w:t>No prompt pay discounts are currently offered to our customers on sales of EYLEA. In connection with sales of ARCALYST,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discounts to our customers for prompt payments. We estimate these discounts based on customer terms and historical experience, and expect that our customers will always take advantage of this discount. Therefore, we accrue 100% of the prompt pay discount that is based on the gross amount of each ARCALYST invoice at the time of sale.</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Consistent with industry practice, we offer our customers a limited right to return product purchased directly from us,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based upon the product's expiration date. We will accept returns for three months prior to and up to six months after the product expiration date. Product returned is generally not resalable given the nature of our products and method of administration. We develop estimates for product returns based upon historical experience, inventory levels in the distribution channel, shelf life of the product, and other relevant factors. We monitor product supply levels in the distribution channel, as well as sales by our customers of EYLEA to healthcare providers and ARCALYST to patients using product-specific data provided by our customers. If necessary, our estimates of product returns may be adjusted in the future based on actual returns experience, known or expected changes in the marketplace, or other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7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earn collaboration revenue in connection with collaboration agreements to develop and commercialize product candidates and utilize our technology platforms. We currently have significant collaboration agreements with Sanofi and Bayer HealthCare. The terms of these collaboration agreements typically include non-refundable up-front licensing payments, research progress (milestone) payments, payments for development activities, and sharing of profits or losses arising from the commercialization of products.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Although we did not enter into, or materially modify, any collaboration arrangements with multiple-deliverables during the years ended December 31, 2013, 2012, and 2011, any future arrangements with multiple deliverables will be divided into separate units of accounting if the deliverables in the arrangement meet certain criteria, including whether the delivered item or items has value to the collaborator on a standalone basis.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we take into consideration (i) the enhancement in value to the related development product candidate, (ii) our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3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enter into collaboration agreements that include varying arrangements regarding which parties perform and bear the costs of research and development activities. We may share the costs of research and development activities with our collaborator, or we may be reimbursed for all or a significant portion of the costs of our research and development activities. We record our internal and third-party development costs associated with these collaborations as research and development expenses. 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in periods when our collaborator incurs development expenses that benefit the collaboration and Regeneron, we also recognize, as additional research and development expense, the portion of the collaborator's development expenses that we are obligated to reimburse.</w:t>
      </w:r>
    </w:p>
    <w:p>
      <w:pPr>
        <w:spacing w:after="0" w:line="2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our collaboration agreements, we share in any profits or losses arising from the commercialization of products. Our collaborator provides us with our estimated share of the profits or losses, based on net product sales less cost of goods sold and shared commercialization and other expenses, from commercialization of such products for the most recent fiscal quarter. Our share of the profit or loss is recorded as collaboration revenue. Our collaborators' estimates of net products sales and related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for such quarter are reconciled to their actual net product sales and related expenses in the subsequent fiscal quarter, and our share of the profit or loss is adjusted accordingly, as necessary.</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 Also, if a collaborator terminates an agreement in accordance with the terms of the agreement, we would recognize as revenue any unamortized remainder of an up-front or previously deferred payment at the time of the termination.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4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2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 No material adjustments to our past clinical trial accrual estimates were made during the years ended December 31, 2013, 2012, or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recognize stock-based compensation expense for grants of stock option awards and restricted stock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2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that are expected to be forfeited. This estimate is revised, if necessary, in subsequent periods if actual forfeitures differ from those estimates.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assumptions used in computing the fair value of option awards reflect our best estimates but involve uncertainties related to market and other conditions, many of which are outside of our control. Changes in any of these assumptions may materially affect the fair value of stock options granted and the amount of stock-based compensation recognized in future periods.</w:t>
      </w:r>
    </w:p>
    <w:p>
      <w:pPr>
        <w:spacing w:after="0" w:line="23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addition, we have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we estimate that these options will vest, which is based on whether we consider the options' performance conditions to be probable of attainment. Our estimates of the number of performance-based options that will vest will be revised, if necessary, in subsequent periods. Changes in these estimates may materially affect the amount of stock-based compensation that we recognize in future periods related to performance-based options.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We recognize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various factors including our historical earnings experience by taxing jurisdiction, and forecasts of future operating results and utilization of net operating losses and tax credits prior to their expiration.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 Prior to 2012, we recorded a valuation allowance that fully offset our net deferred tax assets. In the fourth quarter of 2012, based on our evaluation of various factors, including our achievement of a cumulative three-year income position as of December 31, 2012, we released substantially all of our valuation allowance against our deferred tax assets and recorded a corresponding income tax benefit as described in "Results of Operations" below. We continue to maintain a valuation allowance against certain deferred tax assets.</w:t>
      </w:r>
    </w:p>
    <w:p>
      <w:pPr>
        <w:spacing w:after="0" w:line="23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Uncertain tax positions are accounted for in accordance with FASB authoritative guidance, which prescribes a comprehensive model for the manner in which a company should recognize, measure, present, and disclose in its financial statements all material uncertain tax positions that the company has taken or expects to take on a tax return. Those positions, for which management's assessment is that there is more than a 50% probability of sustaining the position upon challenge by a taxing authority based upon its technical merits, are subjected to certain measurement criteria.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Inventories are stated at the lower of cost or estimated realizable value. We determine the cost of inventory using the first-in, first-out, or FIFO, method.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We periodically analyze our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cost of goods sold to write down such unmarketable inventory to its estimated realizable value. In 2013, 2012, and 2011, cost of goods sold included inventory write-downs and reserves totaling $9.1 million, $17.0 million, and $0.5 million, respectively.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534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01"/>
        </w:trPr>
        <w:tc>
          <w:tcPr>
            <w:tcW w:w="6500" w:type="dxa"/>
            <w:vAlign w:val="bottom"/>
            <w:gridSpan w:val="4"/>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6"/>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87"/>
              </w:rPr>
              <w:t>Years Ended December 31, 2013 and 2012</w:t>
            </w: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7"/>
        </w:trPr>
        <w:tc>
          <w:tcPr>
            <w:tcW w:w="65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Net Income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86"/>
        </w:trPr>
        <w:tc>
          <w:tcPr>
            <w:tcW w:w="6500" w:type="dxa"/>
            <w:vAlign w:val="bottom"/>
            <w:gridSpan w:val="4"/>
          </w:tcPr>
          <w:p>
            <w:pPr>
              <w:ind w:left="260"/>
              <w:spacing w:after="0"/>
              <w:rPr>
                <w:sz w:val="20"/>
                <w:szCs w:val="20"/>
                <w:color w:val="auto"/>
              </w:rPr>
            </w:pPr>
            <w:r>
              <w:rPr>
                <w:rFonts w:ascii="Arial" w:cs="Arial" w:eastAsia="Arial" w:hAnsi="Arial"/>
                <w:sz w:val="18"/>
                <w:szCs w:val="18"/>
                <w:color w:val="auto"/>
              </w:rPr>
              <w:t>Net income in 2013 and 2012 consists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48"/>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1,378.5</w:t>
            </w:r>
          </w:p>
        </w:tc>
      </w:tr>
      <w:tr>
        <w:trPr>
          <w:trHeight w:val="243"/>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(920.8)</w:t>
            </w: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7"/>
        </w:trPr>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414.4</w:t>
            </w: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335.8</w:t>
            </w:r>
          </w:p>
        </w:tc>
      </w:tr>
      <w:tr>
        <w:trPr>
          <w:trHeight w:val="257"/>
        </w:trPr>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750.2</w:t>
            </w:r>
          </w:p>
        </w:tc>
      </w:tr>
      <w:tr>
        <w:trPr>
          <w:trHeight w:val="20"/>
        </w:trPr>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increase in pre-tax income is related primarily to higher net product sales of EYLEA in the United States and higher Bayer HealthCare collaboration revenue in connection with sales of EYLEA outside the United States, partly offset by higher operating expenses. However, the increase in pre-tax income was more than offset by substantially higher income tax expense in 2013 than in 2012. In 2012, we recorded a tax benefit of $335.8 million primarily related to the release of substantially all of the valuation allowance associated with our deferred tax assets. Consequently, in 2013, we began recording income tax expense based on an estimated effective tax rate.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6540" w:type="dxa"/>
            <w:vAlign w:val="bottom"/>
            <w:gridSpan w:val="2"/>
          </w:tcPr>
          <w:p>
            <w:pPr>
              <w:ind w:left="260"/>
              <w:spacing w:after="0"/>
              <w:rPr>
                <w:sz w:val="20"/>
                <w:szCs w:val="20"/>
                <w:color w:val="auto"/>
              </w:rPr>
            </w:pPr>
            <w:r>
              <w:rPr>
                <w:rFonts w:ascii="Arial" w:cs="Arial" w:eastAsia="Arial" w:hAnsi="Arial"/>
                <w:sz w:val="18"/>
                <w:szCs w:val="18"/>
                <w:color w:val="auto"/>
              </w:rPr>
              <w:t>Revenues in 2013 and 2012 consist of the following: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858.1</w:t>
            </w:r>
          </w:p>
        </w:tc>
      </w:tr>
      <w:tr>
        <w:trPr>
          <w:trHeight w:val="243"/>
        </w:trPr>
        <w:tc>
          <w:tcPr>
            <w:tcW w:w="222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r>
      <w:tr>
        <w:trPr>
          <w:trHeight w:val="243"/>
        </w:trPr>
        <w:tc>
          <w:tcPr>
            <w:tcW w:w="2220" w:type="dxa"/>
            <w:vAlign w:val="bottom"/>
          </w:tcPr>
          <w:p>
            <w:pPr>
              <w:spacing w:after="0"/>
              <w:rPr>
                <w:sz w:val="21"/>
                <w:szCs w:val="21"/>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r>
      <w:tr>
        <w:trPr>
          <w:trHeight w:val="243"/>
        </w:trPr>
        <w:tc>
          <w:tcPr>
            <w:tcW w:w="222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and 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220" w:type="dxa"/>
            <w:vAlign w:val="bottom"/>
          </w:tcPr>
          <w:p>
            <w:pPr>
              <w:spacing w:after="0"/>
              <w:rPr>
                <w:sz w:val="22"/>
                <w:szCs w:val="22"/>
                <w:color w:val="auto"/>
              </w:rPr>
            </w:pPr>
          </w:p>
        </w:tc>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1,378.5</w:t>
            </w:r>
          </w:p>
        </w:tc>
      </w:tr>
      <w:tr>
        <w:trPr>
          <w:trHeight w:val="20"/>
        </w:trPr>
        <w:tc>
          <w:tcPr>
            <w:tcW w:w="2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Net product sales consist of U.S. sales of EYLEA and ARCALYST. In November 2011, we received marketing approval from the FDA for EYLEA for the treatment of wet AMD, at which time product sales commenced. In addition, in September 2012, we received marketing approval from the FDA for EYLEA for the treatment of macular edema following CRVO. In 2013, EYLEA net product sales increased to $1,408.7 million from $837.9 million in 2012 due to higher sales volume. In 2013, ARCALYST net product sales were $17.1 million compared to $20.2 million in 2012.</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our share of losses in connection with Sanofi's commercialization of ZALTRAP, recognition of a substantive milestone payment in 2012, and recognition of previously deferred revenue related to non-refundable up-front payments. In addition, Sanofi collaboration revenue in 2013 was reduced by two $10.0 million up-front payments that we made to Sanofi in connection with our acquisition from Sanofi of full exclusive rights to two families of novel antibodies, as described below.</w:t>
      </w:r>
    </w:p>
    <w:p>
      <w:pPr>
        <w:spacing w:after="0" w:line="265"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Substantive milestone payment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365.3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Up-front payments to Sanofi for acquisition of rights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related to two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375.5</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423.8</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commenced sales of ZALTRAP for treatment, in combination with FOLFIRI, of patients with mCRC that is resistant to or has progressed following an oxaliplatin-containing regimen, in the United States in the third quarter of 2012 and in certain European and other countries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251"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Regeneron's share of losses in connection with</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4"/>
          </w:tcPr>
          <w:p>
            <w:pPr>
              <w:jc w:val="right"/>
              <w:ind w:right="250"/>
              <w:spacing w:after="0" w:line="196" w:lineRule="exact"/>
              <w:rPr>
                <w:sz w:val="20"/>
                <w:szCs w:val="20"/>
                <w:color w:val="auto"/>
              </w:rPr>
            </w:pPr>
            <w:r>
              <w:rPr>
                <w:rFonts w:ascii="Arial" w:cs="Arial" w:eastAsia="Arial" w:hAnsi="Arial"/>
                <w:sz w:val="18"/>
                <w:szCs w:val="18"/>
                <w:b w:val="1"/>
                <w:bCs w:val="1"/>
                <w:color w:val="auto"/>
                <w:w w:val="94"/>
              </w:rPr>
              <w:t>Year ended December 31,</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recorded by Sanofi</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r>
    </w:tbl>
    <w:p>
      <w:pPr>
        <w:spacing w:after="0" w:line="14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share of the loss in 2013 and 2012 represents our share of the costs of launching and commercializing ZALTRAP, partly offset by net product sales. Our share of the loss for 2013 is based on nine months of actual results and an estimate for the fourth quarter. Each quarter, Sanofi provides us with an estimate of our share of the profit or loss from commercialization of ZALTRAP for the most recent fiscal quarter; these estimates are reconciled to actual results in the subsequent fiscal quarter, and our portion of the profit or loss is adjusted accordingly, as necessary.</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2012, we earned a $50.0 million substantive milestone payment from Sanofi upon FDA approval of ZALTRAP. Sanofi's reimbursement of our ZALTRAP research and development expenses decreased in 2013 compared to 2012, primarily due to a decrease in research and development activities and lower costs related to manufacturing ZALTRAP prior to regulatory approval. Other ZALTRAP revenue primarily consisted of recognition of deferred revenue related to the ZALTRAP up-front payments from Sanofi and reimbursement of other ZALTRAP-related expenses. The decrease in other revenue resulted primarily from lower recognition of deferred revenue in 2013, due to lengthening the estimated performance period over which this deferred revenue is being recognized, effective in the first quarter of of 2013. In connection with recognition of deferred revenue related to ZALTRAP, as of December 31, 2013, $6.0 million of the original $105.0 million of up-front payments was deferred and will be recognized as revenue in future periods.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2013, Sanofi's reimbursement of our antibody expenses consisted of $160.0 million under our discovery agreement and $293.5 million of development costs under our license agreement, compared to $181.9 million and $183.4 million, respectively, in 2012. Under the amended discovery agreement, Sanofi agreed to fund up to $160 million per year of our antibody discovery activities. In 2010, as we scaled up our capacity to conduct antibody discovery activities, Sanofi funded only $137.7 million of our preclinical research under the expanded collaboration and the balance between that amount and $160.0 million was added to the funding otherwise available to us in 2011-2012. As a result, Sanofi funded more of our discovery activities in 2012 than in 2013. The higher reimbursement of development costs in 2013 compared to 2012 was primarily due to increased development activities for alirocumab and dupilumab.</w:t>
      </w:r>
    </w:p>
    <w:p>
      <w:pPr>
        <w:spacing w:after="0" w:line="21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above, in May 2013, we made two $10.0 million up-front payments to Sanofi in connection with acquiring from Sanofi full exclusive rights to antibodies targeting the PDGF family of receptors and ligands in ophthalmology and all other indications and to antibodies targeting the Ang2 receptor and ligand in ophthalmology.</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antibody revenue relates primarily to recognition of deferred revenue from an $85.0 million up-front payment and other payments. As of December 31, 2013, $60.5 million of the up-front and other payments was deferred and will be recognized as revenue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collaboration revenue we earned from Bayer HealthCare, as detailed below, consisted of our share of profits in connection with commercialization of EYLEA outside the United States, recognition of sales and substantive development milestone payments, cost-sharing of Regeneron EYLEA development expenses, reimbursement of other Regeneron EYLEA expenses, and revenue related to a non-refundable $75.0 million up-front payment received in 2006 and a $20.0 million milestone payment received in 2007 (which, for the purpose of revenue recognition, was not considered substantive).</w:t>
      </w:r>
    </w:p>
    <w:p>
      <w:pPr>
        <w:spacing w:after="0" w:line="231"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commercialization of EYLEA outside the 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w w:val="99"/>
              </w:rPr>
              <w:t>Sales and substantive development milestone payments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commenced sales of EYLEA outside the United States for the treatment of wet AMD in the fourth quarter of 2012 and for the treatment of macular edema secondary to CRVO in the fourth quarter of 2013. Regeneron's net profit in connection with commercialization of EYLEA outside the United States is summarized below.</w:t>
      </w:r>
    </w:p>
    <w:p>
      <w:pPr>
        <w:spacing w:after="0" w:line="380"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670"/>
              <w:spacing w:after="0" w:line="19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Bayer HealthCare records revenue from sales of EYLEA outside the United States. Our share of the profit for 2013 is based on nine months of actual results and an estimate for the fourth quarter. Each quarter, Bayer HealthCare provides us with an estimate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2013 and 2012, our share of the profit we earned from commercialization of EYLEA outside the United States was offset by our contractual obligation to reimburse Bayer HealthCare for a portion of the agreed-upon development expenses previously incurred by Bayer HealthCare.</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2013, we earned $15.0 million and $10.0 million substantive development milestone payments from Bayer HealthCare upon receipt of marketing and pricing approval, respectively, outside the United States for EYLEA for the treatment of macular edema secondary to CRVO. In addition, we earned, and recorded as revenue in 2013, three $15.0 million sales milestone payments from Bayer HealthCare upon total aggregate net sales of EYLEA outside the United States exceeding $200 million, $300 million, and $400 million, respectively, over a twelve-month period. In 2012, we earned $15.0 million and $10.0 million substantive milestone payments from Bayer HealthCare upon receipt of marketing and pricing approval, respectively, in Japan for EYLEA for the treatment of wet AMD.</w:t>
      </w:r>
    </w:p>
    <w:p>
      <w:pPr>
        <w:spacing w:after="0" w:line="2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Cost-sharing of our global EYLEA development expenses with Bayer HealthCare decreased in 2013 compared to 2012, as we incurred lower costs in connection with winding down various Phase 3 EYLEA clinical studies.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Other revenue principally consists of (i) reimbursement of other Regeneron EYLEA expenses, primarily related to Bayer HealthCare's share of royalties payable to Genentech in connection with sales of EYLEA outside the United States, which commenced in May 2013, and (ii) recognition of deferred revenue related to the up-front and 2007 milestone payments from Bayer HealthCare. As described further below under "</w:t>
      </w:r>
      <w:r>
        <w:rPr>
          <w:rFonts w:ascii="Arial" w:cs="Arial" w:eastAsia="Arial" w:hAnsi="Arial"/>
          <w:sz w:val="18"/>
          <w:szCs w:val="18"/>
          <w:i w:val="1"/>
          <w:iCs w:val="1"/>
          <w:color w:val="auto"/>
        </w:rPr>
        <w:t>License and Settlement Agreements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Genentech</w:t>
      </w:r>
      <w:r>
        <w:rPr>
          <w:rFonts w:ascii="Arial" w:cs="Arial" w:eastAsia="Arial" w:hAnsi="Arial"/>
          <w:sz w:val="18"/>
          <w:szCs w:val="18"/>
          <w:color w:val="auto"/>
        </w:rPr>
        <w:t>", in May 2013, we entered into an Amended and Restated Non-Exclusive License and Settlement Agreement with Genentech to include all sales</w:t>
      </w:r>
      <w:r>
        <w:rPr>
          <w:rFonts w:ascii="Arial" w:cs="Arial" w:eastAsia="Arial" w:hAnsi="Arial"/>
          <w:sz w:val="18"/>
          <w:szCs w:val="18"/>
          <w:i w:val="1"/>
          <w:iCs w:val="1"/>
          <w:color w:val="auto"/>
        </w:rPr>
        <w:t xml:space="preserve"> </w:t>
      </w:r>
      <w:r>
        <w:rPr>
          <w:rFonts w:ascii="Arial" w:cs="Arial" w:eastAsia="Arial" w:hAnsi="Arial"/>
          <w:sz w:val="18"/>
          <w:szCs w:val="18"/>
          <w:color w:val="auto"/>
        </w:rPr>
        <w:t>of EYLEA worldwide in our royalty obligation. As of December 31, 2013, $21.7 million of the up-front and 2007 milestone payments was deferred and will be recognized ratably as revenue in future periods.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In connection with the amendment and extension of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Astellas, in August 2010, we received a $165.0 million up-front payment, which was deferred upon receipt and is being recognized as revenue ratably over a seven-year period beginning in June 2011. In both 2013 and 2012, we recognized $23.6 million of technology licensing and other revenue related to this agreement. As of December 31, 2013, $104.6 million of the August 2010 technology licensing payment received from Astellas was deferred and will be recognized as revenue in future periods.</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a June 2009 agreement with Novartis, we receive royalties on worldwide sales of Novartis' canakinumab. In 2013 and 2012, technology licensing and other revenue included $4.8 million and $2.8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Total operating expenses increased to $1,344.7 million in 2013 from $920.8 million in 2012. Our average headcount in 2013 increased to 2,153 from 1,827 in 2012, principally in connection with expanding our research and development, and commercialization activities.</w:t>
      </w:r>
    </w:p>
    <w:p>
      <w:pPr>
        <w:spacing w:after="0" w:line="2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Operating expenses in 2013 and 2012 included a total of $198.4 million and $94.2 million, respectively, of non-cash compensation expense related to employee stock option and restricted stock awards (Non-cash Compensation Expense). The increase in total Non-cash Compensation Expense in 2013 was primarily attributable to the higher fair market value of our Common Stock on the date of our annual employee option grants made in December 2012 compared to recent prior years. As of December 31, 2013, unrecognized Non-cash Compensation Expense related to outstanding (i) non-performance based stock options was $492.5 million, (ii) performance based stock options was $4.2 million, and (iii) unvested restricted stock awards was $43.7 million. We expect to recognize this Non-cash Compensation Expense over weighted-average periods of 1.8 years, 1.0 years, and 3.8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Research and development expenses increased to $859.9 million in 2013 from $625.6 million in 2012. The following table summarizes the major categories of our research and development expenses in 2013 and 2012:</w:t>
      </w:r>
    </w:p>
    <w:p>
      <w:pPr>
        <w:spacing w:after="0" w:line="234"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240" w:type="dxa"/>
            <w:vAlign w:val="bottom"/>
          </w:tcPr>
          <w:p>
            <w:pPr>
              <w:spacing w:after="0"/>
              <w:rPr>
                <w:sz w:val="17"/>
                <w:szCs w:val="17"/>
                <w:color w:val="auto"/>
              </w:rPr>
            </w:pPr>
          </w:p>
        </w:tc>
        <w:tc>
          <w:tcPr>
            <w:tcW w:w="248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8"/>
              </w:rPr>
              <w:t>Cost-sharing of Bayer HealthCare and Sanofi</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840" w:hanging="184"/>
        <w:spacing w:after="0"/>
        <w:tabs>
          <w:tab w:leader="none" w:pos="84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Includes Non-cash Compensation Expense of $101.9 million in 2013 and $48.4 million in 2012.</w:t>
      </w:r>
    </w:p>
    <w:p>
      <w:pPr>
        <w:spacing w:after="0" w:line="1" w:lineRule="exact"/>
        <w:rPr>
          <w:rFonts w:ascii="Arial" w:cs="Arial" w:eastAsia="Arial" w:hAnsi="Arial"/>
          <w:sz w:val="22"/>
          <w:szCs w:val="22"/>
          <w:color w:val="auto"/>
          <w:vertAlign w:val="superscript"/>
        </w:rPr>
      </w:pPr>
    </w:p>
    <w:p>
      <w:pPr>
        <w:jc w:val="both"/>
        <w:ind w:left="820" w:hanging="164"/>
        <w:spacing w:after="0" w:line="227" w:lineRule="auto"/>
        <w:tabs>
          <w:tab w:leader="none" w:pos="876"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$14.6 million and $5.4 million in 2013 and 2012, respectively.</w:t>
      </w:r>
    </w:p>
    <w:p>
      <w:pPr>
        <w:spacing w:after="0" w:line="3" w:lineRule="exact"/>
        <w:rPr>
          <w:rFonts w:ascii="Arial" w:cs="Arial" w:eastAsia="Arial" w:hAnsi="Arial"/>
          <w:sz w:val="25"/>
          <w:szCs w:val="25"/>
          <w:color w:val="auto"/>
          <w:vertAlign w:val="superscript"/>
        </w:rPr>
      </w:pPr>
    </w:p>
    <w:p>
      <w:pPr>
        <w:jc w:val="both"/>
        <w:ind w:left="820" w:hanging="164"/>
        <w:spacing w:after="0" w:line="249" w:lineRule="auto"/>
        <w:tabs>
          <w:tab w:leader="none" w:pos="851" w:val="left"/>
        </w:tabs>
        <w:numPr>
          <w:ilvl w:val="0"/>
          <w:numId w:val="30"/>
        </w:numPr>
        <w:rPr>
          <w:rFonts w:ascii="Arial" w:cs="Arial" w:eastAsia="Arial" w:hAnsi="Arial"/>
          <w:sz w:val="23"/>
          <w:szCs w:val="23"/>
          <w:color w:val="auto"/>
          <w:vertAlign w:val="superscript"/>
        </w:rPr>
      </w:pPr>
      <w:r>
        <w:rPr>
          <w:rFonts w:ascii="Arial" w:cs="Arial" w:eastAsia="Arial" w:hAnsi="Arial"/>
          <w:sz w:val="17"/>
          <w:szCs w:val="17"/>
          <w:color w:val="auto"/>
        </w:rPr>
        <w:t>Under our collaborations with Bayer HealthCare and Sanofi, in periods when Bayer HealthCare or Sanofi incur certain development expenses, we also recognize, as additional research and development expense, the portion of our collaboration partners' development expenses that we are obligated to reimburse. Our collaboration partners provide us with estimated development expenses for the most recent fiscal quarter. Bayer HealthCare and Sanofi’s estimates are reconciled to their actual expenses for such quarter in the subsequent fiscal quarter and our portion of our collaboration partners' development expenses that we are obligated to reimburse is adjusted accordingly.</w:t>
      </w:r>
    </w:p>
    <w:p>
      <w:pPr>
        <w:spacing w:after="0" w:line="25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Payroll and benefits increased principally due to the increase in employee headcount and Non-cash Compensation Expense, as described above. Clinical trial expenses increased due primarily to higher costs for clinical studies of alirocumab, dupilumab, and early stage antibody product candidates, partly offset by lower costs related to our Phase 3 trials of EYLEA in wet AMD and macular edema following CRVO, and ARCALYST, which have concluded. Clinical manufacturing costs increased primarily due to higher costs related to manufacturing alirocumab, sarilumab, and dupilumab, partly offset by lower costs related to manufacturing clinical supplies of ARCALYST. Research and other development costs increased primarily due to higher costs associated with our early stage research and development programs and regulatory submissions for marketing approvals for EYLEA. Occupancy and other operating costs increased principally in connection with our higher headcount, expanded research and development activities, and higher information technology and facility-related costs at our Tarrytown and Rensselaer, New York sites. Cost-sharing of Bayer HealthCare and Sanofi development expenses increased primarily due to our obligation to fund 20% of Sanofi's Phase 3 alirocumab and sarilumab development costs, which commenced during the fourth quarter of 2013.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that we are obligated to reimburse. Our estimates of research and development costs for clinical development programs are shown below:</w:t>
      </w:r>
    </w:p>
    <w:p>
      <w:pPr>
        <w:spacing w:after="0" w:line="235"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color w:val="auto"/>
              </w:rPr>
              <w:t>Project Costs</w:t>
            </w:r>
          </w:p>
        </w:tc>
        <w:tc>
          <w:tcPr>
            <w:tcW w:w="240" w:type="dxa"/>
            <w:vAlign w:val="bottom"/>
          </w:tcPr>
          <w:p>
            <w:pPr>
              <w:spacing w:after="0"/>
              <w:rPr>
                <w:sz w:val="17"/>
                <w:szCs w:val="17"/>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Alirocumab</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Other antibody candidates in clinical</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development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40" w:type="dxa"/>
            <w:vAlign w:val="bottom"/>
            <w:gridSpan w:val="2"/>
          </w:tcPr>
          <w:p>
            <w:pPr>
              <w:ind w:left="240"/>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34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increased to $329.4 million in 2013 from $210.8 million in 2012 primarily due to higher expenses in connection with commercialization of EYLEA, including the Branded Prescription Drug Fee (as described in the Liquidity and Capital Resources section below) and contributions to a not-for-profit organization that assists patients with chronic disease conditions, and higher Non-cash Compensation Expense principally for the reason described under "Expenses" above. Selling, general, and administrative expenses included $80.0 million and $39.2 million of Non-cash Compensation Expense in 2013 and 2012, respectively.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goods sold increased to $118.0 million in 2013 from $83.9 million in 2012 due primarily to increased sales of EYLEA. Cost of goods sold primarily consisted of royalties, as well as costs in connection with producing EYLEA and ARCALYST commercial supplies. In addition, in 2013 and 2012, cost of goods sold included inventory write-downs and reserves totaling $9.1 million and $17.0 million, respectively. We record a charge to cost of goods sold to write down our inventory to its estimated realizable value if certain batches or units of product do not meet quality specifications or are expected to expire prior to sale.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Manufacturing</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manufacture commercial supplies of product for our collaborators. Cost of collaboration manufacturing increased to $37.3 million in 2013 from $0.5 million in 2012 primarily due to the launch of EYLEA outside the United States in the fourth quarter of 2012. Cost of collaboration manufacturing primarily consists of third-party royalties, as well as costs in connection with producing commercial supplies for our collaborators. When the product is sold by our collaborators to third-party customers, our risk of inventory loss no longer exists, and we therefore recognize our related manufacturing costs for the sold product as cost of collaboration manufacturing.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Total other expenses increased to $46.7 million in 2013 from $43.3 million in 2012. Other expenses consist of investment (expense) income and interest expense.</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2013, we had net investment expense of $0.2 million, compared to net investment income of $2.0 million in 2012. In the fourth quarter of 2013, we recorded a $2.9 million other-than-temporary impairment of an equity security based upon the length of time that the security was in an unrealized loss position and our expectation that we will not hold the security until a potential recovery in value occurs. This impairment charge fully offset investment income earned in 2013 on our marketable securities.</w:t>
      </w:r>
    </w:p>
    <w:p>
      <w:pPr>
        <w:spacing w:after="0" w:line="24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Interest expense in 2013 and 2012 primarily includes interest associated with our $400.0 million aggregate principal amount of 1.875% convertible senior notes, including amortization of the note discount and debt issuance costs, and interest associated with our facility lease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2013, we recorded income tax expense of $289.0 million, based on an effective tax rate of 40.5%. The difference between the U.S. federal statutory rate of 35% and our effective tax rate for 2013 is primarily due to increases related to state and local taxes, the non-deductible Branded Prescription Drug Fee, and losses incurred in foreign jurisdictions with rates lower than the federal statutory rate. These increases were partially offset by federal and state income tax credits. In January 2013, the American Taxpayer Relief Act was enacted, which included a provision to extend the income tax credit for increased research activities retroactively to the tax year ended December 31, 2012, as well as for 2013. As a result of the extension, during 2013, we recognized the benefit of both the 2012 and 2013 federal research tax credit.</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fourth quarter of 2012, we recorded a $335.8 million income tax benefit, primarily attributable to the release of substantially all of the valuation allowance against our deferred tax assets. The decision to release this valuation allowance was made after we determined that it was more likely than not that these deferred tax assets would be realized, and was based on the evaluation and weighting of positive and negative evidence, including our achievement of a cumulative three-year income position in the fourth quarter of 2012. In addition, we considered forecasts of future operating results and utilization of net operating losses and tax credits prior to their expiration. Therefore, starting in 2013, we recorded income tax expense on income using an estimated effective tax rate.</w:t>
      </w:r>
    </w:p>
    <w:p>
      <w:pPr>
        <w:spacing w:after="0" w:line="11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expect our effective tax rate to increase in 2014, primarily due to a shift in our geographic mix of profits and losses as we continue our international expansion. In addition, the federal income tax credit for increased research activities expired on December 31, 2013; as a result, unless tax legislation is enacted to extend or make permanent this federal income tax credit, we expect it will cause our effective tax rate to increase.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Years Ended December 31, 2012 and 2011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reported net income of $750.3 million, or $7.92 per basic share and $6.75 per diluted share, for the year ended December 31, 2012, compared to a net loss of $221.8 million, or $2.45 per share (basic and diluted), for 2011. Our net income in 2012 resulted primarily from net product sales of EYLEA, which we launched in November 2011, and an income tax benefit of $335.8 million, primarily attributable to the release of substantially all of the valuation allowance against our deferred tax assets. In 2012, we also earned a $50.0 million substantive milestone payment from Sanofi upon FDA approval of ZALTRAP and $25.0 million of substantive milestone payments from Bayer HealthCare upon receipt of marketing and pricing approvals in Japan for EYLEA for the treatment of wet AMD.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6540" w:type="dxa"/>
            <w:vAlign w:val="bottom"/>
            <w:gridSpan w:val="2"/>
          </w:tcPr>
          <w:p>
            <w:pPr>
              <w:ind w:left="260"/>
              <w:spacing w:after="0"/>
              <w:rPr>
                <w:sz w:val="20"/>
                <w:szCs w:val="20"/>
                <w:color w:val="auto"/>
              </w:rPr>
            </w:pPr>
            <w:r>
              <w:rPr>
                <w:rFonts w:ascii="Arial" w:cs="Arial" w:eastAsia="Arial" w:hAnsi="Arial"/>
                <w:sz w:val="18"/>
                <w:szCs w:val="18"/>
                <w:color w:val="auto"/>
              </w:rPr>
              <w:t>Revenues in 2012 and 2011 consist of the following: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43"/>
        </w:trPr>
        <w:tc>
          <w:tcPr>
            <w:tcW w:w="222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r>
      <w:tr>
        <w:trPr>
          <w:trHeight w:val="243"/>
        </w:trPr>
        <w:tc>
          <w:tcPr>
            <w:tcW w:w="2220" w:type="dxa"/>
            <w:vAlign w:val="bottom"/>
          </w:tcPr>
          <w:p>
            <w:pPr>
              <w:spacing w:after="0"/>
              <w:rPr>
                <w:sz w:val="21"/>
                <w:szCs w:val="21"/>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r>
      <w:tr>
        <w:trPr>
          <w:trHeight w:val="243"/>
        </w:trPr>
        <w:tc>
          <w:tcPr>
            <w:tcW w:w="222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and 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220" w:type="dxa"/>
            <w:vAlign w:val="bottom"/>
          </w:tcPr>
          <w:p>
            <w:pPr>
              <w:spacing w:after="0"/>
              <w:rPr>
                <w:sz w:val="22"/>
                <w:szCs w:val="22"/>
                <w:color w:val="auto"/>
              </w:rPr>
            </w:pPr>
          </w:p>
        </w:tc>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r>
      <w:tr>
        <w:trPr>
          <w:trHeight w:val="20"/>
        </w:trPr>
        <w:tc>
          <w:tcPr>
            <w:tcW w:w="2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product sales consist of U.S. sales of EYLEA and ARCALYST. We record product sales net of allowances and accruals for prompt pay discounts, rebates and chargebacks under governmental programs (including Medicaid), product returns, and distribution-related fees. In November 2011, we received marketing approval from the FDA for EYLEA for the treatment of wet AMD, at which time product sales commenced. In addition, in September 2012, we received marketing approval from the FDA for EYLEA for the treatment of macular edema following CRVO. In 2012 and 2011, we recognized $837.9 million and $24.8 million, respectively, of EYLEA net product sales. In 2012 and 2011, we also recognized ARCALYST net product sales of $20.2 million and $19.9 million,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recognition of our share of losses in connection with Sanofi's commercialization of ZALTRAP, recognition of a substantive milestone payment, and recognition of revenue related to non-refundable up-front payments of $105.0 million related to the ZALTRAP collaboration and $85.0 million related to the antibody collaboration.</w:t>
      </w:r>
    </w:p>
    <w:p>
      <w:pPr>
        <w:spacing w:after="0" w:line="26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Substantive milestone payment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299.3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309.1</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August 2012, the FDA approved ZALTRAP for treatment, in combination with FOLFIRI, of patients with mCRC that is resistant to or has progressed following an oxaliplatin-containing regimen. Regeneron's share of the loss in connection with commercialization of ZALTRAP, as shown in the table below, represents our 50% share of ZALTRAP net product sales less cost of goods sold and shared commercialization and other expenses. Our share of the loss increased in 2012, compared to 2011, due to an increase in commercialization activities in preparation for potential regulatory approvals. Sanofi provides us with an estimate of our share of the profit or loss from commercialization of ZALTRAP for the most recent fiscal quarter. Sanofi's estimates of net products sales and related expenses for such quarter are reconciled to their actual net product sales and related expenses in the subsequent fiscal quarter, and our portion of the profit or loss is adjusted accordingly, as necessary.</w:t>
      </w:r>
    </w:p>
    <w:p>
      <w:pPr>
        <w:spacing w:after="0" w:line="253"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Regeneron's share of losses in connection with</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4"/>
          </w:tcPr>
          <w:p>
            <w:pPr>
              <w:jc w:val="right"/>
              <w:ind w:right="230"/>
              <w:spacing w:after="0" w:line="196" w:lineRule="exact"/>
              <w:rPr>
                <w:sz w:val="20"/>
                <w:szCs w:val="20"/>
                <w:color w:val="auto"/>
              </w:rPr>
            </w:pPr>
            <w:r>
              <w:rPr>
                <w:rFonts w:ascii="Arial" w:cs="Arial" w:eastAsia="Arial" w:hAnsi="Arial"/>
                <w:sz w:val="18"/>
                <w:szCs w:val="18"/>
                <w:b w:val="1"/>
                <w:bCs w:val="1"/>
                <w:color w:val="auto"/>
                <w:w w:val="94"/>
              </w:rPr>
              <w:t>Year ended December 31,</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recorded by Sanofi</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2012, we earned a $50.0 million substantive milestone payment from Sanofi upon FDA approval of ZALTRAP. Sanofi's reimbursement of our ZALTRAP research and development expenses decreased in 2012 compared to 2011, primarily due to a decrease in research and development activities and lower costs related to manufacturing ZALTRAP prior to regulatory approval. Other ZALTRAP revenue includes recognition of deferred revenue related to the up-front payments from Sanofi, which increased in 2012 from 2011 due to shortening the estimated performance period over which this deferred revenue is being recognized, effective in the second quarter of 2012.</w:t>
      </w:r>
    </w:p>
    <w:p>
      <w:pPr>
        <w:spacing w:after="0" w:line="2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2012, Sanofi's reimbursement of our antibody expenses consisted of $181.9 million under our discovery agreement and $183.4 million of development costs under our license agreement, compared to $161.9 million and $137.4 million, respectively, in 2011. The higher reimbursement amount under the discovery agreement in 2012 compared to 2011 was primarily due to an increase in our antibody discovery activities. The higher reimbursement of development costs in 2012 compared to 2011 was primarily due to increased development activities for alirocumab.</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antibody revenue relates primarily to recognition of deferred revenue from an $85.0 million up-front payment and other payments. As it relates to recognition of deferred revenue, in connection with the November 2009 amendment of the discovery agreement, Sanofi has funded $30 million of agreed-upon costs incurred by us to expand our manufacturing capacity at our Rensselaer, New York facilities. Revenue related to such funding from Sanofi was deferred and is being recognized as collaboration</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0" w:right="2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revenue prospectively over the related performance period in conjunction with the recognition of the original $85.0 million up-front payment.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collaboration revenue we earned from Bayer HealthCare, as detailed below, consisted primarily of cost-sharing of Regeneron EYLEA development expenses, recognition of substantive milestone payments, and recognition of revenue related to a non-refundable $75.0 million up-front payment received in 2006, and a $20.0 million milestone payment received in 2007 (which, for the purpose of revenue recognition, was not considered substantive).</w:t>
      </w:r>
    </w:p>
    <w:p>
      <w:pPr>
        <w:spacing w:after="0" w:line="22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Substantive milestone payments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commercialization of EYLEA outside the United States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Cost-sharing of our global EYLEA development expenses with Bayer HealthCare increased slightly in 2012 compared to 2011. In 2012, we incurred higher costs in connection with regulatory and other development activities, partly offset by lower costs in connection with our Phase 3 VIEW 1 study in wet AMD, which has concluded. In 2012, we earned $15.0 million and $10.0 million substantive milestone payments from Bayer HealthCare upon receipt of marketing and pricing approval, respectively, in Japan for EYLEA for the treatment of wet AMD.</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fourth quarter of 2012, Bayer HealthCare launched EYLEA for the treatment of wet AMD outside of the United States. Regeneron's net profit in connection with commercialization of EYLEA outside the United States is summarized below. Our share of the profit we earned from commercialization of EYLEA outside the United States was fully offset by our contractual obligation to reimburse Bayer HealthCare for a portion of the agreed-upon development expenses previously incurred by Bayer HealthCare.</w:t>
      </w:r>
    </w:p>
    <w:p>
      <w:pPr>
        <w:sectPr>
          <w:pgSz w:w="11900" w:h="16838" w:orient="portrait"/>
          <w:cols w:equalWidth="0" w:num="1">
            <w:col w:w="11420"/>
          </w:cols>
          <w:pgMar w:left="240" w:top="130" w:right="239" w:bottom="1440" w:gutter="0" w:footer="0" w:header="0"/>
        </w:sectPr>
      </w:pPr>
    </w:p>
    <w:p>
      <w:pPr>
        <w:spacing w:after="0" w:line="399" w:lineRule="exact"/>
        <w:rPr>
          <w:sz w:val="20"/>
          <w:szCs w:val="20"/>
          <w:color w:val="auto"/>
        </w:rPr>
      </w:pPr>
    </w:p>
    <w:p>
      <w:pPr>
        <w:ind w:left="2480" w:right="100"/>
        <w:spacing w:after="0" w:line="282" w:lineRule="auto"/>
        <w:rPr>
          <w:sz w:val="20"/>
          <w:szCs w:val="20"/>
          <w:color w:val="auto"/>
        </w:rPr>
      </w:pPr>
      <w:r>
        <w:rPr>
          <w:rFonts w:ascii="Arial" w:cs="Arial" w:eastAsia="Arial" w:hAnsi="Arial"/>
          <w:sz w:val="18"/>
          <w:szCs w:val="18"/>
          <w:b w:val="1"/>
          <w:bCs w:val="1"/>
          <w:u w:val="single" w:color="auto"/>
          <w:color w:val="auto"/>
        </w:rPr>
        <w:t>Regeneron's Net Profit from EYLEA Sales Outside the United States</w:t>
      </w:r>
    </w:p>
    <w:p>
      <w:pPr>
        <w:spacing w:after="0" w:line="4"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31750</wp:posOffset>
            </wp:positionV>
            <wp:extent cx="414210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42105" cy="308610"/>
                    </a:xfrm>
                    <a:prstGeom prst="rect">
                      <a:avLst/>
                    </a:prstGeom>
                    <a:noFill/>
                  </pic:spPr>
                </pic:pic>
              </a:graphicData>
            </a:graphic>
          </wp:anchor>
        </w:drawing>
      </w:r>
    </w:p>
    <w:p>
      <w:pPr>
        <w:spacing w:after="0" w:line="43" w:lineRule="exact"/>
        <w:rPr>
          <w:sz w:val="20"/>
          <w:szCs w:val="20"/>
          <w:color w:val="auto"/>
        </w:rPr>
      </w:pPr>
    </w:p>
    <w:p>
      <w:pPr>
        <w:ind w:left="2640" w:right="320" w:hanging="161"/>
        <w:spacing w:after="0" w:line="277" w:lineRule="auto"/>
        <w:rPr>
          <w:sz w:val="20"/>
          <w:szCs w:val="20"/>
          <w:color w:val="auto"/>
        </w:rPr>
      </w:pPr>
      <w:r>
        <w:rPr>
          <w:rFonts w:ascii="Arial" w:cs="Arial" w:eastAsia="Arial" w:hAnsi="Arial"/>
          <w:sz w:val="18"/>
          <w:szCs w:val="18"/>
          <w:color w:val="auto"/>
        </w:rPr>
        <w:t>Net product sales outside the United States recorded by Bayer HealthCare</w:t>
      </w:r>
    </w:p>
    <w:p>
      <w:pPr>
        <w:spacing w:after="0" w:line="8" w:lineRule="exact"/>
        <w:rPr>
          <w:sz w:val="20"/>
          <w:szCs w:val="20"/>
          <w:color w:val="auto"/>
        </w:rPr>
      </w:pPr>
    </w:p>
    <w:p>
      <w:pPr>
        <w:ind w:left="2640" w:hanging="161"/>
        <w:spacing w:after="0" w:line="277" w:lineRule="auto"/>
        <w:rPr>
          <w:sz w:val="20"/>
          <w:szCs w:val="20"/>
          <w:color w:val="auto"/>
        </w:rPr>
      </w:pPr>
      <w:r>
        <w:rPr>
          <w:rFonts w:ascii="Arial" w:cs="Arial" w:eastAsia="Arial" w:hAnsi="Arial"/>
          <w:sz w:val="18"/>
          <w:szCs w:val="18"/>
          <w:color w:val="auto"/>
        </w:rPr>
        <w:t>Regeneron's share of collaboration profit from sales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-1905</wp:posOffset>
            </wp:positionV>
            <wp:extent cx="414210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42105" cy="445770"/>
                    </a:xfrm>
                    <a:prstGeom prst="rect">
                      <a:avLst/>
                    </a:prstGeom>
                    <a:noFill/>
                  </pic:spPr>
                </pic:pic>
              </a:graphicData>
            </a:graphic>
          </wp:anchor>
        </w:drawing>
      </w:r>
    </w:p>
    <w:p>
      <w:pPr>
        <w:ind w:left="2640" w:right="20" w:hanging="161"/>
        <w:spacing w:after="0" w:line="264" w:lineRule="auto"/>
        <w:rPr>
          <w:sz w:val="20"/>
          <w:szCs w:val="20"/>
          <w:color w:val="auto"/>
        </w:rPr>
      </w:pPr>
      <w:r>
        <w:rPr>
          <w:rFonts w:ascii="Arial" w:cs="Arial" w:eastAsia="Arial" w:hAnsi="Arial"/>
          <w:sz w:val="18"/>
          <w:szCs w:val="18"/>
          <w:color w:val="auto"/>
        </w:rPr>
        <w:t>Reimbursement of EYLEA development expenses incurred by Bayer HealthCare in accordance with Regeneron's payment obligation</w:t>
      </w:r>
    </w:p>
    <w:p>
      <w:pPr>
        <w:spacing w:after="0" w:line="19" w:lineRule="exact"/>
        <w:rPr>
          <w:sz w:val="20"/>
          <w:szCs w:val="20"/>
          <w:color w:val="auto"/>
        </w:rPr>
      </w:pPr>
    </w:p>
    <w:p>
      <w:pPr>
        <w:ind w:left="2640" w:right="120" w:hanging="161"/>
        <w:spacing w:after="0" w:line="342" w:lineRule="auto"/>
        <w:rPr>
          <w:sz w:val="20"/>
          <w:szCs w:val="20"/>
          <w:color w:val="auto"/>
        </w:rPr>
      </w:pPr>
      <w:r>
        <w:rPr>
          <w:rFonts w:ascii="Arial" w:cs="Arial" w:eastAsia="Arial" w:hAnsi="Arial"/>
          <w:sz w:val="16"/>
          <w:szCs w:val="16"/>
          <w:color w:val="auto"/>
        </w:rPr>
        <w:t>Regeneron's net profit in connection with commercialization of EYLEA outside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2480"/>
        <w:spacing w:after="0"/>
        <w:rPr>
          <w:sz w:val="20"/>
          <w:szCs w:val="20"/>
          <w:color w:val="auto"/>
        </w:rPr>
      </w:pPr>
      <w:r>
        <w:rPr>
          <w:rFonts w:ascii="Arial" w:cs="Arial" w:eastAsia="Arial" w:hAnsi="Arial"/>
          <w:sz w:val="18"/>
          <w:szCs w:val="18"/>
          <w:b w:val="1"/>
          <w:bCs w:val="1"/>
          <w:color w:val="auto"/>
        </w:rPr>
        <w:t>Year ended</w:t>
      </w:r>
    </w:p>
    <w:p>
      <w:pPr>
        <w:spacing w:after="0" w:line="63" w:lineRule="exact"/>
        <w:rPr>
          <w:sz w:val="20"/>
          <w:szCs w:val="20"/>
          <w:color w:val="auto"/>
        </w:rPr>
      </w:pPr>
    </w:p>
    <w:p>
      <w:pPr>
        <w:jc w:val="center"/>
        <w:ind w:right="2480"/>
        <w:spacing w:after="0"/>
        <w:rPr>
          <w:sz w:val="20"/>
          <w:szCs w:val="20"/>
          <w:color w:val="auto"/>
        </w:rPr>
      </w:pPr>
      <w:r>
        <w:rPr>
          <w:rFonts w:ascii="Arial" w:cs="Arial" w:eastAsia="Arial" w:hAnsi="Arial"/>
          <w:sz w:val="18"/>
          <w:szCs w:val="18"/>
          <w:b w:val="1"/>
          <w:bCs w:val="1"/>
          <w:color w:val="auto"/>
        </w:rPr>
        <w:t>December 31, 2012</w:t>
      </w:r>
    </w:p>
    <w:p>
      <w:pPr>
        <w:spacing w:after="0" w:line="270"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48895</wp:posOffset>
            </wp:positionV>
            <wp:extent cx="1277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7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9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46355</wp:posOffset>
            </wp:positionV>
            <wp:extent cx="1277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6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1277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7620"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48895</wp:posOffset>
            </wp:positionV>
            <wp:extent cx="1277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6780" w:space="220"/>
            <w:col w:w="4420"/>
          </w:cols>
          <w:pgMar w:left="240" w:top="130" w:right="239" w:bottom="1440" w:gutter="0" w:footer="0" w:header="0"/>
          <w:type w:val="continuous"/>
        </w:sectPr>
      </w:pP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revenue principally consisted of recognition of deferred revenue related to the up-front and 2007 milestone payments from Bayer HealthCare.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In connection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2012 and 2011, we recognized $23.6 million and $24.8 million, respectively, of technology licensing and other revenue related to these agreements.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Technology licensing and other revenue in 2011 also included $3.6 million recognized in connection with our five-year grant from the NIH, which we were awarded in September 2006 as part of the NIH's Knockout Mouse Project. As of the end of 2011, no further revenue has been recognized by us in connection with this NIH Grant. In addition, under a June 2009 agreement with Novartis, we receive royalties on worldwide sales of Novartis' canakinumab. In 2012 and 2011, technology licensing and other revenue included $2.8 million and $2.3 million, respectively, of royalties from Novartis.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$920.8 million in 2012 from $651.0 million in 2011. Our average headcount in 2012 increased to 1,827 from 1,568 in 2011, principally in connection with expanding our antibody research and development activities and commercialization activities, primarily for EYLEA in the United States.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Operating expenses in 2012 and 2011 included a total of $94.2 million and $56.1 million, respectively, of Non-cash Compensation Expense. The increase in total Non-cash Compensation Expense in 2012 was primarily attributable to the higher fair market value of our Common Stock on the date of our annual employee option grants made in December 2011 and 2012 compared to recent prior years.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increased to $625.6 million in 2012 from $529.5 million in 2011. The following table summarizes the major categories of our research and development expenses in 2012 and 2011:</w:t>
      </w:r>
    </w:p>
    <w:p>
      <w:pPr>
        <w:spacing w:after="0" w:line="234"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24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3300" w:type="dxa"/>
            <w:vAlign w:val="bottom"/>
            <w:gridSpan w:val="3"/>
          </w:tcPr>
          <w:p>
            <w:pPr>
              <w:ind w:left="20"/>
              <w:spacing w:after="0"/>
              <w:rPr>
                <w:sz w:val="20"/>
                <w:szCs w:val="20"/>
                <w:color w:val="auto"/>
              </w:rPr>
            </w:pPr>
            <w:r>
              <w:rPr>
                <w:rFonts w:ascii="Arial" w:cs="Arial" w:eastAsia="Arial" w:hAnsi="Arial"/>
                <w:sz w:val="18"/>
                <w:szCs w:val="18"/>
                <w:color w:val="auto"/>
                <w:w w:val="97"/>
              </w:rPr>
              <w:t>Cost-sharing of Bayer HealthCare EYLEA</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research and development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840" w:hanging="184"/>
        <w:spacing w:after="0"/>
        <w:tabs>
          <w:tab w:leader="none" w:pos="84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Includes Non-cash Compensation Expense of $48.4 million in 2012 and $29.3 million in 2011.</w:t>
      </w:r>
    </w:p>
    <w:p>
      <w:pPr>
        <w:spacing w:after="0" w:line="1" w:lineRule="exact"/>
        <w:rPr>
          <w:rFonts w:ascii="Arial" w:cs="Arial" w:eastAsia="Arial" w:hAnsi="Arial"/>
          <w:sz w:val="22"/>
          <w:szCs w:val="22"/>
          <w:color w:val="auto"/>
          <w:vertAlign w:val="superscript"/>
        </w:rPr>
      </w:pPr>
    </w:p>
    <w:p>
      <w:pPr>
        <w:jc w:val="both"/>
        <w:ind w:left="820" w:hanging="164"/>
        <w:spacing w:after="0" w:line="227" w:lineRule="auto"/>
        <w:tabs>
          <w:tab w:leader="none" w:pos="876"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$5.4 million and $3.5 million in 2012 and 2011, respectively.</w:t>
      </w:r>
    </w:p>
    <w:p>
      <w:pPr>
        <w:spacing w:after="0" w:line="3" w:lineRule="exact"/>
        <w:rPr>
          <w:rFonts w:ascii="Arial" w:cs="Arial" w:eastAsia="Arial" w:hAnsi="Arial"/>
          <w:sz w:val="25"/>
          <w:szCs w:val="25"/>
          <w:color w:val="auto"/>
          <w:vertAlign w:val="superscript"/>
        </w:rPr>
      </w:pPr>
    </w:p>
    <w:p>
      <w:pPr>
        <w:jc w:val="both"/>
        <w:ind w:left="820" w:hanging="164"/>
        <w:spacing w:after="0"/>
        <w:tabs>
          <w:tab w:leader="none" w:pos="836"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w:t>
      </w:r>
    </w:p>
    <w:p>
      <w:pPr>
        <w:spacing w:after="0" w:line="200" w:lineRule="exact"/>
        <w:rPr>
          <w:sz w:val="20"/>
          <w:szCs w:val="20"/>
          <w:color w:val="auto"/>
        </w:rPr>
      </w:pPr>
    </w:p>
    <w:p>
      <w:pPr>
        <w:spacing w:after="0" w:line="26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Payroll and benefits increased principally due to the increase in employee headcount and Non-cash Compensation Expense, as described above. Clinical trial expenses increased due primarily to higher costs for clinical studies of our antibody candidates, especially alirocumab and dupilumab, and higher costs related to our Phase 3 studies of EYLEA in DME and macular edema following BRVO, partly offset by lower costs related to our Phase 3 VIEW 1 trial of EYLEA in wet AMD, which has concluded. Clinical manufacturing costs increased primarily due to higher costs related to manufacturing alirocumab, certain other antibody</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30"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candidates, and clinical supplies of EYLEA, partly offset by lower costs related to manufacturing clinical supplies of ARCALYST. Occupancy and other operating costs increased principally in connection with our higher headcount, expanded research and development activities, and higher information technology and facility-related costs. Cost-sharing of Bayer HealthCare's EYLEA development expenses decreased primarily due to lower costs in connection with Bayer HealthCare's wet AMD development activities, including the VIEW 2 trial, which has concluded.</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251"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color w:val="auto"/>
              </w:rPr>
              <w:t>Project Costs</w:t>
            </w:r>
          </w:p>
        </w:tc>
        <w:tc>
          <w:tcPr>
            <w:tcW w:w="240" w:type="dxa"/>
            <w:vAlign w:val="bottom"/>
          </w:tcPr>
          <w:p>
            <w:pPr>
              <w:spacing w:after="0"/>
              <w:rPr>
                <w:sz w:val="17"/>
                <w:szCs w:val="17"/>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ARCALYST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ZALTRAP</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Alirocumab</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Selling, general, and administrative expenses increased to $210.8 million in 2012 from $117.3 million in 2011 due to higher selling expenses in connection with commercialization of EYLEA, higher headcount, and higher Non-cash Compensation Expense principally for the reason described above. Selling, general, and administrative expenses included $39.3 million and $23.3 million of Non-cash Compensation Expense in 2012 and 2011,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goods sold increased to $83.9 million in 2012 from $4.2 million in 2011 due primarily to our launch of EYLEA in November 2011. Cost of goods sold primarily consisted of royalties, as well as costs in connection with producing EYLEA and ARCALYST commercial supplies. In addition, in 2012 and 2011, cost of goods sold included inventory write-downs and reserves totaling $17.0 million and $0.5 million, respectively. We record a charge to cost of goods sold to write down our inventory to its estimated realizable value if certain batches or units of product do not meet quality specifications or are expected to expire prior to sale.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Total other expenses increased to $43.3 million in 2012 from $17.7 million in 2012. Other expenses consist of investment income and interest expense.</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Investment income decreased to $2.0 million in 2012 from $3.5 million in 2011 due primarily to lower yields on cash and marketable securities. Interest expense increased to $45.3 million in 2012 from $21.3 million in 2011. In October 2011, we issued $400.0 million aggregate principal amount of 1.875% convertible senior notes. Total interest expense in 2012 and 2011 associated with these notes, including amortization of the note discount and debt issuance costs, was $29.1 million and $5.4 million,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fourth quarter of 2012, we recorded a $335.8 million income tax benefit, primarily attributable to the release of substantially all of the valuation allowance against our deferred tax assets. The decision to release this valuation allowance was made after we determined that it was more likely than not that these deferred tax assets would be realized, and was based on the evaluation and weighting of positive and negative evidence, including our achievement of a cumulative three-year income position in the fourth quarter of 2012. In addition, we considered forecasts of future operating results and utilization of net operating losses and tax credits prior to their expiration.</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2011, we recorded a $1.1 million income tax benefit, which consisted primarily of $0.7 million related to tax legislation that allowed us to claim a refund for a portion of our unused pre-2006 research tax credits.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2013, 2012, and 2011</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December 31, 2013, we had $1,083.9 million in cash, cash equivalents, and marketable securities compared with $587.5 million (including $8.2 million of restricted cash and marketable securities) at December 31, 2012 and $810.6 million (including $7.7 million of restricted cash and marketable securities) at December 31, 2011. In connection with our U.S. product launch of EYLEA in the fourth quarter of 2011, we have offered extended payment terms to our EYLEA customers. As a result, due to the growth of our EYLEA product sales, our net trade accounts receivable (none of which are past due) increased to $787.1 million at December 31, 2013 from $593.2 million at December 31, 2012 and $28.3 million at December 31, 2011. During 2013, we collected $1,302.0 million of EYLEA trade receivables. Effective January 2014, we have shortened the payments terms to certain of our EYLEA customers, which will reduce our cash collection cycle.</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described above, in 2013 we earned and received a total of $70.0 million in milestone payments from Bayer HealthCare. In 2012, we earned and received a $50.0 million milestone payment from Sanofi, and $25.0 million of milestone payments from Bayer HealthCare. We also made a $60.0 million lump-sum payment in the third quarter of 2012, under our Non-Exclusive License and Partial Settlement Agreement with Genentech, when cumulative U.S. sales of EYLEA reached $400.0 million.</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October 2011, we completed a private placement of $400.0 million aggregate principal amount of 1.875% convertible senior notes and received net proceeds of $391.1 million after deducting the initial purchaser's discount and issuance costs. In connection with the offering of the convertible senior notes, we entered into convertible note hedge and warrant transactions, which had a net cost to us of $23.7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cash provided by operating activities was $583.6 million in 2013. Our net income of $424.4 million in 2013 included the following non-cash expenses: (i) Non-cash Compensation Expense of $198.4 million, (ii) depreciation and amortization of $41.2 million, (iii) non-cash interest expense of $23.1 million, primarily resulting from the amortization of the discount and debt issuance costs in connection with our convertible senior notes, which were issued in October 2011, and (iv) other non-cash charges of $23.7 million, which includes $9.1 million of inventory write-downs and reserves. In addition, deferred tax assets at December 31, 2013 decreased by $63.6 million, compared to end-of-year 2012, primarily due to utilization of net operating loss and tax credit carry-forwards to offset income taxes payable during 2013.</w:t>
      </w:r>
    </w:p>
    <w:p>
      <w:pPr>
        <w:spacing w:after="0" w:line="24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At December 31, 2013, Sanofi and trade accounts receivable increased by $198.7 million, compared to end-of-year 2012, primarily due to higher trade accounts receivable in connection with U.S. EYLEA product sales, as described above. Inventories increased by $48.0 million, compared to end-of-year 2012, primarily in connection with increased production of EYLEA commercial supplies. Prepaid expenses and other assets increased by $52.8 million, compared to end-of-year 2012, primarily due to an increase in our receivable balance due from Bayer HealthCare in connection with the launch of EYLEA outside the United States. Our deferred revenue at December 31, 2013 decreased by $28.0 million, compared to end-of-year 2012, primarily due to amortization of a previously received and deferred $165.0 million payment under our license agreement with Astellas and amortization of previously deferred payments under our Sanofi and Bayer HealthCare collaborations, partly offset by costs of product manufactured for Sanofi and Bayer HealthCare for which recognition of revenue has been deferred. Accounts payable, accrued expenses, and other liabilities increased by $136.7 million at December 31, 2013, compared to end-of-year 2012, primarily due to (i) higher sales-related charges, deductions, and royalties related to EYLEA, (ii) higher payroll-related liabilities, due in part to funding payment of our year-end 2012 employee cash bonuses in 2012, whereas year-end 2013 employee cash bonuses were accrued in 2013 and paid in 2014, and (iii) higher expenditures in connection with our expanding commercial and research and development activities.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used in operating activities was $74.6 million in 2012. Our net income of $750.3 million in 2012 included (i) a non-cash tax benefit of $340.2 million resulting from the release of substantially all of the valuation allowance against our deferred tax assets, as previously described above, (ii) Non-cash Compensation Expense of $94.2 million, (iii) depreciation and amortization of $36.9 million, (iv) non-cash interest expense of $22.9 million, including $21.6 million resulting from the amortization of the discount and debt issuance costs in connection with our convertible senior notes, which were issued in October 2011, and (v) other non-cash charges of $34.0 million, including inventory write-downs and reserves of $17.0 million.</w:t>
      </w:r>
    </w:p>
    <w:p>
      <w:pPr>
        <w:spacing w:after="0" w:line="22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At December 31, 2012, Sanofi and trade accounts receivable increased by $590.1 million, compared to end-of-year 2011, primarily due to higher trade accounts receivable in connection with EYLEA product sales, as described above. Inventories increased by $28.9 million, compared to end-of-year 2011, primarily in connection with production of EYLEA commercial supplies. Prepaid expenses and other current assets increased by $23.7 million, compared to end-of-year 2011, primarily due to an increase in prepaid royalties resulting from the $60.0 million payment we made in the third quarter of 2012, as described above. Our deferred revenue at December 31, 2012 decreased by $41.1 million, compared to end-of-year 2011,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$11.0 million at December 31, 2012, compared to end-of-year 2011, primarily due to higher sales-related deductions in connection with EYLEA and higher expenditures in connection with our expanding commercial and research and development activities, partly offset by lower payroll-related liabilities due to payment of our year-end 2012 employee cash bonuses in 2012, whereas year-end 2011 employee cash bonuses were accrued in 2011 and paid in January 2012.</w:t>
      </w:r>
    </w:p>
    <w:p>
      <w:pPr>
        <w:spacing w:after="0" w:line="223"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Net cash used in operating activities was $141.7 million in 2011. Our net loss of $221.8 million in 2011 included Non-cash Compensation Expense of $56.1 million and depreciation and amortization of $31.1 million. At December 31, 2011, Sanofi and trade accounts receivable increased by $21.1 million, compared to end-of-year 2010, primarily due to EYLEA product sales, which commenced in the fourth quarter of 2011. Due to the payment terms granted to our customers, our EYLEA product sales in 2011, generally, had not yet been collected as of December 31, 2011. Our deferred revenue at December 31, 2011 decreased by $40.3 million, compared to end-of-year 2010,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$50.0 million at December 31, 2011, compared to end-of-year 2010, primarily in connection with</w:t>
      </w:r>
    </w:p>
    <w:p>
      <w:pPr>
        <w:spacing w:after="0" w:line="3" w:lineRule="exact"/>
        <w:rPr>
          <w:sz w:val="20"/>
          <w:szCs w:val="20"/>
          <w:color w:val="auto"/>
        </w:rPr>
      </w:pPr>
    </w:p>
    <w:p>
      <w:pPr>
        <w:jc w:val="both"/>
        <w:ind w:firstLine="8"/>
        <w:spacing w:after="0" w:line="255" w:lineRule="auto"/>
        <w:tabs>
          <w:tab w:leader="none" w:pos="2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payroll-related liabilities, due in part to funding payment of our year-end 2010 employee cash bonuses in 2010 whereas year-end 2011 employee cash bonuses were accrued in 2011 and funded in 2012 and (ii) our expanded levels of activities and expenditures, partly in connection with EYLEA commercialization activities.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used in investing activities was $355.5 million and $81.1 million in 2013 and 2012, respectively, and net cash provided by investing activities was $128.5 million in 2011. In 2013 and 2012, purchases of marketable securities exceeded sales or maturities by $199.1 million and $31.2 million, respectively. In 2011, sales or maturities of marketable securities exceeded purchases by $186.0 million. Capital expenditures of $156.3 million, $49.3 million, and $57.2 million in 2013, 2012, and 2011, respectively, included costs in connection with expanding our Rensselaer, New York manufacturing facilities and tenant improvement and associated costs related to our leased facilities in Tarrytown, New York.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cash provided by financing activities was $77.1 million and $384.2 million in 2013 and 2011, respectively, and net cash used in financing activities was $97.6 million in 2012. Proceeds from issuances of Common Stock, in connection with exercises of employee stock options, were $57.4 million in 2013 compared to $63.5 million in 2012 and $43.6 million in 2011. In addition, payments for employee tax obligations in connection with stock option exercises and vesting of restricted Common Stock were $195.1 million in 2013 compared to $163.3 million in 2012 and $25.1 million in 2011. Cash flows from financial activities also increased by $216.9 million in 2013 due to utilization of excess tax benefits in connection with stock option exercises, which offset cash tax obligations. As described above, in October 2011, we completed a private placement of convertible senior notes and entered into convertible note hedge and warrant transactions.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7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At December 31, 2013 and 2012, we held $548.3 million and $354.9 million, respectively, of marketable securities which consisted of debt securities issued by investment grade institutions as well as equity securities. The composition of our portfolio of marketable securities on these dates was as follows:</w:t>
      </w:r>
    </w:p>
    <w:p>
      <w:pPr>
        <w:spacing w:after="0" w:line="201"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4"/>
          </w:tcPr>
          <w:p>
            <w:pPr>
              <w:ind w:left="80"/>
              <w:spacing w:after="0"/>
              <w:rPr>
                <w:sz w:val="20"/>
                <w:szCs w:val="20"/>
                <w:color w:val="auto"/>
              </w:rPr>
            </w:pPr>
            <w:r>
              <w:rPr>
                <w:rFonts w:ascii="Arial" w:cs="Arial" w:eastAsia="Arial" w:hAnsi="Arial"/>
                <w:sz w:val="18"/>
                <w:szCs w:val="18"/>
                <w:b w:val="1"/>
                <w:bCs w:val="1"/>
                <w:color w:val="auto"/>
              </w:rPr>
              <w:t>December 31, 2013</w:t>
            </w:r>
          </w:p>
        </w:tc>
        <w:tc>
          <w:tcPr>
            <w:tcW w:w="200" w:type="dxa"/>
            <w:vAlign w:val="bottom"/>
          </w:tcPr>
          <w:p>
            <w:pPr>
              <w:spacing w:after="0"/>
              <w:rPr>
                <w:sz w:val="20"/>
                <w:szCs w:val="20"/>
                <w:color w:val="auto"/>
              </w:rPr>
            </w:pPr>
          </w:p>
        </w:tc>
        <w:tc>
          <w:tcPr>
            <w:tcW w:w="17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2"/>
              </w:rPr>
              <w:t>December 31, 2012</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Investment type</w:t>
            </w:r>
          </w:p>
        </w:tc>
        <w:tc>
          <w:tcPr>
            <w:tcW w:w="98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106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Percent</w:t>
            </w:r>
          </w:p>
        </w:tc>
        <w:tc>
          <w:tcPr>
            <w:tcW w:w="98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98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Percent</w:t>
            </w:r>
          </w:p>
        </w:tc>
      </w:tr>
      <w:tr>
        <w:trPr>
          <w:trHeight w:val="48"/>
        </w:trPr>
        <w:tc>
          <w:tcPr>
            <w:tcW w:w="2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7"/>
              </w:rPr>
              <w:t>U.S. government and government agency</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180"/>
              <w:spacing w:after="0"/>
              <w:rPr>
                <w:sz w:val="20"/>
                <w:szCs w:val="20"/>
                <w:color w:val="auto"/>
              </w:rPr>
            </w:pPr>
            <w:r>
              <w:rPr>
                <w:rFonts w:ascii="Arial" w:cs="Arial" w:eastAsia="Arial" w:hAnsi="Arial"/>
                <w:sz w:val="18"/>
                <w:szCs w:val="18"/>
                <w:color w:val="auto"/>
              </w:rPr>
              <w:t>obligations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International government agency</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18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94"/>
              </w:rPr>
              <w:t>Total unrestricted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i w:val="1"/>
                <w:iCs w:val="1"/>
                <w:color w:val="auto"/>
              </w:rPr>
              <w:t>Restricted</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government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20" w:type="dxa"/>
            <w:vAlign w:val="bottom"/>
          </w:tcPr>
          <w:p>
            <w:pPr>
              <w:spacing w:after="0"/>
              <w:rPr>
                <w:sz w:val="22"/>
                <w:szCs w:val="22"/>
                <w:color w:val="auto"/>
              </w:rPr>
            </w:pPr>
          </w:p>
        </w:tc>
        <w:tc>
          <w:tcPr>
            <w:tcW w:w="3260" w:type="dxa"/>
            <w:vAlign w:val="bottom"/>
            <w:gridSpan w:val="2"/>
          </w:tcPr>
          <w:p>
            <w:pPr>
              <w:ind w:left="26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at December 31, 2013, we had $535.6 million of cash and cash equivalents, primarily held in bank deposits and money market funds. At December 31, 2012, we had $232.6 million of cash, cash equivalents, and restricted cash, primarily held in money market funds that invest in U.S. government securities. During 2013, due to cancellation of lender collateralization requirements, all formerly restricted marketable securities were reclassified as unrestricted on our balance sheet.</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methods for valuing our marketable securities are described in Note 7 to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with Sanofi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ZALTRAP (aflibercept)</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September 2003, we entered into a collaboration agreement with Aventis Pharmaceuticals Inc. (predecessor to Sanofi U.S.) to collaborate on the development and commercialization of ZALTRAP in all countries other than Japan, where we retained the exclusive right to develop and commercialize ZALTRAP. Sanofi made a non-refundable up-front payment of $80.0 million and purchased 2,799,552 newly issued unregistered shares of our Common Stock for $45.0 million. In January 2005, we and Sanofi amended the collaboration agreement to exclude, from the scope of the collaboration, the development and commercialization of ZALTRAP for intraocular delivery to the eye. In connection with this amendment, Sanofi made a $25.0 million non-refundable payment to us. In December 2005, we and Sanofi amended our collaboration agreement to expand the territory in which the companies are collaborating on the development of ZALTRAP to include Japan. In connection with this amendment, Sanofi agreed to make a $25.0 million non-refundable up-front payment to us, which was received in January 2006.</w:t>
      </w:r>
    </w:p>
    <w:p>
      <w:pPr>
        <w:spacing w:after="0" w:line="24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August 2012, the FDA approved ZALTRAP Injection for Intravenous Infusion, in combination with FOLFIRI, for patients with mCRC that is resistant to or has progressed following an oxaliplatin-containing regimen, and Sanofi commenced ZALTRAP sales in the United States. We received, and recorded as revenue in 2012, a $50.0 million substantive milestone payment from Sanofi upon FDA approval of ZALTRAP. We currently manufacture clinical and commercial supplies of ZALTRAP. In the future, Sanofi is expected to be responsible for manufacturing commercial supplies of ZALTRAP.</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collaboration agreement, as amended, we and Sanofi share co-promotion rights and profits and losses on sales of ZALTRAP outside of Japan for disease indications included in our collaboration. In Japan, we are entitled to receive a percentage of approximately 35% on annual sales of ZALTRAP, subject to certain potential adjustments.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the collaboration agreement, as amended, agreed-upon worldwide ZALTRAP development expenses incurred by both companies during the term of the agreement, including costs associated with the manufacture of clinical drug supplies, are funded</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30" w:right="2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Sanofi. If the collaboration becomes profitable, we will be obligated to reimburse Sanofi for 50% of these development expenses in accordance with a formula based on the amount of development expenses and our share of the collaboration profits, or at a faster rate at our option. In addition, if the collaboration becomes profitable, we will be obligated to reimburse Sanofi for 50% of the $25.0 million payment received in connection with the January 2005 amendment to our collaboration agreement. As a result, we expect that, initially, our share of any ZALTRAP profits (including our percentage of sales of ZALTRAP in Japan) will be used to reimburse Sanofi for this repayment obligation. In particular, our contingent reimbursement obligation to Sanofi for ZALTRAP was approximately $446 million as of December 31, 2013.</w:t>
      </w:r>
    </w:p>
    <w:p>
      <w:pPr>
        <w:spacing w:after="0" w:line="24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Sanofi funded $9.8 million, $12.8 million, and $16.9 million, respectively, of our ZALTRAP development and other costs in 2013, 2012, and 2011. Our share of the loss from commercialization of ZALTRAP, representing our 50% share of ZALTRAP net product sales less cost of goods sold and shared commercialization and other expenses, was $30.8 million in 2013, $25.6 million in 2012, and $9.3 million in 2011. At December 31, 2013 and 2012, there was a net payable of $1.4 million and $2.7 million, respectively, to Sanofi in connection with the companies' ZALTRAP collaboration. In addition, the up-front payments from Sanofi of $80.0 million in September 2003 and $25.0 million in January 2006 were recorded to deferred revenue and are being recognized as contract research and development revenue over the period during which we expect to perform services. In 2013, 2012, and 2011, we recognized $5.5 million, $11.2 million, and $9.9 million per year of revenue, respectively, related to these up-front payments.</w:t>
      </w:r>
    </w:p>
    <w:p>
      <w:pPr>
        <w:spacing w:after="0" w:line="232"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Sanofi has the right to terminate the agreement without cause with at least twelve months advance notice. Upon termination of the agreement for any reason, any remaining obligation to reimburse Sanofi for 50% of ZALTRAP development expenses will terminate and we will retain all rights to ZALTRAP.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November 2007, we and Sanofi entered into a global, strategic collaboration to discover, develop, and commercialize fully human monoclonal antibodies. The collaboration is governed by a Discovery and Preclinical Development Agreement and a License and Collaboration Agreement (each as amended).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In November 2009, we and Sanofi amended these collaboration agreements to expand and extend our antibody collaboration. Under the amended discovery agreement, Sanofi agreed to fund up to $160 million per year of our antibody discovery activities in 2010 through 2017. In 2010, as we scaled up our capacity to conduct antibody discovery activities, Sanofi funded $137.7 million of our preclinical research under the amended discovery agreement. The balance between that amount and $160 million was added to the funding otherwise available to us in 2011-2012 under the amended discovery agreement. Sanofi has an option to extend certain antibody development and preclinical activities relating to selected program targets for up to an additional three years after 2017.</w:t>
      </w:r>
    </w:p>
    <w:p>
      <w:pPr>
        <w:spacing w:after="0" w:line="23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Under certain defined circumstances, upon exercising its option to license rights to particular candidates, Sanofi must make a $10 million substantive milestone payment to us.</w:t>
      </w:r>
    </w:p>
    <w:p>
      <w:pPr>
        <w:spacing w:after="0" w:line="20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Under the license agreement, agreed 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(called Shared Phase 3 Trial Costs) are shared 80% by Sanofi and 20% by us. If the collaboration becomes profitable, we will be obligated to reimburse Sanofi for 50% of worldwide development expenses that were fully funded by Sanofi and 30% of Shared Phase 3 Trial Costs, in accordance with a defined formula based on the amounts of these expenses and our share of the collaboration profits from commercialization of collaboration products. However, we are not required to apply more than 10% of our share of the profits from collaboration products in any calendar quarter towards reimbursing Sanofi for these development costs. In particular, our contingent reimbursement obligation to Sanofi in connection with the companies' antibody collaboration was approximately $879 million as of December 31, 2013. If Sanofi does not exercise its option to license rights to a particular drug candidate under the license agreement, we retain the exclusive right to develop and commercialize such drug candidate, and Sanofi will receive a royalty on sales, if any.</w:t>
      </w:r>
    </w:p>
    <w:p>
      <w:pPr>
        <w:spacing w:after="0" w:line="2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 (us), and losses outside the United States at 55% (Sanofi)/45% (us). In addition to profit sharing, we are entitled to receive up to $250 million in sales milestone payments, with milestone payments commencing only if and after aggregate annual sales outside the United States exceed $1.0 billion on a rolling 12-month basis.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are obligated to use commercially reasonable efforts to supply clinical requirements of each drug candidate under the collaboration until commercial supplies of that drug candidate are being manufactured. In connection with the November 2009 amendment of the collaboration's discovery agreement, Sanofi funded $30 million of agreed-upon costs incurred by us to expand our manufacturing capacity at our Rensselaer, New York facilities.</w:t>
      </w:r>
    </w:p>
    <w:p>
      <w:pPr>
        <w:spacing w:after="0" w:line="22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2013, 2012, and 2011, Sanofi funded $160.0 million, $181.9 million, and $161.9 million, respectively, of our expenses under the collaboration's discovery agreement and $295.4 million, $183.4 million, and $137.4 million, respectively, of our development and other costs under the license agreement. In addition, in 2013, we funded $17.6 million of Sanofi's Phase 3 development costs for alirocumab and sarilumab under the license agreement. The $85.0 million up-front payment received from Sanofi in December 2007 was recorded to deferred revenue and is being recognized as collaboration revenue over the period during which we expect to perform services. In addition, reimbursements by Sanofi of our costs to expand our manufacturing capacity were recorded to deferred revenue and are being recognized prospectively as collaboration revenue over the same period applicable to recognition of the $85.0 million up-front payment. In 2013, 2012, and 2011, we recognized $8.6 million, $8.6 million, and $8.2 million, of revenue, respectively, related to these deferred payments.</w:t>
      </w:r>
    </w:p>
    <w:p>
      <w:pPr>
        <w:spacing w:after="0" w:line="24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In connection with the antibody collaboration, in August 2008, we entered into a separate agreement with Sanofi, which extended through December 2012, to use our proprietary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platform to supply Sanofi with genetically modified mammalian models of gene function and disease. The agreement provided for minimum annual order quantities for the term of the agreement, for which we receive payments which will total $21.5 million.</w:t>
      </w:r>
    </w:p>
    <w:p>
      <w:pPr>
        <w:spacing w:after="0" w:line="20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With respect to our antibody collaboration with Sanofi, $106.1 million and $102.6 million was included in accounts receivable as of December 31, 2013 and 2012, respectively.</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With respect to each antibody product which enters development under the license agreement, Sanofi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 within thirty days of the date that Sanofi elects to jointly develop such antibody product under the license agreement. Each of the discovery agreement and the license agreement contains other termination provisions, including for material breach by the other party. Prior to December 31, 2017, Sanofi has the right to terminate the amended discovery agreement without cause with at least three months advance written notice; however, except under defined circumstances, Sanofi would be obligated to immediately pay to us the full amount of unpaid research funding during the remaining term of the research agreement through December 31, 2017. Upon termination of the collaboration in its entirety, our obligation to reimburse Sanofi for development costs out of any future profits from collaboration products will terminate.</w:t>
      </w:r>
    </w:p>
    <w:p>
      <w:pPr>
        <w:spacing w:after="0" w:line="23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December 2007, we sold Sanofi 12 million newly issued, unregistered shares of Common Stock at an aggregate cash price of $312.0 million, or $26.00 per share of Common Stock. As a condition to the closing of this transaction, Sanofi entered into an investor agreement with us. This agreement, which was amended in January 2014, contains certain demand rights, “stand-still provisions”, and other restrictions, which are more fully described in Note 14 to our Consolidated Financial Statements. In addition, in October 2010, Sanofi purchased 1,017,401 shares of Common Stock in our underwritten public offering.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with Bayer HealthCare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October 2006, we entered into a license and collaboration agreement with Bayer HealthCare to globally develop, and commercialize outside the United States, EYLEA. Under the terms of the agreement, Bayer HealthCare made a non-refundable up-front payment to us of $75.0 million. We also received from Bayer HealthCare a $20.0 million development milestone payment in 2007 (which, for the purpose of revenue recognition, was not considered substantive) and a $10.0 million substantive milestone development payment in each of 2010 and 2011.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Bayer HealthCare commenced sales of EYLEA for the treatment of wet AMD in the fourth quarter of 2012 following receipt of regulatory approvals in the EU and other regions, and for the treatment of macular edema secondary to CRVO in the fourth quarter of 2013 following receipt of regulatory approvals in the EU and Japan. Bayer HealthCare has additional regulatory applications for EYLEA for the treatment of wet AMD and macular edema secondary to CRVO pending in other countries. Bayer HealthCare markets EYLEA outside the United States, where, for countries other than Japan, the companies will share equally in profits and losses from sales of EYLEA. We are entitled to receive a percentage of between 33.5% and 40.0% of EYLEA annual net sales in Japan. We are obligated to reimburse Bayer HealthCare out of our share of the collaboration profits (including our percentage of sales of EYLEA in Japan) for 50% of the agreed-upon development expenses that Bayer HealthCare has incurred in accordance with a formula based on the amount of development expenses that Bayer HealthCare has incurred and our share of the collaboration profits, or at a faster rate at our option. As a result, we expect that, initially, our share of any EYLEA profits outside the United States will be partly used to reimburse Bayer HealthCare for this repayment obligation. In particular, our contingent reimbursement obligation to Bayer HealthCare for EYLEA was approximately $276 million at December 31, 2013. We are obligated to use commercially reasonable efforts to supply clinical and commercial bulk product of EYLEA to Bayer HealthCare. Within the United States, we are responsible for commercialization of EYLEA and retain exclusive rights to all future profits from such commercialization in the United States.</w:t>
      </w:r>
    </w:p>
    <w:p>
      <w:pPr>
        <w:spacing w:after="0" w:line="22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2012, we received, and recognized as revenue, $15.0 million and $10.0 million substantive milestone payments from Bayer HealthCare upon receipt of marketing and pricing approval, respectively, in Japan for EYLEA for the treatment of wet AMD. In 2013, we received, and recognized as revenue, $15.0 million and $10.0 million substantive milestone payments from Bayer HealthCare upon receipt of marketing and pricing approval, respectively, for EYLEA for the treatment of macular edema secondary to CRVO outside the United States. In addition, in 2013, we received, and recognized as revenue, three $15.0 million sales milestone payments from Bayer HealthCare upon total aggregate sales of EYLEA outside the United States exceeding $200 million, $300 million, and $400 million, respectively, over a twelve-month period. We may earn up to $90 million in additional sales milestone payments if twelve-month sales of EYLEA outside the United States achieve certain specified levels up to $1 billion. In addition, in connection with a November 2013 agreement under which Bayer HealthCare obtained rights to use certain of our EYLEA clinical data for a regulatory filing, we became eligible to receive up to $30 million in additional sales milestone payments if twelve-month sales of specific commercial supplies of EYLEA outside the United States achieve certain specified levels up to $200 million.</w:t>
      </w:r>
    </w:p>
    <w:p>
      <w:pPr>
        <w:spacing w:after="0" w:line="23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Under the terms of the agreement, since 2009, all agreed upon EYLEA development expenses incurred by both companies under a global development plan, and certain commercialization and other expenses, are shared equally, and profits or losses on sales of EYLEA outside the United States are also shared. In connection with our collaboration with Bayer HealthCare, we recognized $220.3 million, $70.1 million, and $43.1 million of collaboration revenue in 2013, 2012, and 2011, respectively. We also funded $15.3 million, $21.9 million, and $47.8 million of Bayer HealthCare's EYLEA development expenses in 2013, 2012, and 2011, respectively. At December 31, 2013 and 2012, $63.2 million and $2.8 million, respectively, were receivable from Bayer HealthCare in connection with the companies' EYLEA collaboration outside the United States. In addition, the $75.0 million up-front payment and the $20.0 million milestone payment received in 2007 from Bayer HealthCare were recorded to deferred revenue. In 2013, 2012, and 2011, we recognized $7.9 million, $7.9 million, and $9.4 million, respectively, of revenue related to these payments.</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Based on the positive results of Phase 3 studies, we submitted a supplemental BLA for U.S. regulatory approval of EYLEA in DME in the fourth quarter of 2013; the target date for an FDA decision on the supplemental BLA is August 18, 2014. An application for marketing approval for the treatment of DME in the EU was also submitted during the fourth quarter of 2013.</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January 2014, Bayer HealthCare exercised its right to opt-in to the global development and commercialization of EYLEA outside the United States for the treatment of macular edema following BRVO. In connection with its opt-in, Bayer HealthCare will reimburse us for a defined share of the EYLEA global development costs that we have or will incur for the BRVO indication. In addition, profits or losses on sales of EYLEA outside of the United States for the treatment of macular edema following BRVO will also be shared.</w:t>
      </w:r>
    </w:p>
    <w:p>
      <w:pPr>
        <w:spacing w:after="0" w:line="106"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EYLEA.</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January 2014, we entered into a license and collaboration agreement with Bayer HealthCare governing the joint 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the collaboration for further development and commercialization outside the United States.</w:t>
      </w:r>
    </w:p>
    <w:p>
      <w:pPr>
        <w:spacing w:after="0" w:line="21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the development milestone payments to Sanofi related to our acquisition of rights to antibodies targeting the PDGF family of receptors in May 2013, as described above. In that regard, Bayer HealthCare made a $2.5 million payment to us in January 2014. Further, in connection with our initial development of the PDGFR-beta antibody through completion of the first proof-of-concept study, we are eligible to receive up to $17.5 million in future development milestone payments from Bayer HealthCare, although certain of these development milestone payments could be reduced by half if Bayer HealthCare does not opt-in to the collaboration.</w:t>
      </w:r>
    </w:p>
    <w:p>
      <w:pPr>
        <w:spacing w:after="0" w:line="9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Bayer HealthCare exercises their right to opt-in to the collaboration, they will obtain exclusive commercialization rights to the product outside the United States, pay for 25% of global development costs and 50% of development costs exclusively for the territory outside the United States, pay a $20 million opt-in payment to us, pay a $20 million development milestone to us upon receipt of the first marketing approval in the European Union or Japan, share profits from sales outside the United States equally with us, and be responsible for the payment of royalties on sales outside the United States to Sanofi.</w:t>
      </w:r>
    </w:p>
    <w:p>
      <w:pPr>
        <w:spacing w:after="0" w:line="11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1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us and Bayer HealthCare in writing.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Astellas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July 2010, the non-exclusive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Cellectis</w:t>
      </w:r>
    </w:p>
    <w:p>
      <w:pPr>
        <w:spacing w:after="0" w:line="27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 xml:space="preserve">In July 2008, we and Cellectis S.A. entered into an Amended and Restated Non-Exclusive License Agreement. The amended license agreement resolved a dispute between the parties related to the interpretation of a license agreement entered into by the parties in December 2003 pursuant to which we licensed certain patents and patent applications relating to a process for the specific replacement of a copy of a gene in the receiver genome by homologous recombination. Pursuant to the amended license agreement, in July 2008, we made a non-refundable $12.5 million payment to Cellectis and agreed to pay Cellectis a low single-digit royalty based on revenue received by us from any future licenses or sales of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or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products and services. No royalties are payable to Cellectis with respect to our former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AstraZeneca, our current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Astellas, or our antibody collaboration with Sanofi. In addition, no royalties are payable to Cellectis on any revenue from commercial sales of antibodies from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We are amortizing our $12.5 million payment to Cellectis in proportion to past and anticipated future revenues under our license agreements with AstraZeneca and Astellas and our antibody discovery agreement with Sanofi (as amended in November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Agreement with Novartis Pharma AG</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and gouty arthritis, and is in earlier stage development for other inflammatory diseases. We are unable to predict whether these royalties will ever contribute materially to our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Settlement Agreements with Genentech</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December 31, 2011, we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The Original Genentech Agreement provided for us to make payments to Genentech based on U.S. sales of EYLEA through May 7, 2016, the date the Davis-Smyth patents expire. Under the Original Genentech Agreement, we made a $60.0 million milestone payment when cumulative U.S. sales reached $400 million and are obligated to pay royalties of 4.75% on cumulative relevant sales of EYLEA between $400 million and $3 billion and 5.5% on any cumulative relevant sales of EYLEA over $3 billion.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Effective May 17, 2013, we entered into an Amended and Restated Non-Exclusive License and Settlement Agreement with Genentech (the Amended Genentech Agreement), which amended the Original Genentech Agreement to now include all sales of EYLEA worldwide and ended the litigation relating to those matters. Under the Amended Genentech Agreement, we received a worldwide non-exclusive license to the Davis-Smyth patents, and certain other patents, owned or co-owned by Genentech for the prevention or treatment of human eye diseases and eye disorders through administration of EYLEA to the eye. Under the Amended Genentech Agreement, we are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our license and collaboration agreement. All payments to Genentech under the Original Genentech Agreement and the Amended Genentech Agreement have been or will be made by Regeneron. Bayer HealthCare will share in all such payments based on the proportion of ex-U.S. EYLEA sales to worldwide EYLEA sales and determined consistent with the license and collaboration agreement.</w:t>
      </w:r>
    </w:p>
    <w:p>
      <w:pPr>
        <w:spacing w:after="0" w:line="2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Also on May 17, 2013, we entered into a Non-Exclusive License and Settlement Agreement (the ZALTRAP Agreement), with Genentech, Sanofi U.S. Services, Inc. and Sanofi-Aventis U.S. LLC (the latter two entities, collectively, Sanofi) under which we and Sanofi received a worldwide non-exclusive license to the Davis-Smyth patents, and certain other patents, in all indications for human use other than the prevention or treatment of eye diseases and eye disorders through administration to the eye. Under the terms of the ZALTRAP Agreement, payments are required to be made to Genentech based on sales of ZALTRAP in the United States and of ZALTRAP that is manufactured in the United States and sold outside the United States through May 7, 2016. A payment of $19 million is required to be made upon cumulative relevant sales of ZALTRAP reaching $200 million. In addition, royalty payments are required to be made to Genentech based upon 4.5% of cumulative relevant sales of ZALTRAP between $400 million and $1 billion and 6.5% of any cumulative relevant sales of ZALTRAP over $1 billion. All payments to Genentech under the ZALTRAP Agreement will be made by Sanofi, and we will share in all such payments.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lease approximately 664,000 square feet of laboratory and office space at facilities in Tarrytown, New York, under a December 2006 lease agreement, as amended. These facilities include approximately 230,000 square feet of space in two newly constructed buildings (Buildings A and B) that were completed during the third quarter of 2009 and approximately 131,000 square feet of additional space in a third newly constructed building (Building C), that was completed in early 2011. In April 2013, we executed an agreement related to approximately 360,000 square feet of space that we currently lease at our Tarrytown location, which extended the term of the lease from June 2024 to June 2029; the remaining space will expire in June 2024. The lease contains three renewal options to extend the term of the lease by five years each and early termination options on approximately 271,000 square feet of space. The lease provides for monthly payments over its term and additional charges for utilities, taxes, and operating expenses.</w:t>
      </w:r>
    </w:p>
    <w:p>
      <w:pPr>
        <w:spacing w:after="0" w:line="23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April 2013, we entered into a new lease agreement for approximately 297,000 square feet of additional new laboratory and office space to be constructed in two new buildings (Buildings D and E), which are expected to be completed in the second half of 2015, at our current Tarrytown, New York location. The term of the lease, which is expected to commence in mid-2014, is approximately 15 years and contains three renewal options to extend the term of the lease by five years each. The lease provides for (i) monthly payments over its term, which are expected to commence in 2015 and will be based on the landlord's costs of construction and tenant allowances, and (ii) additional charges for utilities, taxes, and operating expenses.</w:t>
      </w:r>
    </w:p>
    <w:p>
      <w:pPr>
        <w:spacing w:after="0" w:line="2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Certain premises under the lease are accounted for as operating leases. However, for Buildings A, B, C, D, and E (collectively, the Buildings) that we are or will be leasing, we are deemed, in substance, to be the owner of the landlord's Buildings in accordance with the application of FASB authoritative guidance. Consequently, in addition to capitalizing the tenant improvements, we capitalize the landlord's costs of constructing these new facilities, offset by a corresponding facility lease obligation. As it relates to Buildings A, B, and C, we also recognized, as additional facility lease obligation, reimbursements from our landlord for tenant improvement costs that we incurred since, under FASB authoritative guidance, such payments that we receive from our landlord are deemed to be a financing obligation.</w:t>
      </w:r>
    </w:p>
    <w:p>
      <w:pPr>
        <w:spacing w:after="0" w:line="24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With respect to Buildings A and B, monthly lease payments commenced in August 2009, and the buildings were placed in service by us in September 2009. With respect to Building C, monthly lease payments commenced in January 2011, and the building was placed in service by us in February 2011.</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December 31, 2013 and 2012, the Buildings' facility lease obligation balance was $185.2 million and $160.8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cash expenditures for property, plant, and equipment totaled $156.3 million in 2013, $49.3 million in 2012, and $57.2 million in 2011.</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July 2013, we reached preliminary agreement to acquire a 400,000 square foot facility in Limerick, Ireland, subject to entering into definitive agreements as well as securing permits from the local government in Limerick. We intend to renovate this facility to accommodate and support our growth, primarily in connection with expanding our manufacturing capacity to support our global supply chain.</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expect to incur capital expenditures of approximately $350 to $425 million in 2014 primarily in connection with expanding our manufacturing facilities at our Rensselaer facility, tenant improvements primarily related to Buildings D and E at our leased Tarrytown facilities, purchasing and commencing renovations on the new Limerick facility described above (predicated on finalizing its purchase), and purchases of equipment.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Convertible Senior Notes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October 2011, we issued $400.0 million aggregate principal amount of 1.875% convertible senior notes in a private placement. The notes were offered by the initial purchaser only to qualified institutional buyers pursuant to Rule 144A under the Securities Act of 1933.</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notes pay interest semi-annually on April 1 and October 1, and will mature on October 1, 2016, unless earlier converted or repurchased. The notes are convertible, subject to certain conditions, into cash, shares of our Common Stock, or a combination of cash and shares of Common Stock, at our option. The initial conversion rate for the notes is 11.9021 shares of Common Stock (subject to adjustment in certain circumstances) per $1,000 principal amount of the notes, or a total of approximately 4,760,840 shares upon conversion, which is equal to an initial conversion price of approximately $84.02 per share. A holder of the notes may surrender their notes at their option any time prior to the close of business on the business day immediately preceding July 1, 2016, only under the following circumstances: (i) during any calendar quarter commencing after the calendar quarter ending on December 31, 2011 (and only during such calendar quarter), if the last reported sale price of our Common Stock for at least 20 trading days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(whether or not consecutive) during a period of 30 consecutive trading days ending on the last trading day of the immediately preceding calendar quarter is greater than or equal to 130% of the conversion price on each applicable trading day; (ii) during the five business day period after any ten consecutive trading day period (the “measurement period”) in which the trading price, as defined, of the notes for each trading day of the measurement period was less than 98% of the product of the last reported sale price of our Common Stock and the conversion rate on each such trading day; (iii) if we elect to issue to all or substantially all holders of our Common Stock any rights, options, or warrants (other than pursuant to a rights plan) entitling them for a period of not more than 60 calendar days after the record date for such issuance, to subscribe for or purchase shares of our Common Stock, at a price per share less than the average of the last reported sales prices of our Common Stock for the ten consecutive day period ending on, and including, the trading day immediately preceding the declaration date for such issuance; (iv) upon specified distributions to our shareholders; or (v) upon the occurrence of specified corporate transactions, such as a fundamental change (i.e., a change in control), or our Common Stock ceasing to be listed on at least one U.S. national securities exchange. On or after July 1, 2016, holders may convert their notes at the conversion rate at any time prior to the close of business on the second scheduled trading day immediately preceding the maturity date irrespective of the foregoing conditions. In the event that a fundamental change, as defined in the indenture under which the notes have been issued, occurs prior to maturity of the notes, the initial conversion rate may be increased to include additional shares upon conversion, or holders can require us to purchase from them all or a portion of their notes for 100% of the principal value plus any accrued and unpaid interest. Based on the reported sales prices of our Common Stock, the notes were able to be converted by holders as of December 31, 2013.</w:t>
      </w:r>
    </w:p>
    <w:p>
      <w:pPr>
        <w:spacing w:after="0" w:line="22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offering of the convertible senior notes, we entered into convertible note hedge (call option) and warrant transactions with multiple counterparties, including an affiliate of the initial purchaser. The convertible note hedge transactions cover, subject to customary anti-dilution adjustments, the number of shares of our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warrant transactions have an initial strike price of approximately $103.41 per share, and may be settled in cash or shares of our Common Stock, at our option. The warrants expire at various dates during 2017.</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net proceeds from the convertible senior notes offering were $391.1 million after deducting the initial purchaser's discount and issuance costs. In addition, the net cost of the convertible note hedge transactions, after taking into account the proceeds received by us from the warrant transactions, was $23.7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expect continued growth in our expenditures, particularly in connection with our research and development activities (including preclinical and clinical testing), capital expenditures, and commercialization of EYLEA. We believe that our existing capital resources, funds generated by anticipated EYLEA net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ZALTRAP and antibodies collaborations are generally funded by Sanofi, except that following receipt of the first positive Phase 3 trial results for a co-developed antibody drug candidate, subsequent Phase 3 trial-related costs for that drug candidate are shared 80% by Sanofi and 20% by us. In addition, as described above, we and Bayer HealthCare share (i) agreed-upon development expenses that both companies incur in connection with our EYLEA collaboration, and (ii) development costs under the initial development plan in connection with our PDGFR-beta antibody collaboration.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In connection with our funding requirements, the following table summarizes our contractual obligations as of December 31, 2013. These obligations and commitments assume non-termination of agreements and represent expected payments based on current operating forecasts, which are subject to change:</w:t>
      </w:r>
    </w:p>
    <w:p>
      <w:pPr>
        <w:spacing w:after="0" w:line="201"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gridSpan w:val="8"/>
          </w:tcPr>
          <w:p>
            <w:pPr>
              <w:spacing w:after="0"/>
              <w:rPr>
                <w:sz w:val="20"/>
                <w:szCs w:val="20"/>
                <w:color w:val="auto"/>
              </w:rPr>
            </w:pPr>
            <w:r>
              <w:rPr>
                <w:rFonts w:ascii="Arial" w:cs="Arial" w:eastAsia="Arial" w:hAnsi="Arial"/>
                <w:sz w:val="18"/>
                <w:szCs w:val="18"/>
                <w:b w:val="1"/>
                <w:bCs w:val="1"/>
                <w:color w:val="auto"/>
                <w:w w:val="98"/>
              </w:rPr>
              <w:t>Payments Due by Period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88"/>
              </w:rPr>
              <w:t>Less than</w:t>
            </w:r>
          </w:p>
        </w:tc>
        <w:tc>
          <w:tcPr>
            <w:tcW w:w="2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3"/>
              </w:rPr>
              <w:t>Greater</w:t>
            </w:r>
          </w:p>
        </w:tc>
        <w:tc>
          <w:tcPr>
            <w:tcW w:w="200" w:type="dxa"/>
            <w:vAlign w:val="bottom"/>
            <w:gridSpan w:val="2"/>
          </w:tcPr>
          <w:p>
            <w:pPr>
              <w:spacing w:after="0"/>
              <w:rPr>
                <w:sz w:val="17"/>
                <w:szCs w:val="17"/>
                <w:color w:val="auto"/>
              </w:rPr>
            </w:pPr>
          </w:p>
        </w:tc>
      </w:tr>
      <w:tr>
        <w:trPr>
          <w:trHeight w:val="196"/>
        </w:trPr>
        <w:tc>
          <w:tcPr>
            <w:tcW w:w="3580" w:type="dxa"/>
            <w:vAlign w:val="bottom"/>
          </w:tcPr>
          <w:p>
            <w:pPr>
              <w:ind w:left="20"/>
              <w:spacing w:after="0" w:line="196" w:lineRule="exact"/>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980" w:type="dxa"/>
            <w:vAlign w:val="bottom"/>
            <w:gridSpan w:val="5"/>
          </w:tcPr>
          <w:p>
            <w:pPr>
              <w:jc w:val="center"/>
              <w:ind w:right="240"/>
              <w:spacing w:after="0" w:line="196" w:lineRule="exact"/>
              <w:rPr>
                <w:sz w:val="20"/>
                <w:szCs w:val="20"/>
                <w:color w:val="auto"/>
              </w:rPr>
            </w:pPr>
            <w:r>
              <w:rPr>
                <w:rFonts w:ascii="Arial" w:cs="Arial" w:eastAsia="Arial" w:hAnsi="Arial"/>
                <w:sz w:val="18"/>
                <w:szCs w:val="18"/>
                <w:b w:val="1"/>
                <w:bCs w:val="1"/>
                <w:color w:val="auto"/>
                <w:w w:val="89"/>
              </w:rPr>
              <w:t>one year</w:t>
            </w:r>
          </w:p>
        </w:tc>
        <w:tc>
          <w:tcPr>
            <w:tcW w:w="60" w:type="dxa"/>
            <w:vAlign w:val="bottom"/>
          </w:tcPr>
          <w:p>
            <w:pPr>
              <w:spacing w:after="0"/>
              <w:rPr>
                <w:sz w:val="17"/>
                <w:szCs w:val="17"/>
                <w:color w:val="auto"/>
              </w:rPr>
            </w:pPr>
          </w:p>
        </w:tc>
        <w:tc>
          <w:tcPr>
            <w:tcW w:w="10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1 to 3 years</w:t>
            </w:r>
          </w:p>
        </w:tc>
        <w:tc>
          <w:tcPr>
            <w:tcW w:w="60" w:type="dxa"/>
            <w:vAlign w:val="bottom"/>
          </w:tcPr>
          <w:p>
            <w:pPr>
              <w:spacing w:after="0"/>
              <w:rPr>
                <w:sz w:val="17"/>
                <w:szCs w:val="17"/>
                <w:color w:val="auto"/>
              </w:rPr>
            </w:pPr>
          </w:p>
        </w:tc>
        <w:tc>
          <w:tcPr>
            <w:tcW w:w="10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3 to 5 years</w:t>
            </w:r>
          </w:p>
        </w:tc>
        <w:tc>
          <w:tcPr>
            <w:tcW w:w="100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w w:val="91"/>
              </w:rPr>
              <w:t>than 5 years</w:t>
            </w:r>
          </w:p>
        </w:tc>
      </w:tr>
      <w:tr>
        <w:trPr>
          <w:trHeight w:val="48"/>
        </w:trPr>
        <w:tc>
          <w:tcPr>
            <w:tcW w:w="3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70"/>
        </w:trPr>
        <w:tc>
          <w:tcPr>
            <w:tcW w:w="3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Convertible senior notes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35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40" w:type="dxa"/>
            <w:vAlign w:val="bottom"/>
          </w:tcPr>
          <w:p>
            <w:pPr>
              <w:spacing w:after="0"/>
              <w:rPr>
                <w:sz w:val="23"/>
                <w:szCs w:val="23"/>
                <w:color w:val="auto"/>
              </w:rPr>
            </w:pPr>
          </w:p>
        </w:tc>
      </w:tr>
      <w:tr>
        <w:trPr>
          <w:trHeight w:val="270"/>
        </w:trPr>
        <w:tc>
          <w:tcPr>
            <w:tcW w:w="3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3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5"/>
                <w:szCs w:val="25"/>
                <w:color w:val="auto"/>
                <w:vertAlign w:val="superscript"/>
              </w:rPr>
              <w:t>(4)</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211.8</w:t>
            </w:r>
          </w:p>
        </w:tc>
        <w:tc>
          <w:tcPr>
            <w:tcW w:w="40" w:type="dxa"/>
            <w:vAlign w:val="bottom"/>
            <w:tcBorders>
              <w:bottom w:val="single" w:sz="8" w:color="auto"/>
            </w:tcBorders>
          </w:tcPr>
          <w:p>
            <w:pPr>
              <w:spacing w:after="0"/>
              <w:rPr>
                <w:sz w:val="23"/>
                <w:szCs w:val="23"/>
                <w:color w:val="auto"/>
              </w:rPr>
            </w:pPr>
          </w:p>
        </w:tc>
      </w:tr>
      <w:tr>
        <w:trPr>
          <w:trHeight w:val="25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1,303.2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279.7</w:t>
            </w:r>
          </w:p>
        </w:tc>
        <w:tc>
          <w:tcPr>
            <w:tcW w:w="40" w:type="dxa"/>
            <w:vAlign w:val="bottom"/>
            <w:tcBorders>
              <w:bottom w:val="single" w:sz="8" w:color="auto"/>
            </w:tcBorders>
            <w:shd w:val="clear" w:color="auto" w:fill="CCEEFF"/>
          </w:tcPr>
          <w:p>
            <w:pPr>
              <w:spacing w:after="0"/>
              <w:rPr>
                <w:sz w:val="22"/>
                <w:szCs w:val="22"/>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left="660" w:hanging="247"/>
        <w:spacing w:after="0" w:line="265" w:lineRule="auto"/>
        <w:tabs>
          <w:tab w:leader="none" w:pos="66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Consists of $400.0 million aggregate principal amount of 1.875% convertible senior notes that mature on October 1, 2016, unless earlier converted or repurchased. The amounts in the table above assume the payment of interest on our convertible senior notes through their maturity date and the payment of the principal amount of the notes at their maturity date. Interest on the notes is payable semi-annually. The convertible senior notes will be convertible, subject to certain conditions, into cash, shares of our Common Stock, or a combination of cash and shares of Common Stock, at our option. As of December 31, 2013, the convertible senior notes were convertible under the terms of the indenture governing the notes.</w:t>
      </w:r>
    </w:p>
    <w:p>
      <w:pPr>
        <w:spacing w:after="0" w:line="2" w:lineRule="exact"/>
        <w:rPr>
          <w:rFonts w:ascii="Arial" w:cs="Arial" w:eastAsia="Arial" w:hAnsi="Arial"/>
          <w:sz w:val="22"/>
          <w:szCs w:val="22"/>
          <w:color w:val="auto"/>
          <w:vertAlign w:val="superscript"/>
        </w:rPr>
      </w:pPr>
    </w:p>
    <w:p>
      <w:pPr>
        <w:ind w:left="660" w:hanging="247"/>
        <w:spacing w:after="0" w:line="209"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Excludes future contingent costs for utilities, real estate taxes, and operating expenses. In 2013, these costs were $11.5 million. See Note 13(a) to our Consolidated Financial Statements.</w:t>
      </w:r>
    </w:p>
    <w:p>
      <w:pPr>
        <w:spacing w:after="0" w:line="1" w:lineRule="exact"/>
        <w:rPr>
          <w:rFonts w:ascii="Arial" w:cs="Arial" w:eastAsia="Arial" w:hAnsi="Arial"/>
          <w:sz w:val="25"/>
          <w:szCs w:val="25"/>
          <w:color w:val="auto"/>
          <w:vertAlign w:val="superscript"/>
        </w:rPr>
      </w:pPr>
    </w:p>
    <w:p>
      <w:pPr>
        <w:jc w:val="both"/>
        <w:ind w:left="660" w:hanging="247"/>
        <w:spacing w:after="0" w:line="250" w:lineRule="auto"/>
        <w:tabs>
          <w:tab w:leader="none" w:pos="66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Purchase obligations primarily relate to (i) research and development commitments, including those related to clinical trials, (ii) capital expenditures for equipment acquisitions, and (iii) license payments. Our obligation to pay certain of these amounts may increase or be reduced based on certain future events. Open purchase orders for the acquisition of goods and services in the ordinary course of business are excluded from the table above.</w:t>
      </w:r>
    </w:p>
    <w:p>
      <w:pPr>
        <w:spacing w:after="0" w:line="1" w:lineRule="exact"/>
        <w:rPr>
          <w:rFonts w:ascii="Arial" w:cs="Arial" w:eastAsia="Arial" w:hAnsi="Arial"/>
          <w:sz w:val="22"/>
          <w:szCs w:val="22"/>
          <w:color w:val="auto"/>
          <w:vertAlign w:val="superscript"/>
        </w:rPr>
      </w:pPr>
    </w:p>
    <w:p>
      <w:pPr>
        <w:jc w:val="both"/>
        <w:ind w:left="660" w:hanging="247"/>
        <w:spacing w:after="0" w:line="232"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Represents payments with respect to facility lease obligations in connection with our lease of Buildings A, B, and C in Tarrytown, New York, as described under "Tarrytown, New York Leases" above. In addition to the estimated obligations in the table above, pursuant to a new lease agreement entered into in April 2013, there are two new buildings currently under construction (Buildings D and E). Rent payments on these buildings are expected to commence in 2015, and will be based on the landlord's costs of construction and tenant allowances. See Note 13(a) to our Consolidated Financial Statements.</w:t>
      </w:r>
    </w:p>
    <w:p>
      <w:pPr>
        <w:spacing w:after="0" w:line="25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described above, in May 2013, we acquired from Sanofi full exclusive rights to antibodies targeting the PDGF family of receptors and ligands in ophthalmology and all other indications and to antibodies targeting the Ang2 receptor and ligand in ophthalmology. With respect to PDGF antibodies, we made a $10.0 million up-front payment to Sanofi in May 2013 and a $5.0 million development milestone payment in January 2014, and are obligated to pay up to $35 million in potential additional development milestones and royalties on any future sales. With respect to Ang2 antibodies in ophthalmology, we also made a $10.0 million up-front payment to Sanofi in May 2013, and are obligated to pay a potential $5 million development milestone payment and royalties on any future sales.</w:t>
      </w:r>
    </w:p>
    <w:p>
      <w:pPr>
        <w:spacing w:after="0" w:line="24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Under our collaboration agreements with Sanofi and Bayer HealthCare, we and our collaborator will share profits and losses in connection with commercialization of drug products. Profits or losses under each collaboration are measured by calculating net sales less cost of goods sold and shared commercialization and other expenses. If the applicable collaboration becomes profitable, we have contingent contractual obligations to reimburse Sanofi and, in connection with EYLEA outside the United States,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ZALTRAP collaboration with Sanofi and our EYLEA collaboration with Bayer HealthCare, our percentage on product sales in Japan) otherwise payable to us, unless, in some cases, we elect to reimburse these expenses at a faster rate. In particular, as of December 31, 2013, our contingent reimbursement obligation to Sanofi for ZALTRAP was approximately $446 million, while our contingent reimbursement obligation to Bayer HealthCare for EYLEA was approximately $276 million. Therefore, we expect that, initially, our share of profits from sales of ZALTRAP, and a portion of our share of profits from sales of EYLEA outside the United States, will be used to reimburse our collaborators for these obligations.</w:t>
      </w:r>
    </w:p>
    <w:p>
      <w:pPr>
        <w:spacing w:after="0" w:line="22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commercialization costs over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EYLEA for other indications, or certain of our product candidates, we may be required to pay additional royalties or share the profits from such sales pursuant to our license or collaboration agreements. In addition, under the provisions of the PPACA and the Health Care and Education Reconciliation Act of 2010, a non-tax deductible annual fee (the Branded Prescription Drug Fee) is imposed on pharmaceutical manufacturers that sell branded prescription drugs to specified government programs. This fee is allocated to companies, including Regeneron, based on their prior year market share of total branded prescription drug sales into these government programs.</w:t>
      </w:r>
    </w:p>
    <w:p>
      <w:pPr>
        <w:spacing w:after="0" w:line="23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in 2013, 2012, and 2011, we made cash payments of $195.1 million, $163.3 million, and $25.1 million, respectively, for employee tax obligations in connection with stock option exercises and vesting of restricted stock. Future cash requirements for such payments will depend on various factors, including the level of stock option grants and exercises and the sales prices of our Common Stock, and may continue to be substantial.</w:t>
      </w:r>
    </w:p>
    <w:p>
      <w:pPr>
        <w:spacing w:after="0" w:line="20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patents and other intellectual property will continue to be substantial.</w:t>
      </w:r>
    </w:p>
    <w:p>
      <w:pPr>
        <w:spacing w:after="0" w:line="224"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We may from time to time seek to retire or repurchase our outstanding debt (including our 1.875% convertible senior notes) through cash purchases or exchanges for equity or debt securities, in open market purchases, privately negotiated transactions, or otherwise. Such purchases or exchanges, if any, will depend on prevailing market conditions, our liquidity requirements, contractual restrictions, and other factors. The amounts involved may be material.</w:t>
      </w:r>
    </w:p>
    <w:p>
      <w:pPr>
        <w:spacing w:after="0" w:line="20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Due to the amounts of our net operating loss and tax credit carry-forwards available for tax purposes, which totaled $450.4 million and $120.1 million, respectively, at December 31, 2013, we do not anticipate making significant cash payments for income taxes for at least the next twelve months.</w:t>
      </w:r>
    </w:p>
    <w:p>
      <w:pPr>
        <w:spacing w:after="0" w:line="20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connection with our collaboration with Bayer HealthCare, we are entitled to receive up to $90 million in additional sales milestones based on total twelve-month sales of EYLEA outside the United States achieving certain specified levels up to $1 billion. In addition, in connection with a November 2013 agreement under which Bayer HealthCare obtained rights to use certain of our EYLEA clinical data for a regulatory filing, we became eligible to receive up to $30 million in additional sales milestone payments if twelve-month sales of specific commercial supplies of EYLEA outside the United States achieve certain specified levels up to $200 million.</w:t>
      </w:r>
    </w:p>
    <w:p>
      <w:pPr>
        <w:spacing w:after="0" w:line="24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Other than letters of credits totaling $1.6 million as of December 31, 2013, we have no off-balance sheet arrangements. A $3.4 million letter of credit was canceled in April 2013 in connection with the amendment of our Tarrytown lease, as described above. As of December 31, 2013, we had no other banking arrangements that provided short-term financing or lines of credit. In November 2013, we filed a shelf registration statement on Form S-3, to replace the shelf registration that expired in October 2013, registering the sale, in one or more offerings, of an indeterminate amount of equity or debt securities, together or separately. There is no assurance, however, that we will be able to complete any offerings of securities under this shelf or other registration statements. Factors influencing the availability of additional financing include our progress in product development and commercialization, investor perception of our prospects, and the general condition of the financial markets.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corporate bonds, direct obligations of the U.S. government and its agencies, and other debt securities guaranteed by the U.S. government. We do not believe we are materially exposed to changes in interest rates. Under our current policies, we do not use interest rate derivative instruments to manage exposure to interest rate changes. We estimate that a 100 basis point, or 1%, unfavorable change in interest rates would have resulted in approximately a $6.8 million and $4.9 million decrease in the fair value of our investment portfolio at December 31, 2013 and 2012, respectively. The increase in interest rate risk year over year is due primarily to higher balances of marketable debt securities that we held at December 31, 2013 compared to the same period of 2012.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During 2013, we recorded an other-than-temporary impairment charge of $2.9 million related to our investment in an equity security. During 2012 and 2011, we recorded no charges for other-than-temporary impairments of our marketable securities.</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are also subject to credit risk in connection with accounts receivable from our product sales of EYLEA and ARCALYST. These accounts receivable are due from three distributors and several specialty pharmacies, who are our customers. We have contractual payment terms with each of our customers, and we monitor our customers' financial performance and credit worthiness so that we can properly assess and respond to any changes in their credit profile. In addition, we may insure a portion of our accounts receivables within our overall risk management practices. During 2013, 2012, and 2011, we did not recognize any charges for write-offs of accounts receivable related to our marketed products. At December 31, 2013 and 2012, one individual customer accounted for 75% and 80%, respectively, of our net trade accounts receivable balances.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discussed further above, Bayer HealthCare markets EYLEA outside the United States and Sanofi markets ZALTRAP worldwide, and we share in profits and losses with these collaborators from such sales (including a percentage of sales in Japan). Therefore, significant changes in foreign exchange rates of the countries outside the United States where our product is sold by our collaboration partners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financial statements required by this Item are included on pages F-1 through F-40 of this report. The supplementary financial information required by this Item is included at page F-40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ectPr>
          <w:pgSz w:w="11900" w:h="16838" w:orient="portrait"/>
          <w:cols w:equalWidth="0" w:num="1">
            <w:col w:w="11420"/>
          </w:cols>
          <w:pgMar w:left="240" w:top="130"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30" w:right="239" w:bottom="1440" w:gutter="0" w:footer="0" w:header="0"/>
          <w:type w:val="continuous"/>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2013 using the framework in </w:t>
      </w:r>
      <w:r>
        <w:rPr>
          <w:rFonts w:ascii="Arial" w:cs="Arial" w:eastAsia="Arial" w:hAnsi="Arial"/>
          <w:sz w:val="17"/>
          <w:szCs w:val="17"/>
          <w:i w:val="1"/>
          <w:iCs w:val="1"/>
          <w:color w:val="auto"/>
        </w:rPr>
        <w:t>Internal Control - Integrated Framework (1992)</w:t>
      </w:r>
      <w:r>
        <w:rPr>
          <w:rFonts w:ascii="Arial" w:cs="Arial" w:eastAsia="Arial" w:hAnsi="Arial"/>
          <w:sz w:val="17"/>
          <w:szCs w:val="17"/>
          <w:color w:val="auto"/>
        </w:rPr>
        <w:t xml:space="preserve"> issued by the Committee of Sponsoring Organizations of the Treadway Commission. Based on that evaluation, our management has concluded that our internal control over financial reporting was effective as of December 31, 2013. The effectiveness of our internal control over financial reporting as of December 31, 2013 has been audited by PricewaterhouseCoopers LLP, an independent registered public accounting firm, as stated in their report which appears under Item 15.</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2013 that has materially affected, or is reasonably likely to materially affect, our internal control over financial reporting.</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2014 Annual Meeting of Shareholders to be filed with the SEC, and is incorporated herein by reference.</w:t>
      </w:r>
    </w:p>
    <w:p>
      <w:pPr>
        <w:spacing w:after="0" w:line="20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“Investors” heading on the “Corporate Governance”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2014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2014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with respect to our 2014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2014 Annual Meeting of Shareholders to be filed with the SEC,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(a)</w:t>
        <w:tab/>
        <w:t>1. Financial Statements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27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gridSpan w:val="3"/>
          </w:tcPr>
          <w:p>
            <w:pPr>
              <w:ind w:left="280"/>
              <w:spacing w:after="0"/>
              <w:rPr>
                <w:sz w:val="20"/>
                <w:szCs w:val="20"/>
                <w:color w:val="auto"/>
              </w:rPr>
            </w:pPr>
            <w:r>
              <w:rPr>
                <w:rFonts w:ascii="Arial" w:cs="Arial" w:eastAsia="Arial" w:hAnsi="Arial"/>
                <w:sz w:val="18"/>
                <w:szCs w:val="18"/>
                <w:i w:val="1"/>
                <w:iCs w:val="1"/>
                <w:color w:val="auto"/>
              </w:rPr>
              <w:t>3. Exhibits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6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6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9440" w:type="dxa"/>
            <w:vAlign w:val="bottom"/>
            <w:gridSpan w:val="5"/>
          </w:tcPr>
          <w:p>
            <w:pPr>
              <w:ind w:left="180"/>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360" w:type="dxa"/>
            <w:vAlign w:val="bottom"/>
          </w:tcPr>
          <w:p>
            <w:pPr>
              <w:spacing w:after="0"/>
              <w:rPr>
                <w:sz w:val="4"/>
                <w:szCs w:val="4"/>
                <w:color w:val="auto"/>
              </w:rPr>
            </w:pPr>
          </w:p>
        </w:tc>
      </w:tr>
      <w:tr>
        <w:trPr>
          <w:trHeight w:val="250"/>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w:t>
            </w:r>
          </w:p>
        </w:tc>
        <w:tc>
          <w:tcPr>
            <w:tcW w:w="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Restated Certificate of Incorporation.</w:t>
            </w: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By-Laws, as amended.</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Indenture, dated as of October 21, 2011, between Regeneron Pharmaceuticals, Inc. and Wells Fargo Bank, National</w:t>
            </w:r>
          </w:p>
        </w:tc>
      </w:tr>
      <w:tr>
        <w:trPr>
          <w:trHeight w:val="237"/>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32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Association, as Trustee.</w:t>
            </w: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(aa)</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Form of 1.875% Convertible Senior Note due October 1, 2016.</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43"/>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 +</w:t>
            </w: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(z)</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The Second Amended and Restated 2000 Long-Term Incentive Plan.</w:t>
            </w: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30" w:right="2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14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80" w:type="dxa"/>
            <w:vAlign w:val="bottom"/>
          </w:tcPr>
          <w:p>
            <w:pPr>
              <w:spacing w:after="0"/>
              <w:rPr>
                <w:sz w:val="16"/>
                <w:szCs w:val="16"/>
                <w:color w:val="auto"/>
              </w:rPr>
            </w:pPr>
          </w:p>
        </w:tc>
      </w:tr>
      <w:tr>
        <w:trPr>
          <w:trHeight w:val="614"/>
        </w:trPr>
        <w:tc>
          <w:tcPr>
            <w:tcW w:w="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Form of option agreement and related notice of grant for use in connection with the grant of options to the</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 +</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Registrant's non-employee directors and named executive officers.</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 of option agreement and related notice of grant for use in connection with the grant of options to the</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10.1.2 +</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Registrant's executive officers other than the named executive officers.</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10.1.3 +</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(c)</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restricted stock awards to the Registrant's executive officers.</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Form of option agreement and related notice of grant for use in connection with the grant of time based vesting</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10.1.5 +</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(q)</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 options to the Registrant's non-employee directors and executive officers.</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performance based</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10.1.6 +</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(q)</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vesting stock options to the Registrant's executive officers.</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10.1.7 +</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(y)</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restricted stock awards to the Registrant's executive officers (revised).</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performance based</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10.1.8 +</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vesting stock options to the Registrant's executive officers (revised).</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Form of option agreement and related notice of grant for use in connection with the grant of time based vesting</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10.1.9 +</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(dd)</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 options to the Registrant's non-employee directors (revised)</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10.1.10 +</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Amendment No. 1 to the Second Amended and Restated 2000 Long-Term Incentive Plan.</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Amended and Restated Employment Agreement, dated as of November 14, 2008, between the Registrant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 +</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Leonard S. Schleifer, M.D., Ph.D.</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10.3* +</w:t>
            </w:r>
          </w:p>
        </w:tc>
        <w:tc>
          <w:tcPr>
            <w:tcW w:w="320" w:type="dxa"/>
            <w:vAlign w:val="bottom"/>
          </w:tcPr>
          <w:p>
            <w:pPr>
              <w:spacing w:after="0"/>
              <w:rPr>
                <w:sz w:val="21"/>
                <w:szCs w:val="21"/>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(d)</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7"/>
              </w:rPr>
              <w:t>Employment Agreement, dated as of December 31, 1998, between the Registrant and P. Roy Vagelos, M.D.</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10.4 +</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(ee)</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Offer Letter for Robert E. Landry effective September 9, 2013.</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8"/>
              </w:rPr>
              <w:t>Regeneron Pharmaceuticals, Inc. Change in Control Severance Plan, amended and restated effective as of</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10.5 +</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(p)</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November 14, 2008.</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0"/>
              </w:rPr>
              <w:t>IL-1 License Agreement, dated June 26, 2002, by and among the Registrant, Immunex Corporation, and Amgen Inc.</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w w:val="92"/>
              </w:rPr>
              <w:t>– IL-1 Antibody Termination Agreement by and between Novartis Pharma AG, Novartis Pharmaceuticals Corporation</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(r)</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and the Registrant, dated as of June 8, 2009.</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Trap-2 Termination Agreement by and between Novartis Pharma AG, Novartis Pharmaceuticals Corporation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the Registrant, dated as of June 8, 2009.</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Collaboration Agreement, dated as of September 5, 2003, by and between Aventis Pharmaceuticals Inc. and the</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(f)</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Registrant.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Amendment No. 1 to Collaboration Agreement, by and between Aventis Pharmaceuticals Inc. and the Registrant,</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10.9.1*</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effective as of December 31, 2004.</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Amendment No. 2 to Collaboration Agreement, by and between Aventis Pharmaceuticals Inc. and the Registrant,</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10.9.2</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(g)</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effective as of January 7, 2005.</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Amendment No. 3 to Collaboration Agreement, by and between Aventis Pharmaceuticals Inc. and the Registrant,</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10.9.3*</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(h)</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effective as of December 21, 2005.</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Amendment No. 4 to Collaboration Agreement, by and between sanofi-aventis U.S., LLC (successor in interest to</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10.9.4*</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(h)</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Aventis Pharmaceuticals, Inc.) and the Registrant, effective as of January 31, 2006.</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License and Collaboration Agreement, dated as of October 18, 2006, by and between Bayer HealthCare LLC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10.10*</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the Registrant.</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10.10.1*</w:t>
            </w:r>
          </w:p>
        </w:tc>
        <w:tc>
          <w:tcPr>
            <w:tcW w:w="320" w:type="dxa"/>
            <w:vAlign w:val="bottom"/>
          </w:tcPr>
          <w:p>
            <w:pPr>
              <w:spacing w:after="0"/>
              <w:rPr>
                <w:sz w:val="21"/>
                <w:szCs w:val="21"/>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(cc)</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6"/>
              </w:rPr>
              <w:t>Amendment Agreement, dated as of May 7, 2012, by and between Bayer HealthCare LLC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(j)</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6"/>
              </w:rPr>
              <w:t>Lease, dated as of December 21, 2006, by and between BMR-Landmark at Eastview LLC 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First Amendment to Lease, by and between BMR-Landmark at Eastview LLC and the Registrant, effective as of</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10.11.1*</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(l)</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October 24, 2007.</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Second Amendment to Lease, by and between BMR-Landmark at Eastview LLC and the Registrant, effective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10.11.2</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September 30, 2008.</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Third Amendment to lease, by and between BMR-Landmark at Eastview LLC and the Registrant, entered into as of</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10.11.3</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(q)</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April 29, 2009.</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Fourth Amendment to Lease, by and between BMR-Landmark at Eastview LLC and the Registrant, effective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10.11.4</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December 3, 2009.</w:t>
            </w:r>
          </w:p>
        </w:tc>
      </w:tr>
      <w:tr>
        <w:trPr>
          <w:trHeight w:val="459"/>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80" w:type="dxa"/>
            <w:vAlign w:val="bottom"/>
          </w:tcPr>
          <w:p>
            <w:pPr>
              <w:ind w:left="3040"/>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1060"/>
          </w:cols>
          <w:pgMar w:left="240" w:top="118" w:right="59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100" w:type="dxa"/>
            <w:vAlign w:val="bottom"/>
          </w:tcPr>
          <w:p>
            <w:pPr>
              <w:spacing w:after="0"/>
              <w:rPr>
                <w:sz w:val="16"/>
                <w:szCs w:val="16"/>
                <w:color w:val="auto"/>
              </w:rPr>
            </w:pPr>
          </w:p>
        </w:tc>
        <w:tc>
          <w:tcPr>
            <w:tcW w:w="8480" w:type="dxa"/>
            <w:vAlign w:val="bottom"/>
          </w:tcPr>
          <w:p>
            <w:pPr>
              <w:spacing w:after="0"/>
              <w:rPr>
                <w:sz w:val="16"/>
                <w:szCs w:val="16"/>
                <w:color w:val="auto"/>
              </w:rPr>
            </w:pPr>
          </w:p>
        </w:tc>
      </w:tr>
      <w:tr>
        <w:trPr>
          <w:trHeight w:val="614"/>
        </w:trPr>
        <w:tc>
          <w:tcPr>
            <w:tcW w:w="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Fifth Amendment to Lease, by and between BMR-Landmark at Eastview LLC and the Registrant, entered into as of</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10.11.5</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(t)</w:t>
            </w:r>
          </w:p>
        </w:tc>
        <w:tc>
          <w:tcPr>
            <w:tcW w:w="8480" w:type="dxa"/>
            <w:vAlign w:val="bottom"/>
          </w:tcPr>
          <w:p>
            <w:pPr>
              <w:ind w:left="60"/>
              <w:spacing w:after="0"/>
              <w:rPr>
                <w:sz w:val="20"/>
                <w:szCs w:val="20"/>
                <w:color w:val="auto"/>
              </w:rPr>
            </w:pPr>
            <w:r>
              <w:rPr>
                <w:rFonts w:ascii="Arial" w:cs="Arial" w:eastAsia="Arial" w:hAnsi="Arial"/>
                <w:sz w:val="18"/>
                <w:szCs w:val="18"/>
                <w:color w:val="auto"/>
              </w:rPr>
              <w:t>February 11, 2010.</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580" w:type="dxa"/>
            <w:vAlign w:val="bottom"/>
            <w:gridSpan w:val="2"/>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1"/>
              </w:rPr>
              <w:t>– Sixth Amendment to Lease, by and between BMR-Landmark at Eastview LLC and the Registrant, entered into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10.11.6</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June 4, 2010.</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80" w:type="dxa"/>
            <w:vAlign w:val="bottom"/>
            <w:gridSpan w:val="2"/>
          </w:tcPr>
          <w:p>
            <w:pPr>
              <w:ind w:left="960"/>
              <w:spacing w:after="0"/>
              <w:rPr>
                <w:sz w:val="20"/>
                <w:szCs w:val="20"/>
                <w:color w:val="auto"/>
              </w:rPr>
            </w:pPr>
            <w:r>
              <w:rPr>
                <w:rFonts w:ascii="Arial" w:cs="Arial" w:eastAsia="Arial" w:hAnsi="Arial"/>
                <w:sz w:val="18"/>
                <w:szCs w:val="18"/>
                <w:color w:val="auto"/>
                <w:w w:val="91"/>
              </w:rPr>
              <w:t>– Seventh Amendment to Lease, by and between BMR-Landmark at Eastview LLC and the Registrant, entered into as</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10.11.7</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(y)</w:t>
            </w:r>
          </w:p>
        </w:tc>
        <w:tc>
          <w:tcPr>
            <w:tcW w:w="8480" w:type="dxa"/>
            <w:vAlign w:val="bottom"/>
          </w:tcPr>
          <w:p>
            <w:pPr>
              <w:ind w:left="60"/>
              <w:spacing w:after="0"/>
              <w:rPr>
                <w:sz w:val="20"/>
                <w:szCs w:val="20"/>
                <w:color w:val="auto"/>
              </w:rPr>
            </w:pPr>
            <w:r>
              <w:rPr>
                <w:rFonts w:ascii="Arial" w:cs="Arial" w:eastAsia="Arial" w:hAnsi="Arial"/>
                <w:sz w:val="18"/>
                <w:szCs w:val="18"/>
                <w:color w:val="auto"/>
              </w:rPr>
              <w:t>of December 22, 2010.</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Eighth Amendment to Lease, by and between BMR-Landmark at Eastview LLC and the Registrant, entered into as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10.11.8</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(bb)</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of August 1, 2011.</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Ninth Amendment to Lease, by and between BMR-Landmark at Eastview LLC and the Registrant, entered into as</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10.11.9</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(bb)</w:t>
            </w:r>
          </w:p>
        </w:tc>
        <w:tc>
          <w:tcPr>
            <w:tcW w:w="8480" w:type="dxa"/>
            <w:vAlign w:val="bottom"/>
          </w:tcPr>
          <w:p>
            <w:pPr>
              <w:ind w:left="60"/>
              <w:spacing w:after="0"/>
              <w:rPr>
                <w:sz w:val="20"/>
                <w:szCs w:val="20"/>
                <w:color w:val="auto"/>
              </w:rPr>
            </w:pPr>
            <w:r>
              <w:rPr>
                <w:rFonts w:ascii="Arial" w:cs="Arial" w:eastAsia="Arial" w:hAnsi="Arial"/>
                <w:sz w:val="18"/>
                <w:szCs w:val="18"/>
                <w:color w:val="auto"/>
              </w:rPr>
              <w:t>of September 30, 2011.</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Eleventh Amendment to Lease by and between BMR-Landmark at Eastview LLC and Regeneron Pharmaceuticals,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10.11.10</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(ff)</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Inc., dated April 3, 2013.</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Twelfth Amendment to Lease by and between BMR-Landmark at Eastview LLC and Regeneron Pharmaceuticals,</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10.11.11</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(ff)</w:t>
            </w:r>
          </w:p>
        </w:tc>
        <w:tc>
          <w:tcPr>
            <w:tcW w:w="8480" w:type="dxa"/>
            <w:vAlign w:val="bottom"/>
          </w:tcPr>
          <w:p>
            <w:pPr>
              <w:ind w:left="60"/>
              <w:spacing w:after="0"/>
              <w:rPr>
                <w:sz w:val="20"/>
                <w:szCs w:val="20"/>
                <w:color w:val="auto"/>
              </w:rPr>
            </w:pPr>
            <w:r>
              <w:rPr>
                <w:rFonts w:ascii="Arial" w:cs="Arial" w:eastAsia="Arial" w:hAnsi="Arial"/>
                <w:sz w:val="18"/>
                <w:szCs w:val="18"/>
                <w:color w:val="auto"/>
              </w:rPr>
              <w:t>Inc., dated May 31, 2013.</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Thirteenth  Amendment  to  Lease  by  and  between  BMR-Landmark  at  Eastview  LLC  and  Regeneron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10.11.12</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(ff)</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Pharmaceuticals, Inc., dated May 31, 2013.</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Mt. Pleasant Lease by and between BMR-Landmark at Eastview LLC and Regeneron Pharmaceuticals, Inc., dated</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(ff)</w:t>
            </w:r>
          </w:p>
        </w:tc>
        <w:tc>
          <w:tcPr>
            <w:tcW w:w="8480" w:type="dxa"/>
            <w:vAlign w:val="bottom"/>
          </w:tcPr>
          <w:p>
            <w:pPr>
              <w:ind w:left="60"/>
              <w:spacing w:after="0"/>
              <w:rPr>
                <w:sz w:val="20"/>
                <w:szCs w:val="20"/>
                <w:color w:val="auto"/>
              </w:rPr>
            </w:pPr>
            <w:r>
              <w:rPr>
                <w:rFonts w:ascii="Arial" w:cs="Arial" w:eastAsia="Arial" w:hAnsi="Arial"/>
                <w:sz w:val="18"/>
                <w:szCs w:val="18"/>
                <w:color w:val="auto"/>
              </w:rPr>
              <w:t>April 3, 2013.</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Non Exclusive License and Material Transfer Agreement, dated as of March 30, 2007, by and between Astellas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10.13*</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(k)</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Pharma Inc. 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Amendment to the Non Exclusive License and Material Transfer Agreement, dated as of March 30, 2007 by and</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10.13.1*</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(x)</w:t>
            </w:r>
          </w:p>
        </w:tc>
        <w:tc>
          <w:tcPr>
            <w:tcW w:w="8480" w:type="dxa"/>
            <w:vAlign w:val="bottom"/>
          </w:tcPr>
          <w:p>
            <w:pPr>
              <w:ind w:left="60"/>
              <w:spacing w:after="0"/>
              <w:rPr>
                <w:sz w:val="20"/>
                <w:szCs w:val="20"/>
                <w:color w:val="auto"/>
              </w:rPr>
            </w:pPr>
            <w:r>
              <w:rPr>
                <w:rFonts w:ascii="Arial" w:cs="Arial" w:eastAsia="Arial" w:hAnsi="Arial"/>
                <w:sz w:val="18"/>
                <w:szCs w:val="18"/>
                <w:color w:val="auto"/>
              </w:rPr>
              <w:t>between Astellas Pharma Inc. and the Registrant, dated as of July 28, 2010.</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Amended and Restated Discovery and Preclinical Development Agreement, dated as of November 10, 2009, by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10.14*</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(v)</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between Aventis Pharmaceuticals Inc. 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5"/>
              </w:rPr>
              <w:t>Amended and Restated License and Collaboration Agreement, dated as of November 10, 2009, by and among</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(v)</w:t>
            </w:r>
          </w:p>
        </w:tc>
        <w:tc>
          <w:tcPr>
            <w:tcW w:w="8480" w:type="dxa"/>
            <w:vAlign w:val="bottom"/>
          </w:tcPr>
          <w:p>
            <w:pPr>
              <w:ind w:left="60"/>
              <w:spacing w:after="0"/>
              <w:rPr>
                <w:sz w:val="20"/>
                <w:szCs w:val="20"/>
                <w:color w:val="auto"/>
              </w:rPr>
            </w:pPr>
            <w:r>
              <w:rPr>
                <w:rFonts w:ascii="Arial" w:cs="Arial" w:eastAsia="Arial" w:hAnsi="Arial"/>
                <w:sz w:val="18"/>
                <w:szCs w:val="18"/>
                <w:color w:val="auto"/>
              </w:rPr>
              <w:t>Aventis Pharmaceuticals Inc., sanofi-aventis Amerique du Nord, and the Registrant.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580" w:type="dxa"/>
            <w:vAlign w:val="bottom"/>
            <w:gridSpan w:val="2"/>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5"/>
              </w:rPr>
              <w:t>– First Amendment to Amended and Restated License and Collaboration Agreement by and between Regeneron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10.15.1*</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(ff)</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Pharmaceuticals, Inc. and Aventis Pharmaceuticals Inc., dated May 1, 2013.</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5"/>
              </w:rPr>
              <w:t>Stock Purchase Agreement, dated as of November 28, 2007, by and among sanofi-aventis Amerique Du Nord,</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(m)</w:t>
            </w:r>
          </w:p>
        </w:tc>
        <w:tc>
          <w:tcPr>
            <w:tcW w:w="8480" w:type="dxa"/>
            <w:vAlign w:val="bottom"/>
          </w:tcPr>
          <w:p>
            <w:pPr>
              <w:ind w:left="60"/>
              <w:spacing w:after="0"/>
              <w:rPr>
                <w:sz w:val="20"/>
                <w:szCs w:val="20"/>
                <w:color w:val="auto"/>
              </w:rPr>
            </w:pPr>
            <w:r>
              <w:rPr>
                <w:rFonts w:ascii="Arial" w:cs="Arial" w:eastAsia="Arial" w:hAnsi="Arial"/>
                <w:sz w:val="18"/>
                <w:szCs w:val="18"/>
                <w:color w:val="auto"/>
              </w:rPr>
              <w:t>sanofi-aventis US LLC, and the Registrant.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Investor Agreement, dated as of December 20, 2007, by and among sanofi-aventis, sanofi-aventis US LLC, Aventis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10.17</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Pharmaceuticals Inc., sanofi-aventis Amerique du Nord, 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First Amendment to the December 20, 2007 Investor Agreement, dated as of November 10, 2009, by and among</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10.17.1</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(u)</w:t>
            </w:r>
          </w:p>
        </w:tc>
        <w:tc>
          <w:tcPr>
            <w:tcW w:w="8480" w:type="dxa"/>
            <w:vAlign w:val="bottom"/>
          </w:tcPr>
          <w:p>
            <w:pPr>
              <w:ind w:left="60"/>
              <w:spacing w:after="0"/>
              <w:rPr>
                <w:sz w:val="20"/>
                <w:szCs w:val="20"/>
                <w:color w:val="auto"/>
              </w:rPr>
            </w:pPr>
            <w:r>
              <w:rPr>
                <w:rFonts w:ascii="Arial" w:cs="Arial" w:eastAsia="Arial" w:hAnsi="Arial"/>
                <w:sz w:val="18"/>
                <w:szCs w:val="18"/>
                <w:color w:val="auto"/>
                <w:w w:val="97"/>
              </w:rPr>
              <w:t>sanofi-aventis US LLC, Aventis Pharmaceuticals, Inc., sanofi-aventis Amerique du Nord, and the Registrant.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Amended and Restated Non-Exclusive License Agreement, dated as of July 1, 2008 by and between Cellectis, S.A.</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10.18*</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89"/>
              </w:rPr>
              <w:t>Purchase Agreement, dated as of October 18, 2011, between Regeneron Pharmaceuticals, Inc. and Goldman, Sachs</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(aa)</w:t>
            </w:r>
          </w:p>
        </w:tc>
        <w:tc>
          <w:tcPr>
            <w:tcW w:w="8480" w:type="dxa"/>
            <w:vAlign w:val="bottom"/>
          </w:tcPr>
          <w:p>
            <w:pPr>
              <w:ind w:left="60"/>
              <w:spacing w:after="0"/>
              <w:rPr>
                <w:sz w:val="20"/>
                <w:szCs w:val="20"/>
                <w:color w:val="auto"/>
              </w:rPr>
            </w:pPr>
            <w:r>
              <w:rPr>
                <w:rFonts w:ascii="Arial" w:cs="Arial" w:eastAsia="Arial" w:hAnsi="Arial"/>
                <w:sz w:val="18"/>
                <w:szCs w:val="18"/>
                <w:color w:val="auto"/>
              </w:rPr>
              <w:t>&amp; Co.</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580" w:type="dxa"/>
            <w:vAlign w:val="bottom"/>
            <w:gridSpan w:val="2"/>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8"/>
              </w:rPr>
              <w:t>– Master Terms and Conditions for Convertible Note Hedging Transactions, dated October 18, 2011, between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10.20</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(aa)</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Goldman, Sachs &amp; Co. and Regeneron Pharmaceuticals, Inc.</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Master Terms and Conditions for Base Warrants, dated October 18, 2011, between Goldman, Sachs &amp; Co. and</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(aa)</w:t>
            </w:r>
          </w:p>
        </w:tc>
        <w:tc>
          <w:tcPr>
            <w:tcW w:w="8480" w:type="dxa"/>
            <w:vAlign w:val="bottom"/>
          </w:tcPr>
          <w:p>
            <w:pPr>
              <w:ind w:left="60"/>
              <w:spacing w:after="0"/>
              <w:rPr>
                <w:sz w:val="20"/>
                <w:szCs w:val="20"/>
                <w:color w:val="auto"/>
              </w:rPr>
            </w:pPr>
            <w:r>
              <w:rPr>
                <w:rFonts w:ascii="Arial" w:cs="Arial" w:eastAsia="Arial" w:hAnsi="Arial"/>
                <w:sz w:val="18"/>
                <w:szCs w:val="18"/>
                <w:color w:val="auto"/>
              </w:rPr>
              <w:t>Regeneron Pharmaceuticals, Inc.</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580" w:type="dxa"/>
            <w:vAlign w:val="bottom"/>
            <w:gridSpan w:val="2"/>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8"/>
              </w:rPr>
              <w:t>– Master Terms and Conditions for Convertible Note Hedging Transactions, dated October 18, 2011, between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10.22</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(aa)</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Citibank, N.A. and Regeneron Pharmaceuticals, Inc.</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Master Terms and Conditions for Base Warrants, dated October 18, 2011, between Citibank, N.A. and Regeneron</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(aa)</w:t>
            </w:r>
          </w:p>
        </w:tc>
        <w:tc>
          <w:tcPr>
            <w:tcW w:w="8480" w:type="dxa"/>
            <w:vAlign w:val="bottom"/>
          </w:tcPr>
          <w:p>
            <w:pPr>
              <w:ind w:left="60"/>
              <w:spacing w:after="0"/>
              <w:rPr>
                <w:sz w:val="20"/>
                <w:szCs w:val="20"/>
                <w:color w:val="auto"/>
              </w:rPr>
            </w:pPr>
            <w:r>
              <w:rPr>
                <w:rFonts w:ascii="Arial" w:cs="Arial" w:eastAsia="Arial" w:hAnsi="Arial"/>
                <w:sz w:val="18"/>
                <w:szCs w:val="18"/>
                <w:color w:val="auto"/>
              </w:rPr>
              <w:t>Pharmaceuticals, Inc.</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Master Terms and Conditions for Convertible Note Hedging Transactions, dated October 18, 2011, between Credit</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10.24</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(aa)</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Suisse International and Regeneron Pharmaceuticals, Inc.</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Master Terms and Conditions for Base Warrants, dated October 18, 2011, between Credit Suisse International and</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(aa)</w:t>
            </w:r>
          </w:p>
        </w:tc>
        <w:tc>
          <w:tcPr>
            <w:tcW w:w="8480" w:type="dxa"/>
            <w:vAlign w:val="bottom"/>
          </w:tcPr>
          <w:p>
            <w:pPr>
              <w:ind w:left="60"/>
              <w:spacing w:after="0"/>
              <w:rPr>
                <w:sz w:val="20"/>
                <w:szCs w:val="20"/>
                <w:color w:val="auto"/>
              </w:rPr>
            </w:pPr>
            <w:r>
              <w:rPr>
                <w:rFonts w:ascii="Arial" w:cs="Arial" w:eastAsia="Arial" w:hAnsi="Arial"/>
                <w:sz w:val="18"/>
                <w:szCs w:val="18"/>
                <w:color w:val="auto"/>
              </w:rPr>
              <w:t>Regeneron Pharmaceuticals, Inc.</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580" w:type="dxa"/>
            <w:vAlign w:val="bottom"/>
            <w:gridSpan w:val="2"/>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1"/>
              </w:rPr>
              <w:t>– Master Terms and Conditions for Convertible Note Hedging Transactions, dated October 18, 2011, between Morgan</w:t>
            </w:r>
          </w:p>
        </w:tc>
      </w:tr>
      <w:tr>
        <w:trPr>
          <w:trHeight w:val="230"/>
        </w:trPr>
        <w:tc>
          <w:tcPr>
            <w:tcW w:w="360" w:type="dxa"/>
            <w:vAlign w:val="bottom"/>
          </w:tcPr>
          <w:p>
            <w:pPr>
              <w:spacing w:after="0"/>
              <w:rPr>
                <w:sz w:val="20"/>
                <w:szCs w:val="20"/>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10.26</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(aa)</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Stanley &amp; Co. International plc and Regeneron Pharmaceuticals, Inc.</w:t>
            </w:r>
          </w:p>
        </w:tc>
      </w:tr>
      <w:tr>
        <w:trPr>
          <w:trHeight w:val="27"/>
        </w:trPr>
        <w:tc>
          <w:tcPr>
            <w:tcW w:w="360" w:type="dxa"/>
            <w:vAlign w:val="bottom"/>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60"/>
          </w:cols>
          <w:pgMar w:left="240" w:top="118" w:right="599" w:bottom="1440" w:gutter="0" w:footer="0" w:header="0"/>
        </w:sectPr>
      </w:pPr>
    </w:p>
    <w:p>
      <w:pPr>
        <w:spacing w:after="0" w:line="2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060"/>
          </w:cols>
          <w:pgMar w:left="240" w:top="118" w:right="59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150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80" w:type="dxa"/>
            <w:vAlign w:val="bottom"/>
          </w:tcPr>
          <w:p>
            <w:pPr>
              <w:spacing w:after="0"/>
              <w:rPr>
                <w:sz w:val="16"/>
                <w:szCs w:val="16"/>
                <w:color w:val="auto"/>
              </w:rPr>
            </w:pPr>
          </w:p>
        </w:tc>
      </w:tr>
      <w:tr>
        <w:trPr>
          <w:trHeight w:val="614"/>
        </w:trPr>
        <w:tc>
          <w:tcPr>
            <w:tcW w:w="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9"/>
              </w:rPr>
              <w:t>Master Terms and Conditions for Base Warrants, dated October 18, 2011, between Morgan Stanley &amp; Co.</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(aa)</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International plc and Regeneron Pharmaceuticals, Inc.</w:t>
            </w:r>
          </w:p>
        </w:tc>
      </w:tr>
      <w:tr>
        <w:trPr>
          <w:trHeight w:val="27"/>
        </w:trPr>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10.28*</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(dd)</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Non-exclusive License and Partial Settlement Agreement with Genentech, Inc.</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Amended and Restated Non-Exclusive License and Settlement Agreement by and between Genentech, Inc. and</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10.28.1*</w:t>
            </w:r>
          </w:p>
        </w:tc>
        <w:tc>
          <w:tcPr>
            <w:tcW w:w="34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(ff)</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Regeneron Pharmaceuticals, Inc., effective May 17, 2013.</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 Non-Exclusive License and Settlement Agreement by and between Genentech, Inc., Regeneron Pharmaceuticals,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10.28.2*</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(ff)</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Inc., Sanofi-Aventis U.S. Inc. and Sanofi U.S. LLC, effective May 17, 2013.</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w w:val="92"/>
              </w:rPr>
              <w:t>– Agreement dated May 17, 2013 between Bayer Pharma AG, Bayer Australia Limited, Regeneron Pharmaceuticals,</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10.28.3</w:t>
            </w:r>
          </w:p>
        </w:tc>
        <w:tc>
          <w:tcPr>
            <w:tcW w:w="34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(ff)</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Inc., Regeneron UK Ltd and Genentech Inc.</w:t>
            </w:r>
          </w:p>
        </w:tc>
      </w:tr>
      <w:tr>
        <w:trPr>
          <w:trHeight w:val="27"/>
        </w:trPr>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10.29*</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Letter Agreement by and between Regeneron Pharmaceuticals, Inc. and Aventis Pharmaceuticals Inc., dated May 2,</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(ff)</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2013.</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Subsidiaries of Regeneron Pharmaceuticals, Inc.</w:t>
            </w:r>
          </w:p>
        </w:tc>
      </w:tr>
      <w:tr>
        <w:trPr>
          <w:trHeight w:val="27"/>
        </w:trPr>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Power of Attorney (included on the signature page of this Annual Report on Form 10-K).</w:t>
            </w:r>
          </w:p>
        </w:tc>
      </w:tr>
      <w:tr>
        <w:trPr>
          <w:trHeight w:val="27"/>
        </w:trPr>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3"/>
              </w:rPr>
              <w:t>Certification of Principal Executive Officer pursuant to Rule 13a-14(a) under the Securities Exchange Act of 1934.</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Certification of Principal Financial Officer pursuant to Rule 13a-14(a) under the Securities Exchange Act of 1934.</w:t>
            </w:r>
          </w:p>
        </w:tc>
      </w:tr>
      <w:tr>
        <w:trPr>
          <w:trHeight w:val="27"/>
        </w:trPr>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6"/>
              </w:rPr>
              <w:t>Certification of Principal Executive Officer and Principal Financial Officer pursuant to 18 U.S.C. Section 1350.</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Interactive Data File</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101.INS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XBRL Instance Document</w:t>
            </w:r>
          </w:p>
        </w:tc>
      </w:tr>
      <w:tr>
        <w:trPr>
          <w:trHeight w:val="243"/>
        </w:trPr>
        <w:tc>
          <w:tcPr>
            <w:tcW w:w="3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101.SCH</w:t>
            </w: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101.CAL</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3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101.DEF</w:t>
            </w: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101.LAB</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3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101.PRE</w:t>
            </w: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r>
        <w:trPr>
          <w:trHeight w:val="27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_______</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80" w:type="dxa"/>
            <w:vAlign w:val="bottom"/>
          </w:tcPr>
          <w:p>
            <w:pPr>
              <w:spacing w:after="0"/>
              <w:rPr>
                <w:sz w:val="23"/>
                <w:szCs w:val="23"/>
                <w:color w:val="auto"/>
              </w:rPr>
            </w:pPr>
          </w:p>
        </w:tc>
      </w:tr>
    </w:tbl>
    <w:p>
      <w:pPr>
        <w:spacing w:after="0" w:line="391" w:lineRule="exact"/>
        <w:rPr>
          <w:sz w:val="20"/>
          <w:szCs w:val="20"/>
          <w:color w:val="auto"/>
        </w:rPr>
      </w:pPr>
    </w:p>
    <w:p>
      <w:pPr>
        <w:ind w:left="1360" w:hanging="68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November 13, 2007.</w:t>
      </w:r>
    </w:p>
    <w:p>
      <w:pPr>
        <w:spacing w:after="0" w:line="63" w:lineRule="exact"/>
        <w:rPr>
          <w:rFonts w:ascii="Arial" w:cs="Arial" w:eastAsia="Arial" w:hAnsi="Arial"/>
          <w:sz w:val="18"/>
          <w:szCs w:val="18"/>
          <w:color w:val="auto"/>
        </w:rPr>
      </w:pPr>
    </w:p>
    <w:p>
      <w:pPr>
        <w:ind w:left="1360" w:hanging="69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16, 2005.</w:t>
      </w:r>
    </w:p>
    <w:p>
      <w:pPr>
        <w:spacing w:after="0" w:line="63" w:lineRule="exact"/>
        <w:rPr>
          <w:rFonts w:ascii="Arial" w:cs="Arial" w:eastAsia="Arial" w:hAnsi="Arial"/>
          <w:sz w:val="18"/>
          <w:szCs w:val="18"/>
          <w:color w:val="auto"/>
        </w:rPr>
      </w:pPr>
    </w:p>
    <w:p>
      <w:pPr>
        <w:ind w:left="1360" w:hanging="68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13, 2004.</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7"/>
          <w:szCs w:val="17"/>
          <w:color w:val="auto"/>
        </w:rPr>
        <w:t>Incorporated by reference from the Form 10-K for Regeneron Pharmaceuticals, Inc., for the year ended December 31, 2004, filed</w:t>
      </w:r>
    </w:p>
    <w:p>
      <w:pPr>
        <w:spacing w:after="0" w:line="34" w:lineRule="exact"/>
        <w:rPr>
          <w:rFonts w:ascii="Arial" w:cs="Arial" w:eastAsia="Arial" w:hAnsi="Arial"/>
          <w:sz w:val="18"/>
          <w:szCs w:val="18"/>
          <w:color w:val="auto"/>
        </w:rPr>
      </w:pPr>
    </w:p>
    <w:p>
      <w:pPr>
        <w:ind w:left="1360" w:hanging="69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March 11, 2005.</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2002, filed August</w:t>
      </w:r>
    </w:p>
    <w:p>
      <w:pPr>
        <w:spacing w:after="0" w:line="46" w:lineRule="exact"/>
        <w:rPr>
          <w:rFonts w:ascii="Arial" w:cs="Arial" w:eastAsia="Arial" w:hAnsi="Arial"/>
          <w:sz w:val="18"/>
          <w:szCs w:val="18"/>
          <w:color w:val="auto"/>
        </w:rPr>
      </w:pPr>
    </w:p>
    <w:p>
      <w:pPr>
        <w:ind w:left="1360" w:hanging="68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13, 2002.</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2003, filed</w:t>
      </w:r>
    </w:p>
    <w:p>
      <w:pPr>
        <w:spacing w:after="0" w:line="46" w:lineRule="exact"/>
        <w:rPr>
          <w:rFonts w:ascii="Arial" w:cs="Arial" w:eastAsia="Arial" w:hAnsi="Arial"/>
          <w:sz w:val="18"/>
          <w:szCs w:val="18"/>
          <w:color w:val="auto"/>
        </w:rPr>
      </w:pPr>
    </w:p>
    <w:p>
      <w:pPr>
        <w:ind w:left="1360" w:hanging="66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November 12, 2003.</w:t>
      </w:r>
    </w:p>
    <w:p>
      <w:pPr>
        <w:spacing w:after="0" w:line="48" w:lineRule="exact"/>
        <w:rPr>
          <w:rFonts w:ascii="Arial" w:cs="Arial" w:eastAsia="Arial" w:hAnsi="Arial"/>
          <w:sz w:val="18"/>
          <w:szCs w:val="18"/>
          <w:color w:val="auto"/>
        </w:rPr>
      </w:pPr>
    </w:p>
    <w:p>
      <w:pPr>
        <w:ind w:left="1360" w:hanging="69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January 11, 2005.</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7"/>
          <w:szCs w:val="17"/>
          <w:color w:val="auto"/>
        </w:rPr>
        <w:t>Incorporated by reference from the Form 10-K for Regeneron Pharmaceuticals, Inc., for the year ended December 31, 2005, filed</w:t>
      </w:r>
    </w:p>
    <w:p>
      <w:pPr>
        <w:spacing w:after="0" w:line="34" w:lineRule="exact"/>
        <w:rPr>
          <w:rFonts w:ascii="Arial" w:cs="Arial" w:eastAsia="Arial" w:hAnsi="Arial"/>
          <w:sz w:val="18"/>
          <w:szCs w:val="18"/>
          <w:color w:val="auto"/>
        </w:rPr>
      </w:pPr>
    </w:p>
    <w:p>
      <w:pPr>
        <w:ind w:left="1360" w:hanging="69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February 28, 2006.</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2006, filed</w:t>
      </w:r>
    </w:p>
    <w:p>
      <w:pPr>
        <w:spacing w:after="0" w:line="46" w:lineRule="exact"/>
        <w:rPr>
          <w:rFonts w:ascii="Arial" w:cs="Arial" w:eastAsia="Arial" w:hAnsi="Arial"/>
          <w:sz w:val="18"/>
          <w:szCs w:val="18"/>
          <w:color w:val="auto"/>
        </w:rPr>
      </w:pPr>
    </w:p>
    <w:p>
      <w:pPr>
        <w:ind w:left="1360" w:hanging="65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November 6, 2006.</w:t>
      </w:r>
    </w:p>
    <w:p>
      <w:pPr>
        <w:spacing w:after="0" w:line="48" w:lineRule="exact"/>
        <w:rPr>
          <w:rFonts w:ascii="Arial" w:cs="Arial" w:eastAsia="Arial" w:hAnsi="Arial"/>
          <w:sz w:val="18"/>
          <w:szCs w:val="18"/>
          <w:color w:val="auto"/>
        </w:rPr>
      </w:pPr>
    </w:p>
    <w:p>
      <w:pPr>
        <w:ind w:left="1360" w:hanging="65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22, 2006.</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March 31, 2007, filed May</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4, 2007.</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2007, filed</w:t>
      </w:r>
    </w:p>
    <w:p>
      <w:pPr>
        <w:spacing w:after="0" w:line="46" w:lineRule="exact"/>
        <w:rPr>
          <w:rFonts w:ascii="Arial" w:cs="Arial" w:eastAsia="Arial" w:hAnsi="Arial"/>
          <w:sz w:val="18"/>
          <w:szCs w:val="18"/>
          <w:color w:val="auto"/>
        </w:rPr>
      </w:pPr>
    </w:p>
    <w:p>
      <w:pPr>
        <w:ind w:left="1360" w:hanging="65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November 7, 2007.</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7"/>
          <w:szCs w:val="17"/>
          <w:color w:val="auto"/>
        </w:rPr>
        <w:t>Incorporated by reference from the Form 10-K for Regeneron Pharmaceuticals, Inc., for the year ended December 31, 2007, filed</w:t>
      </w:r>
    </w:p>
    <w:p>
      <w:pPr>
        <w:spacing w:after="0" w:line="34" w:lineRule="exact"/>
        <w:rPr>
          <w:rFonts w:ascii="Arial" w:cs="Arial" w:eastAsia="Arial" w:hAnsi="Arial"/>
          <w:sz w:val="18"/>
          <w:szCs w:val="18"/>
          <w:color w:val="auto"/>
        </w:rPr>
      </w:pPr>
    </w:p>
    <w:p>
      <w:pPr>
        <w:ind w:left="1360" w:hanging="74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February 27, 2008.</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240" w:top="118" w:right="59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Incorporated by reference from the Form 10-Q for Regeneron Pharmaceuticals, Inc., for the quarter ended June 30, 2008, filed August</w:t>
      </w:r>
    </w:p>
    <w:p>
      <w:pPr>
        <w:spacing w:after="0" w:line="46" w:lineRule="exact"/>
        <w:rPr>
          <w:sz w:val="20"/>
          <w:szCs w:val="20"/>
          <w:color w:val="auto"/>
        </w:rPr>
      </w:pPr>
    </w:p>
    <w:p>
      <w:pPr>
        <w:ind w:left="1360" w:hanging="69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1, 2008.</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2008,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November 5, 2008.</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10-K for Regeneron Pharmaceuticals, Inc., for the year ended December 31, 2008,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February 26, 2009.</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March 31, 2009, filed April</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30, 2009.</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2009, filed August</w:t>
      </w:r>
    </w:p>
    <w:p>
      <w:pPr>
        <w:spacing w:after="0" w:line="46" w:lineRule="exact"/>
        <w:rPr>
          <w:rFonts w:ascii="Arial" w:cs="Arial" w:eastAsia="Arial" w:hAnsi="Arial"/>
          <w:sz w:val="18"/>
          <w:szCs w:val="18"/>
          <w:color w:val="auto"/>
        </w:rPr>
      </w:pPr>
    </w:p>
    <w:p>
      <w:pPr>
        <w:ind w:left="1360" w:hanging="66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4, 2009.</w:t>
      </w:r>
    </w:p>
    <w:p>
      <w:pPr>
        <w:spacing w:after="0" w:line="48" w:lineRule="exact"/>
        <w:rPr>
          <w:rFonts w:ascii="Arial" w:cs="Arial" w:eastAsia="Arial" w:hAnsi="Arial"/>
          <w:sz w:val="18"/>
          <w:szCs w:val="18"/>
          <w:color w:val="auto"/>
        </w:rPr>
      </w:pPr>
    </w:p>
    <w:p>
      <w:pPr>
        <w:ind w:left="1360" w:hanging="67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8, 2009.</w:t>
      </w:r>
    </w:p>
    <w:p>
      <w:pPr>
        <w:spacing w:after="0" w:line="63" w:lineRule="exact"/>
        <w:rPr>
          <w:rFonts w:ascii="Arial" w:cs="Arial" w:eastAsia="Arial" w:hAnsi="Arial"/>
          <w:sz w:val="18"/>
          <w:szCs w:val="18"/>
          <w:color w:val="auto"/>
        </w:rPr>
      </w:pPr>
    </w:p>
    <w:p>
      <w:pPr>
        <w:ind w:left="1360" w:hanging="65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February 16, 2010.</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10-K for Regeneron Pharmaceuticals, Inc., for the year ended December 31, 2009,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February 18, 2010.</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10-K/A for Regeneron Pharmaceuticals, Inc., for the year ended December 31, 2009,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June 2, 2010.</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2010, filed July</w:t>
      </w:r>
    </w:p>
    <w:p>
      <w:pPr>
        <w:spacing w:after="0" w:line="46" w:lineRule="exact"/>
        <w:rPr>
          <w:rFonts w:ascii="Arial" w:cs="Arial" w:eastAsia="Arial" w:hAnsi="Arial"/>
          <w:sz w:val="18"/>
          <w:szCs w:val="18"/>
          <w:color w:val="auto"/>
        </w:rPr>
      </w:pPr>
    </w:p>
    <w:p>
      <w:pPr>
        <w:ind w:left="1360" w:hanging="73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28, 2010.</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2010,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October 28, 2010.</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10-K for Regeneron Pharmaceuticals, Inc., for the year ended December 31, 2010,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February 17, 2011.</w:t>
      </w:r>
    </w:p>
    <w:p>
      <w:pPr>
        <w:spacing w:after="0" w:line="48" w:lineRule="exact"/>
        <w:rPr>
          <w:rFonts w:ascii="Arial" w:cs="Arial" w:eastAsia="Arial" w:hAnsi="Arial"/>
          <w:sz w:val="18"/>
          <w:szCs w:val="18"/>
          <w:color w:val="auto"/>
        </w:rPr>
      </w:pPr>
    </w:p>
    <w:p>
      <w:pPr>
        <w:ind w:left="1360" w:hanging="687"/>
        <w:spacing w:after="0"/>
        <w:tabs>
          <w:tab w:leader="none" w:pos="1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S-8 for Regeneron Pharmaceuticals, Inc., filed June 13, 2011.</w:t>
      </w:r>
    </w:p>
    <w:p>
      <w:pPr>
        <w:spacing w:after="0" w:line="86" w:lineRule="exact"/>
        <w:rPr>
          <w:rFonts w:ascii="Arial" w:cs="Arial" w:eastAsia="Arial" w:hAnsi="Arial"/>
          <w:sz w:val="16"/>
          <w:szCs w:val="16"/>
          <w:color w:val="auto"/>
        </w:rPr>
      </w:pPr>
    </w:p>
    <w:p>
      <w:pPr>
        <w:ind w:left="1360" w:hanging="76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October 24, 2011.</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2011, filed</w:t>
      </w:r>
    </w:p>
    <w:p>
      <w:pPr>
        <w:spacing w:after="0" w:line="46" w:lineRule="exact"/>
        <w:rPr>
          <w:rFonts w:ascii="Arial" w:cs="Arial" w:eastAsia="Arial" w:hAnsi="Arial"/>
          <w:sz w:val="18"/>
          <w:szCs w:val="18"/>
          <w:color w:val="auto"/>
        </w:rPr>
      </w:pPr>
    </w:p>
    <w:p>
      <w:pPr>
        <w:ind w:left="1360" w:hanging="78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October 27, 2011.</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2012, filed July 25,</w:t>
      </w:r>
    </w:p>
    <w:p>
      <w:pPr>
        <w:spacing w:after="0" w:line="46" w:lineRule="exact"/>
        <w:rPr>
          <w:rFonts w:ascii="Arial" w:cs="Arial" w:eastAsia="Arial" w:hAnsi="Arial"/>
          <w:sz w:val="18"/>
          <w:szCs w:val="18"/>
          <w:color w:val="auto"/>
        </w:rPr>
      </w:pPr>
    </w:p>
    <w:p>
      <w:pPr>
        <w:ind w:left="1360" w:hanging="76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2012.</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10-K for Regeneron Pharmaceuticals, Inc., for the year ended December 31, 2011, filed</w:t>
      </w:r>
    </w:p>
    <w:p>
      <w:pPr>
        <w:spacing w:after="0" w:line="46" w:lineRule="exact"/>
        <w:rPr>
          <w:rFonts w:ascii="Arial" w:cs="Arial" w:eastAsia="Arial" w:hAnsi="Arial"/>
          <w:sz w:val="18"/>
          <w:szCs w:val="18"/>
          <w:color w:val="auto"/>
        </w:rPr>
      </w:pPr>
    </w:p>
    <w:p>
      <w:pPr>
        <w:ind w:left="1360" w:hanging="78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February 21, 2012.</w:t>
      </w:r>
    </w:p>
    <w:p>
      <w:pPr>
        <w:spacing w:after="0" w:line="48" w:lineRule="exact"/>
        <w:rPr>
          <w:rFonts w:ascii="Arial" w:cs="Arial" w:eastAsia="Arial" w:hAnsi="Arial"/>
          <w:sz w:val="18"/>
          <w:szCs w:val="18"/>
          <w:color w:val="auto"/>
        </w:rPr>
      </w:pPr>
    </w:p>
    <w:p>
      <w:pPr>
        <w:ind w:left="1360" w:hanging="76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September 12, 2013.</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2013, filed August</w:t>
      </w:r>
    </w:p>
    <w:p>
      <w:pPr>
        <w:spacing w:after="0" w:line="46" w:lineRule="exact"/>
        <w:rPr>
          <w:rFonts w:ascii="Arial" w:cs="Arial" w:eastAsia="Arial" w:hAnsi="Arial"/>
          <w:sz w:val="18"/>
          <w:szCs w:val="18"/>
          <w:color w:val="auto"/>
        </w:rPr>
      </w:pPr>
    </w:p>
    <w:p>
      <w:pPr>
        <w:ind w:left="1360" w:hanging="724"/>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108585</wp:posOffset>
            </wp:positionV>
            <wp:extent cx="617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99" w:lineRule="exact"/>
        <w:rPr>
          <w:sz w:val="20"/>
          <w:szCs w:val="20"/>
          <w:color w:val="auto"/>
        </w:rPr>
      </w:pPr>
    </w:p>
    <w:p>
      <w:pPr>
        <w:ind w:left="1360" w:hanging="578"/>
        <w:spacing w:after="0" w:line="277" w:lineRule="auto"/>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8" w:lineRule="exact"/>
        <w:rPr>
          <w:sz w:val="20"/>
          <w:szCs w:val="20"/>
          <w:color w:val="auto"/>
        </w:rPr>
      </w:pPr>
    </w:p>
    <w:p>
      <w:pPr>
        <w:ind w:left="1360" w:hanging="589"/>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87</w:t>
      </w:r>
    </w:p>
    <w:p>
      <w:pPr>
        <w:sectPr>
          <w:pgSz w:w="11900" w:h="16838" w:orient="portrait"/>
          <w:cols w:equalWidth="0" w:num="1">
            <w:col w:w="11040"/>
          </w:cols>
          <w:pgMar w:left="240" w:top="129" w:right="61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LEONARD S. SCHLEIFER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30" w:right="25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Leonard S. Schleifer, President and Chief Executive Officer, and Robert E. Landry, Senior Vice President, Finance and Chief Financial Officer, and each of them, his true and lawful attorney-in-fact and agent, with the full power of substitution and resubstitution, for him and in his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0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92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6"/>
        </w:trPr>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LEONARD S. SCHLEIFER</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(Principal Executive Officer)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Leonard S. Schleifer,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6"/>
        </w:trPr>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w w:val="96"/>
              </w:rPr>
              <w:t>Senior Vice President, Finance and Chief Financial</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ROBERT E. LANDRY</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Officer (Principal Financial Officer)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Robert E. Landry</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6"/>
        </w:trPr>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w w:val="97"/>
              </w:rPr>
              <w:t>Vice President, Controller, and Assistant Treasurer</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DOUGLAS S. McCORKLE</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(Principal Accounting Officer)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Douglas S. McCorkle</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6"/>
        </w:trPr>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Chief Scientific Officer, President, Regeneron</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GEORGE D. YANCOPOULOS</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Laboratories, and 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George D. Yancopoulos,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P. ROY VAGELOS</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Chairman of the Board</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P. Roy Vagelos,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CHARLES A. BAKER</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Charles A. Baker</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MICHAEL S. BROWN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Michael S. Brown,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ALFRED G. GILMAN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Alfred G. Gilman,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JOSEPH L. GOLDSTEIN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Joseph L. Goldstein,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CHRISTINE A. POON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Christine A. Poon</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ARTHUR F. RYAN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Arthur F. Ryan</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ERIC M. SHOOTER</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Eric M. Shooter,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GEORGE L. SING</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George L. Sing</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MARC TESSIER-LAVIGNE</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13, 2014</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Marc Tessier-Lavigne,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702"/>
        </w:trPr>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jc w:val="center"/>
        <w:ind w:right="-559"/>
        <w:spacing w:after="0"/>
        <w:rPr>
          <w:sz w:val="20"/>
          <w:szCs w:val="20"/>
          <w:color w:val="auto"/>
        </w:rPr>
      </w:pPr>
      <w:r>
        <w:rPr>
          <w:rFonts w:ascii="Arial" w:cs="Arial" w:eastAsia="Arial" w:hAnsi="Arial"/>
          <w:sz w:val="20"/>
          <w:szCs w:val="20"/>
          <w:b w:val="1"/>
          <w:bCs w:val="1"/>
          <w:color w:val="auto"/>
        </w:rPr>
        <w:t>REGENERON PHARMACEUTICALS, INC.</w:t>
      </w:r>
    </w:p>
    <w:p>
      <w:pPr>
        <w:spacing w:after="0" w:line="270"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INDEX TO FINANCIAL STATEMENTS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8"/>
              </w:rPr>
              <w:t>Page Numbers</w:t>
            </w:r>
          </w:p>
        </w:tc>
      </w:tr>
      <w:tr>
        <w:trPr>
          <w:trHeight w:val="48"/>
        </w:trPr>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4220" w:type="dxa"/>
            <w:vAlign w:val="bottom"/>
            <w:gridSpan w:val="4"/>
            <w:shd w:val="clear" w:color="auto" w:fill="CCEEFF"/>
          </w:tcPr>
          <w:p>
            <w:pPr>
              <w:spacing w:after="0" w:line="202" w:lineRule="exact"/>
              <w:rPr>
                <w:rFonts w:ascii="Arial" w:cs="Arial" w:eastAsia="Arial" w:hAnsi="Arial"/>
                <w:sz w:val="18"/>
                <w:szCs w:val="18"/>
                <w:color w:val="0000FF"/>
                <w:w w:val="91"/>
              </w:rPr>
            </w:pPr>
            <w:hyperlink w:anchor="page92">
              <w:r>
                <w:rPr>
                  <w:rFonts w:ascii="Arial" w:cs="Arial" w:eastAsia="Arial" w:hAnsi="Arial"/>
                  <w:sz w:val="18"/>
                  <w:szCs w:val="18"/>
                  <w:color w:val="0000FF"/>
                  <w:w w:val="91"/>
                </w:rPr>
                <w:t>Report of Independent Registered Public Accounting Firm</w:t>
              </w:r>
            </w:hyperlink>
          </w:p>
        </w:tc>
        <w:tc>
          <w:tcPr>
            <w:tcW w:w="4520" w:type="dxa"/>
            <w:vAlign w:val="bottom"/>
            <w:gridSpan w:val="5"/>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center"/>
              <w:ind w:right="240"/>
              <w:spacing w:after="0" w:line="202" w:lineRule="exact"/>
              <w:rPr>
                <w:rFonts w:ascii="Arial" w:cs="Arial" w:eastAsia="Arial" w:hAnsi="Arial"/>
                <w:sz w:val="18"/>
                <w:szCs w:val="18"/>
                <w:color w:val="0000FF"/>
                <w:w w:val="93"/>
              </w:rPr>
            </w:pPr>
            <w:hyperlink w:anchor="page92">
              <w:r>
                <w:rPr>
                  <w:rFonts w:ascii="Arial" w:cs="Arial" w:eastAsia="Arial" w:hAnsi="Arial"/>
                  <w:sz w:val="18"/>
                  <w:szCs w:val="18"/>
                  <w:color w:val="0000FF"/>
                  <w:w w:val="93"/>
                </w:rPr>
                <w:t>F- 1</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9"/>
          </w:tcPr>
          <w:p>
            <w:pPr>
              <w:spacing w:after="0" w:line="202" w:lineRule="exact"/>
              <w:rPr>
                <w:rFonts w:ascii="Arial" w:cs="Arial" w:eastAsia="Arial" w:hAnsi="Arial"/>
                <w:sz w:val="18"/>
                <w:szCs w:val="18"/>
                <w:color w:val="0000FF"/>
              </w:rPr>
            </w:pPr>
            <w:hyperlink w:anchor="page93">
              <w:r>
                <w:rPr>
                  <w:rFonts w:ascii="Arial" w:cs="Arial" w:eastAsia="Arial" w:hAnsi="Arial"/>
                  <w:sz w:val="18"/>
                  <w:szCs w:val="18"/>
                  <w:color w:val="0000FF"/>
                </w:rPr>
                <w:t>Consolidated Balance Sheets at December 31, 2013 and 2012</w:t>
              </w:r>
            </w:hyperlink>
          </w:p>
        </w:tc>
        <w:tc>
          <w:tcPr>
            <w:tcW w:w="100" w:type="dxa"/>
            <w:vAlign w:val="bottom"/>
          </w:tcPr>
          <w:p>
            <w:pPr>
              <w:spacing w:after="0"/>
              <w:rPr>
                <w:sz w:val="17"/>
                <w:szCs w:val="17"/>
                <w:color w:val="auto"/>
              </w:rPr>
            </w:pPr>
          </w:p>
        </w:tc>
        <w:tc>
          <w:tcPr>
            <w:tcW w:w="1180" w:type="dxa"/>
            <w:vAlign w:val="bottom"/>
            <w:gridSpan w:val="5"/>
          </w:tcPr>
          <w:p>
            <w:pPr>
              <w:jc w:val="center"/>
              <w:ind w:right="240"/>
              <w:spacing w:after="0" w:line="202" w:lineRule="exact"/>
              <w:rPr>
                <w:rFonts w:ascii="Arial" w:cs="Arial" w:eastAsia="Arial" w:hAnsi="Arial"/>
                <w:sz w:val="18"/>
                <w:szCs w:val="18"/>
                <w:color w:val="0000FF"/>
                <w:w w:val="93"/>
              </w:rPr>
            </w:pPr>
            <w:hyperlink w:anchor="page93">
              <w:r>
                <w:rPr>
                  <w:rFonts w:ascii="Arial" w:cs="Arial" w:eastAsia="Arial" w:hAnsi="Arial"/>
                  <w:sz w:val="18"/>
                  <w:szCs w:val="18"/>
                  <w:color w:val="0000FF"/>
                  <w:w w:val="93"/>
                </w:rPr>
                <w:t>F- 2</w:t>
              </w:r>
            </w:hyperlink>
          </w:p>
        </w:tc>
      </w:tr>
      <w:tr>
        <w:trPr>
          <w:trHeight w:val="48"/>
        </w:trPr>
        <w:tc>
          <w:tcPr>
            <w:tcW w:w="26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tcBorders>
              <w:bottom w:val="single" w:sz="8" w:color="CCEEFF"/>
            </w:tcBorders>
            <w:shd w:val="clear" w:color="auto" w:fill="CCEEFF"/>
          </w:tcPr>
          <w:p>
            <w:pPr>
              <w:spacing w:after="0"/>
              <w:rPr>
                <w:sz w:val="17"/>
                <w:szCs w:val="17"/>
                <w:color w:val="auto"/>
              </w:rPr>
            </w:pPr>
          </w:p>
        </w:tc>
        <w:tc>
          <w:tcPr>
            <w:tcW w:w="836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Consolidated Statements of Operations and Comprehensive Income (Loss) for the Years Ended December 31, 2013,</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580" w:type="dxa"/>
            <w:vAlign w:val="bottom"/>
            <w:gridSpan w:val="8"/>
            <w:shd w:val="clear" w:color="auto" w:fill="CCEEFF"/>
          </w:tcPr>
          <w:p>
            <w:pPr>
              <w:spacing w:after="0" w:line="196" w:lineRule="exact"/>
              <w:rPr>
                <w:rFonts w:ascii="Arial" w:cs="Arial" w:eastAsia="Arial" w:hAnsi="Arial"/>
                <w:sz w:val="18"/>
                <w:szCs w:val="18"/>
                <w:color w:val="0000FF"/>
              </w:rPr>
            </w:pPr>
            <w:hyperlink w:anchor="page94">
              <w:r>
                <w:rPr>
                  <w:rFonts w:ascii="Arial" w:cs="Arial" w:eastAsia="Arial" w:hAnsi="Arial"/>
                  <w:sz w:val="18"/>
                  <w:szCs w:val="18"/>
                  <w:color w:val="0000FF"/>
                </w:rPr>
                <w:t>2012, and 2011</w:t>
              </w:r>
            </w:hyperlink>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center"/>
              <w:ind w:right="240"/>
              <w:spacing w:after="0" w:line="196" w:lineRule="exact"/>
              <w:rPr>
                <w:rFonts w:ascii="Arial" w:cs="Arial" w:eastAsia="Arial" w:hAnsi="Arial"/>
                <w:sz w:val="18"/>
                <w:szCs w:val="18"/>
                <w:color w:val="0000FF"/>
                <w:w w:val="93"/>
              </w:rPr>
            </w:pPr>
            <w:hyperlink w:anchor="page94">
              <w:r>
                <w:rPr>
                  <w:rFonts w:ascii="Arial" w:cs="Arial" w:eastAsia="Arial" w:hAnsi="Arial"/>
                  <w:sz w:val="18"/>
                  <w:szCs w:val="18"/>
                  <w:color w:val="0000FF"/>
                  <w:w w:val="93"/>
                </w:rPr>
                <w:t>F- 3</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9"/>
          </w:tcPr>
          <w:p>
            <w:pPr>
              <w:spacing w:after="0" w:line="202" w:lineRule="exact"/>
              <w:rPr>
                <w:rFonts w:ascii="Arial" w:cs="Arial" w:eastAsia="Arial" w:hAnsi="Arial"/>
                <w:sz w:val="18"/>
                <w:szCs w:val="18"/>
                <w:color w:val="0000FF"/>
              </w:rPr>
            </w:pPr>
            <w:hyperlink w:anchor="page95">
              <w:r>
                <w:rPr>
                  <w:rFonts w:ascii="Arial" w:cs="Arial" w:eastAsia="Arial" w:hAnsi="Arial"/>
                  <w:sz w:val="18"/>
                  <w:szCs w:val="18"/>
                  <w:color w:val="0000FF"/>
                </w:rPr>
                <w:t>Consolidated Statements of Stockholders' Equity for the Years Ended December 31, 2013, 2012, and 2011</w:t>
              </w:r>
            </w:hyperlink>
          </w:p>
        </w:tc>
        <w:tc>
          <w:tcPr>
            <w:tcW w:w="100" w:type="dxa"/>
            <w:vAlign w:val="bottom"/>
          </w:tcPr>
          <w:p>
            <w:pPr>
              <w:spacing w:after="0"/>
              <w:rPr>
                <w:sz w:val="17"/>
                <w:szCs w:val="17"/>
                <w:color w:val="auto"/>
              </w:rPr>
            </w:pPr>
          </w:p>
        </w:tc>
        <w:tc>
          <w:tcPr>
            <w:tcW w:w="1180" w:type="dxa"/>
            <w:vAlign w:val="bottom"/>
            <w:gridSpan w:val="5"/>
          </w:tcPr>
          <w:p>
            <w:pPr>
              <w:jc w:val="center"/>
              <w:ind w:right="240"/>
              <w:spacing w:after="0" w:line="202" w:lineRule="exact"/>
              <w:rPr>
                <w:rFonts w:ascii="Arial" w:cs="Arial" w:eastAsia="Arial" w:hAnsi="Arial"/>
                <w:sz w:val="18"/>
                <w:szCs w:val="18"/>
                <w:color w:val="0000FF"/>
                <w:w w:val="93"/>
              </w:rPr>
            </w:pPr>
            <w:hyperlink w:anchor="page95">
              <w:r>
                <w:rPr>
                  <w:rFonts w:ascii="Arial" w:cs="Arial" w:eastAsia="Arial" w:hAnsi="Arial"/>
                  <w:sz w:val="18"/>
                  <w:szCs w:val="18"/>
                  <w:color w:val="0000FF"/>
                  <w:w w:val="93"/>
                </w:rPr>
                <w:t>F- 4</w:t>
              </w:r>
            </w:hyperlink>
          </w:p>
        </w:tc>
      </w:tr>
      <w:tr>
        <w:trPr>
          <w:trHeight w:val="48"/>
        </w:trPr>
        <w:tc>
          <w:tcPr>
            <w:tcW w:w="26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7000" w:type="dxa"/>
            <w:vAlign w:val="bottom"/>
            <w:gridSpan w:val="6"/>
            <w:shd w:val="clear" w:color="auto" w:fill="CCEEFF"/>
          </w:tcPr>
          <w:p>
            <w:pPr>
              <w:spacing w:after="0" w:line="202" w:lineRule="exact"/>
              <w:rPr>
                <w:rFonts w:ascii="Arial" w:cs="Arial" w:eastAsia="Arial" w:hAnsi="Arial"/>
                <w:sz w:val="18"/>
                <w:szCs w:val="18"/>
                <w:color w:val="0000FF"/>
                <w:w w:val="89"/>
              </w:rPr>
            </w:pPr>
            <w:hyperlink w:anchor="page97">
              <w:r>
                <w:rPr>
                  <w:rFonts w:ascii="Arial" w:cs="Arial" w:eastAsia="Arial" w:hAnsi="Arial"/>
                  <w:sz w:val="18"/>
                  <w:szCs w:val="18"/>
                  <w:color w:val="0000FF"/>
                  <w:w w:val="89"/>
                </w:rPr>
                <w:t>Consolidated Statements of Cash Flows for the Years Ended December 31, 2013, 2012, and 2011</w:t>
              </w:r>
            </w:hyperlink>
          </w:p>
        </w:tc>
        <w:tc>
          <w:tcPr>
            <w:tcW w:w="1740" w:type="dxa"/>
            <w:vAlign w:val="bottom"/>
            <w:gridSpan w:val="3"/>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center"/>
              <w:ind w:right="240"/>
              <w:spacing w:after="0" w:line="202" w:lineRule="exact"/>
              <w:rPr>
                <w:rFonts w:ascii="Arial" w:cs="Arial" w:eastAsia="Arial" w:hAnsi="Arial"/>
                <w:sz w:val="18"/>
                <w:szCs w:val="18"/>
                <w:color w:val="0000FF"/>
                <w:w w:val="93"/>
              </w:rPr>
            </w:pPr>
            <w:hyperlink w:anchor="page97">
              <w:r>
                <w:rPr>
                  <w:rFonts w:ascii="Arial" w:cs="Arial" w:eastAsia="Arial" w:hAnsi="Arial"/>
                  <w:sz w:val="18"/>
                  <w:szCs w:val="18"/>
                  <w:color w:val="0000FF"/>
                  <w:w w:val="93"/>
                </w:rPr>
                <w:t>F- 6</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5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7000" w:type="dxa"/>
            <w:vAlign w:val="bottom"/>
            <w:gridSpan w:val="6"/>
          </w:tcPr>
          <w:p>
            <w:pPr>
              <w:spacing w:after="0" w:line="202" w:lineRule="exact"/>
              <w:rPr>
                <w:rFonts w:ascii="Arial" w:cs="Arial" w:eastAsia="Arial" w:hAnsi="Arial"/>
                <w:sz w:val="18"/>
                <w:szCs w:val="18"/>
                <w:color w:val="0000FF"/>
              </w:rPr>
            </w:pPr>
            <w:hyperlink w:anchor="page98">
              <w:r>
                <w:rPr>
                  <w:rFonts w:ascii="Arial" w:cs="Arial" w:eastAsia="Arial" w:hAnsi="Arial"/>
                  <w:sz w:val="18"/>
                  <w:szCs w:val="18"/>
                  <w:color w:val="0000FF"/>
                </w:rPr>
                <w:t>Notes to Consolidated Financial Statements</w:t>
              </w:r>
            </w:hyperlink>
          </w:p>
        </w:tc>
        <w:tc>
          <w:tcPr>
            <w:tcW w:w="17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5"/>
          </w:tcPr>
          <w:p>
            <w:pPr>
              <w:jc w:val="center"/>
              <w:ind w:right="260"/>
              <w:spacing w:after="0" w:line="202" w:lineRule="exact"/>
              <w:rPr>
                <w:rFonts w:ascii="Arial" w:cs="Arial" w:eastAsia="Arial" w:hAnsi="Arial"/>
                <w:sz w:val="18"/>
                <w:szCs w:val="18"/>
                <w:color w:val="0000FF"/>
                <w:w w:val="92"/>
              </w:rPr>
            </w:pPr>
            <w:hyperlink w:anchor="page98">
              <w:r>
                <w:rPr>
                  <w:rFonts w:ascii="Arial" w:cs="Arial" w:eastAsia="Arial" w:hAnsi="Arial"/>
                  <w:sz w:val="18"/>
                  <w:szCs w:val="18"/>
                  <w:color w:val="0000FF"/>
                  <w:w w:val="92"/>
                </w:rPr>
                <w:t xml:space="preserve">F- 7 </w:t>
              </w:r>
            </w:hyperlink>
            <w:r>
              <w:rPr>
                <w:rFonts w:ascii="Arial" w:cs="Arial" w:eastAsia="Arial" w:hAnsi="Arial"/>
                <w:sz w:val="18"/>
                <w:szCs w:val="18"/>
                <w:color w:val="0000FF"/>
                <w:w w:val="92"/>
              </w:rPr>
              <w:t xml:space="preserve">to </w:t>
            </w:r>
            <w:hyperlink w:anchor="page132">
              <w:r>
                <w:rPr>
                  <w:rFonts w:ascii="Arial" w:cs="Arial" w:eastAsia="Arial" w:hAnsi="Arial"/>
                  <w:sz w:val="18"/>
                  <w:szCs w:val="18"/>
                  <w:color w:val="0000FF"/>
                  <w:w w:val="92"/>
                </w:rPr>
                <w:t>F- 40</w:t>
              </w:r>
            </w:hyperlink>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860"/>
          </w:cols>
          <w:pgMar w:left="240" w:top="130" w:right="79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income (loss), stockholders' equity and cash flows present fairly, in all material respects, the financial position of Regeneron Pharmaceuticals, Inc. and its subsidiaries at December 31, 2013 and December 31,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(1992) </w:t>
      </w:r>
      <w:r>
        <w:rPr>
          <w:rFonts w:ascii="Arial" w:cs="Arial" w:eastAsia="Arial" w:hAnsi="Arial"/>
          <w:sz w:val="16"/>
          <w:szCs w:val="16"/>
          <w:color w:val="auto"/>
        </w:rPr>
        <w:t>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1420"/>
          </w:cols>
          <w:pgMar w:left="240" w:top="130"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i w:val="1"/>
                <w:iCs w:val="1"/>
                <w:color w:val="auto"/>
                <w:w w:val="86"/>
              </w:rPr>
              <w:t>(In thousands, except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vMerge w:val="restart"/>
          </w:tcPr>
          <w:p>
            <w:pPr>
              <w:jc w:val="center"/>
              <w:ind w:left="205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535,608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230,276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77,819</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Accounts receivable - trade, net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787,071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593,207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99,913</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70,354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28,638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148,134</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96,141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28,025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1,796,934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1,206,012</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 and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389,891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271,230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526,983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379,940</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231,878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192,022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2,951,013</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vMerge w:val="restart"/>
          </w:tcPr>
          <w:p>
            <w:pPr>
              <w:jc w:val="center"/>
              <w:ind w:left="205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250,896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111,345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from Sanofi,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17,022</w:t>
            </w:r>
          </w:p>
        </w:tc>
        <w:tc>
          <w:tcPr>
            <w:tcW w:w="0" w:type="dxa"/>
            <w:vAlign w:val="bottom"/>
          </w:tcPr>
          <w:p>
            <w:pPr>
              <w:spacing w:after="0"/>
              <w:rPr>
                <w:sz w:val="1"/>
                <w:szCs w:val="1"/>
                <w:color w:val="auto"/>
              </w:rPr>
            </w:pP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Deferred revenue - other, current portion</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34,185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33,809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Facility lease obligations,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298,835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163,550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Deferred revenue from Sanofi</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76,520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 other</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131,822</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Facility lease obligations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184,258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159,436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296,518</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11,330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998,937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835,105</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2,020,481 at December 31, 2013 and 2,069,187 at December 31, 2012</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9"/>
              </w:rPr>
              <w:t>Common Stock, $.001 par value; 160,000,000 shares authorized; shares issued and outstanding -</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97,666,814 at December 31, 2013 and 95,223,525 at December 31, 2012</w:t>
            </w: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2,045,857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1,763,508</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(92,692)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(517,054)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1,952,076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1,245,385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2,951,013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8" w:right="259" w:bottom="852"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F- 2</w:t>
      </w:r>
    </w:p>
    <w:p>
      <w:pPr>
        <w:sectPr>
          <w:pgSz w:w="11900" w:h="16838" w:orient="portrait"/>
          <w:cols w:equalWidth="0" w:num="1">
            <w:col w:w="11400"/>
          </w:cols>
          <w:pgMar w:left="240" w:top="118" w:right="259" w:bottom="852"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60" w:type="dxa"/>
            <w:vAlign w:val="bottom"/>
            <w:gridSpan w:val="4"/>
          </w:tcPr>
          <w:p>
            <w:pPr>
              <w:jc w:val="center"/>
              <w:ind w:left="205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660" w:type="dxa"/>
            <w:vAlign w:val="bottom"/>
            <w:gridSpan w:val="7"/>
          </w:tcPr>
          <w:p>
            <w:pPr>
              <w:jc w:val="center"/>
              <w:ind w:left="350"/>
              <w:spacing w:after="0"/>
              <w:rPr>
                <w:sz w:val="20"/>
                <w:szCs w:val="20"/>
                <w:color w:val="auto"/>
              </w:rPr>
            </w:pPr>
            <w:r>
              <w:rPr>
                <w:rFonts w:ascii="Arial" w:cs="Arial" w:eastAsia="Arial" w:hAnsi="Arial"/>
                <w:sz w:val="18"/>
                <w:szCs w:val="18"/>
                <w:b w:val="1"/>
                <w:bCs w:val="1"/>
                <w:color w:val="auto"/>
                <w:w w:val="99"/>
              </w:rPr>
              <w:t>CONSOLIDATED STATEMENTS OF OPERATIONS AND COMPREHENSIVE INCOME (LOSS)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60" w:type="dxa"/>
            <w:vAlign w:val="bottom"/>
            <w:gridSpan w:val="4"/>
          </w:tcPr>
          <w:p>
            <w:pPr>
              <w:jc w:val="center"/>
              <w:ind w:left="20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1,425,839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44,686</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430,111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423,814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326,609</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43,072</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Technology licensing and other revenue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28,506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31,457</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2,104,745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1,378,477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445,824</w:t>
            </w:r>
          </w:p>
        </w:tc>
      </w:tr>
      <w:tr>
        <w:trPr>
          <w:trHeight w:val="277"/>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859,947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625,554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529,506</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329,415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117,261</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118,048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83,927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4,216</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collaboration manufacturing</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1,344,717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920,764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650,983</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760,028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457,713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(205,159)</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(expense)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(21,282)</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(17,733)</w:t>
            </w:r>
          </w:p>
        </w:tc>
      </w:tr>
      <w:tr>
        <w:trPr>
          <w:trHeight w:val="277"/>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713,360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(222,892)</w:t>
            </w:r>
          </w:p>
        </w:tc>
      </w:tr>
      <w:tr>
        <w:trPr>
          <w:trHeight w:val="284"/>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335,848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r>
      <w:tr>
        <w:trPr>
          <w:trHeight w:val="277"/>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424,362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750,269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(221,760)</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income (loss) per share -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97,917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94,685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90,610</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111,290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90,610</w:t>
            </w:r>
          </w:p>
        </w:tc>
      </w:tr>
      <w:tr>
        <w:trPr>
          <w:trHeight w:val="284"/>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424,362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750,269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(221,760)</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Unrealized (loss) gain on marketable securities, net of tax</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629</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424,340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750,965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(221,131)</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w:t>
      </w:r>
    </w:p>
    <w:p>
      <w:pPr>
        <w:sectPr>
          <w:pgSz w:w="11900" w:h="16838" w:orient="portrait"/>
          <w:cols w:equalWidth="0" w:num="1">
            <w:col w:w="11420"/>
          </w:cols>
          <w:pgMar w:left="240" w:top="118" w:right="2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34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42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rPr>
              <w:t>REGENERON PHARMACEUTICALS, INC.</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60" w:type="dxa"/>
            <w:vAlign w:val="bottom"/>
            <w:gridSpan w:val="14"/>
          </w:tcPr>
          <w:p>
            <w:pPr>
              <w:jc w:val="center"/>
              <w:ind w:left="135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80" w:type="dxa"/>
            <w:vAlign w:val="bottom"/>
            <w:gridSpan w:val="13"/>
          </w:tcPr>
          <w:p>
            <w:pPr>
              <w:jc w:val="center"/>
              <w:ind w:right="840"/>
              <w:spacing w:after="0"/>
              <w:rPr>
                <w:sz w:val="20"/>
                <w:szCs w:val="20"/>
                <w:color w:val="auto"/>
              </w:rPr>
            </w:pPr>
            <w:r>
              <w:rPr>
                <w:rFonts w:ascii="Arial" w:cs="Arial" w:eastAsia="Arial" w:hAnsi="Arial"/>
                <w:sz w:val="18"/>
                <w:szCs w:val="18"/>
                <w:b w:val="1"/>
                <w:bCs w:val="1"/>
                <w:color w:val="auto"/>
                <w:w w:val="89"/>
              </w:rPr>
              <w:t>For the Years Ended December 31, 2013, 2012, and 2011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8"/>
                <w:szCs w:val="18"/>
                <w:b w:val="1"/>
                <w:bCs w:val="1"/>
                <w:i w:val="1"/>
                <w:iCs w:val="1"/>
                <w:color w:val="auto"/>
                <w:w w:val="88"/>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60" w:type="dxa"/>
            <w:vAlign w:val="bottom"/>
            <w:gridSpan w:val="5"/>
            <w:vMerge w:val="restart"/>
          </w:tcPr>
          <w:p>
            <w:pPr>
              <w:ind w:left="220"/>
              <w:spacing w:after="0"/>
              <w:rPr>
                <w:sz w:val="20"/>
                <w:szCs w:val="20"/>
                <w:color w:val="auto"/>
              </w:rPr>
            </w:pPr>
            <w:r>
              <w:rPr>
                <w:rFonts w:ascii="Arial" w:cs="Arial" w:eastAsia="Arial" w:hAnsi="Arial"/>
                <w:sz w:val="18"/>
                <w:szCs w:val="18"/>
                <w:b w:val="1"/>
                <w:bCs w:val="1"/>
                <w:color w:val="auto"/>
              </w:rPr>
              <w:t>Class A Stock</w:t>
            </w:r>
          </w:p>
        </w:tc>
        <w:tc>
          <w:tcPr>
            <w:tcW w:w="15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Paid-in</w:t>
            </w:r>
          </w:p>
        </w:tc>
        <w:tc>
          <w:tcPr>
            <w:tcW w:w="11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36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Deficit</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 (Loss)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2010</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87,238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87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$1,575,780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(1,045,563)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527,815</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w w:val="98"/>
              </w:rPr>
              <w:t>Issuance of Common Stock in connection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with exercise of stock options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43,611</w:t>
            </w: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43,615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Common Stock tendered upon exercise of</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options in connection with</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employee tax obligations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w w:val="98"/>
              </w:rPr>
              <w:t>Issuance of Common Stock in connection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with Company 401(k) Savings Plan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contribution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restricted Common Stock</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under Long-Term Incentive Plan</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w w:val="98"/>
              </w:rPr>
              <w:t>Restricted Common Stock tendered upon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w w:val="97"/>
              </w:rPr>
              <w:t>vesting in connection with employee tax</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obligations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Conversion of Class A Stock to Common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Stock-based compensation charges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56,609</w:t>
            </w:r>
          </w:p>
        </w:tc>
        <w:tc>
          <w:tcPr>
            <w:tcW w:w="1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56,609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component of convertible senior</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notes, net of issuance costs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120,623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120,623</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Purchase of convertible note hedges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(117,500)</w:t>
            </w:r>
          </w:p>
        </w:tc>
        <w:tc>
          <w:tcPr>
            <w:tcW w:w="1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(117,500)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warrants in connection with</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issuance of convertible senior notes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93,800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(221,760)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(221,760)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2011</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90,692</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1,754,824</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(1,267,323)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485,732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Issuance of Common Stock in connection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with exercise of stock options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5,086</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67,169</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67,174</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w w:val="96"/>
              </w:rPr>
              <w:t>Common Stock tendered upon exercise of</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stock options in connection with</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employee tax obligations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(112,833)</w:t>
            </w: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(112,834)</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Issuance of Common Stock in connection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Company 401(k) Savings Plan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Issuance of restricted Common Stock</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under Long-Term Incentive Plan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Restricted Common Stock tendered upon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vesting in connection with employee tax</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(50,466)</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w w:val="99"/>
              </w:rPr>
              <w:t>Conversion of Class A Stock to Common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Stock</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charges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94,181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94,181</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8"/>
                <w:szCs w:val="18"/>
                <w:color w:val="auto"/>
                <w:w w:val="93"/>
              </w:rPr>
              <w:t>F- 4</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17" w:right="35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14"/>
        </w:trPr>
        <w:tc>
          <w:tcPr>
            <w:tcW w:w="120" w:type="dxa"/>
            <w:vAlign w:val="bottom"/>
          </w:tcPr>
          <w:p>
            <w:pPr>
              <w:spacing w:after="0"/>
              <w:rPr>
                <w:sz w:val="24"/>
                <w:szCs w:val="24"/>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Excess tax benefit from stock-based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compensation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4,308</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750,269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750,269</w:t>
            </w:r>
          </w:p>
        </w:tc>
      </w:tr>
      <w:tr>
        <w:trPr>
          <w:trHeight w:val="243"/>
        </w:trPr>
        <w:tc>
          <w:tcPr>
            <w:tcW w:w="120" w:type="dxa"/>
            <w:vAlign w:val="bottom"/>
          </w:tcPr>
          <w:p>
            <w:pPr>
              <w:spacing w:after="0"/>
              <w:rPr>
                <w:sz w:val="21"/>
                <w:szCs w:val="21"/>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95,223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1,763,508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(517,054)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1,245,385</w:t>
            </w:r>
          </w:p>
        </w:tc>
      </w:tr>
      <w:tr>
        <w:trPr>
          <w:trHeight w:val="229"/>
        </w:trPr>
        <w:tc>
          <w:tcPr>
            <w:tcW w:w="120" w:type="dxa"/>
            <w:vAlign w:val="bottom"/>
          </w:tcPr>
          <w:p>
            <w:pPr>
              <w:spacing w:after="0"/>
              <w:rPr>
                <w:sz w:val="19"/>
                <w:szCs w:val="19"/>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Issuance of Common Stock in connection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with exercise of stock options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54,759</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54,762</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120" w:type="dxa"/>
            <w:vAlign w:val="bottom"/>
          </w:tcPr>
          <w:p>
            <w:pPr>
              <w:spacing w:after="0"/>
              <w:rPr>
                <w:sz w:val="19"/>
                <w:szCs w:val="19"/>
                <w:color w:val="auto"/>
              </w:rPr>
            </w:pP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Common Stock tendered upon exercise of</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stock options in connection with employee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120" w:type="dxa"/>
            <w:vAlign w:val="bottom"/>
          </w:tcPr>
          <w:p>
            <w:pPr>
              <w:spacing w:after="0"/>
              <w:rPr>
                <w:sz w:val="20"/>
                <w:szCs w:val="20"/>
                <w:color w:val="auto"/>
              </w:rPr>
            </w:pPr>
          </w:p>
        </w:tc>
        <w:tc>
          <w:tcPr>
            <w:tcW w:w="3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tax obligations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(179,422)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(179,423)</w:t>
            </w:r>
          </w:p>
        </w:tc>
      </w:tr>
      <w:tr>
        <w:trPr>
          <w:trHeight w:val="229"/>
        </w:trPr>
        <w:tc>
          <w:tcPr>
            <w:tcW w:w="120" w:type="dxa"/>
            <w:vAlign w:val="bottom"/>
          </w:tcPr>
          <w:p>
            <w:pPr>
              <w:spacing w:after="0"/>
              <w:rPr>
                <w:sz w:val="19"/>
                <w:szCs w:val="19"/>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Issuance of Common Stock in connection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with Company 401(k) Savings Plan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contribution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5,718</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120" w:type="dxa"/>
            <w:vAlign w:val="bottom"/>
          </w:tcPr>
          <w:p>
            <w:pPr>
              <w:spacing w:after="0"/>
              <w:rPr>
                <w:sz w:val="19"/>
                <w:szCs w:val="19"/>
                <w:color w:val="auto"/>
              </w:rPr>
            </w:pP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Issuance of restricted Common Stock under</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120" w:type="dxa"/>
            <w:vAlign w:val="bottom"/>
          </w:tcPr>
          <w:p>
            <w:pPr>
              <w:spacing w:after="0"/>
              <w:rPr>
                <w:sz w:val="20"/>
                <w:szCs w:val="20"/>
                <w:color w:val="auto"/>
              </w:rPr>
            </w:pPr>
          </w:p>
        </w:tc>
        <w:tc>
          <w:tcPr>
            <w:tcW w:w="3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Long-Term Incentive Plan</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Restricted Common Stock tendered upon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vesting in connection with employee tax</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obligations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(15,664)</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(15,664)</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120" w:type="dxa"/>
            <w:vAlign w:val="bottom"/>
          </w:tcPr>
          <w:p>
            <w:pPr>
              <w:spacing w:after="0"/>
              <w:rPr>
                <w:sz w:val="19"/>
                <w:szCs w:val="19"/>
                <w:color w:val="auto"/>
              </w:rPr>
            </w:pP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Conversion of Class A Stock to Common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120" w:type="dxa"/>
            <w:vAlign w:val="bottom"/>
          </w:tcPr>
          <w:p>
            <w:pPr>
              <w:spacing w:after="0"/>
              <w:rPr>
                <w:sz w:val="20"/>
                <w:szCs w:val="20"/>
                <w:color w:val="auto"/>
              </w:rPr>
            </w:pP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Stock-based compensation charges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200,101</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200,101</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120" w:type="dxa"/>
            <w:vAlign w:val="bottom"/>
          </w:tcPr>
          <w:p>
            <w:pPr>
              <w:spacing w:after="0"/>
              <w:rPr>
                <w:sz w:val="19"/>
                <w:szCs w:val="19"/>
                <w:color w:val="auto"/>
              </w:rPr>
            </w:pP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 from stock-based</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120" w:type="dxa"/>
            <w:vAlign w:val="bottom"/>
          </w:tcPr>
          <w:p>
            <w:pPr>
              <w:spacing w:after="0"/>
              <w:rPr>
                <w:sz w:val="20"/>
                <w:szCs w:val="20"/>
                <w:color w:val="auto"/>
              </w:rPr>
            </w:pP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216,857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216,857</w:t>
            </w:r>
          </w:p>
        </w:tc>
      </w:tr>
      <w:tr>
        <w:trPr>
          <w:trHeight w:val="243"/>
        </w:trPr>
        <w:tc>
          <w:tcPr>
            <w:tcW w:w="120" w:type="dxa"/>
            <w:vAlign w:val="bottom"/>
          </w:tcPr>
          <w:p>
            <w:pPr>
              <w:spacing w:after="0"/>
              <w:rPr>
                <w:sz w:val="21"/>
                <w:szCs w:val="21"/>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424,362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424,362</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120" w:type="dxa"/>
            <w:vAlign w:val="bottom"/>
          </w:tcPr>
          <w:p>
            <w:pPr>
              <w:spacing w:after="0"/>
              <w:rPr>
                <w:sz w:val="22"/>
                <w:szCs w:val="22"/>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97,667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$2,045,857</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(92,692)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1,952,076</w:t>
            </w: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34290</wp:posOffset>
            </wp:positionV>
            <wp:extent cx="70923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231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51435</wp:posOffset>
            </wp:positionV>
            <wp:extent cx="70923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300"/>
          </w:cols>
          <w:pgMar w:left="240" w:top="118"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67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600" w:type="dxa"/>
            <w:vAlign w:val="bottom"/>
          </w:tcPr>
          <w:p>
            <w:pPr>
              <w:jc w:val="center"/>
              <w:ind w:left="341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424,362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750,269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(221,760)</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Adjustments to reconcile net income (loss) to net cash provided by (used in) operating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6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31,082</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56,094</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Non-cash interest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5,101</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6,714</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in Sanofi and trade 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(198,658)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(21,118)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(14,094)</w:t>
            </w: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6,612</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 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(40,329)</w:t>
            </w: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136,684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50,016</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(824,884)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80,078</w:t>
            </w:r>
          </w:p>
        </w:tc>
      </w:tr>
      <w:tr>
        <w:trPr>
          <w:trHeight w:val="237"/>
        </w:trPr>
        <w:tc>
          <w:tcPr>
            <w:tcW w:w="6760" w:type="dxa"/>
            <w:vAlign w:val="bottom"/>
            <w:gridSpan w:val="2"/>
          </w:tcPr>
          <w:p>
            <w:pPr>
              <w:ind w:left="60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583,648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(141,682)</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(240,391)</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378,146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426,356</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restricted cash and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(57,217)</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128,471</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facility and capital lease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(1,667)</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43,587</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w w:val="97"/>
              </w:rPr>
              <w:t>Payments in connection with Common Stock tendered for employee tax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(25,078)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w w:val="95"/>
              </w:rPr>
              <w:t>Proceeds in connection with issuance of convertible notes, net of debt issuance costs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391,107</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in connection with issuance of warrants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93,800</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Payment in connection with purchase of convertible note hedges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(117,500)</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384,249</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371,038</w:t>
            </w:r>
          </w:p>
        </w:tc>
      </w:tr>
      <w:tr>
        <w:trPr>
          <w:trHeight w:val="284"/>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112,572</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535,608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230,276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483,610</w:t>
            </w: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23,842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14,725</w:t>
            </w:r>
          </w:p>
        </w:tc>
      </w:tr>
      <w:tr>
        <w:trPr>
          <w:trHeight w:val="270"/>
        </w:trPr>
        <w:tc>
          <w:tcPr>
            <w:tcW w:w="1160" w:type="dxa"/>
            <w:vAlign w:val="bottom"/>
          </w:tcPr>
          <w:p>
            <w:pPr>
              <w:spacing w:after="0"/>
              <w:rPr>
                <w:sz w:val="23"/>
                <w:szCs w:val="23"/>
                <w:color w:val="auto"/>
              </w:rPr>
            </w:pPr>
          </w:p>
        </w:tc>
        <w:tc>
          <w:tcPr>
            <w:tcW w:w="7540" w:type="dxa"/>
            <w:vAlign w:val="bottom"/>
            <w:gridSpan w:val="5"/>
          </w:tcPr>
          <w:p>
            <w:pPr>
              <w:jc w:val="center"/>
              <w:ind w:left="1470"/>
              <w:spacing w:after="0"/>
              <w:rPr>
                <w:sz w:val="20"/>
                <w:szCs w:val="20"/>
                <w:color w:val="auto"/>
              </w:rPr>
            </w:pPr>
            <w:r>
              <w:rPr>
                <w:rFonts w:ascii="Arial" w:cs="Arial" w:eastAsia="Arial" w:hAnsi="Arial"/>
                <w:sz w:val="18"/>
                <w:szCs w:val="18"/>
                <w:b w:val="1"/>
                <w:bCs w:val="1"/>
                <w:color w:val="auto"/>
                <w:w w:val="89"/>
              </w:rPr>
              <w:t>The accompanying notes are an integral part of the financial statements</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F- 6</w:t>
      </w:r>
    </w:p>
    <w:p>
      <w:pPr>
        <w:sectPr>
          <w:pgSz w:w="11900" w:h="16838" w:orient="portrait"/>
          <w:cols w:equalWidth="0" w:num="1">
            <w:col w:w="11420"/>
          </w:cols>
          <w:pgMar w:left="240" w:top="118" w:right="239" w:bottom="1440" w:gutter="0" w:footer="0" w:header="0"/>
          <w:type w:val="continuous"/>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Regeneron Pharmaceuticals, Inc. and its subsidiaries (collectively, the “Company” or “Regeneron”) is a fully integrated biopharmaceutical company that discovers, invents, develops, manufactures, and commercializes medicines for the treatment of serious medical conditions. The Company currently has three marketed products as follows:</w:t>
      </w:r>
    </w:p>
    <w:p>
      <w:pPr>
        <w:spacing w:after="0" w:line="235" w:lineRule="exact"/>
        <w:rPr>
          <w:sz w:val="20"/>
          <w:szCs w:val="20"/>
          <w:color w:val="auto"/>
        </w:rPr>
      </w:pPr>
    </w:p>
    <w:p>
      <w:pPr>
        <w:jc w:val="both"/>
        <w:ind w:left="660" w:hanging="328"/>
        <w:spacing w:after="0" w:line="24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(aflibercept) Injection, known in the scientific literature as VEGF Trap-Eye, which is available in the United States, European Union ("EU"), Japan and certain other countries outside the United States for the treatment of neovascular age-related macular degeneration ("wet AMD") and macular edema following central retinal vein occlusion ("CRVO"). The Company commenced sales of EYLEA for the treatment of wet AMD in November 2011 and for the treatment of macular edema following CRVO in September 2012, following receipt of regulatory approvals in the United States. Bayer HealthCare LLC commenced sales of EYLEA for the treatment of wet AMD in the fourth quarter of 2012 following receipt of regulatory approvals outside the United States, and for the treatment of macular edema secondary to CRVO in the fourth quarter of 2013 following receipt of regulatory approvals in the EU and Japan. Regeneron is collaborating with Bayer HealthCare on the global development and commercialization of EYLEA outside the United States. Regeneron maintains exclusive rights to EYLEA in the United States and is entitled to all profits from any such sales.</w:t>
      </w:r>
    </w:p>
    <w:p>
      <w:pPr>
        <w:spacing w:after="0" w:line="7" w:lineRule="exact"/>
        <w:rPr>
          <w:rFonts w:ascii="Arial" w:cs="Arial" w:eastAsia="Arial" w:hAnsi="Arial"/>
          <w:sz w:val="18"/>
          <w:szCs w:val="18"/>
          <w:color w:val="auto"/>
        </w:rPr>
      </w:pPr>
    </w:p>
    <w:p>
      <w:pPr>
        <w:jc w:val="both"/>
        <w:ind w:left="660" w:hanging="328"/>
        <w:spacing w:after="0" w:line="24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(ziv-aflibercept) Injection for Intravenous Infusion, known in the scientific literature as VEGF Trap, which is available in the United States, European Union, and certain other countries for treatment, in combination with 5-fluorouracil, leucovorin, irinotecan ("FOLFIRI"), for patients with metastatic colorectal cancer ("mCRC") that is resistant to or has progressed following an oxaliplatin-containing regimen. Marketing approval for ZALTRAP was received from the U.S. Food and Drug Administration ("FDA") in August 2012, and from the European Commission in February 2013. Regeneron and Sanofi globally collaborate on the development and commercialization of ZALTRAP.</w:t>
      </w:r>
    </w:p>
    <w:p>
      <w:pPr>
        <w:jc w:val="both"/>
        <w:ind w:left="660" w:right="20" w:hanging="328"/>
        <w:spacing w:after="0" w:line="233"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ARCALYST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and older. Marketing approval for ARCALYST for the treatment of CAPS was received from the FDA in 2008.</w:t>
      </w:r>
    </w:p>
    <w:p>
      <w:pPr>
        <w:spacing w:after="0" w:line="25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Company's facilities are primarily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has an investment policy that includes guidelines on acceptable investment securities, minimum credit quality, maturity parameters, and concentration and diversification. The Company invests its excess cash primarily in marketable securities issued by investment grade institutions. The Company considers its marketable securities to be “available-for-sale,” as defined by authoritative guidance issued by the Financial Accounting Standards Board (“FASB”). These assets are carried at fair value and the unrealized gains and losses are included in accumulated other comprehensive income (loss). If a decline in the value of a marketable security in the Company's investment portfolio is deemed to be other-than-temporary, the Company writes down the security to its current fair value and recognizes a loss as a charge against income. As described under “Use of Estimates” below, the Company reviews its portfolio of marketable securities, using both quantitative and qualitative factors, to determine if declines in fair value below cost are other-than-temporary.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130"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Company's trade accounts receivable represents amounts due from its distributors and specialty pharmacies (collectively, the Company's “customers”), which are all located in the United States. The Company monitors the financial performance and credit worthiness of its large customers so that it can properly assess and respond to changes in their credit profile. The Company provides reserves against trade receivables for estimated losses that may result from a customer's inability to pay. Amounts determined to be uncollectible are written-off against the reserve.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Inventories are stated at the lower of cost or estimated realizable value. The Company determines the cost of inventory using the first-in, first-out, or FIFO, method. 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cost of goods sold to write down such unmarketable inventory to its estimated realizable value.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Property, plant, and equipment are stated at cost, net of accumulated depreciation.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375" w:lineRule="exact"/>
        <w:rPr>
          <w:sz w:val="20"/>
          <w:szCs w:val="20"/>
          <w:color w:val="auto"/>
        </w:rPr>
      </w:pPr>
    </w:p>
    <w:tbl>
      <w:tblPr>
        <w:tblLayout w:type="fixed"/>
        <w:tblInd w:w="3420" w:type="dxa"/>
        <w:tblCellMar>
          <w:top w:w="0" w:type="dxa"/>
          <w:left w:w="0" w:type="dxa"/>
          <w:bottom w:w="0" w:type="dxa"/>
          <w:right w:w="0" w:type="dxa"/>
        </w:tblCellMar>
      </w:tblPr>
      <w:tr>
        <w:trPr>
          <w:trHeight w:val="27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10-35 years</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Laboratory and other equipment</w:t>
            </w:r>
          </w:p>
        </w:tc>
        <w:tc>
          <w:tcPr>
            <w:tcW w:w="1760" w:type="dxa"/>
            <w:vAlign w:val="bottom"/>
          </w:tcPr>
          <w:p>
            <w:pPr>
              <w:ind w:left="520"/>
              <w:spacing w:after="0"/>
              <w:rPr>
                <w:sz w:val="20"/>
                <w:szCs w:val="20"/>
                <w:color w:val="auto"/>
              </w:rPr>
            </w:pPr>
            <w:r>
              <w:rPr>
                <w:rFonts w:ascii="Arial" w:cs="Arial" w:eastAsia="Arial" w:hAnsi="Arial"/>
                <w:sz w:val="18"/>
                <w:szCs w:val="18"/>
                <w:color w:val="auto"/>
              </w:rPr>
              <w:t>3-10 years</w:t>
            </w:r>
          </w:p>
        </w:tc>
      </w:tr>
      <w:tr>
        <w:trPr>
          <w:trHeight w:val="27"/>
        </w:trPr>
        <w:tc>
          <w:tcPr>
            <w:tcW w:w="28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 years</w:t>
            </w:r>
          </w:p>
        </w:tc>
      </w:tr>
      <w:tr>
        <w:trPr>
          <w:trHeight w:val="27"/>
        </w:trPr>
        <w:tc>
          <w:tcPr>
            <w:tcW w:w="28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Leasehold improvements are amortized over the shorter of the estimated useful lives of the assets or the lease term, without assuming renewal features, if any, are exercised. Costs of construction of certain long-lived assets include capitalized interest which is amortized over the estimated useful life of the related asset.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certain of its operating lease agreements, the Company may receive rent holidays and other incentives. The Company recognizes operating lease costs on a straight-line basis without regard to deferred payment terms, such as rent holidays, that defer the commencement date of required payments. In addition, lease incentives that the Company receives are treated as a reduction of rent expense over the term of the related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Product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the Company has no further performance obligations, and returns can be reasonably estimated. The Company's written contracts with its customers stipulate product is shipped freight on board destination (FOB destination). The Company records revenue from product sales upon delivery to its customers.</w:t>
      </w:r>
    </w:p>
    <w:p>
      <w:pPr>
        <w:sectPr>
          <w:pgSz w:w="11900" w:h="16838" w:orient="portrait"/>
          <w:cols w:equalWidth="0" w:num="1">
            <w:col w:w="11420"/>
          </w:cols>
          <w:pgMar w:left="240" w:top="13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F- 8</w:t>
      </w:r>
    </w:p>
    <w:p>
      <w:pPr>
        <w:sectPr>
          <w:pgSz w:w="11900" w:h="16838" w:orient="portrait"/>
          <w:cols w:equalWidth="0" w:num="1">
            <w:col w:w="11420"/>
          </w:cols>
          <w:pgMar w:left="240" w:top="130" w:right="239" w:bottom="1440" w:gutter="0" w:footer="0" w:header="0"/>
          <w:type w:val="continuous"/>
        </w:sectPr>
      </w:pPr>
    </w:p>
    <w:bookmarkStart w:id="100" w:name="page101"/>
    <w:bookmarkEnd w:id="1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EYLEA in the United States to three distributors and several specialty pharmacies. The Company sells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(including Medicaid), distribution-related fees, prompt pay discounts, product returns, and other sales-related deductions. Calculating these provisions involves estimates and judgments. The Company reviews its estimates of rebates, chargebacks, and other applicable provisions each period and records any necessary adjustments in the current period's net product sales.</w:t>
      </w:r>
    </w:p>
    <w:p>
      <w:pPr>
        <w:spacing w:after="0" w:line="24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i w:val="1"/>
          <w:iCs w:val="1"/>
          <w:color w:val="auto"/>
        </w:rPr>
        <w:t xml:space="preserve">Government Rebates and Chargebacks: </w:t>
      </w:r>
      <w:r>
        <w:rPr>
          <w:rFonts w:ascii="Arial" w:cs="Arial" w:eastAsia="Arial" w:hAnsi="Arial"/>
          <w:sz w:val="16"/>
          <w:szCs w:val="16"/>
          <w:color w:val="auto"/>
        </w:rPr>
        <w:t>The Company estimates reductions to product sales for Medicaid and Veterans' Administration ("VA")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and for certain other qualifying federal and state government programs. Based upon the Company's contracts with government agencies, statutorily-defined discounts applicable to government-funded programs, historical experience, and estimated payer mix, the Company estimates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to VA, Public Health Services ("PHS"), and other institutions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ultimate selling price to the qualified healthcare providers. The Company's reserve for this discounted pricing is based on expected sales to qualified healthcare providers and the chargebacks that customers have already claimed.</w:t>
      </w:r>
    </w:p>
    <w:p>
      <w:pPr>
        <w:spacing w:after="0" w:line="22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distribution and related fees due to its customers based on gross sales.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Prompt Pay Discounts: </w:t>
      </w:r>
      <w:r>
        <w:rPr>
          <w:rFonts w:ascii="Arial" w:cs="Arial" w:eastAsia="Arial" w:hAnsi="Arial"/>
          <w:sz w:val="18"/>
          <w:szCs w:val="18"/>
          <w:color w:val="auto"/>
        </w:rPr>
        <w:t>No prompt pay discounts are currently offered to the Company's customers on sales of EYLEA. In connection with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ARCALYST, the Company offers discounts to its customers for prompt payments. The Company estimates these discounts based on customer terms and historical experience, and expects that its customers will always take advantage of this discount. Therefore, the Company accrues 100% of the prompt pay discount that is based on the gross amount of each ARCALYST invoice, at the time of sale.</w:t>
      </w:r>
    </w:p>
    <w:p>
      <w:pPr>
        <w:spacing w:after="0" w:line="24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Consistent with industry practice, the Company offers its customers a limited right to return product purchased directly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which is principally based upon the product's expiration date. The Company will accept returns for three months prior to and up to six months after the product expiration date. Product returned is generally not resalable given the nature of the Company's products and method of administration. The Company develops estimates for product returns based upon historical experience, inventory levels in the distribution channel, shelf life of the product, and other relevant factors. The Company monitors product supply levels in the distribution channel, as well as sales by its customers of EYLEA to healthcare providers and ARCALYST to patients using product-specific data provided by its customers. If necessary, the Company's estimates of product returns may be adjusted in the future based on actual returns experience, known or expected changes in the marketplace, or other factors.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130" w:right="23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b. Collaboration Revenue</w:t>
      </w:r>
    </w:p>
    <w:p>
      <w:pPr>
        <w:spacing w:after="0" w:line="27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The Company earns collaboration revenue in connection with collaboration agreements to develop and commercialize product candidates and utilize the Company's technology platforms. The terms of these agreements typically include non-refundable up-front licensing payments, research progress (milestone) payments, payments for development activities, and sharing of profits or losses arising from the commercialization of products. Non-refundable up-front license payments, where continuing involvement is required of the Company, are deferred and recognized over the related performance period. The Company estimates its performance period based on the specific terms of each agreement, and adjusts the performance periods, if appropriate, based on the applicable facts and circumstances. Although the Company did not enter into, or materially modify, any collaboration arrangements with multiple-deliverables during the years ended December 31, 2013, 2012, and 2011, any future arrangements with multiple deliverables will be divided into separate units of accounting if the deliverables in the arrangement meet certain criteria, including whether the delivered item or items has value to the collaborator on a standalone basis.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enhancement in value to the related development product candidate, (ii) the Company's performance and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or the Company may be reimbursed for all or a significant portion of the costs of the Company's research and development activities.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collaboration revenue proportionately as the Company recognizes its expenses. If the collaboration contains a cost-sharing arrangement in which both the Company and its collaborator perform development work and share costs, in periods when the Company's collaborator incurs development expenses that benefit the collaboration and Regeneron, the Company also recognizes, as additional research and development expense, the portion of the collaborator's development expenses that the Company is obligated to reimburse.</w:t>
      </w:r>
    </w:p>
    <w:p>
      <w:pPr>
        <w:spacing w:after="0" w:line="2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may also be obligated to use commercially reasonable efforts to supply commercial bulk product to its collaborators. In such cases, the Company is reimbursed for its manufacturing costs as commercial product is shipped to its collaborators; however, recognition of such cost reimbursements as collaboration revenue is deferred until the product is sold by the Company's collaborators to third-party customers, at which time the Company's risk of inventory loss no longer exists. In addition, at that time, the related manufacturing costs for the sold product, which had been capitalized into inventory, are recognized by the Company.</w:t>
      </w:r>
    </w:p>
    <w:p>
      <w:pPr>
        <w:spacing w:after="0" w:line="24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Under the Company's collaboration agreements, product sales and cost of sales are recorded by the Company's collaborators. The Company shares in any profits or losses arising from the commercialization of collaboration products. The Company records its share of the profits or losses, representing net product sales less cost of goods sold and shared commercialization and other expenses, from commercialization of such products as collaboration revenue.</w:t>
      </w:r>
    </w:p>
    <w:p>
      <w:pPr>
        <w:spacing w:after="0" w:line="20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connection with non-refundable licensing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estimated performance periods may change if development programs encounter delays, or the Company and its collaborators decide to expand or contract the clinical plans for a drug candidate in various disease indications. Also, if a collaborator terminates an agreement in accordance with the terms of the agreement, the Company would recognize as revenue any unamortized remainder of an up-front or previously deferred payment at the time of the termination.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130" w:right="23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 Licensing</w:t>
      </w:r>
    </w:p>
    <w:p>
      <w:pPr>
        <w:spacing w:after="0" w:line="19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The Company enters into non-exclusive license agreements with third parties that allow the third party to utilize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its internal research programs. The terms of these agreements include up-front payments and entitle the Company to receive royalties on any future sales of products discovered by the third party using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Up-front payments under these agreements, where continuing involvement is required of the Company, are deferred and recognized ratably over their respective license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income, which is included in investment income, is recognized as earned.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All costs associated with research and development are expensed.</w:t>
      </w:r>
    </w:p>
    <w:p>
      <w:pPr>
        <w:spacing w:after="0" w:line="21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(“CROs”),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1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Clinical activities which relate principally to clinical sites and other administrative functions to manage the Company's clinical trials are performed primarily by CROs. CROs typically perform most of the start-up activities for the Company's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the Company's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23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For clinical study sites, where payments are made periodically on a per-patient basis to the institutions performing the clinical study, the Company accrues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20"/>
          </w:cols>
          <w:pgMar w:left="240" w:top="130" w:right="2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recognizes stock-based compensation expense for grants of stock option awards and restricted stock under the Company's Long-Term Incentive Plan to employees and non-employee members of the Company's board of directors based on the grant-date fair value of those awards. The grant-date fair value of an award is generally recognized as compensation expense over the award's requisite service period. In addition, the Company has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the Company estimates that these options will vest, which is based on whether the Company considers the options' performance conditions to be probable of attainment. The Company's estimates of the number of performance-based options that will vest will be revised, if necessary, in subsequent periods.</w:t>
      </w:r>
    </w:p>
    <w:p>
      <w:pPr>
        <w:spacing w:after="0" w:line="2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uses the Black-Scholes model to compute the estimated fair value of stock option awards. Using this model, fair value is calculated based on assumptions with respect to (i) expected volatility of the Company's Common Stock price, (ii) the periods of time over which employees and members of the board of directors are expected to hold their options prior to exercise (expected lives), (iii) expected dividend yield on the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2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Uncertain tax positions are accounted for in accordance with FASB authoritative guidance, which prescribes a comprehensive model for the manner in which a company should recognize, measure, present, and disclose in its financial statements all material uncertain tax positions that the company has taken or expects to take on a tax return. Those positions, for which management's assessment is that there is more than a 50% probability of sustaining the position upon challenge by a taxing authority based upon its technical merits, are subjected to certain measurement criteria.</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policy is to recognize interest and penalties related to income tax matters in income tax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Data</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Basic net income (loss) per share is computed by dividing net income (loss) by the weighted average number of shares of Common Stock and Class A Stock outstanding. Net income (loss) per share is presented on a combined basis, inclusive of Common Stock and Class A Stock outstanding, as each class of stock has equivalent economic rights. Basic net income (loss) per share excludes restricted stock awards until vested. Diluted net income per share includes the potential dilutive effect of common stock equivalents as if such securities were converted or exercised during the period, when the effect is dilutive. Common stock equivalents include: (i) outstanding stock options and restricted stock awards under the Company's Long-Term Incentive Plans, which are included under the “treasury stock method” when dilutive, (ii) Common Stock to be issued upon the assumed conversion of the Company's convertible senior notes, which are included under the “if-converted method” when dilutive, and (iii) Common Stock to be issued upon the exercise of outstanding warrants, which are included under the “treasury stock method” when dilutive. The computation of diluted net loss per share for the year ended December 31, 2011 does not include common stock equivalents, since such inclusion would be antidilutive.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consolidated financial statements include the accounts of Regeneron and its wholly-owned subsidiaries. Intercompany balances and transactions are eliminated in consolidation.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20"/>
          </w:cols>
          <w:pgMar w:left="240" w:top="130" w:right="23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Financial instruments which potentially expose the Company to concentrations of credit risk consist of cash, cash equivalents, certain financial instruments, and accounts receivable. A large portion of the Company's cash is held by a few major financial institutions. In accordance with the Company's policies, the Company mandates asset diversification and monitors exposure with its counterparties.</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Accounts receivable from product sales of EYLEA and ARCALYST are due from three distributors and several specialty pharmacies, who are the Company's customers. The Company has contractual payment terms with each of its customers, and the Company monitors its customers' financial performance and credit worthiness so that it can properly assess and respond to any changes in their credit profile. In addition, the Company may insure a portion of its accounts receivables within its overall risk management practices. As of December 31, 2013 and 2012, there were no reserves against trade accounts receivable. In addition, during the years ended December 31, 2013, 2012, and 2011, the Company did not recognize any charges for write-offs of trade accounts receivable.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 provisions for product rebates, chargebacks, distribution-related fees, and returns; periods over which payments, including non-refundable up-front, license, and milestone payments, are recognized as revenue in connection with collaboration and other agreements; periods over which certain clinical trial costs are recognized; the Company's estimate of cumulative EYLEA sales through May 7, 2016 to determine a blended royalty rate as a basis for recognized royalty expense related to the Company's non-exclusive license with Genentech (see Note 13b); fair value of stock options; useful lives of property, plant, and equipment; inventory that may expire prior to expected sale or has a cost basis in excess of its estimated realizable value; capitalization of inventory costs associated with the Company's products prior to regulatory approval; deferred tax asset valuation allowance; and the assessment of uncertain tax positions.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 respect to the Company's collaborations with Sanofi and Bayer HealthCare:</w:t>
      </w:r>
    </w:p>
    <w:p>
      <w:pPr>
        <w:spacing w:after="0" w:line="144"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Included in Sanofi collaboration revenue is the Company's share of profits or losses from commercialization of ZALTRAP,</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which is provided by Sanofi, and includes an estimate of the Company's share of profits or losses for the most recent fiscal quarter.</w:t>
      </w:r>
    </w:p>
    <w:p>
      <w:pPr>
        <w:spacing w:after="0" w:line="9" w:lineRule="exact"/>
        <w:rPr>
          <w:rFonts w:ascii="Arial" w:cs="Arial" w:eastAsia="Arial" w:hAnsi="Arial"/>
          <w:sz w:val="18"/>
          <w:szCs w:val="18"/>
          <w:color w:val="auto"/>
        </w:rPr>
      </w:pPr>
    </w:p>
    <w:p>
      <w:pPr>
        <w:ind w:left="500" w:right="20" w:hanging="330"/>
        <w:spacing w:after="0" w:line="281"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Included in Bayer HealthCare collaboration revenue is the Company's share of profits or losses from commercialization of EYLEA outside the United States, which is provided by Bayer HealthCare, and includes an estimate of the Company's share of profits or losses for the most recent fiscal quarter.</w:t>
      </w:r>
    </w:p>
    <w:p>
      <w:pPr>
        <w:spacing w:after="0" w:line="1" w:lineRule="exact"/>
        <w:rPr>
          <w:rFonts w:ascii="Arial" w:cs="Arial" w:eastAsia="Arial" w:hAnsi="Arial"/>
          <w:sz w:val="16"/>
          <w:szCs w:val="16"/>
          <w:color w:val="auto"/>
        </w:rPr>
      </w:pPr>
    </w:p>
    <w:p>
      <w:pPr>
        <w:jc w:val="both"/>
        <w:ind w:left="500" w:hanging="330"/>
        <w:spacing w:after="0" w:line="255"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Included in research and development expenses is the Company's share of development expenses incurred by its collaboration partners, Bayer HealthCare and Sanofi, including the Company's share of Bayer HealthCare and Sanofi estimated development expenses for the most recent fiscal quarter.</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These estimates for the most recent period are adjusted, if necessary, in the subsequent period to reflect actual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Product Sales</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November 2011, the Company received marketing approval from the FDA for EYLEA (aflibercept) Injection for the treatment of wet AMD. In September 2012, the Company received marketing approval from the FDA for EYLEA for the treatment of macular edema following CRVO. EYLEA net product sales totaled $1,408.7 million, $837.9 million, and $24.8 million for the years ended December 31, 2013, 2012, and 2011, respectively.</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February 2008, the Company received marketing approval from the FDA for ARCALYST Injection for Subcutaneous Use for the treatment of CAPS.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ARCALYST net product sales totaled $17.1 million, $20.2 million, and $19.9 million for the years ended December 31, 2013, 2012, and 2011,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20"/>
          </w:cols>
          <w:pgMar w:left="240" w:top="130" w:right="2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For the years ended December 31, 2013, 2012, and 2011, the Company recorded 76%, 78%, and 42%, respectively, of its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Revenue from product sales are recorded net of applicable provisions for rebates and chargebacks under governmental programs (including Medicaid), distribution-related fees, prompt pay discounts, product returns, and other sales-related deductions. The following table summarizes the provisions, and credits/payments, for these sales-related deductions for the years ended December 31, 2013 and 2012; such amounts were not significant during the year ended December 31, 2011.</w:t>
      </w:r>
    </w:p>
    <w:p>
      <w:pPr>
        <w:spacing w:after="0" w:line="26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w:t>
            </w:r>
          </w:p>
        </w:tc>
      </w:tr>
      <w:tr>
        <w:trPr>
          <w:trHeight w:val="243"/>
        </w:trPr>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62,251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(45,643)</w:t>
            </w: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18,826</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89,875</w:t>
            </w:r>
          </w:p>
        </w:tc>
      </w:tr>
      <w:tr>
        <w:trPr>
          <w:trHeight w:val="243"/>
        </w:trPr>
        <w:tc>
          <w:tcPr>
            <w:tcW w:w="334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(84,100)</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24,601</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Collaboration and Contract Research Agreements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has entered into various agreements related to its activities to develop and commercialize product candidates and utilize its technology platforms. Significant agreements of this kind are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described in Note 14, Sanofi owned a total of 15,816,953 shares of the Company's Common Stock as of December 31, 2013, principally purchased in connection with the companies' ZALTRAP and antibody collaborations described below. Total Company-incurred expenses associated with these Sanofi collaborations, which include reimbursable and non-reimbursable amounts and an allocable portion of general and administrative costs, were $600.1 million in 2013, $405.8 million in 2012, and $318.2 million in 2011.</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ZALTRAP (aflibercept)</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September 2003, the Company entered into a collaboration agreement (the “ZALTRAP Agreement”) with Aventis Pharmaceuticals Inc. (predecessor to Sanofi U.S.), to jointly develop and commercialize ZALTRAP. In connection with this agreement, Sanofi made a non-refundable up-front payment of $80.0 million and purchased 2,799,552 newly issued unregistered shares of the Company's Common Stock for $45.0 million. In January 2005, the Company and Sanofi amended the ZALTRAP Agreement to exclude intraocular delivery of aflibercept to the eye (“Intraocular Delivery”) from joint development under the agreement, and product rights to aflibercept in Intraocular Delivery reverted to Regeneron. In connection with this amendment, Sanofi made a $25.0 million non-refundable payment to Regeneron (the “Intraocular Termination Payment”). In December 2005, the Company and Sanofi amended the ZALTRAP Agreement to expand the territory in which the companies are collaborating on the development of ZALTRAP to include Japan. In connection with this amendment, Sanofi agreed to make a $25.0 million non-refundable up-front payment to the Company, which was received in January 2006.</w:t>
      </w:r>
    </w:p>
    <w:p>
      <w:pPr>
        <w:spacing w:after="0" w:line="22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Sanofi commenced sales of ZALTRAP Injection for Intravenous Infusion, in combination with FOLFIRI, for patients with mCRC that is resistant to or has progressed following an oxaliplatin-containing regimen, in the United States in the third quarter of 2012 and in certain European and other countries in the first quarter of 2013. The Company earned, and recorded as revenue in 2012, a $50.0 million substantive milestone payment from Sanofi upon FDA approval of ZALTRAP. The Company currently manufactures clinical and commercial supplies of ZALTRAP.</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the ZALTRAP Agreement, as amended, the Company and Sanofi share co-promotion rights and profits and losses on sales of ZALTRAP outside of Japan, for disease indications included in the companies' collaboration. The Company is entitled to</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F- 14</w:t>
      </w:r>
    </w:p>
    <w:p>
      <w:pPr>
        <w:sectPr>
          <w:pgSz w:w="11900" w:h="16838" w:orient="portrait"/>
          <w:cols w:equalWidth="0" w:num="1">
            <w:col w:w="11420"/>
          </w:cols>
          <w:pgMar w:left="240" w:top="130" w:right="239" w:bottom="1440" w:gutter="0" w:footer="0" w:header="0"/>
          <w:type w:val="continuous"/>
        </w:sectPr>
      </w:pPr>
    </w:p>
    <w:bookmarkStart w:id="106" w:name="page107"/>
    <w:bookmarkEnd w:id="10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receive a percentage of approximately 35% on annual sales of ZALTRAP in Japan, subject to certain potential adjustments. According to the terms of the ZALTRAP Agreement, the Company may also receive up to $350 million in additional substantive milestone payments upon receipt of specified marketing approvals.</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ZALTRAP Agreement, as amended, agreed upon worldwide development expenses incurred by both companies during the term of the agreement are funded by Sanofi. If the collaboration becomes profitable, Regeneron will be obligated to reimburse Sanofi for 50% of these development expenses, in accordance with a formula based on the amount of development expenses and Regeneron's share of the collaboration profits, or at a faster rate at Regeneron's option. In connection with the January 2005 amendment to the ZALTRAP Agreement, the Intraocular Termination Payment of $25.0 million will also be subject to 50% reimbursement by Regeneron to Sanofi if the collaboration becomes profitable. In particular, the Company's total contingent reimbursement obligation to Sanofi for ZALTRAP was approximately $446 million as of December 31, 2013. Regeneron has the option to conduct additional pre-Phase III studies at its own expense.</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Sanofi has the right to terminate the agreement without cause with at least twelve months advance notice. Upon termination of the agreement for any reason, Regeneron's obligation to reimburse Sanofi for 50% of ZALTRAP development expenses will terminate, and the Company will retain all rights to ZALTRAP.</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accordance with the Company's revenue recognition policy described in Note 2, the up-front payments received in September 2003 and January 2006, of $80.0 million and $25.0 million, respectively, and reimbursement of Regeneron-incurred development expenses, are being recognized as collaboration revenue over the related performance period.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related to ZALTRAP that the Company earned from Sanofi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 - ZALTRAP</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2011</w:t>
            </w:r>
          </w:p>
        </w:tc>
      </w:tr>
      <w:tr>
        <w:trPr>
          <w:trHeight w:val="48"/>
        </w:trPr>
        <w:tc>
          <w:tcPr>
            <w:tcW w:w="20" w:type="dxa"/>
            <w:vAlign w:val="bottom"/>
            <w:tcBorders>
              <w:bottom w:val="single" w:sz="8" w:color="CCEEFF"/>
            </w:tcBorders>
          </w:tcPr>
          <w:p>
            <w:pPr>
              <w:spacing w:after="0"/>
              <w:rPr>
                <w:sz w:val="4"/>
                <w:szCs w:val="4"/>
                <w:color w:val="auto"/>
              </w:rPr>
            </w:pPr>
          </w:p>
        </w:tc>
        <w:tc>
          <w:tcPr>
            <w:tcW w:w="3300" w:type="dxa"/>
            <w:vAlign w:val="bottom"/>
            <w:tcBorders>
              <w:top w:val="single" w:sz="8" w:color="auto"/>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commercialization of ZALTRAP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r>
      <w:tr>
        <w:trPr>
          <w:trHeight w:val="243"/>
        </w:trPr>
        <w:tc>
          <w:tcPr>
            <w:tcW w:w="2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Substantive milestone payment</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Reimbursement of Regeneron research and development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16,871</w:t>
            </w:r>
          </w:p>
        </w:tc>
      </w:tr>
      <w:tr>
        <w:trPr>
          <w:trHeight w:val="243"/>
        </w:trPr>
        <w:tc>
          <w:tcPr>
            <w:tcW w:w="2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9,932</w:t>
            </w:r>
          </w:p>
        </w:tc>
      </w:tr>
      <w:tr>
        <w:trPr>
          <w:trHeight w:val="27"/>
        </w:trPr>
        <w:tc>
          <w:tcPr>
            <w:tcW w:w="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ZALTRAP Agreement, (i) at December 31, 2013 and 2012, there was a net payable of $1.4 million and $2.7 million, respectively, to Sanofi, and (ii) deferred revenue at December 31, 2013 and 2012 was $18.2 million and $14.8 million, respectively.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November 2007, the Company entered into a global, strategic collaboration (the “Antibody Collaboration”) with Sanofi to discover, develop, and commercialize fully human monoclonal antibodies</w:t>
      </w:r>
      <w:r>
        <w:rPr>
          <w:rFonts w:ascii="Arial" w:cs="Arial" w:eastAsia="Arial" w:hAnsi="Arial"/>
          <w:sz w:val="18"/>
          <w:szCs w:val="18"/>
          <w:i w:val="1"/>
          <w:iCs w:val="1"/>
          <w:color w:val="auto"/>
        </w:rPr>
        <w:t>.</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Antibody Collaboration is governed by a Discovery and Preclinical Development Agreement (the “Discovery Agreement”) and a License and Collaboration Agreement (the “License Agreement”). In connection with the execution of the Discovery Agreement in 2007, the Company received a non-refundable up-front payment of $85.0 million from Sanofi. In addition, under the Discovery Agreement, Sanofi is funding the Company's research to identify and validate potential drug discovery targets and develop fully human monoclonal antibodies against these targets. In November 2009, the Company and Sanofi amended these collaboration agreements to expand and extend the Antibody Collaboration. Pursuant to the Discovery Agreement, as amended, Sanofi agreed to fund up to $160 million per year of the Company's research activities in 2010 through 2017. Sanofi has an option to extend certain antibody development and preclinical activities relating to selected program targets for up to an additional three years after 2017.</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each drug candidate identified under the Discovery Agreement, Sanofi has the option to license rights to the candidate under the License Agreement. If it elects to do so, Sanofi will co-develop the drug candidate with the Company through product approval. Under certain defined circumstances, upon exercising its option to license rights to particular candidates, Sanofi must make a $10 million substantive milestone payment to the Company. If Sanofi does not exercise its option to license rights to a</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F- 15</w:t>
      </w:r>
    </w:p>
    <w:p>
      <w:pPr>
        <w:sectPr>
          <w:pgSz w:w="11900" w:h="16838" w:orient="portrait"/>
          <w:cols w:equalWidth="0" w:num="1">
            <w:col w:w="11420"/>
          </w:cols>
          <w:pgMar w:left="240" w:top="130" w:right="239" w:bottom="1440" w:gutter="0" w:footer="0" w:header="0"/>
          <w:type w:val="continuous"/>
        </w:sectPr>
      </w:pPr>
    </w:p>
    <w:bookmarkStart w:id="107" w:name="page108"/>
    <w:bookmarkEnd w:id="10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particular drug candidate under the License Agreement, the Company retains the exclusive right to develop and commercialize such drug candidate, and Sanofi will receive a royalty on sales, if any. The Company and Sanofi are currently co-developing seven therapeutic antibodies under the License Agreement.</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Under the License Agreement, agreed 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(“Shared Phase 3 Trial Costs”) are shared 80% by Sanofi and 20% by Regeneron. Consequently, commencing in 2013, the Company recognized as additional research and development expense $17.6 million of antibody development expenses that the Company was obligated to reimburse to Sanofi related to alirocumab and sarilumab. If the Antibody Collaboration becomes profitable, Regeneron will be obligated to reimburse Sanofi for 50% of worldwide development expenses that were fully funded by Sanofi and 30% of Shared Phase 3 Trial Costs, in accordance with a defined formula based on the amounts of these expenses and the Company's share of collaboration profits from commercialization of collaboration products. However, the Company is not required to apply more than 10% of its share of the profits from the antibody collaboration in any calendar quarter to reimburse Sanofi for these development costs. In particular, the Company's contingent reimbursement obligation to Sanofi was approximately $879 million as of December 31, 2013.</w:t>
      </w:r>
    </w:p>
    <w:p>
      <w:pPr>
        <w:spacing w:after="0" w:line="22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Sanofi will lead commercialization activities for products developed under the License Agreement, subject to the Company's right to co-promote such products. The parties will equally share profits and losses from sales within the United States. The parties will share profits outside the United States on a sliding scale based on sales starting at 65% (Sanofi)/35% (Regeneron) and ending at 55% (Sanofi)/45% (Regeneron), and losses outside the United States at 55% (Sanofi)/45% (Regeneron). In addition to profit sharing, the Company is entitled to receive up to $250 million in sales milestone payments, with milestone payments commencing only if and after aggregate annual sales outside the United States exceed $1.0 billion on a rolling 12-month basis.</w:t>
      </w:r>
    </w:p>
    <w:p>
      <w:pPr>
        <w:spacing w:after="0" w:line="21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is obligated to use commercially reasonable efforts to supply clinical requirements of each drug candidate under the Antibody Collaboration until commercial supplies of that drug candidate are being manufactured. In connection with the November 2009 amendment of the collaboration's Discovery Agreement, Sanofi funded $30.0 million of agreed-upon costs the Company incurred to expand its manufacturing capacity at its Rensselaer, New York facilities.</w:t>
      </w:r>
    </w:p>
    <w:p>
      <w:pPr>
        <w:spacing w:after="0" w:line="24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With respect to each antibody product which enters development under the License Agreement, Sanofi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 within thirty days of the date that Sanofi enters joint development of such antibody product under the License Agreement. Each of the Discovery Agreement and the License Agreement contains other termination provisions, including for material breach by the other party. Prior to December 31, 2017, Sanofi has the right to terminate the amended Discovery Agreement without cause with at least three months advance written notice; however, except under defined circumstances, Sanofi would be obligated to immediately pay to the Company the full amount of unpaid research funding during the remaining term of the research agreement through December 31, 2017. Upon termination of the collaboration in its entirety, the Company's obligation to reimburse Sanofi for development costs out of any future profits from collaboration products will terminate. Upon expiration of the amended Discovery Agreement, Sanofi has an option to license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for agreed-upon consideration.</w:t>
      </w:r>
    </w:p>
    <w:p>
      <w:pPr>
        <w:spacing w:after="0" w:line="232"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8"/>
          <w:szCs w:val="18"/>
          <w:color w:val="auto"/>
        </w:rPr>
        <w:t xml:space="preserve">In connection with the Antibody Collaboration, in August 2008, the Company entered into a separate agreement with Sanofi, which extended through December 2012, to use Regeneron's proprietary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 platform to supply Sanofi with genetically modified mammalian models of gene function and disease (the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 provided for minimum annual order quantities for the term of the agreement, for which the Company expects to receive payments totaling $21.5 million.</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accordance with the Company's revenue recognition policy described in Note 2, the (i) $85.0 million up-front payment received in December 2007, (ii) reimbursement of Regeneron-incurred expenses under the Discovery and License Agreements, (iii) $21.5 million of aggregate minimum payments under the </w:t>
      </w:r>
      <w:r>
        <w:rPr>
          <w:rFonts w:ascii="Arial" w:cs="Arial" w:eastAsia="Arial" w:hAnsi="Arial"/>
          <w:sz w:val="18"/>
          <w:szCs w:val="18"/>
          <w:i w:val="1"/>
          <w:iCs w:val="1"/>
          <w:color w:val="auto"/>
        </w:rPr>
        <w:t xml:space="preserve">VelociGene </w:t>
      </w:r>
      <w:r>
        <w:rPr>
          <w:rFonts w:ascii="Arial" w:cs="Arial" w:eastAsia="Arial" w:hAnsi="Arial"/>
          <w:sz w:val="18"/>
          <w:szCs w:val="18"/>
          <w:color w:val="auto"/>
        </w:rPr>
        <w:t>Agreement, and (iv) reimbursement of agreed-upon costs to expand the Company's manufacturing capacity are being recognized as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over the related performance period.</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May 2013, the Company acquired from Sanofi full exclusive rights to two families of novel antibodies invented at Regeneron and previously included in the Company's antibody collaboration with Sanofi. The Company acquired full rights to antibodies targeting the PDGF (platelet derived growth factor) family of receptors and ligands in ophthalmology and all other indications and to antibodies targeting the Ang2 (angiopoietin-2) receptor and ligand in ophthalmology. At the time of acquisition, antibodies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F- 16</w:t>
      </w:r>
    </w:p>
    <w:p>
      <w:pPr>
        <w:sectPr>
          <w:pgSz w:w="11900" w:h="16838" w:orient="portrait"/>
          <w:cols w:equalWidth="0" w:num="1">
            <w:col w:w="11420"/>
          </w:cols>
          <w:pgMar w:left="240" w:top="130" w:right="23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PDGF receptor and Ang2 were in preclinical development for use in ophthalmology. With respect to PDGF antibodies, the Company made a $10.0 million up-front payment to Sanofi in the second quarter of 2013 and a $5.0 million development milestone payment in January 2014, and is obligated to pay up to $35 million in additional potential development milestones and royalties on any future sales. With respect to Ang2 antibodies in ophthalmology, the Company also made a $10.0 million up-front payment to Sanofi in the second quarter of 2013, and is obligated to pay a potential $5 million development milestone payment and royalties on any future sales.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connection with the Antibody Collaboration, the collaboration revenue the Company recognized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 - Antibody</w:t>
            </w:r>
          </w:p>
        </w:tc>
        <w:tc>
          <w:tcPr>
            <w:tcW w:w="300" w:type="dxa"/>
            <w:vAlign w:val="bottom"/>
          </w:tcPr>
          <w:p>
            <w:pPr>
              <w:spacing w:after="0"/>
              <w:rPr>
                <w:sz w:val="17"/>
                <w:szCs w:val="17"/>
                <w:color w:val="auto"/>
              </w:rPr>
            </w:pPr>
          </w:p>
        </w:tc>
        <w:tc>
          <w:tcPr>
            <w:tcW w:w="10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2011</w:t>
            </w:r>
          </w:p>
        </w:tc>
      </w:tr>
      <w:tr>
        <w:trPr>
          <w:trHeight w:val="48"/>
        </w:trPr>
        <w:tc>
          <w:tcPr>
            <w:tcW w:w="20" w:type="dxa"/>
            <w:vAlign w:val="bottom"/>
            <w:tcBorders>
              <w:bottom w:val="single" w:sz="8" w:color="CCEEFF"/>
            </w:tcBorders>
          </w:tcPr>
          <w:p>
            <w:pPr>
              <w:spacing w:after="0"/>
              <w:rPr>
                <w:sz w:val="4"/>
                <w:szCs w:val="4"/>
                <w:color w:val="auto"/>
              </w:rPr>
            </w:pPr>
          </w:p>
        </w:tc>
        <w:tc>
          <w:tcPr>
            <w:tcW w:w="3180" w:type="dxa"/>
            <w:vAlign w:val="bottom"/>
            <w:tcBorders>
              <w:top w:val="single" w:sz="8" w:color="auto"/>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Reimbursement of Regeneron research and development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299,281</w:t>
            </w: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Up-front payments to Sanofi for acquisition of rights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related to two antibodies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445,600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375,478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309,127</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connection with the Antibody Collaboration, at December 31, 2013 and 2012, amounts receivable from Sanofi totaled $106.1 million and $102.6 million and deferred revenue was $71.2 million and $78.7 million,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 HealthCare LLC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October 2006, the Company entered into a license and collaboration agreement with Bayer HealthCare for the global development and commercialization outside the United States of EYLEA. Under the terms of the agreement, Bayer HealthCare made a non-refundable up-front payment to the Company of $75.0 million. The Company also received from Bayer HealthCare a $20.0 million development milestone payment in 2007 (which, for the purpose of revenue recognition, was not considered substantive), a $20.0 million substantive development milestone payment in 2009, and a $10.0 million substantive milestone payment in each of 2010 and 2011 (both of which were earned in 2010).</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Bayer HealthCare commenced sales of EYLEA for the treatment of wet AMD in the fourth quarter of 2012 following receipt of regulatory approvals in the EU and other regions, and for the treatment of macular edema secondary to CRVO in the fourth quarter of 2013 following receipt of regulatory approvals in the EU and Japan. Bayer HealthCare markets EYLEA outside the United States, where, for countries other than Japan, the Company and Bayer HealthCare will share equally in profits and losses from sales of EYLEA. The Company is entitled to receive a percentage of between 33.5% and 40.0% of EYLEA annual sales in Japan. The Company is obligated to reimburse Bayer HealthCare out of its share of the collaboration profits (including the Company's percentage of sales of EYLEA in Japan) for 50% of the agreed upon development expenses that Bayer HealthCare has incurred in accordance with a formula based on the amount of development expenses that Bayer HealthCare has incurred and the Company's share of the collaboration profits, or at a faster rate at the Company's option. In particular, the Company's contingent reimbursement obligation to Bayer HealthCare was approximately $276 million as of December 31, 2013. Within the United States, the Company is responsible for commercialization of EYLEA and retains exclusive rights to all profits from such commercialization in the United States.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2012, the Company earned and received a $15.0 million and $10.0 million substantive milestone payment related to marketing and pricing approval, respectively, of EYLEA for the treatment of wet AMD in Japan. In 2013, the Company earned and received a $15.0 million and a $10.0 million substantive milestone payment related to marketing and pricing approval, respectively, of EYLEA for the treatment of macular edema secondary to CRVO. In addition, in 2013, the Company earned and recorded as revenue, three $15.0 million sales milestone payments from Bayer HealthCare upon total aggregate net sales of EYLEA outside the United States exceeding $200 million, $300 million, and $400 million, respectively, over a twelve-month period. The Company is eligible to receive up to $90 million in additional sales milestone payments if twelve-month sales of EYLEA outside the United States achieve certain specified levels up to $1 billion. In addition, in connection with a November 2013 agreement under which Bayer HealthCare obtained rights to use certain of the Company’s EYLEA clinical data for a regulatory filing, the Company became eligible to receive up to $30 million in additional sales milestone payments if twelve-month sales of specific commercial supplies of EYLEA outside the United States achieve certain specified levels up to $200 million.</w:t>
      </w:r>
    </w:p>
    <w:p>
      <w:pPr>
        <w:spacing w:after="0" w:line="221"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Since 2009, all agreed upon EYLEA development expenses incurred by the Company and Bayer HealthCare, under a global development plan, are being shared equally. The Company is also obligated to use commercially reasonable efforts to supply clinical and commercial bulk product of EYLEA.</w:t>
      </w:r>
    </w:p>
    <w:p>
      <w:pPr>
        <w:spacing w:after="0" w:line="20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January 2014, Bayer HealthCare exercised its right to opt-in to the global development and commercialization of EYLEA outside the United States for the treatment of macular edema following branch retinal vein occlusion ("BRVO"). In connection with its opt-in, Bayer HealthCare will reimburse Regeneron for a defined share of the EYLEA global development costs that the Company has incurred or will incur for the BRVO indication. In addition, profits or losses on sales of EYLEA outside of the United States for the treatment of macular edema following BRVO will also be shared.</w:t>
      </w:r>
    </w:p>
    <w:p>
      <w:pPr>
        <w:spacing w:after="0" w:line="225"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Bayer HealthCare has the right to terminate the Bayer Agreement without cause with at least six months or twelve months advance notice depending on defined circumstances at the time of termination. In the event of termination of the agreement for any reason, the Company retains all rights to EYLEA.</w:t>
      </w:r>
    </w:p>
    <w:p>
      <w:pPr>
        <w:spacing w:after="0" w:line="17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$75.0 million up-front licensing payment and the $20.0 million milestone payment received in 2007 from Bayer HealthCare are being recognized as collaboration revenue over the related estimated performance period in accordance with the Company's revenue recognition policy as described in Note 2. In periods when the Company recognizes EYLEA development expenses that the Company incurs under the collaboration, the Company also recognizes, as collaboration revenue, the portion of those EYLEA development expenses that is reimbursable from Bayer HealthCare. In periods when Bayer HealthCare incurs agreed upon EYLEA development expenses that benefit the collaboration and Regeneron, the Company also recognizes, as additional research and development expense, the portion of Bayer HealthCare's EYLEA development expenses that the Company is obligated to reimburse.</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2011</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7"/>
              </w:rPr>
              <w:t>commercialization of EYLEA outside the United States  $</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Sales and substantive development milestone payments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Cost-sharing of Regeneron EYLEA development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33,682</w:t>
            </w: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27,890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9,390</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6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in 2013, 2012, and 2011, the Company recognized as additional research and development expense $15.3 million, $21.9 million, and $47.8 million, respectively, of EYLEA development expenses that the Company was obligated to reimburse to Bayer HealthCare.</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the companies' collaboration, $63.2 million and $2.8 million was receivable from Bayer HealthCare at December 31, 2013 and 2012, respectively. In addition, at December 31, 2013 and 2012, deferred revenue from the Company's collaboration with Bayer HealthCare was $36.4 million and $36.5 million, respectively.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2014, the Company entered into a license and collaboration agreement with Bayer HealthCare governing the joint development and commercialization outside the United States of an antibody product candidate to Platelet Derived Growth Factor Receptor Beta (PDGFR-beta), including in combination with EYLEA, for the treatment of ocular diseases or disorders. REGN2176-3, a combination product candidate comprised of an antibody to PDGFR-beta co-formulated with EYLEA, is being developed under the agreement. Under the agreement, the Company will conduct the initial development of the PDGFR-beta antibody through completion of the first proof-of-concept study, upon which Bayer HealthCare will have a right to opt-in to the collaboration for further development and commercialization outside the United States.</w:t>
      </w:r>
    </w:p>
    <w:p>
      <w:pPr>
        <w:spacing w:after="0" w:line="24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connection with the agreement, Bayer HealthCare made a $25.5 million non-refundable upfront payment to the Company in January 2014, and is obligated to pay 25% of global development costs and 50% of development costs exclusively for the territory outside the United States under the initial development plan. In addition, Bayer HealthCare is obligated to reimburse the Company for 50% of development milestone payments to Sanofi related to the Company's acquisition of rights to antibodies targeting the PDGF family of receptors in May 2013, as described above. In that regard, Bayer HealthCare made a $2.5 million payment (which, for the purpose of revenue recognition, was not considered substantive) to the Company in January 2014. Further, in connection with the Company’s initial development of the PDGFR-beta antibody through completion of the first proof-of-concept study, the Company is eligible to receive up to $17.5 million in future development milestone payments from Bayer HealthCare, although certain of these development milestone payments could be reduced by half if Bayer HealthCare does not opt-in to the collaboration.</w:t>
      </w:r>
    </w:p>
    <w:p>
      <w:pPr>
        <w:spacing w:after="0" w:line="9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Bayer HealthCare exercises its right to opt-in to the collaboration, they will obtain exclusive commercialization rights to the product outside the United States, pay for 25% of global development costs and 50% of development costs exclusively for the territory outside the United States, pay a $20 million opt-in payment to the Company, pay a $20 million development milestone to the Company upon receipt of the first marketing approval in the European Union or Japan, share profits from sales outside the United States equally with the Company, and be responsible for the payment of royalties on sales outside the United States to Sanofi.</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the Company has exclusive commercialization rights and will retain all of the profits from sales. If Bayer HealthCare does not opt-in to the collaboration, the Company will have exclusive rights to develop and commercialize PDGFR-beta antibodies (except as a combination product with EYLEA) for use outside the United States.</w:t>
      </w:r>
    </w:p>
    <w:p>
      <w:pPr>
        <w:spacing w:after="0" w:line="1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also has the right to opt-out of the collaboration upon completion of the first proof-of-concept study for the PDGFR-beta antibody. If the Company opts-out of the collaboration and Bayer HealthCare exercises their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agreement, Bayer HealthCare has also agreed to a “standstill” provision, which prohibits Bayer HealthCare and its affiliates from seeking to influence the control of the Company or acquiring more than 20% of the Company's then outstanding shares of Class A Stock and Common Stock (taken together).</w:t>
      </w:r>
    </w:p>
    <w:p>
      <w:pPr>
        <w:spacing w:after="0" w:line="1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the Company and Bayer HealthCare in writing.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130" w:right="23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Technology Licensing Agreements</w:t>
      </w:r>
    </w:p>
    <w:p>
      <w:pPr>
        <w:spacing w:after="0" w:line="28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In March 2007, the Company entered into a six-year, non-exclusive license agreement with Astellas Pharma Inc. to allow Astellas to utilize the Company's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technology in its internal research programs to discover human monoclonal antibodies. Under the terms of the agreement, Astellas made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$20.0 million annual, non-refundable payment to the Company in each of 2010, 2009, 2008, and 2007. In July 2010, the license agreement with Astellas was amended and extended through June 2023. Under the terms of the amended agreement, Astellas made a $165.0 million up-front payment to the Company in August 2010, which was deferred upon receipt and is being recognized as revenue ratably over the seven-year period beginning in mid-2011. In addition, Astellas will make a $130.0 million second payment to the Company in June 2018 unless the license agreement has been terminated prior to that date. Astellas has the right to terminate the agreement at any time by providing 90 days' advance written notice. Under certain limited circumstances, such as a material breach of the agreement by the Company, Astellas may terminate the agreement and receive a refund of a portion of its up-front payment or, if such termination occurs after June 2018, a portion of its second payment, to the Company under the July 2010 amendment to the agreement. The Company is entitled to receive a mid-single digit royalty on any future sales of antibody products discovered by Astellas using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connection with the Astellas license agreement, for each of the years ended December 31, 2013, 2012, and 2011, the Company recognized $23.6 million, $23.6 million, and $22.0 million of technology licensing revenue, respectively. In addition, deferred revenue at December 31, 2013 and 2012 was $104.6 million and $128.2 million, respectively.</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February 2007, the Company entered into a six-year, non-exclusive license agreement with AstraZeneca UK Limited to allow AstraZeneca to utilize the Company's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its internal research programs to discover human monoclonal antibodies. In November 2010, as permitted by the agreement, MedImmune Limited (as successor by novation from AstraZeneca) gave written notice of voluntary termination of the agreement. Regeneron remains entitled to receive mid-single digit royalties on any future sales of antibody products discovered by MedImmune/AstraZeneca using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Marketable securities at December 31, 2013 and December 31, 2012 consist of both debt securities issued by investment grade institutions as well as equity securities. The Company also held restricted marketable securities at December 31, 2012, which consisted of debt securities, as detailed below, that collateralized letters of credit and lease obligations. During 2013, these collateral requirements were rescinded, due to cancellation of lender collateralization requirements on the Company. As a result, during 2013, all formerly restricted marketable securities were reclassified as unrestricted on the Company's balance sheet which, for the purpose of the Company's Statement of Cash Flows, was treated as a non-cash investing transaction.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130" w:right="2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 at December 31, 2013 and 2012.</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At December 31, 2013</w:t>
            </w:r>
          </w:p>
        </w:tc>
        <w:tc>
          <w:tcPr>
            <w:tcW w:w="160" w:type="dxa"/>
            <w:vAlign w:val="bottom"/>
          </w:tcPr>
          <w:p>
            <w:pPr>
              <w:spacing w:after="0"/>
              <w:rPr>
                <w:sz w:val="17"/>
                <w:szCs w:val="17"/>
                <w:color w:val="auto"/>
              </w:rPr>
            </w:pPr>
          </w:p>
        </w:tc>
        <w:tc>
          <w:tcPr>
            <w:tcW w:w="1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4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107,493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International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548,322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At December 31, 2012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327,502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354,990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classifies its debt securities based on their contractual maturity dates. The debt securities listed at December 31, 2013 mature at various dates through August 2024. The fair values of debt security investments by contractual maturity as of December 31, 2013 and 2012 consist of the following:</w:t>
      </w:r>
    </w:p>
    <w:p>
      <w:pPr>
        <w:spacing w:after="0" w:line="336"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3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Unrestricted</w:t>
            </w: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Maturities within one year</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158,376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77,819</w:t>
            </w:r>
          </w:p>
        </w:tc>
      </w:tr>
      <w:tr>
        <w:trPr>
          <w:trHeight w:val="27"/>
        </w:trPr>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Maturities after one year through five years</w:t>
            </w: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267,837</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w w:val="97"/>
              </w:rPr>
              <w:t>Maturities after five years through ten years</w:t>
            </w: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after ten years</w:t>
            </w:r>
          </w:p>
        </w:tc>
        <w:tc>
          <w:tcPr>
            <w:tcW w:w="16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547,101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345,656</w:t>
            </w:r>
          </w:p>
        </w:tc>
      </w:tr>
      <w:tr>
        <w:trPr>
          <w:trHeight w:val="27"/>
        </w:trPr>
        <w:tc>
          <w:tcPr>
            <w:tcW w:w="3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Restricted</w:t>
            </w: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Maturities within one year</w:t>
            </w: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7"/>
        </w:trPr>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Maturities after one year through five years</w:t>
            </w:r>
          </w:p>
        </w:tc>
        <w:tc>
          <w:tcPr>
            <w:tcW w:w="16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r>
      <w:tr>
        <w:trPr>
          <w:trHeight w:val="237"/>
        </w:trPr>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5,909</w:t>
            </w:r>
          </w:p>
        </w:tc>
      </w:tr>
      <w:tr>
        <w:trPr>
          <w:trHeight w:val="27"/>
        </w:trPr>
        <w:tc>
          <w:tcPr>
            <w:tcW w:w="3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547,101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351,565</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1960" w:type="dxa"/>
            <w:vAlign w:val="bottom"/>
            <w:gridSpan w:val="2"/>
          </w:tcPr>
          <w:p>
            <w:pPr>
              <w:jc w:val="right"/>
              <w:ind w:right="1340"/>
              <w:spacing w:after="0"/>
              <w:rPr>
                <w:sz w:val="20"/>
                <w:szCs w:val="20"/>
                <w:color w:val="auto"/>
              </w:rPr>
            </w:pPr>
            <w:r>
              <w:rPr>
                <w:rFonts w:ascii="Arial" w:cs="Arial" w:eastAsia="Arial" w:hAnsi="Arial"/>
                <w:sz w:val="18"/>
                <w:szCs w:val="18"/>
                <w:color w:val="auto"/>
              </w:rPr>
              <w:t>F- 21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December 31, 2013 and 2012.</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At December 31, 2013</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49,241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49,241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43"/>
        </w:trPr>
        <w:tc>
          <w:tcPr>
            <w:tcW w:w="20" w:type="dxa"/>
            <w:vAlign w:val="bottom"/>
          </w:tcPr>
          <w:p>
            <w:pPr>
              <w:spacing w:after="0"/>
              <w:rPr>
                <w:sz w:val="21"/>
                <w:szCs w:val="21"/>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14,431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At December 31, 2012</w:t>
            </w:r>
          </w:p>
        </w:tc>
        <w:tc>
          <w:tcPr>
            <w:tcW w:w="1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0" w:type="dxa"/>
            <w:vAlign w:val="bottom"/>
          </w:tcPr>
          <w:p>
            <w:pPr>
              <w:spacing w:after="0"/>
              <w:rPr>
                <w:sz w:val="21"/>
                <w:szCs w:val="21"/>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During the year ended December 31, 2013, the Company recorded an other-than-temporary impairment charge of $2.9 million related to its investment in an equity security. There were no other-than-temporary impairment charges recorded on the Company's investments during 2012 or 2011.</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year ended December 31, 2013, total realized gains on sales of marketable securities were $1.0 million, and there were no realized losses. For the years ended December 31, 2012 and 2011, total realized gains and losses on sales of marketable securities were not material.</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Changes in the Company's accumulated other comprehensive income (loss) for the years ended December 31, 2013, 2012, and 2011 related to unrealized gains and losses on available-for-sale marketable securities. In 2013, amounts reclassified from accumulated other comprehensive income (loss) into investment (expense) income in the Company's Statements of Operations were the impairment charge on the equity security and realized gains discussed above. Such amounts were not material for the years ended December 31, 2012 and 2011.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130" w:right="2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w:t>
      </w:r>
      <w:r>
        <w:rPr>
          <w:rFonts w:ascii="Arial" w:cs="Arial" w:eastAsia="Arial" w:hAnsi="Arial"/>
          <w:sz w:val="18"/>
          <w:szCs w:val="18"/>
          <w:i w:val="1"/>
          <w:iCs w:val="1"/>
          <w:color w:val="auto"/>
        </w:rPr>
        <w:t>,</w:t>
      </w:r>
      <w:r>
        <w:rPr>
          <w:rFonts w:ascii="Arial" w:cs="Arial" w:eastAsia="Arial" w:hAnsi="Arial"/>
          <w:sz w:val="18"/>
          <w:szCs w:val="18"/>
          <w:color w:val="auto"/>
        </w:rPr>
        <w:t xml:space="preserve"> at December 31, 2013 and 2012,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At December 31, 2013</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3"/>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107,521</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369,193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369,193</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23,944</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36,921</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7,514</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548,267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547,101</w:t>
            </w:r>
          </w:p>
        </w:tc>
      </w:tr>
      <w:tr>
        <w:trPr>
          <w:trHeight w:val="67"/>
        </w:trPr>
        <w:tc>
          <w:tcPr>
            <w:tcW w:w="2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45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4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At December 31, 2012</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3"/>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328,146</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17,510</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349,049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345,656</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3"/>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351,565</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in 2013, 2012, and 2011.</w:t>
      </w:r>
    </w:p>
    <w:p>
      <w:pPr>
        <w:spacing w:after="0" w:line="24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During part of 2012, the Company held one Level 3 marketable security whose cost basis was zero, as the security had been fully impaired prior to 2012. In 2013, the Company sold this Level 3 marketable security and realized a gain on its sale which was not material. There were no purchases or maturities of Level 3 marketable securities and no unrealized gains or losses related to Level 3 marketable securities for the years ended December 31, 2013 and 2012. There were no transfers of marketable securities between Levels 1, 2, or 3 classifications during the years ended December 31, 2013 and 2012.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of December 31, 2013 and 2012, the Company had $400.0 million in aggregate principal amount of 1.875% convertible senior notes that will mature on October 1, 2016 unless earlier converted or repurchased. The fair value of the outstanding convertible senior notes was estimated to be $1,327.2 million and $843.2 million as of December 31, 2013 and 2012, respectively, and was determined based on Level 2 inputs, such as market and observable sources.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8. Inventories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21"/>
        </w:trPr>
        <w:tc>
          <w:tcPr>
            <w:tcW w:w="2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00" w:type="dxa"/>
            <w:vAlign w:val="bottom"/>
          </w:tcPr>
          <w:p>
            <w:pPr>
              <w:spacing w:after="0"/>
              <w:rPr>
                <w:sz w:val="24"/>
                <w:szCs w:val="24"/>
                <w:color w:val="auto"/>
              </w:rPr>
            </w:pP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2012</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35,868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14,656</w:t>
            </w: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11,014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6,550</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34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28,638</w:t>
            </w:r>
          </w:p>
        </w:tc>
      </w:tr>
      <w:tr>
        <w:trPr>
          <w:trHeight w:val="20"/>
        </w:trPr>
        <w:tc>
          <w:tcPr>
            <w:tcW w:w="234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In 2013, 2012, and 2011, cost of goods sold included inventory write-downs and reserves totaling $9.1 million, $17.0 million, and $0.5 million,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9. Property, Plant, and Equipment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consist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Pr>
          <w:p>
            <w:pPr>
              <w:spacing w:after="0"/>
              <w:rPr>
                <w:sz w:val="24"/>
                <w:szCs w:val="24"/>
                <w:color w:val="auto"/>
              </w:rPr>
            </w:pP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w w:val="84"/>
              </w:rPr>
              <w:t>2012</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343,363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328,173</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10,576</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142,370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25,076</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and other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189,543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159,026</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w w:val="97"/>
              </w:rPr>
              <w:t>Furniture, computer and office equipment,</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and other</w:t>
            </w:r>
          </w:p>
        </w:tc>
        <w:tc>
          <w:tcPr>
            <w:tcW w:w="4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44,186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35,485</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748,600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560,453</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Less, accumulated depreciation and</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(221,617)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(180,513)</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2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526,983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379,940</w:t>
            </w:r>
          </w:p>
        </w:tc>
      </w:tr>
      <w:tr>
        <w:trPr>
          <w:trHeight w:val="20"/>
        </w:trPr>
        <w:tc>
          <w:tcPr>
            <w:tcW w:w="22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Depreciation and amortization expense on property, plant, and equipment amounted to $41.2 million, $36.9 million, and $31.1 million for the years ended December 31, 2013, 2012, and 2011, respectively. In addition, during 2013 and 2012, the Company incurred non-cash charges of $0.5 million and $2.8 million, respectively, in connection with disposals and retirements of fixed assets. There were no material non-cash charges in connection with disposals and retirements of fixed assets in 2011.</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property, plant, and equipment at December 31, 2013 and December 31, 2012 were $0.7 million and $3.6 million of leased equipment under capital leases, respectively, and related accumulated amortization was $0.2 million and $1.1 million at December 31, 2013 and December 31, 2012, respectively.</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Property, plant, and equipment at December 31, 2013 and 2012 included $111.1 million and $86.2 million, respectively, of costs incurred by the Company's landlord to construct laboratory and office facilities in Tarrytown, New York. See Note 13a.</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F- 24</w:t>
      </w:r>
    </w:p>
    <w:p>
      <w:pPr>
        <w:sectPr>
          <w:pgSz w:w="11900" w:h="16838" w:orient="portrait"/>
          <w:cols w:equalWidth="0" w:num="1">
            <w:col w:w="11420"/>
          </w:cols>
          <w:pgMar w:left="240" w:top="130" w:right="239" w:bottom="1440" w:gutter="0" w:footer="0" w:header="0"/>
          <w:type w:val="continuous"/>
        </w:sectPr>
      </w:pPr>
    </w:p>
    <w:bookmarkStart w:id="116" w:name="page117"/>
    <w:bookmarkEnd w:id="1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10. Accounts Payable and Accrued Expenses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38,934</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19,987</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66,855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21,870</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19,569</w:t>
            </w:r>
          </w:p>
        </w:tc>
      </w:tr>
      <w:tr>
        <w:trPr>
          <w:trHeight w:val="237"/>
        </w:trPr>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111,345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11. Deferred Revenue</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Deferred revenue consists of the following:</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48"/>
        </w:trPr>
        <w:tc>
          <w:tcPr>
            <w:tcW w:w="1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r>
      <w:tr>
        <w:trPr>
          <w:trHeight w:val="27"/>
        </w:trPr>
        <w:tc>
          <w:tcPr>
            <w:tcW w:w="118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4a)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12,815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17,022</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HealthCare (see Note 4b)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for technology license agreement (see Note 5)</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23,572</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47,000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50,831</w:t>
            </w:r>
          </w:p>
        </w:tc>
      </w:tr>
      <w:tr>
        <w:trPr>
          <w:trHeight w:val="67"/>
        </w:trPr>
        <w:tc>
          <w:tcPr>
            <w:tcW w:w="1180" w:type="dxa"/>
            <w:vAlign w:val="bottom"/>
          </w:tcPr>
          <w:p>
            <w:pPr>
              <w:spacing w:after="0"/>
              <w:rPr>
                <w:sz w:val="5"/>
                <w:szCs w:val="5"/>
                <w:color w:val="auto"/>
              </w:rPr>
            </w:pPr>
          </w:p>
        </w:tc>
        <w:tc>
          <w:tcPr>
            <w:tcW w:w="56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118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4a)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76,522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76,520</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HealthCare (see Note 4b)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27,256</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for technology license agreement (see Note 5)</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80,994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104,566</w:t>
            </w:r>
          </w:p>
        </w:tc>
      </w:tr>
      <w:tr>
        <w:trPr>
          <w:trHeight w:val="27"/>
        </w:trPr>
        <w:tc>
          <w:tcPr>
            <w:tcW w:w="118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1180" w:type="dxa"/>
            <w:vAlign w:val="bottom"/>
          </w:tcPr>
          <w:p>
            <w:pPr>
              <w:spacing w:after="0"/>
              <w:rPr>
                <w:sz w:val="22"/>
                <w:szCs w:val="22"/>
                <w:color w:val="auto"/>
              </w:rPr>
            </w:pPr>
          </w:p>
        </w:tc>
        <w:tc>
          <w:tcPr>
            <w:tcW w:w="5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208,342</w:t>
            </w:r>
          </w:p>
        </w:tc>
      </w:tr>
      <w:tr>
        <w:trPr>
          <w:trHeight w:val="20"/>
        </w:trPr>
        <w:tc>
          <w:tcPr>
            <w:tcW w:w="118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Debt</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October 2011, the Company issued $400.0 million aggregate principal amount of 1.875% convertible senior notes (the “Notes”) in a private 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from the Notes offering were $391.1 million after deducting the initial purchaser's discount and issuance costs.</w:t>
      </w:r>
    </w:p>
    <w:p>
      <w:pPr>
        <w:spacing w:after="0" w:line="26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Notes pay interest semi-annually on April 1 and October 1, which began April 1, 2012, and will mature on October 1, 2016 unless earlier converted or repurchased. The Notes are convertible, subject to certain conditions, into cash, shares of the Company's Common Stock, or a combination of cash and shares of Common Stock, at the Company's option. The initial conversion rate for the Notes is 11.9021 shares of Common Stock (subject to adjustment in certain circumstances) per $1,000 principal amount of the Notes, or a total of approximately 4,760,840 shares upon conversion, which is equal to an initial conversion price of approximately $84.02 per share. A holder of the Notes may surrender its Notes at its option any time prior to the close of business on the business day immediately preceding July 1, 2016, only under the following circumstances: (i) during any calendar quarter commencing after the calendar quarter ending on December 31, 2011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w:t>
      </w:r>
    </w:p>
    <w:p>
      <w:pPr>
        <w:sectPr>
          <w:pgSz w:w="11900" w:h="16838" w:orient="portrait"/>
          <w:cols w:equalWidth="0" w:num="1">
            <w:col w:w="11420"/>
          </w:cols>
          <w:pgMar w:left="240" w:top="130"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F- 25</w:t>
      </w:r>
    </w:p>
    <w:p>
      <w:pPr>
        <w:sectPr>
          <w:pgSz w:w="11900" w:h="16838" w:orient="portrait"/>
          <w:cols w:equalWidth="0" w:num="1">
            <w:col w:w="11420"/>
          </w:cols>
          <w:pgMar w:left="240" w:top="130" w:right="239" w:bottom="1440" w:gutter="0" w:footer="0" w:header="0"/>
          <w:type w:val="continuous"/>
        </w:sectPr>
      </w:pPr>
    </w:p>
    <w:bookmarkStart w:id="117" w:name="page118"/>
    <w:bookmarkEnd w:id="1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price on each applicable trading day; (ii) during the five business day period after any ten consecutive trading day period (the “measurement period”) in which the trading price, as defined, of the Notes for each trading day of the measurement period was less than 98% of the product of the last reported sale price of the Company's Common Stock and the conversion rate on each such trading day; (iii) if the Company elects to issue to all or substantially all holders of its Common Stock any rights, options or warrants (other than pursuant to a rights plan) entitling them for a period of not more than 60 calendar days after the record date for such issuance, to subscribe for or purchase shares of the Company's Common Stock, at a price per share less than the average of the last reported sales prices of the Company's Common Stock for the ten consecutive day period ending on, and including, the trading day immediately preceding the declaration date for such issuance; (iv) upon specified distributions to the Company's shareholders; or (v) upon the occurrence of specified corporate transactions, such as a fundamental change (i.e., a change in control), or the Company's Common Stock ceasing to be listed on at least one U.S. national securities exchange. On or after July 1, 2016, holders may convert their Notes at the conversion rate at any time prior to the close of business on the second scheduled trading day immediately preceding the maturity date irrespective of the foregoing conditions. In the event that a fundamental change, as defined in the indenture under which the Notes have been issued, occurs prior to maturity of the Notes, the initial conversion rate may be increased to include additional shares upon conversion, or holders can require the Company to purchase from them all or a portion of their Notes for 100% of the principal value plus any accrued and unpaid interest. Based on the reported sales prices of the Company's Common Stock, the Notes were able to be converted by holders as of December 31, 2013.</w:t>
      </w:r>
    </w:p>
    <w:p>
      <w:pPr>
        <w:spacing w:after="0" w:line="23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has reserved sufficient shares of its Common Stock to satisfy the conversion requirements related to the Notes. The Company may not redeem the Notes prior to their maturity date.</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2013, the "if converted value" exceeded the principal amount of the Notes by $910.4 million.</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accordance with accounting guidance for debt with conversion and other options, the Company accounted for the liability and equity components of the Notes separately. The estimated fair value of the liability component at the date of issuance was $271.1 million, and was computed based on the fair value of similar debt instruments that do not include a conversion feature. The equity component of $120.9 million was recognized as a debt discount and represents the difference between the $392.0 million of gross proceeds from the issuance of the Notes and the $271.1 million estimated fair value of the liability component at the date of issuance. The debt discount is amortized over the expected life of a similar liability without the equity component. The Company determined this expected life to be equal to the term of the Notes, resulting in an amortization period ending October 1, 2016. The effective interest rate used to amortize the debt discount is approximately 10.2%, which was based on the Company's estimated non-convertible borrowing rate as of the date the Notes were issued.</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Issuance costs of $0.9 million related to the issuance of the Notes were allocated to the liability and equity components in proportion to the allocation of the proceeds and accounted for as capitalized debt issuance costs and equity issuance costs, respectively.</w:t>
      </w:r>
    </w:p>
    <w:p>
      <w:pPr>
        <w:spacing w:after="0" w:line="22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w w:val="94"/>
              </w:rPr>
              <w:t>The net carrying amount of the liability component of the Notes consists of the following:</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13"/>
        </w:trPr>
        <w:tc>
          <w:tcPr>
            <w:tcW w:w="18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18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184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8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convertible senior notes - par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43"/>
        </w:trPr>
        <w:tc>
          <w:tcPr>
            <w:tcW w:w="18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(79,685)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(103,482)</w:t>
            </w:r>
          </w:p>
        </w:tc>
      </w:tr>
      <w:tr>
        <w:trPr>
          <w:trHeight w:val="27"/>
        </w:trPr>
        <w:tc>
          <w:tcPr>
            <w:tcW w:w="184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84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320,315</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296,518</w:t>
            </w:r>
          </w:p>
        </w:tc>
      </w:tr>
      <w:tr>
        <w:trPr>
          <w:trHeight w:val="20"/>
        </w:trPr>
        <w:tc>
          <w:tcPr>
            <w:tcW w:w="184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Total interest expense associated with the Notes, net of capitalized interest as applicable (see Note 21), consisted of the following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w:t>
      </w:r>
    </w:p>
    <w:p>
      <w:pPr>
        <w:spacing w:after="0" w:line="288"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coupon interest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Amortization of discount and note issuance costs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22,980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21,623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3,944</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30,210</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In connection with the offering of the Notes in October 2011, the Company entered into convertible note hedge (“call option”) and warrant transactions with multiple counterparties, including an affiliate of the initial purchaser of the Notes. The convertible</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F- 26</w:t>
      </w:r>
    </w:p>
    <w:p>
      <w:pPr>
        <w:sectPr>
          <w:pgSz w:w="11900" w:h="16838" w:orient="portrait"/>
          <w:cols w:equalWidth="0" w:num="1">
            <w:col w:w="11420"/>
          </w:cols>
          <w:pgMar w:left="240" w:top="130" w:right="239" w:bottom="1440" w:gutter="0" w:footer="0" w:header="0"/>
          <w:type w:val="continuous"/>
        </w:sectPr>
      </w:pPr>
    </w:p>
    <w:bookmarkStart w:id="118" w:name="page119"/>
    <w:bookmarkEnd w:id="1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hedge transactions cover, subject to customary anti-dilution adjustments, the number of shares of the Company's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Company paid $117.5 million for the convertible note hedge, which was recorded as a reduction to additional paid-in capital.</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warrant transactions have an initial strike price of approximately $103.41 per share, and may be settled in cash or shares of the Company's Common Stock, at the Company's option. The warrant transactions have a dilutive effect to the extent that the market price per share of the Company's Common Stock exceeds the applicable strike price of the warrants. Proceeds received from the warrant transactions totaled $93.8 million and were recorded as additional paid-in capital. The warrants expire at various dates during 2017.</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convertible note hedge and warrants are both considered indexed to the Company's Common Stock and classified as equity; therefore, the convertible note hedge and warrants are not accounted for as derivative instruments. The Company has reserved sufficient shares of its Common Stock to satisfy the potential settlement of the 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83" w:lineRule="exact"/>
        <w:rPr>
          <w:sz w:val="20"/>
          <w:szCs w:val="20"/>
          <w:color w:val="auto"/>
        </w:rPr>
      </w:pPr>
    </w:p>
    <w:p>
      <w:pPr>
        <w:ind w:left="260" w:hanging="184"/>
        <w:spacing w:after="0"/>
        <w:tabs>
          <w:tab w:leader="none" w:pos="2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279"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Descriptions of Lease Agreements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leases laboratory and office facilities in Tarrytown, New York, under a December 2006 lease agreement, as amended, as well as an April 2013 lease agreement, as further described below.</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facilities leased by the Company under the December 2006 lease include (i) space in previously existing buildings, (ii) newly constructed space in two buildings (“Buildings A and B”) that was completed in the third quarter of 2009 and, (iii) under a December 2009 amendment to the lease, additional newly constructed space in a third building (“Building C”) that was completed in the first quarter of 2011. In April 2013, the Company executed an agreement related to Buildings A, B, and C, which extended the term of the lease of those facilities from June 2024 to June 2029; the remaining facilities under the lease will expire in June 2024. The lease contains three renewal options to extend the term of the lease by five years each, escalations at 2.5% per annum, and early termination options for various portions of the space. The lease provides for monthly payments over its term and additional charges for utilities, taxes, and operating expenses.</w:t>
      </w:r>
    </w:p>
    <w:p>
      <w:pPr>
        <w:spacing w:after="0" w:line="24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April 2013, the Company entered into a lease agreement for additional laboratory and office space to be constructed in two new buildings ("Buildings D and E"), which are expected to be completed in the second half of 2015, at the Company's current Tarrytown, New York location. The initial term of the lease, which is expected to commence in mid-2014, is approximately 15 years and contains three renewal options to extend the term of the lease by five years each. The lease provides for (i) monthly payments over its term, which will be based on the landlord's costs of construction and tenant allowances, and (ii) additional charges for utilities, taxes, and operating expenses.</w:t>
      </w:r>
    </w:p>
    <w:p>
      <w:pPr>
        <w:spacing w:after="0" w:line="2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Certain premises under the December 2006 lease are accounted for as operating leases. However, for Buildings A, B, C, D, and E (collectively, the "Buildings") that the Company is leasing, the Company is deemed, in substance, to be the owner of the landlord's Buildings in accordance with the application of FASB authoritative guidance. Consequently, in addition to capitalizing the tenant improvements, the Company capitalizes the landlord's costs of constructing these new facilities, offset by a corresponding lease obligation on the Company's balance sheet.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also leases certain other laboratory, office, and storage space and equipment under operating and capital leases which expire at various times through 2022.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20"/>
          </w:cols>
          <w:pgMar w:left="240" w:top="130" w:right="23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Commitments under Operating Leases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lease commitments under operating leases are as follows:</w:t>
      </w:r>
    </w:p>
    <w:p>
      <w:pPr>
        <w:spacing w:after="0" w:line="289"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17"/>
                <w:szCs w:val="17"/>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800"/>
              <w:spacing w:after="0"/>
              <w:rPr>
                <w:sz w:val="20"/>
                <w:szCs w:val="20"/>
                <w:color w:val="auto"/>
              </w:rPr>
            </w:pPr>
            <w:r>
              <w:rPr>
                <w:rFonts w:ascii="Arial" w:cs="Arial" w:eastAsia="Arial" w:hAnsi="Arial"/>
                <w:sz w:val="18"/>
                <w:szCs w:val="18"/>
                <w:color w:val="auto"/>
              </w:rPr>
              <w:t>2015</w:t>
            </w:r>
          </w:p>
        </w:tc>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9,853</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right w:val="single" w:sz="8" w:color="CCEEFF"/>
            </w:tcBorders>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800"/>
              <w:spacing w:after="0"/>
              <w:rPr>
                <w:sz w:val="20"/>
                <w:szCs w:val="20"/>
                <w:color w:val="auto"/>
              </w:rPr>
            </w:pPr>
            <w:r>
              <w:rPr>
                <w:rFonts w:ascii="Arial" w:cs="Arial" w:eastAsia="Arial" w:hAnsi="Arial"/>
                <w:sz w:val="18"/>
                <w:szCs w:val="18"/>
                <w:color w:val="auto"/>
              </w:rPr>
              <w:t>2017</w:t>
            </w:r>
          </w:p>
        </w:tc>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right w:val="single" w:sz="8" w:color="CCEEFF"/>
            </w:tcBorders>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67,849</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117,590</w:t>
            </w:r>
          </w:p>
        </w:tc>
        <w:tc>
          <w:tcPr>
            <w:tcW w:w="0" w:type="dxa"/>
            <w:vAlign w:val="bottom"/>
          </w:tcPr>
          <w:p>
            <w:pPr>
              <w:spacing w:after="0"/>
              <w:rPr>
                <w:sz w:val="1"/>
                <w:szCs w:val="1"/>
                <w:color w:val="auto"/>
              </w:rPr>
            </w:pPr>
          </w:p>
        </w:tc>
      </w:tr>
      <w:tr>
        <w:trPr>
          <w:trHeight w:val="20"/>
        </w:trPr>
        <w:tc>
          <w:tcPr>
            <w:tcW w:w="1800" w:type="dxa"/>
            <w:vAlign w:val="bottom"/>
            <w:tcBorders>
              <w:right w:val="single" w:sz="8" w:color="CCEEFF"/>
            </w:tcBorders>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Rent expense under operating leases was:</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1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17"/>
                <w:szCs w:val="17"/>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48"/>
        </w:trPr>
        <w:tc>
          <w:tcPr>
            <w:tcW w:w="20" w:type="dxa"/>
            <w:vAlign w:val="bottom"/>
            <w:tcBorders>
              <w:bottom w:val="single" w:sz="8" w:color="CCEEFF"/>
            </w:tcBorders>
          </w:tcPr>
          <w:p>
            <w:pPr>
              <w:spacing w:after="0"/>
              <w:rPr>
                <w:sz w:val="4"/>
                <w:szCs w:val="4"/>
                <w:color w:val="auto"/>
              </w:rPr>
            </w:pPr>
          </w:p>
        </w:tc>
        <w:tc>
          <w:tcPr>
            <w:tcW w:w="2000" w:type="dxa"/>
            <w:vAlign w:val="bottom"/>
            <w:tcBorders>
              <w:top w:val="single" w:sz="8" w:color="auto"/>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w:t>
            </w: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2012</w:t>
            </w: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8,029</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r>
      <w:tr>
        <w:trPr>
          <w:trHeight w:val="27"/>
        </w:trPr>
        <w:tc>
          <w:tcPr>
            <w:tcW w:w="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its rent expense under operating leases, and payments under facility lease obligations (see below), for various facilities, the Company paid rental charges for utilities, real estate taxes, and operating expenses of $11.5 million, $10.9 million, and $9.3 million for the years ended December 31, 2013, 2012, and 2011,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under Capital Leases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2011, the Company entered into capital leases in connection with acquisitions of new equipment, which expire at various times through 2014. The lease obligations were collateralized with marketable debt securities totaling $3.2 million at December 31, 2012; such collateral was classified as restricted cash and marketable securities. During 2013, the requirement for the Company to collateralize these capital leases was rescinded. The Company did not enter into capital leases in 2013 or 2012.</w:t>
      </w:r>
    </w:p>
    <w:p>
      <w:pPr>
        <w:spacing w:after="0" w:line="24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At the end of the lease term, the Company is required to purchase the leased equipment for a nominal amount defined in the lease agreement. At December 31, 2013 and 2012, capital lease obligations totaled $0.1 million and $1.3 million, respectively, and were included in other liabilities. The estimated future minimum noncancelable lease commitments under capital leases at December 31, 2013 were not material.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Lease Obligations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described above, based upon various factors, including the Company's involvement in the construction of the Buildings and its responsibility for directly paying for a substantial portion of tenant improvements, the Company is deemed, in substance, to be the owner of the landlord's Buildings in accordance with the application of FASB authoritative guidance. Consequently, in addition to capitalizing the tenant improvements, the Company capitalizes the landlord's costs of constructing these new facilities, offset by a corresponding lease obligation on the Company's balance sheet. The Company also recognizes, as additional facility lease obligation, reimbursements from the Company's landlord for tenant improvement costs that the Company incurred since, under FASB authoritative guidance, such payments that the Company receives from its landlord are deemed to be a financing obligation. The Company allocates a portion of its lease payments on these facilities between the Buildings and the land on which the Buildings are constructed, based on the initial estimated relative fair values of the land and Buildings. The land element of the lease is treated for accounting purposes as an operating lease.</w:t>
      </w:r>
    </w:p>
    <w:p>
      <w:pPr>
        <w:spacing w:after="0" w:line="22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 respect to Buildings A and B, monthly lease payments commenced in August 2009, the buildings were placed in service by the Company in September 2009, and the imputed interest rate applicable to the Company's facility lease obligation is approximately 11%. With respect to Building C, monthly lease payments commenced in January 2011, the building was placed in service by the Company in February 2011, and the imputed interest rate applicable to the Company's facility lease obligation is approximately 9%. In 2013, 2012, and 2011, the Company recognized $16.2 million, $16.0 million, and $15.6 million,</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F- 28</w:t>
      </w:r>
    </w:p>
    <w:p>
      <w:pPr>
        <w:sectPr>
          <w:pgSz w:w="11900" w:h="16838" w:orient="portrait"/>
          <w:cols w:equalWidth="0" w:num="1">
            <w:col w:w="11420"/>
          </w:cols>
          <w:pgMar w:left="240" w:top="130" w:right="239" w:bottom="1440" w:gutter="0" w:footer="0" w:header="0"/>
          <w:type w:val="continuous"/>
        </w:sectPr>
      </w:pPr>
    </w:p>
    <w:bookmarkStart w:id="120" w:name="page121"/>
    <w:bookmarkEnd w:id="1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respectively, of interest expense in connection with the Buildings A and B and the Building C facility lease obligations. At December 31, 2013 and 2012, the Buildings A and B facility lease obligation balance was $111.2 million and $112.0 million, respectively, and the Building C facility lease obligation balance was $49.1 million and $48.8 million, respectively.</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commitments under these facility lease obligations, as of December 31, 2013, are as follows:</w:t>
      </w:r>
    </w:p>
    <w:p>
      <w:pPr>
        <w:spacing w:after="0" w:line="302" w:lineRule="exact"/>
        <w:rPr>
          <w:sz w:val="20"/>
          <w:szCs w:val="20"/>
          <w:color w:val="auto"/>
        </w:rPr>
      </w:pPr>
    </w:p>
    <w:tbl>
      <w:tblPr>
        <w:tblLayout w:type="fixed"/>
        <w:tblInd w:w="28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Buildings A</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4"/>
        </w:trPr>
        <w:tc>
          <w:tcPr>
            <w:tcW w:w="184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1"/>
              </w:rPr>
              <w:t>and B</w:t>
            </w:r>
          </w:p>
        </w:tc>
        <w:tc>
          <w:tcPr>
            <w:tcW w:w="160" w:type="dxa"/>
            <w:vAlign w:val="bottom"/>
          </w:tcPr>
          <w:p>
            <w:pPr>
              <w:spacing w:after="0"/>
              <w:rPr>
                <w:sz w:val="16"/>
                <w:szCs w:val="16"/>
                <w:color w:val="auto"/>
              </w:rPr>
            </w:pPr>
          </w:p>
        </w:tc>
        <w:tc>
          <w:tcPr>
            <w:tcW w:w="12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Building C</w:t>
            </w:r>
          </w:p>
        </w:tc>
        <w:tc>
          <w:tcPr>
            <w:tcW w:w="280" w:type="dxa"/>
            <w:vAlign w:val="bottom"/>
          </w:tcPr>
          <w:p>
            <w:pPr>
              <w:spacing w:after="0"/>
              <w:rPr>
                <w:sz w:val="16"/>
                <w:szCs w:val="16"/>
                <w:color w:val="auto"/>
              </w:rPr>
            </w:pPr>
          </w:p>
        </w:tc>
        <w:tc>
          <w:tcPr>
            <w:tcW w:w="98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17,726</w:t>
            </w:r>
          </w:p>
        </w:tc>
      </w:tr>
      <w:tr>
        <w:trPr>
          <w:trHeight w:val="243"/>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18,107</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18,498</w:t>
            </w:r>
          </w:p>
        </w:tc>
      </w:tr>
      <w:tr>
        <w:trPr>
          <w:trHeight w:val="243"/>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18,897</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19,307</w:t>
            </w:r>
          </w:p>
        </w:tc>
      </w:tr>
      <w:tr>
        <w:trPr>
          <w:trHeight w:val="243"/>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146,667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211,741</w:t>
            </w:r>
          </w:p>
        </w:tc>
      </w:tr>
      <w:tr>
        <w:trPr>
          <w:trHeight w:val="27"/>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304,276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Commencing in the second quarter of 2013, the Company began capitalizing the landlord's costs of constructing Buildings D and E, which totaled $25.0 million at December 31, 2013, and recognized a corresponding facility lease obligation. Rent expense in connection with the land element of these new facilities also commenced in the second quarter of 2013 and is recorded as a deferred liability until lease payments commence, which is expected to be in 2015. Rent payments will be based on the landlord's costs of construction and tenant allowances, and will include additional charges for utilities, taxes, and operating expenses.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As part of the Company's research and development efforts, the Company enters into research collaboration and licensing agreements with related and unrelated companies, scientific collaborators, universities, and consultants.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1% to 16.5%, in the event the Company sells or licenses any proprietary products developed under the respective agreements.</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described in Note 4, the Company has contingent reimbursement obligations to its collaborators Sanofi and Bayer HealthCare once the applicable collaboration becomes profitable.</w:t>
      </w:r>
    </w:p>
    <w:p>
      <w:pPr>
        <w:spacing w:after="0" w:line="224"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December 2011, the Company and Genentech, a member of the Roche Group, entered into a Non-Exclusive License and Partial Settlement Agreement (the “Original Genentech Agreement”) that covered making, using, and selling EYLEA for the prevention of human eye diseases and disorders in the United States, and ended the litigation relating to those matters. Pursuant to the Original Genentech Agreement, the Company received a non-exclusive license to certain patents relating to VEGF receptor proteins, known as the Davis-Smyth patents, and other technology patents. The Original Genentech Agreement provided for the Company to make payments to Genentech based on U.S. sales of EYLEA commencing upon FDA approval of EYLEA in November 2011 through May 7, 2016. The Company made a one-time, non-refundable $60.0 million payment during 2012 upon cumulative U.S. sales of EYLEA reaching $400 million, and is obligated to pay royalties of 4.75% on cumulative U.S. sales of EYLEA between $400 million and $3 billion and 5.5% on any cumulative U.S sales of EYLEA over $3 billion. As the Company records net product sales of EYLEA, the Company is recognizing expense in connection with the Genentech Agreement using a blended mid-single digit royalty rate that reflects both the $60.0 million payment and the royalties payable on cumulative sales and that is based upon the Company's estimate of cumulative EYLEA sales through May 7, 2016.</w:t>
      </w:r>
    </w:p>
    <w:p>
      <w:pPr>
        <w:spacing w:after="0" w:line="22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Effective May 17, 2013, the Company entered into an Amended and Restated Non-Exclusive License and Settlement Agreement with Genentech (the "Amended Genentech Agreement"), which amended the Original Genentech Agreement to now include all sales of EYLEA worldwide and ended the litigation relating to those matters. Under the Amended Genentech Agreement, the Company received a worldwide non-exclusive license to the Davis-Smyth patents, and certain other patents, owned or co-owned by Genentech for the prevention or treatment of eye diseases and eye disorders in a human through administration of EYLEA to the eye. Under the Amended Genentech Agreement, the Company is obligated to make payments to Genentech based on sales of EYLEA in the United States, and EYLEA manufactured in the United States and sold outside the United States, through May 7,</w:t>
      </w:r>
    </w:p>
    <w:p>
      <w:pPr>
        <w:sectPr>
          <w:pgSz w:w="11900" w:h="16838" w:orient="portrait"/>
          <w:cols w:equalWidth="0" w:num="1">
            <w:col w:w="11420"/>
          </w:cols>
          <w:pgMar w:left="240" w:top="130"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F- 29</w:t>
      </w:r>
    </w:p>
    <w:p>
      <w:pPr>
        <w:sectPr>
          <w:pgSz w:w="11900" w:h="16838" w:orient="portrait"/>
          <w:cols w:equalWidth="0" w:num="1">
            <w:col w:w="11420"/>
          </w:cols>
          <w:pgMar w:left="240" w:top="130" w:right="239" w:bottom="1440" w:gutter="0" w:footer="0" w:header="0"/>
          <w:type w:val="continuous"/>
        </w:sectPr>
      </w:pPr>
    </w:p>
    <w:bookmarkStart w:id="121" w:name="page122"/>
    <w:bookmarkEnd w:id="1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2016 using the same milestone and royalty rates as in the Original Genentech Agreement. EYLEA is sold outside the United States by affiliates of Bayer HealthCare under the Company's license and collaboration agreement. All payments to Genentech under the Original Genentech Agreement and the Amended Genentech Agreement have been or will be made by the Company. Bayer HealthCare will share in all such payments based on the proportion of ex-U.S. EYLEA sales to worldwide EYLEA sales and determined consistent with the license and collaboration agreement.</w:t>
      </w:r>
    </w:p>
    <w:p>
      <w:pPr>
        <w:spacing w:after="0" w:line="9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Also on May 17, 2013, the Company entered into a Non-Exclusive License and Settlement Agreement (the "ZALTRAP Settlement Agreement") with Genentech and Sanofi under which the Company and Sanofi received a worldwide non-exclusive license to the Davis-Smyth patents, and certain other patents, in all indications for human use other than the prevention or treatment of eye diseases and eye disorders through administration to the eye. Under the terms of the ZALTRAP Settlement Agreement, payments are required to be made to Genentech based on sales of ZALTRAP in the United States and of ZALTRAP that is manufactured in the United States and sold outside the United States through May 7, 2016. A payment of $19 million is required to be made upon cumulative relevant sales of ZALTRAP reaching $200 million. In addition, royalty payments are required to be made to Genentech based upon 4.5% of cumulative relevant sales of ZALTRAP between $400 million and $1 billion and 6.5% of any cumulative relevant sales of ZALTRAP over $1 billion. All payments to Genentech under the ZALTRAP Settlement Agreement will be made by Sanofi, and the Company will share in all such payments.</w:t>
      </w:r>
    </w:p>
    <w:p>
      <w:pPr>
        <w:spacing w:after="0" w:line="8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recognizes royalty expense based on product sales of its commercial products under various licensing agreements, including, for EYLEA sales both inside and outside of the United States, the Genentech agreements described above. For the years ended December 31, 2013, 2012, and 2011, royalties on product sales totaled $128.1 million, $59.5 million, and $3.2 million, respectively.</w:t>
      </w:r>
    </w:p>
    <w:p>
      <w:pPr>
        <w:spacing w:after="0" w:line="2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July 2008, the Company and Cellectis S.A. (“Cellectis”) entered into an Amended and Restated Non-Exclusive License Agreement (the “Cellectis Agreement”). The Cellectis Agreement resolved a dispute between the parties related to the interpretation of a license agreement entered into by the parties in December 2003 pursuant to which the Company licensed certain patents and patent applications from Cellectis. Pursuant to the Cellectis Agreement, in July 2008, the Company made a non-refundable $12.5 million payment to Cellectis (the “Cellectis Payment”) and agreed to pay Cellectis a low single-digit royalty based on revenue received by the Company from any future licenses or sales of the Company's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or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products and services. No royalties are payable to Cellectis with respect to the Company's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agreements with AstraZeneca and Astellas or the Company's antibody collaboration with Sanofi. Moreover, no royalties are payable to Cellectis on any revenue from commercial sales of antibodies from the Company's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Company's Restated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September 2003, Sanofi purchased 2,799,552 newly issued, unregistered shares of the Company's Common Stock for $45.0 million. See Note 4.</w:t>
      </w:r>
    </w:p>
    <w:p>
      <w:pPr>
        <w:spacing w:after="0" w:line="29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December 2007, Sanofi purchased 12 million newly issued, unregistered shares of the Company's Common Stock for an aggregate cash price of $312.0 million. As a condition to the closing of this transaction, Sanofi entered into an investor agreement, as amended and restated in January 2014, with the Company. Under the terms of the amended and restated investor agreement, Sanofi has three demand rights to require the Company to use all reasonable efforts to conduct a registered underwritten public offering with respect to shares of the Company's Common Stock held by Sanofi from time to time. Under the amended and restated investor agreement, Sanofi has also agreed not to dispose of any shares of the Company's Common Stock beneficially owned by Sanofi from time to time until until the later of (i) December 20, 2020, and (ii) the expiration of the Discovery Agreement with Sanofi, as amended (see Note 4a) if the agreement is extended beyond December 20, 2020. These restrictions on dispositions are subject to earlier termination upon the occurrence of certain events, such as the consummation of a change-of-control transaction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F- 30</w:t>
      </w:r>
    </w:p>
    <w:p>
      <w:pPr>
        <w:sectPr>
          <w:pgSz w:w="11900" w:h="16838" w:orient="portrait"/>
          <w:cols w:equalWidth="0" w:num="1">
            <w:col w:w="11420"/>
          </w:cols>
          <w:pgMar w:left="240" w:top="130" w:right="23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involving the Company or the Company's dissolution or liquidation, and certain restrictions have been imposed on the manner of sales thereafter.</w:t>
      </w:r>
    </w:p>
    <w:p>
      <w:pPr>
        <w:spacing w:after="0" w:line="29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Further, pursuant to the amended and restated investor agreement, Sanofi is bound by certain “standstill” provisions, which contractually prohibit Sanofi from seeking to directly or indirectly exert control of the Company or acquiring more than 30% of the outstanding shares of the Company's Class A Stock and Common Stock (taken together). This prohibition will remain in place until the earliest of (i) the later of the fifth anniversaries of the expiration or earlier termination of the Company's License and Collaboration Agreement with Sanofi and the Company's ZALTRAP Agreement with Sanofi, each as amended (see Note 4a) and (ii) other specified events. Sanofi has also agreed to vote as recommended by the Company's board of directors, except that it may elect to vote proportionally with the votes cast by all of the Company's other shareholders with respect to certain change-of-control transactions, and to vote in its sole discretion with respect to liquidation or dissolution, stock issuances equal to or exceeding 20% of the then outstanding shares or voting rights of the Company's Class A Stock and Common Stock (taken together),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23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upon Sanofi reaching 20% ownership of the Company's then outstanding shares of Class A Stock and Common Stock (taken together), the Company is required to appoint an individual agreed upon by the Company and Sanofi to the Company's board of directors. This individual is required to be independent of the Company, and not to be a current or former officer, director, employee, or paid consultant of Sanofi.</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October 2010, the Company completed an underwritten public offering of 6,325,000 shares of Common Stock and received net proceeds of $174.8 million. Sanofi purchased 1,017,401 shares of Common Stock in this offering.</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October 2011, the Company completed a private placement of $400.0 million aggregate principal amount of Notes, which are convertible into shares of the Company's Common Stock. In accordance with accounting guidance for debt with conversion and other options, the Company accounted for the liability and equity components of the Notes separately. The equity component of the Notes was $120.6 million, net of issuance costs. In connection with the offering of the Notes, the Company entered into convertible note hedge and warrant transactions. The Company paid $117.5 million for the convertible note hedge, which was recorded as a reduction to additional paid-in capital. The warrant transactions have an initial strike price of approximately $103.41 per share, and may be settled in cash or shares of the Company's Common Stock, at the Company's option. Proceeds received from the warrant transactions totaled $93.8 million and were recorded as additional paid-in capital. The warrants expire at various dates during 2017. See Note 12.</w:t>
      </w:r>
    </w:p>
    <w:p>
      <w:pPr>
        <w:spacing w:after="0" w:line="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Company’s January 2014 license and collaboration agreement with Bayer HealthCare for the joint development and commercialization outside the United States of antibody product candidates to PDGFR-beta (see Note 4b), Bayer HealthCare has also agreed to a “standstill” provision, which prohibits Bayer HealthCare and its affiliates from seeking to influence the control of the Company or acquiring more than 20% of the Company’s then outstanding shares of Class A Stock and Common Stock (taken together).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Long-Term Incentive Plans</w:t>
      </w:r>
    </w:p>
    <w:p>
      <w:pPr>
        <w:spacing w:after="0" w:line="28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During 2000, the Company established the Regeneron Pharmaceuticals, Inc. 2000 Long-Term Incentive Plan which, as amended and restated and approved by the Company's shareholders (the “2000 Incentive Plan”), provides for the issuance of up to 41,307,016 shares of Common Stock in respect of awards. Employees of the Company, including officers, and nonemployees, including consultants and nonemployee members of the Company's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 The maximum term of options that have been awarded under the 2000 Incentive Plan is ten years.</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ectPr>
          <w:pgSz w:w="11900" w:h="16838" w:orient="portrait"/>
          <w:cols w:equalWidth="0" w:num="1">
            <w:col w:w="11420"/>
          </w:cols>
          <w:pgMar w:left="240" w:top="130" w:right="23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Should employment terminate, as specified in the 2000 Incentive Plan, except as determined by the Committee in its discretion and subject to the applicable 2000 Incentive Plan documents, the ownership of any unvested Restricted Stock will be transferred to the Company. In such an event, the Company will be obligated to repay the Participant the amount, if any, paid by the Participant for such shares. In addition, if the Company requires a return of the Restricted Stock, it also has the right to require a return of all dividends paid on such shares.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2000 Incentive Plan contains provisions that allow for the Committee to provide for the immediate vesting of awards upon a change in control of the Company, as defined in the plan.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2013, there were 4,378,884 shares available for future grants under the 2000 Incentive Plan.</w:t>
      </w:r>
    </w:p>
    <w:p>
      <w:pPr>
        <w:spacing w:after="0" w:line="279"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279"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Transactions involving stock option awards during 2013 under the 2000 Incentive Plan are summarized in the table below.</w:t>
      </w:r>
    </w:p>
    <w:p>
      <w:pPr>
        <w:spacing w:after="0" w:line="302"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Intrinsic Value</w:t>
            </w:r>
          </w:p>
        </w:tc>
      </w:tr>
      <w:tr>
        <w:trPr>
          <w:trHeight w:val="194"/>
        </w:trPr>
        <w:tc>
          <w:tcPr>
            <w:tcW w:w="40" w:type="dxa"/>
            <w:vAlign w:val="bottom"/>
          </w:tcPr>
          <w:p>
            <w:pPr>
              <w:spacing w:after="0"/>
              <w:rPr>
                <w:sz w:val="16"/>
                <w:szCs w:val="16"/>
                <w:color w:val="auto"/>
              </w:rPr>
            </w:pPr>
          </w:p>
        </w:tc>
        <w:tc>
          <w:tcPr>
            <w:tcW w:w="40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Stock Options:</w:t>
            </w:r>
          </w:p>
        </w:tc>
        <w:tc>
          <w:tcPr>
            <w:tcW w:w="14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0"/>
              </w:rPr>
              <w:t>Price</w:t>
            </w:r>
          </w:p>
        </w:tc>
        <w:tc>
          <w:tcPr>
            <w:tcW w:w="14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91"/>
              </w:rPr>
              <w:t>Term (in years)</w:t>
            </w:r>
          </w:p>
        </w:tc>
        <w:tc>
          <w:tcPr>
            <w:tcW w:w="1300" w:type="dxa"/>
            <w:vAlign w:val="bottom"/>
            <w:gridSpan w:val="2"/>
          </w:tcPr>
          <w:p>
            <w:pPr>
              <w:jc w:val="right"/>
              <w:ind w:right="10"/>
              <w:spacing w:after="0" w:line="194" w:lineRule="exact"/>
              <w:rPr>
                <w:sz w:val="20"/>
                <w:szCs w:val="20"/>
                <w:color w:val="auto"/>
              </w:rPr>
            </w:pPr>
            <w:r>
              <w:rPr>
                <w:rFonts w:ascii="Arial" w:cs="Arial" w:eastAsia="Arial" w:hAnsi="Arial"/>
                <w:sz w:val="18"/>
                <w:szCs w:val="18"/>
                <w:b w:val="1"/>
                <w:bCs w:val="1"/>
                <w:color w:val="auto"/>
                <w:w w:val="95"/>
              </w:rPr>
              <w:t>(in thousands)</w:t>
            </w:r>
          </w:p>
        </w:tc>
      </w:tr>
      <w:tr>
        <w:trPr>
          <w:trHeight w:val="48"/>
        </w:trPr>
        <w:tc>
          <w:tcPr>
            <w:tcW w:w="40" w:type="dxa"/>
            <w:vAlign w:val="bottom"/>
            <w:tcBorders>
              <w:bottom w:val="single" w:sz="8" w:color="CCEEFF"/>
            </w:tcBorders>
          </w:tcPr>
          <w:p>
            <w:pPr>
              <w:spacing w:after="0"/>
              <w:rPr>
                <w:sz w:val="4"/>
                <w:szCs w:val="4"/>
                <w:color w:val="auto"/>
              </w:rPr>
            </w:pPr>
          </w:p>
        </w:tc>
        <w:tc>
          <w:tcPr>
            <w:tcW w:w="560" w:type="dxa"/>
            <w:vAlign w:val="bottom"/>
            <w:tcBorders>
              <w:top w:val="single" w:sz="8" w:color="auto"/>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29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20,789,511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0" w:type="dxa"/>
            <w:vAlign w:val="bottom"/>
            <w:gridSpan w:val="2"/>
          </w:tcPr>
          <w:p>
            <w:pPr>
              <w:ind w:left="40"/>
              <w:spacing w:after="0"/>
              <w:rPr>
                <w:sz w:val="20"/>
                <w:szCs w:val="20"/>
                <w:color w:val="auto"/>
              </w:rPr>
            </w:pPr>
            <w:r>
              <w:rPr>
                <w:rFonts w:ascii="Arial" w:cs="Arial" w:eastAsia="Arial" w:hAnsi="Arial"/>
                <w:sz w:val="18"/>
                <w:szCs w:val="18"/>
                <w:b w:val="1"/>
                <w:bCs w:val="1"/>
                <w:color w:val="auto"/>
              </w:rPr>
              <w:t>2013:</w:t>
            </w: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3,937,989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Expired</w:t>
            </w:r>
          </w:p>
        </w:tc>
        <w:tc>
          <w:tcPr>
            <w:tcW w:w="128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Outstanding at December 31, 2013</w:t>
            </w:r>
          </w:p>
        </w:tc>
        <w:tc>
          <w:tcPr>
            <w:tcW w:w="1280" w:type="dxa"/>
            <w:vAlign w:val="bottom"/>
          </w:tcPr>
          <w:p>
            <w:pPr>
              <w:jc w:val="right"/>
              <w:spacing w:after="0"/>
              <w:rPr>
                <w:sz w:val="20"/>
                <w:szCs w:val="20"/>
                <w:color w:val="auto"/>
              </w:rPr>
            </w:pPr>
            <w:r>
              <w:rPr>
                <w:rFonts w:ascii="Arial" w:cs="Arial" w:eastAsia="Arial" w:hAnsi="Arial"/>
                <w:sz w:val="18"/>
                <w:szCs w:val="18"/>
                <w:color w:val="auto"/>
              </w:rPr>
              <w:t>21,408,268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98.10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3,811,441</w:t>
            </w:r>
          </w:p>
        </w:tc>
      </w:tr>
      <w:tr>
        <w:trPr>
          <w:trHeight w:val="27"/>
        </w:trPr>
        <w:tc>
          <w:tcPr>
            <w:tcW w:w="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7"/>
              </w:rPr>
              <w:t>Vested and expected to vest at December 31, 2013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20,875,388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3,768,120</w:t>
            </w:r>
          </w:p>
        </w:tc>
      </w:tr>
      <w:tr>
        <w:trPr>
          <w:trHeight w:val="189"/>
        </w:trPr>
        <w:tc>
          <w:tcPr>
            <w:tcW w:w="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3"/>
        </w:trPr>
        <w:tc>
          <w:tcPr>
            <w:tcW w:w="40" w:type="dxa"/>
            <w:vAlign w:val="bottom"/>
            <w:shd w:val="clear" w:color="auto" w:fill="CCEEFF"/>
          </w:tcPr>
          <w:p>
            <w:pPr>
              <w:spacing w:after="0"/>
              <w:rPr>
                <w:sz w:val="21"/>
                <w:szCs w:val="21"/>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Exercisable at December 31, 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11,322,801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2,709,278</w:t>
            </w:r>
          </w:p>
        </w:tc>
      </w:tr>
      <w:tr>
        <w:trPr>
          <w:trHeight w:val="27"/>
        </w:trPr>
        <w:tc>
          <w:tcPr>
            <w:tcW w:w="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2013, 2012, and 2011 was $727.5 million, $566.7 million, and $49.2 million, respectively. The intrinsic value represents the amount by which the market price of the underlying stock exceeds the exercise price of an option.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130" w:right="23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grants stock options with exercise prices that are equal to or greater than the average market price of the Company's Common Stock on the date of grant (“Market Price”). The table below summarizes the weighted-average exercise prices and weighted-average grant-date fair values of options issued during the years ended December 31, 2013, 2012, and 2011. The fair value of each option granted under the 2000 Incentive Plan during 2013, 2012, and 2011 was estimated on the date of grant using the Black-Scholes option-pricing model.</w:t>
      </w:r>
    </w:p>
    <w:p>
      <w:pPr>
        <w:spacing w:after="0" w:line="264"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Fair</w:t>
            </w:r>
          </w:p>
        </w:tc>
      </w:tr>
      <w:tr>
        <w:trPr>
          <w:trHeight w:val="234"/>
        </w:trPr>
        <w:tc>
          <w:tcPr>
            <w:tcW w:w="42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Granted</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2013:</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3,937,989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104.90</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2012:</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4,162,653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67.66</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2011:</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4,286,640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23.82</w:t>
            </w:r>
          </w:p>
        </w:tc>
      </w:tr>
    </w:tbl>
    <w:p>
      <w:pPr>
        <w:spacing w:after="0" w:line="14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 years ended December 31, 2013, 2012, and 2011, the Company recognized $177.9 million, $67.7 million, and $39.2 million, respectively, of non-cash stock-based compensation expense related to non-performance based stock option awards. As of December 31, 2013, there was $492.5 million of stock-based compensation cost related to outstanding non-performance based stock options, net of estimated forfeitures, which had not yet been recognized. The Company expects to recognize this compensation cost over a weighted-average period of 1.8 years.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addition, there were a total of 770,250 performance-based options issued in 2011 which were outstanding and unvested as of December 31, 2013, and subject to the optionee satisfying certain service conditions, would vest upon achieving certain development milestones for the Company's product candidates. In light of the Company's receipt of regulatory approvals for EYLEA and ZALTRAP, and the status of the Company's development programs at December 31, 2013, the Company estimates that all of the outstanding performance-based options issued in 2011 will vest.</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the years ended December 31, 2013, 2012, and 2011, the Company recognized $8.1 million, $15.3 million, and $11.7 million, respectively, of non-cash stock-based compensation expense related to performance options. As of December 31, 2013 there was $4.2 million of stock-based compensation cost which had not yet been recognized related to the performance-based options that the Company currently estimates will vest. The Company expects to recognize this compensation cost over a weighted-average period of 1.0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2013, 2012, and 2011.</w:t>
      </w:r>
    </w:p>
    <w:p>
      <w:pPr>
        <w:spacing w:after="0" w:line="247"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7"/>
        </w:trPr>
        <w:tc>
          <w:tcPr>
            <w:tcW w:w="32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lives from grant date</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5.3 years</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5.4 years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6.1 years</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r>
    </w:tbl>
    <w:p>
      <w:pPr>
        <w:spacing w:after="0" w:line="14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20"/>
          </w:cols>
          <w:pgMar w:left="240" w:top="130" w:right="23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w:t>
      </w:r>
    </w:p>
    <w:p>
      <w:pPr>
        <w:spacing w:after="0" w:line="279"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A summary of the Company's activity related to Restricted Stock awards for the year ended December 31, 2013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2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Date Fair</w:t>
            </w:r>
          </w:p>
        </w:tc>
      </w:tr>
      <w:tr>
        <w:trPr>
          <w:trHeight w:val="194"/>
        </w:trPr>
        <w:tc>
          <w:tcPr>
            <w:tcW w:w="20" w:type="dxa"/>
            <w:vAlign w:val="bottom"/>
          </w:tcPr>
          <w:p>
            <w:pPr>
              <w:spacing w:after="0"/>
              <w:rPr>
                <w:sz w:val="16"/>
                <w:szCs w:val="16"/>
                <w:color w:val="auto"/>
              </w:rPr>
            </w:pPr>
          </w:p>
        </w:tc>
        <w:tc>
          <w:tcPr>
            <w:tcW w:w="40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Restricted Stock:</w:t>
            </w:r>
          </w:p>
        </w:tc>
        <w:tc>
          <w:tcPr>
            <w:tcW w:w="116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6"/>
                <w:szCs w:val="16"/>
                <w:color w:val="auto"/>
              </w:rPr>
            </w:pPr>
          </w:p>
        </w:tc>
        <w:tc>
          <w:tcPr>
            <w:tcW w:w="1040" w:type="dxa"/>
            <w:vAlign w:val="bottom"/>
          </w:tcPr>
          <w:p>
            <w:pPr>
              <w:jc w:val="center"/>
              <w:ind w:right="50"/>
              <w:spacing w:after="0" w:line="194" w:lineRule="exact"/>
              <w:rPr>
                <w:sz w:val="20"/>
                <w:szCs w:val="20"/>
                <w:color w:val="auto"/>
              </w:rPr>
            </w:pPr>
            <w:r>
              <w:rPr>
                <w:rFonts w:ascii="Arial" w:cs="Arial" w:eastAsia="Arial" w:hAnsi="Arial"/>
                <w:sz w:val="18"/>
                <w:szCs w:val="18"/>
                <w:b w:val="1"/>
                <w:bCs w:val="1"/>
                <w:color w:val="auto"/>
                <w:w w:val="87"/>
              </w:rPr>
              <w:t>Value</w:t>
            </w:r>
          </w:p>
        </w:tc>
      </w:tr>
      <w:tr>
        <w:trPr>
          <w:trHeight w:val="48"/>
        </w:trPr>
        <w:tc>
          <w:tcPr>
            <w:tcW w:w="20" w:type="dxa"/>
            <w:vAlign w:val="bottom"/>
            <w:tcBorders>
              <w:bottom w:val="single" w:sz="8" w:color="CCEEFF"/>
            </w:tcBorders>
          </w:tcPr>
          <w:p>
            <w:pPr>
              <w:spacing w:after="0"/>
              <w:rPr>
                <w:sz w:val="4"/>
                <w:szCs w:val="4"/>
                <w:color w:val="auto"/>
              </w:rPr>
            </w:pPr>
          </w:p>
        </w:tc>
        <w:tc>
          <w:tcPr>
            <w:tcW w:w="1340" w:type="dxa"/>
            <w:vAlign w:val="bottom"/>
            <w:tcBorders>
              <w:top w:val="single" w:sz="8" w:color="auto"/>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96.68</w:t>
            </w:r>
          </w:p>
        </w:tc>
      </w:tr>
      <w:tr>
        <w:trPr>
          <w:trHeight w:val="243"/>
        </w:trPr>
        <w:tc>
          <w:tcPr>
            <w:tcW w:w="20" w:type="dxa"/>
            <w:vAlign w:val="bottom"/>
          </w:tcPr>
          <w:p>
            <w:pPr>
              <w:spacing w:after="0"/>
              <w:rPr>
                <w:sz w:val="21"/>
                <w:szCs w:val="21"/>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18"/>
                <w:szCs w:val="18"/>
                <w:color w:val="auto"/>
              </w:rPr>
              <w:t>Granted</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272.70</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57"/>
        </w:trPr>
        <w:tc>
          <w:tcPr>
            <w:tcW w:w="20" w:type="dxa"/>
            <w:vAlign w:val="bottom"/>
          </w:tcPr>
          <w:p>
            <w:pPr>
              <w:spacing w:after="0"/>
              <w:rPr>
                <w:sz w:val="22"/>
                <w:szCs w:val="22"/>
                <w:color w:val="auto"/>
              </w:rPr>
            </w:pPr>
          </w:p>
        </w:tc>
        <w:tc>
          <w:tcPr>
            <w:tcW w:w="4080" w:type="dxa"/>
            <w:vAlign w:val="bottom"/>
            <w:gridSpan w:val="2"/>
          </w:tcPr>
          <w:p>
            <w:pPr>
              <w:ind w:left="700"/>
              <w:spacing w:after="0"/>
              <w:rPr>
                <w:sz w:val="20"/>
                <w:szCs w:val="20"/>
                <w:color w:val="auto"/>
              </w:rPr>
            </w:pPr>
            <w:r>
              <w:rPr>
                <w:rFonts w:ascii="Arial" w:cs="Arial" w:eastAsia="Arial" w:hAnsi="Arial"/>
                <w:sz w:val="18"/>
                <w:szCs w:val="18"/>
                <w:color w:val="auto"/>
              </w:rPr>
              <w:t>Outstanding at December 31, 2013</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538,580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112.16</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recognized non-cash stock-based compensation expense from Restricted Stock awards of $14.1 million, $11.1 million, and $5.7 million in 2013, 2012, and 2011, respectively. As of December 31, 2013, there were 538,580 unvested shares of Restricted Stock outstanding and $43.7 million of stock-based compensation cost related to these unvested shares which had not yet been recognized. The Company expects to recognize this compensation cost over a weighted-average period of 3.8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Executive Stock Purchase Plan</w:t>
      </w:r>
    </w:p>
    <w:p>
      <w:pPr>
        <w:spacing w:after="0" w:line="28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2013, there were 44,246 shares available for future grants under the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Employee Savings Plan</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 the Company to make discretionary contributions (“Contribution”), as defined. The Company recognized $5.7 million, $6.3 million, and $4.1 million of Contribution expense in 2013, 2012, and 2011, respectively. During the first quarter of 2014, 2013, and 2012, the Company contributed 20,603, 38,248, and 63,937 shares, respectively, of Common Stock to the Savings Plan in satisfaction of the 2013, 2012, and 2011 Contribution, respectively</w:t>
      </w:r>
      <w:r>
        <w:rPr>
          <w:rFonts w:ascii="Arial" w:cs="Arial" w:eastAsia="Arial" w:hAnsi="Arial"/>
          <w:sz w:val="16"/>
          <w:szCs w:val="16"/>
          <w:color w:val="0000FF"/>
        </w:rPr>
        <w: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130" w:right="23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is subject to U.S. federal, state, and foreign income taxes. Income tax expense (benefit) for the years ended December 31, 2013 and 2012 consists of the following:</w:t>
      </w:r>
    </w:p>
    <w:p>
      <w:pPr>
        <w:spacing w:after="0" w:line="383" w:lineRule="exact"/>
        <w:rPr>
          <w:sz w:val="20"/>
          <w:szCs w:val="20"/>
          <w:color w:val="auto"/>
        </w:rPr>
      </w:pPr>
    </w:p>
    <w:tbl>
      <w:tblPr>
        <w:tblLayout w:type="fixed"/>
        <w:tblInd w:w="218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56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201,475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43"/>
        </w:trPr>
        <w:tc>
          <w:tcPr>
            <w:tcW w:w="4020" w:type="dxa"/>
            <w:vAlign w:val="bottom"/>
          </w:tcPr>
          <w:p>
            <w:pPr>
              <w:ind w:left="56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tax expense (benefit)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(300,319)</w:t>
            </w:r>
          </w:p>
        </w:tc>
      </w:tr>
      <w:tr>
        <w:trPr>
          <w:trHeight w:val="243"/>
        </w:trPr>
        <w:tc>
          <w:tcPr>
            <w:tcW w:w="4020" w:type="dxa"/>
            <w:vAlign w:val="bottom"/>
          </w:tcPr>
          <w:p>
            <w:pPr>
              <w:ind w:left="56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(39,837)</w:t>
            </w: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tcPr>
          <w:p>
            <w:pPr>
              <w:ind w:left="720"/>
              <w:spacing w:after="0"/>
              <w:rPr>
                <w:sz w:val="20"/>
                <w:szCs w:val="20"/>
                <w:color w:val="auto"/>
              </w:rPr>
            </w:pPr>
            <w:r>
              <w:rPr>
                <w:rFonts w:ascii="Arial" w:cs="Arial" w:eastAsia="Arial" w:hAnsi="Arial"/>
                <w:sz w:val="18"/>
                <w:szCs w:val="18"/>
                <w:color w:val="auto"/>
              </w:rPr>
              <w:t>Total deferred tax expense (benefit)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(340,156)</w:t>
            </w: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(335,848)</w:t>
            </w:r>
          </w:p>
        </w:tc>
      </w:tr>
      <w:tr>
        <w:trPr>
          <w:trHeight w:val="20"/>
        </w:trPr>
        <w:tc>
          <w:tcPr>
            <w:tcW w:w="4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2013, the Company utilized substantially all of the net operating loss carry-forwards for which deferred tax assets were recorded as of December 31, 2012. The Company also utilized $216.9 million of net operating loss carry-forwards related to exercises of Nonqualified Stock Options and disqualifying dispositions of ISOs, which were credited to additional paid-in capital as realized.</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year ended December 31, 2012, substantially all income tax expense relating to the Company's pre-tax income was offset by releasing a portion of the Company's valuation allowance. In addition, in the fourth quarter of 2012, the Company recorded a $340.2 million income tax benefit attributable to the release of substantially all of the remaining valuation allowance against the Company's deferred tax assets. The decision to release this valuation allowance was made after the Company determined that it was more likely than not that these deferred tax assets would be realized, and was based on the evaluation and weighting of positive and negative evidence. For example, in the fourth quarter of 2012, the Company achieved a cumulative three-year income position; a significant positive factor that overcame substantive prior negative evidence. In addition, the Company considered forecasts of future operating results and utilization of net operating losses and tax credits prior to their expiration.</w:t>
      </w:r>
    </w:p>
    <w:p>
      <w:pPr>
        <w:spacing w:after="0" w:line="23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 year ended December 31, 2011, the Company incurred a net loss for tax purposes and recognized a full valuation allowance against deferred taxes. In 2011, the Company recognized a $1.1 million income tax benefit, consisting of (i) $0.7 million related to tax legislation that allowed the Company to claim a refund for a portion of its unused pre-2006 research tax credits and (ii) $0.4 million in connection with the net tax effect of the change in the Company's unrealized gain (loss) on “available for sale” marketable securities, which was included in other comprehensive income (loss).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F- 35</w:t>
      </w:r>
    </w:p>
    <w:p>
      <w:pPr>
        <w:sectPr>
          <w:pgSz w:w="11900" w:h="16838" w:orient="portrait"/>
          <w:cols w:equalWidth="0" w:num="1">
            <w:col w:w="11420"/>
          </w:cols>
          <w:pgMar w:left="240" w:top="130" w:right="23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w w:val="94"/>
              </w:rPr>
              <w:t>A reconciliation of the U.S. statutory income tax rate to the Company's effective income tax rate is as follows:</w:t>
            </w:r>
          </w:p>
        </w:tc>
        <w:tc>
          <w:tcPr>
            <w:tcW w:w="1240" w:type="dxa"/>
            <w:vAlign w:val="bottom"/>
          </w:tcPr>
          <w:p>
            <w:pPr>
              <w:spacing w:after="0"/>
              <w:rPr>
                <w:sz w:val="20"/>
                <w:szCs w:val="20"/>
                <w:color w:val="auto"/>
              </w:rPr>
            </w:pPr>
          </w:p>
        </w:tc>
      </w:tr>
      <w:tr>
        <w:trPr>
          <w:trHeight w:val="513"/>
        </w:trPr>
        <w:tc>
          <w:tcPr>
            <w:tcW w:w="14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7"/>
        </w:trPr>
        <w:tc>
          <w:tcPr>
            <w:tcW w:w="146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46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14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State and local income taxes</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5.4</w:t>
            </w:r>
          </w:p>
        </w:tc>
      </w:tr>
      <w:tr>
        <w:trPr>
          <w:trHeight w:val="27"/>
        </w:trPr>
        <w:tc>
          <w:tcPr>
            <w:tcW w:w="14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46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state effective rate</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r>
      <w:tr>
        <w:trPr>
          <w:trHeight w:val="243"/>
        </w:trPr>
        <w:tc>
          <w:tcPr>
            <w:tcW w:w="14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Other non-deductible and permanent differences</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2.8</w:t>
            </w:r>
          </w:p>
        </w:tc>
      </w:tr>
      <w:tr>
        <w:trPr>
          <w:trHeight w:val="27"/>
        </w:trPr>
        <w:tc>
          <w:tcPr>
            <w:tcW w:w="14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46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income tax rate differential</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43"/>
        </w:trPr>
        <w:tc>
          <w:tcPr>
            <w:tcW w:w="14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Income tax credits</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
        </w:trPr>
        <w:tc>
          <w:tcPr>
            <w:tcW w:w="14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146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Reclassification of net operating losses related to exercises of</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146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r>
      <w:tr>
        <w:trPr>
          <w:trHeight w:val="243"/>
        </w:trPr>
        <w:tc>
          <w:tcPr>
            <w:tcW w:w="14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Provision (benefit) attributable to valuation allowances</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(139.0)</w:t>
            </w:r>
          </w:p>
        </w:tc>
      </w:tr>
      <w:tr>
        <w:trPr>
          <w:trHeight w:val="27"/>
        </w:trPr>
        <w:tc>
          <w:tcPr>
            <w:tcW w:w="146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46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Effective income tax rate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14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2013, the difference between the U.S. federal statutory rate of 35% and the Company’s effective tax rate of 40.5% is primarily attributable to increases related to state and local taxes, the non-deductible Branded Prescription Drug Fee, and losses incurred in foreign jurisdictions with rates lower than the federal statutory rate. These increases were partially offset by federal and state income tax credits. In January, 2013, The American Taxpayer Relief Act was enacted, which included a provision to extend the income tax credit for increased research activities retroactively to the tax year ended December 31, 2012, as well as for 2013. As a result of the extension, during 2013, the Company recognized the benefit of both the 2012 and 2013 federal research tax credit, which totaled $34.0 million.</w:t>
      </w:r>
    </w:p>
    <w:p>
      <w:pPr>
        <w:spacing w:after="0" w:line="1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2012, the difference between the U.S. federal statutory rate of 35% and the Company’s effective tax rate of (81.1)% was primarily attributable to the benefit of the impact of releasing substantially all of the valuation allowance against deferred tax assets as discussed above, partly offset by increases related to state and local income taxes and non-deductible expenses.</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2011, the difference between the Company's effective income tax rate and the U.S federal statutory rate of 35% was primarily attributable to an increase in the Company's deferred tax valuation allowance.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130" w:right="23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01"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As of December 31,</w:t>
            </w:r>
          </w:p>
        </w:tc>
      </w:tr>
      <w:tr>
        <w:trPr>
          <w:trHeight w:val="27"/>
        </w:trPr>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r>
      <w:tr>
        <w:trPr>
          <w:trHeight w:val="27"/>
        </w:trPr>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77,119</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99,659</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53,367</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Income tax credit carry-forwards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71,164</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research and development costs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24,437</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23,511</w:t>
            </w:r>
          </w:p>
        </w:tc>
      </w:tr>
      <w:tr>
        <w:trPr>
          <w:trHeight w:val="27"/>
        </w:trPr>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350,637</w:t>
            </w:r>
          </w:p>
        </w:tc>
      </w:tr>
      <w:tr>
        <w:trPr>
          <w:trHeight w:val="243"/>
        </w:trPr>
        <w:tc>
          <w:tcPr>
            <w:tcW w:w="456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(2,486)</w:t>
            </w:r>
          </w:p>
        </w:tc>
      </w:tr>
      <w:tr>
        <w:trPr>
          <w:trHeight w:val="27"/>
        </w:trPr>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348,151</w:t>
            </w:r>
          </w:p>
        </w:tc>
      </w:tr>
      <w:tr>
        <w:trPr>
          <w:trHeight w:val="318"/>
        </w:trPr>
        <w:tc>
          <w:tcPr>
            <w:tcW w:w="45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Accruals</w:t>
            </w:r>
          </w:p>
        </w:tc>
        <w:tc>
          <w:tcPr>
            <w:tcW w:w="2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(6,824)</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37"/>
        </w:trPr>
        <w:tc>
          <w:tcPr>
            <w:tcW w:w="4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(7,995)</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45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276,555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340,156</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2013, the Company's net deferred tax assets (before valuation allowance) decreased primarily due to utilization of the deferred tax assets relating to net operating loss carry-forward and tax credits to offset tax liabilities associated with the Company's 2013 pre-tax income. These decreases in deferred tax assets were partially offset by increases in the deferred tax assets related to deferred compensation. At December 31, 2013, the Company has retained a valuation allowance against certain state tax credits and other tax-related carry-forwards, as the realizability of these deferred tax assets within the carry-forward period is uncertain.</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2012, the Company's net deferred tax assets (before valuation allowance) decreased, due primarily to utilization of a portion of the net operating loss carry-forward deferred tax asset to offset potential tax liabilities associated with the Company's 2012 pre-tax income. In addition, as described above, (i) substantially all income tax expense related to the Company's 2012 pre-tax income was offset by releasing a portion of the Company's valuation allowance during 2012 and (ii) in the fourth quarter of 2012, the Company released substantially all of the remaining valuation allowance against the Company's deferred tax assets, resulting in the recognition of a $340.2 million income tax benefit.</w:t>
      </w:r>
    </w:p>
    <w:p>
      <w:pPr>
        <w:spacing w:after="0" w:line="24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As of December 31, 2013, the Company had available for tax purposes unused federal and state net operating loss carry-forwards of $450.4 million which will expire in various years from 2018 to 2032. The tax benefit of these net operating loss carry-forwards related to exercises of Nonqualified Stock Options and disqualifying dispositions of Incentive Stock Options, which will be credited to additional paid-in capital when realized. The Internal Revenue Code contains certain provisions that can limit a taxpayer's ability to utilize net operating losses and tax credit carry-forwards in any given year resulting from cumulative changes in ownership interests in excess of 50% over a three-year period. The Company does not believe, however, that any such limitation would have a significant impact on the Company's ability to utilize its net operating losses or income tax credit carry-forwards prior to expiration.</w:t>
      </w:r>
    </w:p>
    <w:p>
      <w:pPr>
        <w:spacing w:after="0" w:line="21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2011 federal income tax return is currently under audit by the Internal Revenue Service. In 2011 and early 2012, U.S. federal tax authorities concluded examinations of the Company's 2007, 2008, and 2009 federal income tax returns. The Company's 2009, 2010, and 2011 New York State returns are currently under audit by the state tax authorities. The United States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F- 37</w:t>
      </w:r>
    </w:p>
    <w:p>
      <w:pPr>
        <w:sectPr>
          <w:pgSz w:w="11900" w:h="16838" w:orient="portrait"/>
          <w:cols w:equalWidth="0" w:num="1">
            <w:col w:w="11420"/>
          </w:cols>
          <w:pgMar w:left="240" w:top="130" w:right="239" w:bottom="1440" w:gutter="0" w:footer="0" w:header="0"/>
          <w:type w:val="continuous"/>
        </w:sectPr>
      </w:pPr>
    </w:p>
    <w:bookmarkStart w:id="129" w:name="page130"/>
    <w:bookmarkEnd w:id="1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and many states generally have statutes of limitation ranging from 3 to 5 years; however, those statutes could be extended due to the Company's net operating loss carry-forward position in a number of the Company's tax jurisdictions. In general, tax authorities have the ability to review income tax returns for loss periods in which the statute of limitation has previously expired to adjust the net operating loss carry-forward or tax credits generated in those years.</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summarizes the gross amounts of unrecognized tax benefits, without regard to reduction in tax liabilities or additions to deferred tax assets and liabilities if such unrecognized tax benefits were settled. The amount, if recognized, that would impact the effective tax rate is $23.5 million, $8.4 million, and $4.2 million as of December 31, 2013, 2012, and 2011, respectively.</w:t>
      </w:r>
    </w:p>
    <w:p>
      <w:pPr>
        <w:spacing w:after="0" w:line="258"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r>
      <w:tr>
        <w:trPr>
          <w:trHeight w:val="243"/>
        </w:trPr>
        <w:tc>
          <w:tcPr>
            <w:tcW w:w="4860" w:type="dxa"/>
            <w:vAlign w:val="bottom"/>
          </w:tcPr>
          <w:p>
            <w:pPr>
              <w:ind w:left="200"/>
              <w:spacing w:after="0"/>
              <w:rPr>
                <w:sz w:val="20"/>
                <w:szCs w:val="20"/>
                <w:color w:val="auto"/>
              </w:rPr>
            </w:pPr>
            <w:r>
              <w:rPr>
                <w:rFonts w:ascii="Arial" w:cs="Arial" w:eastAsia="Arial" w:hAnsi="Arial"/>
                <w:sz w:val="18"/>
                <w:szCs w:val="18"/>
                <w:color w:val="auto"/>
              </w:rPr>
              <w:t>Gross increases related to current year tax positions</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increases related to prior year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tcPr>
          <w:p>
            <w:pPr>
              <w:ind w:left="200"/>
              <w:spacing w:after="0"/>
              <w:rPr>
                <w:sz w:val="20"/>
                <w:szCs w:val="20"/>
                <w:color w:val="auto"/>
              </w:rPr>
            </w:pPr>
            <w:r>
              <w:rPr>
                <w:rFonts w:ascii="Arial" w:cs="Arial" w:eastAsia="Arial" w:hAnsi="Arial"/>
                <w:sz w:val="18"/>
                <w:szCs w:val="18"/>
                <w:color w:val="auto"/>
                <w:w w:val="91"/>
              </w:rPr>
              <w:t>Gross decrease due to settlements, recapture, filed returns, and</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860" w:type="dxa"/>
            <w:vAlign w:val="bottom"/>
          </w:tcPr>
          <w:p>
            <w:pPr>
              <w:ind w:left="360"/>
              <w:spacing w:after="0"/>
              <w:rPr>
                <w:sz w:val="20"/>
                <w:szCs w:val="20"/>
                <w:color w:val="auto"/>
              </w:rPr>
            </w:pPr>
            <w:r>
              <w:rPr>
                <w:rFonts w:ascii="Arial" w:cs="Arial" w:eastAsia="Arial" w:hAnsi="Arial"/>
                <w:sz w:val="18"/>
                <w:szCs w:val="18"/>
                <w:color w:val="auto"/>
              </w:rPr>
              <w:t>lapse of statutes of limitation</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(9,415)</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2013 and 2012, the increase in unrecognized tax benefits related primarily to the Company's calculation of certain tax credits. In 2011, the gross decrease in unrecognized tax benefits related to prior year tax positions was primarily due to the conclusion of examinations of the Company's 2007, 2008, and 2009 federal income tax returns by U.S. federal tax authorities. Due to the amounts of the Company's net operating loss carry-forward and tax credit carry-forwards, the Company has not accrued interest or penalties related to these unrecognized tax benefits. The Company believes that it is reasonably possible that its unrecognized tax benefits at December 31, 2013 may decrease by up to $8 million within the next twelve months due to the resolution of federal and New York State audits.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Legal Matters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 Costs associated with the Company's involvement in legal proceedings are expensed as incurred.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‘287 Patent</w:t>
      </w:r>
    </w:p>
    <w:p>
      <w:pPr>
        <w:spacing w:after="0" w:line="14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described more specifically below, the Company is a party to patent infringement litigation involving its European Patent No. 1,360,287 (the “‘287 Patent”), which concerns genetically altered mice capable of producing chimeric antibodies that are part human and part mouse. Chimeric antibody sequences can be used to produce high-affinity fully human monoclonal antibodies. In these proceedings (referred to below as “‘287 Patent Infringement Litigation”), the Company claims infringement of several of the ‘287 Patent,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w:t>
      </w:r>
    </w:p>
    <w:p>
      <w:pPr>
        <w:spacing w:after="0" w:line="233"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On September 25, 2013, the Company commenced ‘287 Patent Infringement Litigation against Kymab Ltd, a company based in the United Kingdom, in the English High Court of Justice, Chancery Division, Patents Court, in London. On December 18, 2013, Kymab filed a defense to the Company's lawsuit and counterclaimed alleging invalidity of the '287 Patent. Kymab previously filed an opposition to the '287 Patent in the European Patent Office in June 2013.</w:t>
      </w:r>
    </w:p>
    <w:p>
      <w:pPr>
        <w:spacing w:after="0" w:line="20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January 3, 2014, the Company commenced ‘287 Patent Infringement Litigation against Novo Nordisk A/S, a company based in Denmark, in the English High Court of Justice, Chancery Division, Patents Court, in London.</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the '287 Patent Infringement Litigation proceedings are at an early stage, at this time the Company is not able to predict the outcome or an estimate of gain, if any, related to these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420"/>
          </w:cols>
          <w:pgMar w:left="240" w:top="130" w:right="239"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Income (Loss) Per Share</w:t>
      </w:r>
    </w:p>
    <w:p>
      <w:pPr>
        <w:spacing w:after="0" w:line="28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Company’s basic net income (loss) per share amounts have been computed by dividing net income (loss) by the weighted average number of shares of Common Stock and Class A Stock outstanding. Net income (loss)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In 2011, the Company reported a net loss; therefore, no common stock equivalents were included in the computation of diluted net loss per share for these periods, since such inclusion would have been antidilutive. The calculations of basic and diluted net income (loss) per share are as follows:</w:t>
      </w:r>
    </w:p>
    <w:p>
      <w:pPr>
        <w:spacing w:after="0" w:line="364"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December 31,</w:t>
      </w:r>
    </w:p>
    <w:p>
      <w:pPr>
        <w:spacing w:after="0" w:line="34" w:lineRule="exact"/>
        <w:rPr>
          <w:sz w:val="20"/>
          <w:szCs w:val="20"/>
          <w:color w:val="auto"/>
        </w:rPr>
      </w:pPr>
    </w:p>
    <w:tbl>
      <w:tblPr>
        <w:tblLayout w:type="fixed"/>
        <w:tblInd w:w="1380" w:type="dxa"/>
        <w:tblCellMar>
          <w:top w:w="0" w:type="dxa"/>
          <w:left w:w="0" w:type="dxa"/>
          <w:bottom w:w="0" w:type="dxa"/>
          <w:right w:w="0" w:type="dxa"/>
        </w:tblCellMar>
      </w:tblPr>
      <w:tr>
        <w:trPr>
          <w:trHeight w:val="284"/>
        </w:trPr>
        <w:tc>
          <w:tcPr>
            <w:tcW w:w="526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2011</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Net income (loss) - basic</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424,362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750,269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(221,760)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5260" w:type="dxa"/>
            <w:vAlign w:val="bottom"/>
          </w:tcPr>
          <w:p>
            <w:pPr>
              <w:ind w:left="260"/>
              <w:spacing w:after="0"/>
              <w:rPr>
                <w:sz w:val="20"/>
                <w:szCs w:val="20"/>
                <w:color w:val="auto"/>
              </w:rPr>
            </w:pPr>
            <w:r>
              <w:rPr>
                <w:rFonts w:ascii="Arial" w:cs="Arial" w:eastAsia="Arial" w:hAnsi="Arial"/>
                <w:sz w:val="18"/>
                <w:szCs w:val="18"/>
                <w:color w:val="auto"/>
                <w:w w:val="96"/>
              </w:rPr>
              <w:t>Convertible senior notes - interest expense related to contractual</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5260" w:type="dxa"/>
            <w:vAlign w:val="bottom"/>
          </w:tcPr>
          <w:p>
            <w:pPr>
              <w:ind w:left="420"/>
              <w:spacing w:after="0"/>
              <w:rPr>
                <w:sz w:val="20"/>
                <w:szCs w:val="20"/>
                <w:color w:val="auto"/>
              </w:rPr>
            </w:pPr>
            <w:r>
              <w:rPr>
                <w:rFonts w:ascii="Arial" w:cs="Arial" w:eastAsia="Arial" w:hAnsi="Arial"/>
                <w:sz w:val="18"/>
                <w:szCs w:val="18"/>
                <w:color w:val="auto"/>
              </w:rPr>
              <w:t>coupon interest rate and amortization of discount and note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5260" w:type="dxa"/>
            <w:vAlign w:val="bottom"/>
          </w:tcPr>
          <w:p>
            <w:pPr>
              <w:ind w:left="420"/>
              <w:spacing w:after="0"/>
              <w:rPr>
                <w:sz w:val="20"/>
                <w:szCs w:val="20"/>
                <w:color w:val="auto"/>
              </w:rPr>
            </w:pPr>
            <w:r>
              <w:rPr>
                <w:rFonts w:ascii="Arial" w:cs="Arial" w:eastAsia="Arial" w:hAnsi="Arial"/>
                <w:sz w:val="18"/>
                <w:szCs w:val="18"/>
                <w:color w:val="auto"/>
              </w:rPr>
              <w:t>issuance costs, net of tax</w:t>
            </w: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(221,760)</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97,917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90,610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Convertible senior notes</w:t>
            </w: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Warrants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480"/>
              <w:spacing w:after="0"/>
              <w:rPr>
                <w:sz w:val="20"/>
                <w:szCs w:val="20"/>
                <w:color w:val="auto"/>
              </w:rPr>
            </w:pPr>
            <w:r>
              <w:rPr>
                <w:rFonts w:ascii="Arial" w:cs="Arial" w:eastAsia="Arial" w:hAnsi="Arial"/>
                <w:sz w:val="18"/>
                <w:szCs w:val="18"/>
                <w:color w:val="auto"/>
              </w:rPr>
              <w:t>Dilutive potential shares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90,610</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r>
    </w:tbl>
    <w:p>
      <w:pPr>
        <w:spacing w:after="0" w:line="256" w:lineRule="exact"/>
        <w:rPr>
          <w:sz w:val="20"/>
          <w:szCs w:val="20"/>
          <w:color w:val="auto"/>
        </w:rPr>
      </w:pPr>
    </w:p>
    <w:p>
      <w:pPr>
        <w:ind w:right="820" w:firstLine="243"/>
        <w:spacing w:after="0" w:line="277" w:lineRule="auto"/>
        <w:rPr>
          <w:sz w:val="20"/>
          <w:szCs w:val="20"/>
          <w:color w:val="auto"/>
        </w:rPr>
      </w:pPr>
      <w:r>
        <w:rPr>
          <w:rFonts w:ascii="Arial" w:cs="Arial" w:eastAsia="Arial" w:hAnsi="Arial"/>
          <w:sz w:val="18"/>
          <w:szCs w:val="18"/>
          <w:color w:val="auto"/>
        </w:rPr>
        <w:t>Shares which have been excluded from the December 31, 2013, 2012, and 2011 diluted per share amounts because their effect would have been antidilutive, include the following:</w:t>
      </w:r>
    </w:p>
    <w:p>
      <w:pPr>
        <w:spacing w:after="0" w:line="247"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r>
      <w:tr>
        <w:trPr>
          <w:trHeight w:val="27"/>
        </w:trPr>
        <w:tc>
          <w:tcPr>
            <w:tcW w:w="3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20,942</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7"/>
        </w:trPr>
        <w:tc>
          <w:tcPr>
            <w:tcW w:w="3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Warrants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Statement of Cash Flows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Included in accounts payable and accrued expenses at December 31, 2013, 2012, and 2011 were $16.1 million, $8.6 million, and $6.2 million of accrued capital expenditures, respectively.</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F- 39</w:t>
      </w:r>
    </w:p>
    <w:p>
      <w:pPr>
        <w:sectPr>
          <w:pgSz w:w="11900" w:h="16838" w:orient="portrait"/>
          <w:cols w:equalWidth="0" w:num="1">
            <w:col w:w="11420"/>
          </w:cols>
          <w:pgMar w:left="240" w:top="130" w:right="239" w:bottom="1440" w:gutter="0" w:footer="0" w:header="0"/>
          <w:type w:val="continuous"/>
        </w:sectPr>
      </w:pPr>
    </w:p>
    <w:bookmarkStart w:id="131" w:name="page132"/>
    <w:bookmarkEnd w:id="1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Pursuant to the application of FASB authoritative guidance to the Company’s lease of office and laboratory facilities in Tarrytown, New York (see Note 13a), the Company recognized a facility lease obligation of $25.0 million during 2013 in connection with capitalizing, on the Company's books, the landlord's costs of constructing new facilities that the Company has leased. The Company did not recognize any such facility lease obligations during 2012 and 2011.</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facility lease obligations and property, plant, and equipment at December 31, 2013 was $1.9 million of capitalized and deferred interest for the year ended December 31, 2013, as the related facilities are currently under construction. For the years ended December 31, 2012 and 2011, the Company did not capitalize any interest.</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Included in other assets at December 31, 2013 and 2012 were $1.2 million and $3.8 million, respectively, due to the Company in connection with employee exercises of stock options. Such amount was not material at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Unaudited Quarterly Results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Summarized quarterly financial data for the years ended December 31, 2013 and 2012 are set forth in the following tables.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First Quarter Ended</w:t>
            </w:r>
          </w:p>
        </w:tc>
        <w:tc>
          <w:tcPr>
            <w:tcW w:w="200" w:type="dxa"/>
            <w:vAlign w:val="bottom"/>
          </w:tcPr>
          <w:p>
            <w:pPr>
              <w:spacing w:after="0"/>
              <w:rPr>
                <w:sz w:val="18"/>
                <w:szCs w:val="18"/>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Second Quarter Ended</w:t>
            </w:r>
          </w:p>
        </w:tc>
        <w:tc>
          <w:tcPr>
            <w:tcW w:w="240" w:type="dxa"/>
            <w:vAlign w:val="bottom"/>
          </w:tcPr>
          <w:p>
            <w:pPr>
              <w:spacing w:after="0"/>
              <w:rPr>
                <w:sz w:val="18"/>
                <w:szCs w:val="18"/>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Third Quarter Ended</w:t>
            </w:r>
          </w:p>
        </w:tc>
        <w:tc>
          <w:tcPr>
            <w:tcW w:w="2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Fourth Quarter Ended</w:t>
            </w:r>
          </w:p>
        </w:tc>
      </w:tr>
      <w:tr>
        <w:trPr>
          <w:trHeight w:val="234"/>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2013</w:t>
            </w:r>
          </w:p>
        </w:tc>
        <w:tc>
          <w:tcPr>
            <w:tcW w:w="200" w:type="dxa"/>
            <w:vAlign w:val="bottom"/>
          </w:tcPr>
          <w:p>
            <w:pPr>
              <w:spacing w:after="0"/>
              <w:rPr>
                <w:sz w:val="20"/>
                <w:szCs w:val="20"/>
                <w:color w:val="auto"/>
              </w:rPr>
            </w:pPr>
          </w:p>
        </w:tc>
        <w:tc>
          <w:tcPr>
            <w:tcW w:w="19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2013</w:t>
            </w:r>
          </w:p>
        </w:tc>
        <w:tc>
          <w:tcPr>
            <w:tcW w:w="240" w:type="dxa"/>
            <w:vAlign w:val="bottom"/>
          </w:tcPr>
          <w:p>
            <w:pPr>
              <w:spacing w:after="0"/>
              <w:rPr>
                <w:sz w:val="20"/>
                <w:szCs w:val="20"/>
                <w:color w:val="auto"/>
              </w:rPr>
            </w:pP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September 30, 2013</w:t>
            </w:r>
          </w:p>
        </w:tc>
        <w:tc>
          <w:tcPr>
            <w:tcW w:w="200" w:type="dxa"/>
            <w:vAlign w:val="bottom"/>
          </w:tcPr>
          <w:p>
            <w:pPr>
              <w:spacing w:after="0"/>
              <w:rPr>
                <w:sz w:val="20"/>
                <w:szCs w:val="20"/>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December 31, 2013</w:t>
            </w:r>
          </w:p>
        </w:tc>
      </w:tr>
      <w:tr>
        <w:trPr>
          <w:trHeight w:val="27"/>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3"/>
          </w:tcPr>
          <w:p>
            <w:pPr>
              <w:jc w:val="right"/>
              <w:ind w:right="153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439,664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457,642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597,027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610,412</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98,874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87,376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141,306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96,806</w:t>
            </w: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0.90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0.86</w:t>
            </w:r>
          </w:p>
        </w:tc>
      </w:tr>
    </w:tbl>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First Quarter Ended</w:t>
            </w:r>
          </w:p>
        </w:tc>
        <w:tc>
          <w:tcPr>
            <w:tcW w:w="200" w:type="dxa"/>
            <w:vAlign w:val="bottom"/>
          </w:tcPr>
          <w:p>
            <w:pPr>
              <w:spacing w:after="0"/>
              <w:rPr>
                <w:sz w:val="18"/>
                <w:szCs w:val="18"/>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Second Quarter Ended</w:t>
            </w:r>
          </w:p>
        </w:tc>
        <w:tc>
          <w:tcPr>
            <w:tcW w:w="240" w:type="dxa"/>
            <w:vAlign w:val="bottom"/>
          </w:tcPr>
          <w:p>
            <w:pPr>
              <w:spacing w:after="0"/>
              <w:rPr>
                <w:sz w:val="18"/>
                <w:szCs w:val="18"/>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Third Quarter Ended</w:t>
            </w:r>
          </w:p>
        </w:tc>
        <w:tc>
          <w:tcPr>
            <w:tcW w:w="2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Fourth Quarter Ended</w:t>
            </w:r>
          </w:p>
        </w:tc>
      </w:tr>
      <w:tr>
        <w:trPr>
          <w:trHeight w:val="234"/>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2012</w:t>
            </w:r>
          </w:p>
        </w:tc>
        <w:tc>
          <w:tcPr>
            <w:tcW w:w="200" w:type="dxa"/>
            <w:vAlign w:val="bottom"/>
          </w:tcPr>
          <w:p>
            <w:pPr>
              <w:spacing w:after="0"/>
              <w:rPr>
                <w:sz w:val="20"/>
                <w:szCs w:val="20"/>
                <w:color w:val="auto"/>
              </w:rPr>
            </w:pPr>
          </w:p>
        </w:tc>
        <w:tc>
          <w:tcPr>
            <w:tcW w:w="19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2012</w:t>
            </w:r>
          </w:p>
        </w:tc>
        <w:tc>
          <w:tcPr>
            <w:tcW w:w="240" w:type="dxa"/>
            <w:vAlign w:val="bottom"/>
          </w:tcPr>
          <w:p>
            <w:pPr>
              <w:spacing w:after="0"/>
              <w:rPr>
                <w:sz w:val="20"/>
                <w:szCs w:val="20"/>
                <w:color w:val="auto"/>
              </w:rPr>
            </w:pP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September 30, 2012</w:t>
            </w:r>
          </w:p>
        </w:tc>
        <w:tc>
          <w:tcPr>
            <w:tcW w:w="200" w:type="dxa"/>
            <w:vAlign w:val="bottom"/>
          </w:tcPr>
          <w:p>
            <w:pPr>
              <w:spacing w:after="0"/>
              <w:rPr>
                <w:sz w:val="20"/>
                <w:szCs w:val="20"/>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December 31, 2012</w:t>
            </w:r>
          </w:p>
        </w:tc>
      </w:tr>
      <w:tr>
        <w:trPr>
          <w:trHeight w:val="27"/>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3"/>
          </w:tcPr>
          <w:p>
            <w:pPr>
              <w:jc w:val="right"/>
              <w:ind w:right="153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231,789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304,399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427,687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414,602</w:t>
            </w:r>
          </w:p>
        </w:tc>
      </w:tr>
      <w:tr>
        <w:trPr>
          <w:trHeight w:val="270"/>
        </w:trPr>
        <w:tc>
          <w:tcPr>
            <w:tcW w:w="28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11,651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76,743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191,468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470,407</w:t>
            </w: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0.11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4.08</w:t>
            </w:r>
          </w:p>
        </w:tc>
      </w:tr>
    </w:tbl>
    <w:p>
      <w:pPr>
        <w:spacing w:after="0" w:line="148" w:lineRule="exact"/>
        <w:rPr>
          <w:sz w:val="20"/>
          <w:szCs w:val="20"/>
          <w:color w:val="auto"/>
        </w:rPr>
      </w:pPr>
    </w:p>
    <w:p>
      <w:pPr>
        <w:jc w:val="both"/>
        <w:ind w:left="1060" w:hanging="161"/>
        <w:spacing w:after="0" w:line="284" w:lineRule="auto"/>
        <w:tabs>
          <w:tab w:leader="none" w:pos="1076"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Revenues in the second quarter of 2013 were reduced by two $10 million up-front payments made to Sanofi to acquire full rights to antibodies to PDGF and antibodies to Ang2 in ophthalmology, as described in Note 4 above. Revenues in the third and fourth quarter of 2013 included recognition of sales and substantive development milestones of $45.0 million and $25.0 million, respectively.</w:t>
      </w:r>
    </w:p>
    <w:p>
      <w:pPr>
        <w:spacing w:after="0" w:line="201" w:lineRule="exact"/>
        <w:rPr>
          <w:rFonts w:ascii="Arial" w:cs="Arial" w:eastAsia="Arial" w:hAnsi="Arial"/>
          <w:sz w:val="21"/>
          <w:szCs w:val="21"/>
          <w:color w:val="auto"/>
          <w:vertAlign w:val="superscript"/>
        </w:rPr>
      </w:pPr>
    </w:p>
    <w:p>
      <w:pPr>
        <w:ind w:left="1080" w:hanging="181"/>
        <w:spacing w:after="0"/>
        <w:tabs>
          <w:tab w:leader="none" w:pos="108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Revenues in the third and fourth quarter of 2012 included substantive development milestones of $65.0 million and $10.0 million, respectively.</w:t>
      </w:r>
    </w:p>
    <w:p>
      <w:pPr>
        <w:spacing w:after="0" w:line="255" w:lineRule="exact"/>
        <w:rPr>
          <w:rFonts w:ascii="Arial" w:cs="Arial" w:eastAsia="Arial" w:hAnsi="Arial"/>
          <w:sz w:val="22"/>
          <w:szCs w:val="22"/>
          <w:color w:val="auto"/>
          <w:vertAlign w:val="superscript"/>
        </w:rPr>
      </w:pPr>
    </w:p>
    <w:p>
      <w:pPr>
        <w:ind w:left="1060" w:right="20" w:hanging="161"/>
        <w:spacing w:after="0" w:line="285" w:lineRule="auto"/>
        <w:tabs>
          <w:tab w:leader="none" w:pos="1076"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Net income for the quarter ended December 31, 2012 included an income tax benefit of $335.8 million, primarily attributable to the release of substantially all of the Company's valuation allowance against its deferred tax assets.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ectPr>
          <w:pgSz w:w="11900" w:h="16838" w:orient="portrait"/>
          <w:cols w:equalWidth="0" w:num="1">
            <w:col w:w="11420"/>
          </w:cols>
          <w:pgMar w:left="240" w:top="13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10.1.10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2000 LONG-TERM INCENTIVE PLAN</w:t>
      </w:r>
    </w:p>
    <w:p>
      <w:pPr>
        <w:spacing w:after="0" w:line="211" w:lineRule="exact"/>
        <w:rPr>
          <w:sz w:val="20"/>
          <w:szCs w:val="20"/>
          <w:color w:val="auto"/>
        </w:rPr>
      </w:pPr>
    </w:p>
    <w:p>
      <w:pPr>
        <w:ind w:right="280" w:firstLine="243"/>
        <w:spacing w:after="0" w:line="279" w:lineRule="auto"/>
        <w:rPr>
          <w:sz w:val="20"/>
          <w:szCs w:val="20"/>
          <w:color w:val="auto"/>
        </w:rPr>
      </w:pPr>
      <w:r>
        <w:rPr>
          <w:rFonts w:ascii="Arial" w:cs="Arial" w:eastAsia="Arial" w:hAnsi="Arial"/>
          <w:sz w:val="17"/>
          <w:szCs w:val="17"/>
          <w:color w:val="auto"/>
        </w:rPr>
        <w:t>On November 15, 2013, the Board of Directors of Regeneron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a 15% reduction in the automatic 2014 annual grant of Nonqualified Stock Option to purchase shares of Company Stock to the Nonemployee Directors pursuant to Section 12 of the Regeneron Pharmaceuticals, Inc. Second Amended and Restated 2000 Long-Term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from 15,000 shares to 12,750 shares. Capitalized terms used but not defined herein shall have the respective meanings given to such terms in the Plan.</w:t>
      </w:r>
    </w:p>
    <w:p>
      <w:pPr>
        <w:spacing w:after="0" w:line="171"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A copy of the Plan was filed by the Company with the Securities and Exchange Commission as Exhibit 99.1 to the Company’s Registration Statement on Form S-8 (Registration No. 333-174863) on June 13, 2011.</w:t>
      </w:r>
    </w:p>
    <w:p>
      <w:pPr>
        <w:sectPr>
          <w:pgSz w:w="11900" w:h="16838" w:orient="portrait"/>
          <w:cols w:equalWidth="0" w:num="1">
            <w:col w:w="11420"/>
          </w:cols>
          <w:pgMar w:left="240" w:top="58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21.1</w:t>
      </w:r>
    </w:p>
    <w:p>
      <w:pPr>
        <w:spacing w:after="0" w:line="302"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SUBSIDIARIES OF REGENERON PHARMACEUTICALS, INC.</w:t>
      </w:r>
    </w:p>
    <w:p>
      <w:pPr>
        <w:spacing w:after="0" w:line="37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or Other Jurisdiction of</w:t>
            </w:r>
          </w:p>
        </w:tc>
        <w:tc>
          <w:tcPr>
            <w:tcW w:w="80" w:type="dxa"/>
            <w:vAlign w:val="bottom"/>
          </w:tcPr>
          <w:p>
            <w:pPr>
              <w:spacing w:after="0"/>
              <w:rPr>
                <w:sz w:val="17"/>
                <w:szCs w:val="17"/>
                <w:color w:val="auto"/>
              </w:rPr>
            </w:pPr>
          </w:p>
        </w:tc>
      </w:tr>
      <w:tr>
        <w:trPr>
          <w:trHeight w:val="196"/>
        </w:trPr>
        <w:tc>
          <w:tcPr>
            <w:tcW w:w="1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1"/>
              </w:rPr>
              <w:t>Name of Subsidiary*</w:t>
            </w:r>
          </w:p>
        </w:tc>
        <w:tc>
          <w:tcPr>
            <w:tcW w:w="2360" w:type="dxa"/>
            <w:vAlign w:val="bottom"/>
          </w:tcPr>
          <w:p>
            <w:pPr>
              <w:spacing w:after="0"/>
              <w:rPr>
                <w:sz w:val="17"/>
                <w:szCs w:val="17"/>
                <w:color w:val="auto"/>
              </w:rPr>
            </w:pPr>
          </w:p>
        </w:tc>
        <w:tc>
          <w:tcPr>
            <w:tcW w:w="2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2"/>
              </w:rPr>
              <w:t>Incorporation or Organization</w:t>
            </w:r>
          </w:p>
        </w:tc>
      </w:tr>
      <w:tr>
        <w:trPr>
          <w:trHeight w:val="291"/>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Ireland</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Ireland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Genetics Center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_____________</w:t>
            </w:r>
          </w:p>
        </w:tc>
        <w:tc>
          <w:tcPr>
            <w:tcW w:w="23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Directly or indirectly wholly owned by Regeneron Pharmaceuticals, Inc.</w:t>
      </w:r>
    </w:p>
    <w:p>
      <w:pPr>
        <w:sectPr>
          <w:pgSz w:w="11900" w:h="16838" w:orient="portrait"/>
          <w:cols w:equalWidth="0" w:num="1">
            <w:col w:w="10220"/>
          </w:cols>
          <w:pgMar w:left="1440" w:top="66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(Nos. 333-61132, 333-97375, 333-119257, 333-151941, 333-169569, and 333-174863) and on Form S</w:t>
      </w:r>
      <w:r>
        <w:rPr>
          <w:rFonts w:ascii="MS PGothic" w:cs="MS PGothic" w:eastAsia="MS PGothic" w:hAnsi="MS PGothic"/>
          <w:sz w:val="17"/>
          <w:szCs w:val="17"/>
          <w:color w:val="auto"/>
        </w:rPr>
        <w:t>‑</w:t>
      </w:r>
      <w:r>
        <w:rPr>
          <w:rFonts w:ascii="Arial" w:cs="Arial" w:eastAsia="Arial" w:hAnsi="Arial"/>
          <w:sz w:val="17"/>
          <w:szCs w:val="17"/>
          <w:color w:val="auto"/>
        </w:rPr>
        <w:t>3 (No. 333-192091) of Regeneron Pharmaceuticals, Inc., of our report dated February 13, 2014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ectPr>
          <w:pgSz w:w="11900" w:h="16838" w:orient="portrait"/>
          <w:cols w:equalWidth="0" w:num="1">
            <w:col w:w="11420"/>
          </w:cols>
          <w:pgMar w:left="240" w:top="58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13, 2014</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13, 2014</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2013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13, 2014</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13, 2014</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lowerRoman"/>
      <w:start w:val="4"/>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Ÿ"/>
      <w:numFmt w:val="bullet"/>
      <w:start w:val="1"/>
    </w:lvl>
  </w:abstractNum>
  <w:abstractNum w:abstractNumId="20">
    <w:nsid w:val="3006C83E"/>
    <w:multiLevelType w:val="hybridMultilevel"/>
    <w:lvl w:ilvl="0">
      <w:lvlJc w:val="left"/>
      <w:lvlText w:val="Ÿ"/>
      <w:numFmt w:val="bullet"/>
      <w:start w:val="1"/>
    </w:lvl>
  </w:abstractNum>
  <w:abstractNum w:abstractNumId="21">
    <w:nsid w:val="614FD4A1"/>
    <w:multiLevelType w:val="hybridMultilevel"/>
    <w:lvl w:ilvl="0">
      <w:lvlJc w:val="left"/>
      <w:lvlText w:val="Ÿ"/>
      <w:numFmt w:val="bullet"/>
      <w:start w:val="1"/>
    </w:lvl>
  </w:abstractNum>
  <w:abstractNum w:abstractNumId="22">
    <w:nsid w:val="419AC241"/>
    <w:multiLevelType w:val="hybridMultilevel"/>
    <w:lvl w:ilvl="0">
      <w:lvlJc w:val="left"/>
      <w:lvlText w:val="Ÿ"/>
      <w:numFmt w:val="bullet"/>
      <w:start w:val="1"/>
    </w:lvl>
  </w:abstractNum>
  <w:abstractNum w:abstractNumId="23">
    <w:nsid w:val="5577F8E1"/>
    <w:multiLevelType w:val="hybridMultilevel"/>
    <w:lvl w:ilvl="0">
      <w:lvlJc w:val="left"/>
      <w:lvlText w:val="Ÿ"/>
      <w:numFmt w:val="bullet"/>
      <w:start w:val="1"/>
    </w:lvl>
  </w:abstractNum>
  <w:abstractNum w:abstractNumId="24">
    <w:nsid w:val="440BADFC"/>
    <w:multiLevelType w:val="hybridMultilevel"/>
    <w:lvl w:ilvl="0">
      <w:lvlJc w:val="left"/>
      <w:lvlText w:val="Ÿ"/>
      <w:numFmt w:val="bullet"/>
      <w:start w:val="1"/>
    </w:lvl>
  </w:abstractNum>
  <w:abstractNum w:abstractNumId="25">
    <w:nsid w:val="5072367"/>
    <w:multiLevelType w:val="hybridMultilevel"/>
    <w:lvl w:ilvl="0">
      <w:lvlJc w:val="left"/>
      <w:lvlText w:val="Ÿ"/>
      <w:numFmt w:val="bullet"/>
      <w:start w:val="1"/>
    </w:lvl>
  </w:abstractNum>
  <w:abstractNum w:abstractNumId="26">
    <w:nsid w:val="3804823E"/>
    <w:multiLevelType w:val="hybridMultilevel"/>
    <w:lvl w:ilvl="0">
      <w:lvlJc w:val="left"/>
      <w:lvlText w:val="Ÿ"/>
      <w:numFmt w:val="bullet"/>
      <w:start w:val="1"/>
    </w:lvl>
  </w:abstractNum>
  <w:abstractNum w:abstractNumId="27">
    <w:nsid w:val="77465F01"/>
    <w:multiLevelType w:val="hybridMultilevel"/>
    <w:lvl w:ilvl="0">
      <w:lvlJc w:val="left"/>
      <w:lvlText w:val="Ÿ"/>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lowerRoman"/>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14"/>
    </w:lvl>
    <w:lvl w:ilvl="1">
      <w:lvlJc w:val="left"/>
      <w:lvlText w:val="%2"/>
      <w:numFmt w:val="lowerLetter"/>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lowerLetter"/>
      <w:start w:val="2"/>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2019-12-06T03:52:31Z</dcterms:created>
  <dcterms:modified xsi:type="dcterms:W3CDTF">2019-12-06T03:52:31Z</dcterms:modified>
</cp:coreProperties>
</file>