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4,364,140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4,364,140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10.529%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4,364,140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4,364,140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10.529%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4,364,140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4,364,140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10.529%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w:t>
      </w:r>
    </w:p>
    <w:p>
      <w:pPr>
        <w:spacing w:after="0" w:line="238" w:lineRule="auto"/>
        <w:rPr>
          <w:sz w:val="20"/>
          <w:szCs w:val="20"/>
          <w:color w:val="auto"/>
        </w:rPr>
      </w:pPr>
      <w:r>
        <w:rPr>
          <w:rFonts w:ascii="Courier New" w:cs="Courier New" w:eastAsia="Courier New" w:hAnsi="Courier New"/>
          <w:sz w:val="18"/>
          <w:szCs w:val="18"/>
          <w:color w:val="auto"/>
        </w:rPr>
        <w:t>PHARMACEUTICALS, 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4,364,140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10.529%</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4,364,140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PHARMACEUTICALS, INC.. The interest of one person, Fidelity Growth Company Fund, an investment company registered under the Investment Company Act of 1940, in the Common Stock of REGENERON PHARMACEUTICALS,</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INC., amounted to 3,407,000 shares or 8.220% of the total outstanding Common Stock at March 31, 2002.</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REGENERON</w:t>
      </w:r>
    </w:p>
    <w:p>
      <w:pPr>
        <w:spacing w:after="0"/>
        <w:rPr>
          <w:sz w:val="20"/>
          <w:szCs w:val="20"/>
          <w:color w:val="auto"/>
        </w:rPr>
      </w:pPr>
      <w:r>
        <w:rPr>
          <w:rFonts w:ascii="Courier New" w:cs="Courier New" w:eastAsia="Courier New" w:hAnsi="Courier New"/>
          <w:sz w:val="18"/>
          <w:szCs w:val="18"/>
          <w:color w:val="auto"/>
        </w:rPr>
        <w:t>PHARMACEUTICALS, INC. at March 31, 2002 is true,</w:t>
      </w:r>
    </w:p>
    <w:p>
      <w:pPr>
        <w:spacing w:after="0" w:line="237" w:lineRule="auto"/>
        <w:rPr>
          <w:sz w:val="20"/>
          <w:szCs w:val="20"/>
          <w:color w:val="auto"/>
        </w:rPr>
      </w:pPr>
      <w:r>
        <w:rPr>
          <w:rFonts w:ascii="Courier New" w:cs="Courier New" w:eastAsia="Courier New" w:hAnsi="Courier New"/>
          <w:sz w:val="18"/>
          <w:szCs w:val="18"/>
          <w:color w:val="auto"/>
        </w:rPr>
        <w:t>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April 10,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4,364,140 shares or 10.529%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3,407,000 shares or</w:t>
      </w:r>
    </w:p>
    <w:p>
      <w:pPr>
        <w:ind w:right="4419"/>
        <w:spacing w:after="0" w:line="236" w:lineRule="auto"/>
        <w:rPr>
          <w:sz w:val="20"/>
          <w:szCs w:val="20"/>
          <w:color w:val="auto"/>
        </w:rPr>
      </w:pPr>
      <w:r>
        <w:rPr>
          <w:rFonts w:ascii="Courier New" w:cs="Courier New" w:eastAsia="Courier New" w:hAnsi="Courier New"/>
          <w:sz w:val="18"/>
          <w:szCs w:val="18"/>
          <w:color w:val="auto"/>
        </w:rPr>
        <w:t>8.220%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4,364,140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April 10, 2002, agree and consent to the joint filing on their behalf of this Schedule 13G in connection with their beneficial ownership of the Common Stock of REGENERON PHARMACEUTICALS, INC. at March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339" w:right="1440" w:bottom="0" w:gutter="0" w:footer="0" w:header="0"/>
        </w:sectPr>
      </w:pPr>
    </w:p>
    <w:bookmarkStart w:id="3" w:name="page4"/>
    <w:bookmarkEnd w:id="3"/>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2019-12-19T21:21:19Z</dcterms:created>
  <dcterms:modified xsi:type="dcterms:W3CDTF">2019-12-19T21:21:19Z</dcterms:modified>
</cp:coreProperties>
</file>