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40"/>
        <w:spacing w:after="0"/>
        <w:rPr>
          <w:sz w:val="20"/>
          <w:szCs w:val="20"/>
          <w:color w:val="auto"/>
        </w:rPr>
      </w:pPr>
      <w:r>
        <w:rPr>
          <w:rFonts w:ascii="Arial" w:cs="Arial" w:eastAsia="Arial" w:hAnsi="Arial"/>
          <w:sz w:val="18"/>
          <w:szCs w:val="18"/>
          <w:b w:val="1"/>
          <w:bCs w:val="1"/>
          <w:color w:val="auto"/>
        </w:rPr>
        <w:t>As filed with the Securities and Exchange Commission on September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3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POST-EFFECTIVE AMENDMENT NO. 1 TO</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S-8</w:t>
      </w:r>
    </w:p>
    <w:p>
      <w:pPr>
        <w:jc w:val="center"/>
        <w:ind w:right="1200"/>
        <w:spacing w:after="0" w:line="238" w:lineRule="auto"/>
        <w:rPr>
          <w:sz w:val="20"/>
          <w:szCs w:val="20"/>
          <w:color w:val="auto"/>
        </w:rPr>
      </w:pPr>
      <w:r>
        <w:rPr>
          <w:rFonts w:ascii="Arial" w:cs="Arial" w:eastAsia="Arial" w:hAnsi="Arial"/>
          <w:sz w:val="32"/>
          <w:szCs w:val="32"/>
          <w:b w:val="1"/>
          <w:bCs w:val="1"/>
          <w:color w:val="auto"/>
        </w:rPr>
        <w:t>REGISTRATION STATEMENT</w:t>
      </w:r>
    </w:p>
    <w:p>
      <w:pPr>
        <w:jc w:val="center"/>
        <w:ind w:right="1200"/>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ind w:right="12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08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New York</w:t>
            </w:r>
          </w:p>
        </w:tc>
        <w:tc>
          <w:tcPr>
            <w:tcW w:w="5220" w:type="dxa"/>
            <w:vAlign w:val="bottom"/>
            <w:gridSpan w:val="3"/>
          </w:tcPr>
          <w:p>
            <w:pPr>
              <w:jc w:val="center"/>
              <w:ind w:left="3994"/>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2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Incorporation or Organization)</w:t>
            </w:r>
          </w:p>
        </w:tc>
        <w:tc>
          <w:tcPr>
            <w:tcW w:w="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3"/>
              </w:rPr>
              <w:t>777 Old Saw Mill River Road</w:t>
            </w:r>
          </w:p>
        </w:tc>
      </w:tr>
      <w:tr>
        <w:trPr>
          <w:trHeight w:val="212"/>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4"/>
              </w:rPr>
              <w:t>Tarrytown, NY 10591-6707</w:t>
            </w:r>
          </w:p>
        </w:tc>
      </w:tr>
      <w:tr>
        <w:trPr>
          <w:trHeight w:val="186"/>
        </w:trPr>
        <w:tc>
          <w:tcPr>
            <w:tcW w:w="2080" w:type="dxa"/>
            <w:vAlign w:val="bottom"/>
          </w:tcPr>
          <w:p>
            <w:pPr>
              <w:spacing w:after="0"/>
              <w:rPr>
                <w:sz w:val="16"/>
                <w:szCs w:val="16"/>
                <w:color w:val="auto"/>
              </w:rPr>
            </w:pPr>
          </w:p>
        </w:tc>
        <w:tc>
          <w:tcPr>
            <w:tcW w:w="5220" w:type="dxa"/>
            <w:vAlign w:val="bottom"/>
            <w:gridSpan w:val="3"/>
          </w:tcPr>
          <w:p>
            <w:pPr>
              <w:jc w:val="center"/>
              <w:ind w:right="1708"/>
              <w:spacing w:after="0"/>
              <w:rPr>
                <w:sz w:val="20"/>
                <w:szCs w:val="20"/>
                <w:color w:val="auto"/>
              </w:rPr>
            </w:pPr>
            <w:r>
              <w:rPr>
                <w:rFonts w:ascii="Arial" w:cs="Arial" w:eastAsia="Arial" w:hAnsi="Arial"/>
                <w:sz w:val="14"/>
                <w:szCs w:val="14"/>
                <w:b w:val="1"/>
                <w:bCs w:val="1"/>
                <w:color w:val="auto"/>
                <w:w w:val="93"/>
              </w:rPr>
              <w:t>(Address of Principal Executive Offices) (Zip Code)</w:t>
            </w:r>
          </w:p>
        </w:tc>
      </w:tr>
      <w:tr>
        <w:trPr>
          <w:trHeight w:val="336"/>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2080" w:type="dxa"/>
            <w:vAlign w:val="bottom"/>
          </w:tcPr>
          <w:p>
            <w:pPr>
              <w:spacing w:after="0"/>
              <w:rPr>
                <w:sz w:val="24"/>
                <w:szCs w:val="24"/>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89"/>
              </w:rPr>
              <w:t>Regeneron Pharmaceuticals, Inc.</w:t>
            </w:r>
          </w:p>
        </w:tc>
      </w:tr>
      <w:tr>
        <w:trPr>
          <w:trHeight w:val="212"/>
        </w:trPr>
        <w:tc>
          <w:tcPr>
            <w:tcW w:w="2080" w:type="dxa"/>
            <w:vAlign w:val="bottom"/>
          </w:tcPr>
          <w:p>
            <w:pPr>
              <w:spacing w:after="0"/>
              <w:rPr>
                <w:sz w:val="18"/>
                <w:szCs w:val="18"/>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91"/>
              </w:rPr>
              <w:t>2014 Long-Term Incentive Plan</w:t>
            </w:r>
          </w:p>
        </w:tc>
      </w:tr>
      <w:tr>
        <w:trPr>
          <w:trHeight w:val="186"/>
        </w:trPr>
        <w:tc>
          <w:tcPr>
            <w:tcW w:w="2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Tarrytown, New York 10591-6707</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ind w:left="256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David J. Goldschmidt, Esq.</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Skadden, Arps, Slate, Meagher &amp; Flom LLP</w:t>
      </w:r>
    </w:p>
    <w:p>
      <w:pPr>
        <w:sectPr>
          <w:pgSz w:w="11900" w:h="16838" w:orient="portrait"/>
          <w:cols w:equalWidth="0" w:num="1">
            <w:col w:w="10220"/>
          </w:cols>
          <w:pgMar w:left="14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Four Times Square</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New York, New York 10036</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Facsimile: (212) 735-2000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33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7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33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84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This Post-Effective Amendment No. 1 (this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relates to the Registration Statement on Form S-8 (Registration No. 333-196799) (the “</w:t>
      </w:r>
      <w:r>
        <w:rPr>
          <w:rFonts w:ascii="Arial" w:cs="Arial" w:eastAsia="Arial" w:hAnsi="Arial"/>
          <w:sz w:val="16"/>
          <w:szCs w:val="16"/>
          <w:u w:val="single" w:color="auto"/>
          <w:color w:val="auto"/>
        </w:rPr>
        <w:t>Prior Registration Statement</w:t>
      </w:r>
      <w:r>
        <w:rPr>
          <w:rFonts w:ascii="Arial" w:cs="Arial" w:eastAsia="Arial" w:hAnsi="Arial"/>
          <w:sz w:val="16"/>
          <w:szCs w:val="16"/>
          <w:color w:val="auto"/>
        </w:rPr>
        <w:t>”) of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Registrant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June 16, 2014. The Company is filing this Post-Effective Amendment to clarify the number of shares of Regeneron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previously registered pursuant to the Prior Registration Statement.</w:t>
      </w:r>
    </w:p>
    <w:p>
      <w:pPr>
        <w:spacing w:after="0" w:line="154"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Pursuant to the Prior Registration Statement, the Company has registered 12,000,000 shares of Common Stock, which corresponds to the number of shares newly available for issuance (referred to as “New Shares” in the Prior Registration Statement) under the Regeneron Pharmaceuticals, Inc. 2014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registration fee for such 12,000,000 shares was paid in full in connection with the Prior Registration Statement. Notwithstanding anything to the contrary in the Prior Registration Statement, the New Shares (as well as an indeterminate number of additional shares of Common Stock that may become issuable under the Plan in connection with certain corporate transactions or events, including any recapitalization, reorganization, merger, consolidation, spin-off, stock dividend, stock split or any other similar transaction effected which results in an increase in the number of the outstanding shares of Common Stock, in accordance with Rule 416 under the Securities Act of 1933, as amended) are the only shares of Common Stock registered by Regeneron pursuant to the Prior Registration Statement.</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Contemporaneously with the filing of this Post-Effective Amendment, and in accordance with General Instruction E to Form S-8, the Company is filing with the Commission a new registration statement on Form S-8 to register a total of 4,485,333 additional shares of Common Stock, which corresponds to the aggregate number of “Rollover Shares” and “Returned Shares” referenced in the Prior Registration Statement. At this time, the Company is not registering additional shares corresponding to the number of “Carryover Shares” referenced in the Prior Registration Statement, but may do so in the future depending on the number of Carryover Shares that will become available for issuance under the Plan and the utilization of shares of Common Stock thereunder. For the sake of clarification, the 20,560,315 shares of Common Stock subject to outstanding awards under the Regeneron Pharmaceuticals, Inc. Second Amended and Restated 2000 Long-Term Incentive Plan as of the date immediately preceding June 13, 2014, the date of shareholder approval of the Plan, have not been deregistered pursuant to the Post-Effective Amendment No. 1 to the Registration Statement on Form S-8 (Registration No. 333-174863) filed with the Commission on June 16, 2014 and remain registered.</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Post-Effective Amendment affects only those provisions of the Prior Registration Statement specifically amended herein. All other provisions of the Prior Registration Statement remain unchanged.</w:t>
      </w:r>
    </w:p>
    <w:p>
      <w:pPr>
        <w:sectPr>
          <w:pgSz w:w="11900" w:h="16838" w:orient="portrait"/>
          <w:cols w:equalWidth="0" w:num="1">
            <w:col w:w="11400"/>
          </w:cols>
          <w:pgMar w:left="240" w:top="270" w:right="25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Town of Greenburgh, State of New York, on September 17,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2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indicated on September 17, 2014.</w:t>
      </w:r>
    </w:p>
    <w:p>
      <w:pPr>
        <w:sectPr>
          <w:pgSz w:w="11900" w:h="16838" w:orient="portrait"/>
          <w:cols w:equalWidth="0" w:num="1">
            <w:col w:w="11220"/>
          </w:cols>
          <w:pgMar w:left="240" w:top="270" w:right="439" w:bottom="1440" w:gutter="0" w:footer="0" w:header="0"/>
        </w:sectPr>
      </w:pP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E. Landry</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S. McCorkle</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George D. Yancopoulos, M.D., Ph.D.</w:t>
      </w: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 Roy Vagelos, M.D.</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A. Baker</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S. Brown, M.D.</w:t>
      </w:r>
    </w:p>
    <w:p>
      <w:pPr>
        <w:spacing w:after="0" w:line="225"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right"/>
        <w:ind w:right="1600"/>
        <w:spacing w:after="0"/>
        <w:rPr>
          <w:sz w:val="20"/>
          <w:szCs w:val="20"/>
          <w:color w:val="auto"/>
        </w:rPr>
      </w:pPr>
      <w:r>
        <w:rPr>
          <w:rFonts w:ascii="Arial" w:cs="Arial" w:eastAsia="Arial" w:hAnsi="Arial"/>
          <w:sz w:val="17"/>
          <w:szCs w:val="17"/>
          <w:color w:val="auto"/>
        </w:rPr>
        <w:t>Alfred G. Gilman, M.D., Ph.D.</w:t>
      </w:r>
    </w:p>
    <w:p>
      <w:pPr>
        <w:spacing w:after="0" w:line="23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L. Goldstein, M.D.</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Ingram</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Christine A. Poon</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F. Ryan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280"/>
        <w:spacing w:after="0"/>
        <w:rPr>
          <w:sz w:val="20"/>
          <w:szCs w:val="20"/>
          <w:color w:val="auto"/>
        </w:rPr>
      </w:pPr>
      <w:r>
        <w:rPr>
          <w:rFonts w:ascii="Arial" w:cs="Arial" w:eastAsia="Arial" w:hAnsi="Arial"/>
          <w:sz w:val="14"/>
          <w:szCs w:val="14"/>
          <w:b w:val="1"/>
          <w:bCs w:val="1"/>
          <w:u w:val="single" w:color="auto"/>
          <w:color w:val="auto"/>
        </w:rPr>
        <w:t>Title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Director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Finance and Chief Financial Officer (Principal Financial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Vice President, Controller, and Assistant Treasurer (Principal Accounting Officer)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Scientific Officer, President, Regeneron Laboratories, and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ectPr>
          <w:pgSz w:w="11900" w:h="16838" w:orient="portrait"/>
          <w:cols w:equalWidth="0" w:num="2">
            <w:col w:w="3860" w:space="720"/>
            <w:col w:w="6640"/>
          </w:cols>
          <w:pgMar w:left="240" w:top="270" w:right="439" w:bottom="1440" w:gutter="0" w:footer="0" w:header="0"/>
          <w:type w:val="continuous"/>
        </w:sectPr>
      </w:pPr>
    </w:p>
    <w:bookmarkStart w:id="4" w:name="page5"/>
    <w:bookmarkEnd w:id="4"/>
    <w:p>
      <w:pPr>
        <w:ind w:left="1880"/>
        <w:spacing w:after="0"/>
        <w:tabs>
          <w:tab w:leader="none" w:pos="7840" w:val="left"/>
        </w:tabs>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0219"/>
          </w:cols>
          <w:pgMar w:left="240" w:top="265" w:right="1440" w:bottom="1440" w:gutter="0" w:footer="0" w:header="0"/>
        </w:sect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L. Sing</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Tessier-Lavigne, Ph.D.</w:t>
      </w:r>
    </w:p>
    <w:p>
      <w:pPr>
        <w:spacing w:after="0" w:line="252" w:lineRule="exact"/>
        <w:rPr>
          <w:sz w:val="20"/>
          <w:szCs w:val="20"/>
          <w:color w:val="auto"/>
        </w:rPr>
      </w:pPr>
    </w:p>
    <w:p>
      <w:pPr>
        <w:jc w:val="center"/>
        <w:ind w:right="2120"/>
        <w:spacing w:after="0"/>
        <w:tabs>
          <w:tab w:leader="none" w:pos="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Joseph J. LaRosa</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As attorney-in-fact on behalf of each of the officers and directors indicated above pursuant to the Power of Attorney filed as Exhibit 24 to the Registration Statement on Form S-8 (Registration No. 333-196799) filed with the Securities and Exchange Commission on June 16, 2014.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sectPr>
      <w:pgSz w:w="11900" w:h="16838" w:orient="portrait"/>
      <w:cols w:equalWidth="0" w:num="2">
        <w:col w:w="4420" w:space="160"/>
        <w:col w:w="5639"/>
      </w:cols>
      <w:pgMar w:left="2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2019-12-06T04:05:28Z</dcterms:created>
  <dcterms:modified xsi:type="dcterms:W3CDTF">2019-12-06T04:05:28Z</dcterms:modified>
</cp:coreProperties>
</file>