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McCourt Marion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EEE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EEEEEE"/>
            </w:tcBorders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EEEE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869.43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Disposition/acquisition made pursuant to a plan intended to comply with Rule 10b5-1(c) adopted on February 17, 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Marion McCourt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3758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2026-11-03T15:12:14Z</dcterms:created>
  <dcterms:modified xsi:type="dcterms:W3CDTF">2026-11-03T15:12:14Z</dcterms:modified>
</cp:coreProperties>
</file>