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3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3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and Exchange Act of 1934</w:t>
      </w:r>
    </w:p>
    <w:p>
      <w:pPr>
        <w:spacing w:after="0" w:line="29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February 24, 2006</w:t>
      </w:r>
    </w:p>
    <w:p>
      <w:pPr>
        <w:spacing w:after="0" w:line="200" w:lineRule="exact"/>
        <w:rPr>
          <w:sz w:val="20"/>
          <w:szCs w:val="20"/>
          <w:color w:val="auto"/>
        </w:rPr>
      </w:pPr>
    </w:p>
    <w:p>
      <w:pPr>
        <w:jc w:val="center"/>
        <w:ind w:right="-399"/>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0" w:type="dxa"/>
            <w:vAlign w:val="bottom"/>
            <w:gridSpan w:val="2"/>
          </w:tcPr>
          <w:p>
            <w:pPr>
              <w:jc w:val="center"/>
              <w:ind w:right="2640"/>
              <w:spacing w:after="0"/>
              <w:rPr>
                <w:sz w:val="20"/>
                <w:szCs w:val="20"/>
                <w:color w:val="auto"/>
              </w:rPr>
            </w:pPr>
            <w:r>
              <w:rPr>
                <w:rFonts w:ascii="Arial" w:cs="Arial" w:eastAsia="Arial" w:hAnsi="Arial"/>
                <w:sz w:val="18"/>
                <w:szCs w:val="18"/>
                <w:b w:val="1"/>
                <w:bCs w:val="1"/>
                <w:color w:val="auto"/>
                <w:w w:val="92"/>
              </w:rPr>
              <w:t>New York</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000-19034</w:t>
            </w:r>
          </w:p>
        </w:tc>
        <w:tc>
          <w:tcPr>
            <w:tcW w:w="1380" w:type="dxa"/>
            <w:vAlign w:val="bottom"/>
          </w:tcPr>
          <w:p>
            <w:pPr>
              <w:spacing w:after="0"/>
              <w:rPr>
                <w:sz w:val="17"/>
                <w:szCs w:val="17"/>
                <w:color w:val="auto"/>
              </w:rPr>
            </w:pPr>
          </w:p>
        </w:tc>
        <w:tc>
          <w:tcPr>
            <w:tcW w:w="3100" w:type="dxa"/>
            <w:vAlign w:val="bottom"/>
            <w:gridSpan w:val="5"/>
          </w:tcPr>
          <w:p>
            <w:pPr>
              <w:jc w:val="center"/>
              <w:ind w:left="1230"/>
              <w:spacing w:after="0"/>
              <w:rPr>
                <w:sz w:val="20"/>
                <w:szCs w:val="20"/>
                <w:color w:val="auto"/>
              </w:rPr>
            </w:pPr>
            <w:r>
              <w:rPr>
                <w:rFonts w:ascii="Arial" w:cs="Arial" w:eastAsia="Arial" w:hAnsi="Arial"/>
                <w:sz w:val="18"/>
                <w:szCs w:val="18"/>
                <w:b w:val="1"/>
                <w:bCs w:val="1"/>
                <w:color w:val="auto"/>
                <w:w w:val="90"/>
              </w:rPr>
              <w:t>133444607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8"/>
        </w:trPr>
        <w:tc>
          <w:tcPr>
            <w:tcW w:w="4060" w:type="dxa"/>
            <w:vAlign w:val="bottom"/>
            <w:gridSpan w:val="4"/>
          </w:tcPr>
          <w:p>
            <w:pPr>
              <w:jc w:val="center"/>
              <w:ind w:right="1980"/>
              <w:spacing w:after="0"/>
              <w:rPr>
                <w:sz w:val="20"/>
                <w:szCs w:val="20"/>
                <w:color w:val="auto"/>
              </w:rPr>
            </w:pPr>
            <w:r>
              <w:rPr>
                <w:rFonts w:ascii="Arial" w:cs="Arial" w:eastAsia="Arial" w:hAnsi="Arial"/>
                <w:sz w:val="18"/>
                <w:szCs w:val="18"/>
                <w:color w:val="auto"/>
                <w:w w:val="92"/>
              </w:rPr>
              <w:t>(State or other jurisdiction of</w:t>
            </w:r>
          </w:p>
        </w:tc>
        <w:tc>
          <w:tcPr>
            <w:tcW w:w="276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(Commission File Number)</w:t>
            </w:r>
          </w:p>
        </w:tc>
        <w:tc>
          <w:tcPr>
            <w:tcW w:w="780" w:type="dxa"/>
            <w:vAlign w:val="bottom"/>
          </w:tcPr>
          <w:p>
            <w:pPr>
              <w:spacing w:after="0"/>
              <w:rPr>
                <w:sz w:val="18"/>
                <w:szCs w:val="18"/>
                <w:color w:val="auto"/>
              </w:rPr>
            </w:pPr>
          </w:p>
        </w:tc>
        <w:tc>
          <w:tcPr>
            <w:tcW w:w="232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0" w:type="dxa"/>
            <w:vAlign w:val="bottom"/>
          </w:tcPr>
          <w:p>
            <w:pPr>
              <w:spacing w:after="0"/>
              <w:rPr>
                <w:sz w:val="20"/>
                <w:szCs w:val="20"/>
                <w:color w:val="auto"/>
              </w:rPr>
            </w:pPr>
          </w:p>
        </w:tc>
        <w:tc>
          <w:tcPr>
            <w:tcW w:w="4040" w:type="dxa"/>
            <w:vAlign w:val="bottom"/>
            <w:gridSpan w:val="3"/>
          </w:tcPr>
          <w:p>
            <w:pPr>
              <w:jc w:val="center"/>
              <w:ind w:right="2000"/>
              <w:spacing w:after="0"/>
              <w:rPr>
                <w:sz w:val="20"/>
                <w:szCs w:val="20"/>
                <w:color w:val="auto"/>
              </w:rPr>
            </w:pPr>
            <w:r>
              <w:rPr>
                <w:rFonts w:ascii="Arial" w:cs="Arial" w:eastAsia="Arial" w:hAnsi="Arial"/>
                <w:sz w:val="18"/>
                <w:szCs w:val="18"/>
                <w:color w:val="auto"/>
                <w:w w:val="94"/>
              </w:rPr>
              <w:t>incorporation)</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32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3"/>
              </w:rPr>
              <w:t>Identification Number)</w:t>
            </w:r>
          </w:p>
        </w:tc>
      </w:tr>
      <w:tr>
        <w:trPr>
          <w:trHeight w:val="392"/>
        </w:trPr>
        <w:tc>
          <w:tcPr>
            <w:tcW w:w="20" w:type="dxa"/>
            <w:vAlign w:val="bottom"/>
          </w:tcPr>
          <w:p>
            <w:pPr>
              <w:spacing w:after="0"/>
              <w:rPr>
                <w:sz w:val="24"/>
                <w:szCs w:val="24"/>
                <w:color w:val="auto"/>
              </w:rPr>
            </w:pPr>
          </w:p>
        </w:tc>
        <w:tc>
          <w:tcPr>
            <w:tcW w:w="4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0" w:type="dxa"/>
            <w:vAlign w:val="bottom"/>
            <w:gridSpan w:val="3"/>
          </w:tcPr>
          <w:p>
            <w:pPr>
              <w:ind w:left="780"/>
              <w:spacing w:after="0"/>
              <w:rPr>
                <w:sz w:val="20"/>
                <w:szCs w:val="20"/>
                <w:color w:val="auto"/>
              </w:rPr>
            </w:pPr>
            <w:r>
              <w:rPr>
                <w:rFonts w:ascii="Arial" w:cs="Arial" w:eastAsia="Arial" w:hAnsi="Arial"/>
                <w:sz w:val="18"/>
                <w:szCs w:val="18"/>
                <w:b w:val="1"/>
                <w:bCs w:val="1"/>
                <w:color w:val="auto"/>
              </w:rPr>
              <w:t>10591-6707</w:t>
            </w: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404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4"/>
              </w:rPr>
              <w:t>(Zip Code)</w:t>
            </w:r>
          </w:p>
        </w:tc>
        <w:tc>
          <w:tcPr>
            <w:tcW w:w="1460" w:type="dxa"/>
            <w:vAlign w:val="bottom"/>
            <w:gridSpan w:val="3"/>
          </w:tcPr>
          <w:p>
            <w:pPr>
              <w:spacing w:after="0"/>
              <w:rPr>
                <w:sz w:val="20"/>
                <w:szCs w:val="20"/>
                <w:color w:val="auto"/>
              </w:rPr>
            </w:pPr>
          </w:p>
        </w:tc>
      </w:tr>
    </w:tbl>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927" w:right="6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left="840" w:right="40"/>
        <w:spacing w:after="0" w:line="257" w:lineRule="auto"/>
        <w:rPr>
          <w:sz w:val="20"/>
          <w:szCs w:val="20"/>
          <w:color w:val="auto"/>
        </w:rPr>
      </w:pPr>
      <w:r>
        <w:rPr>
          <w:rFonts w:ascii="Arial" w:cs="Arial" w:eastAsia="Arial" w:hAnsi="Arial"/>
          <w:sz w:val="18"/>
          <w:szCs w:val="18"/>
          <w:color w:val="auto"/>
        </w:rPr>
        <w:t>At an investor conference held today, Regeneron’s collaborator on the VEGF Trap cancer program, sanofi-anventis, presented a slide on their calendar of planned regulatory submissions which indicated a time period of 2007/2008 for submission of the application for the first marketing approval for the VEGF Trap. At this same conference, sanofi-aventis stated that the companies have initiated a single-agent phase 2 study of the VEGF Trap in non-small cell lung adenocarcinoma and plan to initiate two additional phase 2 single agent studies of the VEGF Trap in advanced ovarian cancer and symptomatic malignant ascities.</w:t>
      </w:r>
    </w:p>
    <w:p>
      <w:pPr>
        <w:spacing w:after="0" w:line="188" w:lineRule="exact"/>
        <w:rPr>
          <w:sz w:val="20"/>
          <w:szCs w:val="20"/>
          <w:color w:val="auto"/>
        </w:rPr>
      </w:pPr>
    </w:p>
    <w:p>
      <w:pPr>
        <w:ind w:left="840"/>
        <w:spacing w:after="0" w:line="270" w:lineRule="auto"/>
        <w:rPr>
          <w:sz w:val="20"/>
          <w:szCs w:val="20"/>
          <w:color w:val="auto"/>
        </w:rPr>
      </w:pPr>
      <w:r>
        <w:rPr>
          <w:rFonts w:ascii="Arial" w:cs="Arial" w:eastAsia="Arial" w:hAnsi="Arial"/>
          <w:sz w:val="17"/>
          <w:szCs w:val="17"/>
          <w:color w:val="auto"/>
        </w:rPr>
        <w:t>This Form 8-K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 with the sanofi-aventis Group,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2004 and Form 10-Q for the quarter ended September 30, 2005. Regeneron does not undertake any obligation to update publicly any forward-looking statement, whether as a result of new information, future events, or otherwise unless required by law.</w:t>
      </w:r>
    </w:p>
    <w:p>
      <w:pPr>
        <w:spacing w:after="0" w:line="70"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Dated: February 24, 2006</w:t>
            </w: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By: /s/ Stuart Kolinski</w:t>
            </w:r>
          </w:p>
        </w:tc>
      </w:tr>
      <w:tr>
        <w:trPr>
          <w:trHeight w:val="195"/>
        </w:trPr>
        <w:tc>
          <w:tcPr>
            <w:tcW w:w="3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Kolinski</w:t>
            </w:r>
          </w:p>
        </w:tc>
      </w:tr>
      <w:tr>
        <w:trPr>
          <w:trHeight w:val="230"/>
        </w:trPr>
        <w:tc>
          <w:tcPr>
            <w:tcW w:w="3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and General Counsel</w:t>
            </w:r>
          </w:p>
        </w:tc>
      </w:tr>
    </w:tbl>
    <w:p>
      <w:pPr>
        <w:spacing w:after="0" w:line="1" w:lineRule="exact"/>
        <w:rPr>
          <w:sz w:val="20"/>
          <w:szCs w:val="20"/>
          <w:color w:val="auto"/>
        </w:rPr>
      </w:pPr>
    </w:p>
    <w:sectPr>
      <w:pgSz w:w="11900" w:h="16838" w:orient="portrait"/>
      <w:cols w:equalWidth="0" w:num="1">
        <w:col w:w="11360"/>
      </w:cols>
      <w:pgMar w:left="240" w:top="9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2019-12-20T02:10:44Z</dcterms:created>
  <dcterms:modified xsi:type="dcterms:W3CDTF">2019-12-20T02:10:44Z</dcterms:modified>
</cp:coreProperties>
</file>