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29, 2016 (March 23, 2016)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540" w:firstLine="324"/>
        <w:spacing w:after="0" w:line="308" w:lineRule="auto"/>
        <w:rPr>
          <w:sz w:val="20"/>
          <w:szCs w:val="20"/>
          <w:color w:val="auto"/>
        </w:rPr>
      </w:pPr>
      <w:r>
        <w:rPr>
          <w:rFonts w:ascii="Arial" w:cs="Arial" w:eastAsia="Arial" w:hAnsi="Arial"/>
          <w:sz w:val="17"/>
          <w:szCs w:val="17"/>
          <w:color w:val="auto"/>
        </w:rPr>
        <w:t>On March 23, 2016,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 License and Collaboration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with Bayer HealthCare LLC (“</w:t>
      </w:r>
      <w:r>
        <w:rPr>
          <w:rFonts w:ascii="Arial" w:cs="Arial" w:eastAsia="Arial" w:hAnsi="Arial"/>
          <w:sz w:val="17"/>
          <w:szCs w:val="17"/>
          <w:u w:val="single" w:color="auto"/>
          <w:color w:val="auto"/>
        </w:rPr>
        <w:t>Bayer HealthCare</w:t>
      </w:r>
      <w:r>
        <w:rPr>
          <w:rFonts w:ascii="Arial" w:cs="Arial" w:eastAsia="Arial" w:hAnsi="Arial"/>
          <w:sz w:val="17"/>
          <w:szCs w:val="17"/>
          <w:color w:val="auto"/>
        </w:rPr>
        <w:t>”). A summary description of the Agreement is provided below.</w:t>
      </w:r>
    </w:p>
    <w:p>
      <w:pPr>
        <w:spacing w:after="0" w:line="147" w:lineRule="exact"/>
        <w:rPr>
          <w:sz w:val="24"/>
          <w:szCs w:val="24"/>
          <w:color w:val="auto"/>
        </w:rPr>
      </w:pPr>
    </w:p>
    <w:p>
      <w:pPr>
        <w:ind w:right="60" w:firstLine="324"/>
        <w:spacing w:after="0" w:line="258" w:lineRule="auto"/>
        <w:rPr>
          <w:sz w:val="20"/>
          <w:szCs w:val="20"/>
          <w:color w:val="auto"/>
        </w:rPr>
      </w:pPr>
      <w:r>
        <w:rPr>
          <w:rFonts w:ascii="Arial" w:cs="Arial" w:eastAsia="Arial" w:hAnsi="Arial"/>
          <w:sz w:val="17"/>
          <w:szCs w:val="17"/>
          <w:color w:val="auto"/>
        </w:rPr>
        <w:t>The Agreement governs the joint development and commercialization of an antibody to angiopoietin2 (ANG2), including in combination with EYLEA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(aflibercept) Injection, for the treatment of ocular diseases or disorders (the “</w:t>
      </w:r>
      <w:r>
        <w:rPr>
          <w:rFonts w:ascii="Arial" w:cs="Arial" w:eastAsia="Arial" w:hAnsi="Arial"/>
          <w:sz w:val="17"/>
          <w:szCs w:val="17"/>
          <w:u w:val="single" w:color="auto"/>
          <w:color w:val="auto"/>
        </w:rPr>
        <w:t>Product</w:t>
      </w:r>
      <w:r>
        <w:rPr>
          <w:rFonts w:ascii="Arial" w:cs="Arial" w:eastAsia="Arial" w:hAnsi="Arial"/>
          <w:sz w:val="17"/>
          <w:szCs w:val="17"/>
          <w:color w:val="auto"/>
        </w:rPr>
        <w:t>”). Under the Agreement, the Parties will jointly develop the Product and Bayer HealthCare will commercialize the Product outside the United States. Bayer HealthCare will (i) make an upfront payment of $50 million to Regeneron; (ii) pay for 25% of global development costs and 50% of development costs for the territory outside of the United States; (iii) be responsible for an aggregate of $80 million in development and regulatory milestones; (iv) share profits from ex-U.S. sales of the Product equally with Regeneron; and (v) be responsible for certain royalties payable to a third party on ex-U.S. sales of the Product.</w:t>
      </w:r>
    </w:p>
    <w:p>
      <w:pPr>
        <w:spacing w:after="0" w:line="190" w:lineRule="exact"/>
        <w:rPr>
          <w:sz w:val="24"/>
          <w:szCs w:val="24"/>
          <w:color w:val="auto"/>
        </w:rPr>
      </w:pPr>
    </w:p>
    <w:p>
      <w:pPr>
        <w:ind w:right="420" w:firstLine="324"/>
        <w:spacing w:after="0" w:line="277" w:lineRule="auto"/>
        <w:rPr>
          <w:sz w:val="20"/>
          <w:szCs w:val="20"/>
          <w:color w:val="auto"/>
        </w:rPr>
      </w:pPr>
      <w:r>
        <w:rPr>
          <w:rFonts w:ascii="Arial" w:cs="Arial" w:eastAsia="Arial" w:hAnsi="Arial"/>
          <w:sz w:val="18"/>
          <w:szCs w:val="18"/>
          <w:color w:val="auto"/>
        </w:rPr>
        <w:t>Regeneron retains exclusive commercialization rights to the Product in the United States and will retain all of the profits from any U.S. sales of the Product.</w:t>
      </w:r>
    </w:p>
    <w:p>
      <w:pPr>
        <w:spacing w:after="0" w:line="170" w:lineRule="exact"/>
        <w:rPr>
          <w:sz w:val="24"/>
          <w:szCs w:val="24"/>
          <w:color w:val="auto"/>
        </w:rPr>
      </w:pPr>
    </w:p>
    <w:p>
      <w:pPr>
        <w:ind w:right="120" w:firstLine="324"/>
        <w:spacing w:after="0" w:line="259"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the Product in the specified field outside of the United States and such discontinuation is acknowledged as permanent by both Regeneron and Bayer HealthCare in writing. The Agreement contains other customary covenants, representations and warranties, and indemnification provisions.</w:t>
      </w:r>
    </w:p>
    <w:p>
      <w:pPr>
        <w:spacing w:after="0" w:line="187" w:lineRule="exact"/>
        <w:rPr>
          <w:sz w:val="24"/>
          <w:szCs w:val="24"/>
          <w:color w:val="auto"/>
        </w:rPr>
      </w:pPr>
    </w:p>
    <w:p>
      <w:pPr>
        <w:ind w:firstLine="324"/>
        <w:spacing w:after="0" w:line="273" w:lineRule="auto"/>
        <w:rPr>
          <w:sz w:val="20"/>
          <w:szCs w:val="20"/>
          <w:color w:val="auto"/>
        </w:rPr>
      </w:pPr>
      <w:r>
        <w:rPr>
          <w:rFonts w:ascii="Arial" w:cs="Arial" w:eastAsia="Arial" w:hAnsi="Arial"/>
          <w:sz w:val="17"/>
          <w:szCs w:val="17"/>
          <w:color w:val="auto"/>
        </w:rPr>
        <w:t>The Agreement also contains a standstill provision, which prohibits Bayer HealthCare and its affiliates from seeking to influence the control of the Company or acquiring more than 20% of the Company’s then outstanding shares of common stock, par value $0.001 per share, and Class A Stock, par value $0.001 per share. This standstill provision, which is substantially similar to the standstill provision in the License and Collaboration Agreement, dated as of January 10, 2014, by and between Bayer HealthCare and the Company (previously filed with the Securities and Exchange Commission as Exhibit 10.2 to Regeneron’s Quarterly Report on Form 10-Q for the quarterly period ended March 31, 2014), will expire on the fifth anniversary of the end of the term of the Agreement, unless terminated earlier by the occurrence of certain enumerated events.</w:t>
      </w:r>
    </w:p>
    <w:p>
      <w:pPr>
        <w:spacing w:after="0" w:line="178" w:lineRule="exact"/>
        <w:rPr>
          <w:sz w:val="24"/>
          <w:szCs w:val="24"/>
          <w:color w:val="auto"/>
        </w:rPr>
      </w:pPr>
    </w:p>
    <w:p>
      <w:pPr>
        <w:ind w:right="160" w:firstLine="324"/>
        <w:spacing w:after="0" w:line="342" w:lineRule="auto"/>
        <w:rPr>
          <w:sz w:val="20"/>
          <w:szCs w:val="20"/>
          <w:color w:val="auto"/>
        </w:rPr>
      </w:pPr>
      <w:r>
        <w:rPr>
          <w:rFonts w:ascii="Arial" w:cs="Arial" w:eastAsia="Arial" w:hAnsi="Arial"/>
          <w:sz w:val="16"/>
          <w:szCs w:val="16"/>
          <w:color w:val="auto"/>
        </w:rPr>
        <w:t>The foregoing description of the Agreement is qualified in its entirety by reference to the full text of the Agreement, a copy of which will be filed with the Securities and Exchange Commission as an exhibit to the Company’s Quarterly Report on Form 10-Q for the quarterly period ending March 31, 2016.</w:t>
      </w:r>
    </w:p>
    <w:p>
      <w:pPr>
        <w:spacing w:after="0" w:line="12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340"/>
          </w:cols>
          <w:pgMar w:left="240" w:top="544" w:right="319" w:bottom="0" w:gutter="0" w:footer="0" w:header="0"/>
        </w:sectPr>
      </w:pPr>
    </w:p>
    <w:bookmarkStart w:id="1" w:name="page2"/>
    <w:bookmarkEnd w:id="1"/>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10795"/>
                    </a:xfrm>
                    <a:prstGeom prst="rect">
                      <a:avLst/>
                    </a:prstGeom>
                    <a:noFill/>
                  </pic:spPr>
                </pic:pic>
              </a:graphicData>
            </a:graphic>
          </wp:anchor>
        </w:drawing>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2016</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40"/>
      </w:cols>
      <w:pgMar w:left="240" w:top="702"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2019-12-06T00:07:52Z</dcterms:created>
  <dcterms:modified xsi:type="dcterms:W3CDTF">2019-12-06T00:07:52Z</dcterms:modified>
</cp:coreProperties>
</file>