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2018 (December 14,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324"/>
        <w:spacing w:after="0" w:line="283" w:lineRule="auto"/>
        <w:rPr>
          <w:sz w:val="20"/>
          <w:szCs w:val="20"/>
          <w:color w:val="auto"/>
        </w:rPr>
      </w:pPr>
      <w:r>
        <w:rPr>
          <w:rFonts w:ascii="Arial" w:cs="Arial" w:eastAsia="Arial" w:hAnsi="Arial"/>
          <w:sz w:val="17"/>
          <w:szCs w:val="17"/>
          <w:color w:val="auto"/>
        </w:rPr>
        <w:t>On December 14, 2018,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by and among the Company, as a borrower and guarantor; </w:t>
      </w:r>
      <w:r>
        <w:rPr>
          <w:rFonts w:ascii="Arial" w:cs="Arial" w:eastAsia="Arial" w:hAnsi="Arial"/>
          <w:sz w:val="16"/>
          <w:szCs w:val="16"/>
          <w:color w:val="auto"/>
        </w:rPr>
        <w:t>certain direct subsidiaries of the Company, as the initial subsidiary borrowers; JPMorgan Chase Bank,</w:t>
      </w:r>
      <w:r>
        <w:rPr>
          <w:rFonts w:ascii="Arial" w:cs="Arial" w:eastAsia="Arial" w:hAnsi="Arial"/>
          <w:sz w:val="17"/>
          <w:szCs w:val="17"/>
          <w:color w:val="auto"/>
        </w:rPr>
        <w:t xml:space="preserve"> </w:t>
      </w:r>
      <w:r>
        <w:rPr>
          <w:rFonts w:ascii="Arial" w:cs="Arial" w:eastAsia="Arial" w:hAnsi="Arial"/>
          <w:sz w:val="16"/>
          <w:szCs w:val="16"/>
          <w:color w:val="auto"/>
        </w:rPr>
        <w:t>N.A., as administrative agent; Bank of America, N.A. and U.S. Bank National Association, as co-syndication agents; Barclays Bank PLC, Citibank, N.A., Fifth Third Bank, and MUFG Bank, Ltd., as co-documentation agents; JPMorgan Chase Bank, N.A., Bank of America, N.A., and U.S. Bank National Association, as the issuing banks; JPMorgan Chase Bank, N.A., as the swingline lender; and the other lenders party thereto from time to time.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Credit Agreement provides for a $750 million senior unsecured five-year revolving credit facility (with a $25 million sublimit for swingline borrowings and a $50 million sublimit for letters of credit) (the “</w:t>
      </w:r>
      <w:r>
        <w:rPr>
          <w:rFonts w:ascii="Arial" w:cs="Arial" w:eastAsia="Arial" w:hAnsi="Arial"/>
          <w:sz w:val="17"/>
          <w:szCs w:val="17"/>
          <w:u w:val="single" w:color="auto"/>
          <w:color w:val="auto"/>
        </w:rPr>
        <w:t>Credit Facility</w:t>
      </w:r>
      <w:r>
        <w:rPr>
          <w:rFonts w:ascii="Arial" w:cs="Arial" w:eastAsia="Arial" w:hAnsi="Arial"/>
          <w:sz w:val="17"/>
          <w:szCs w:val="17"/>
          <w:color w:val="auto"/>
        </w:rPr>
        <w:t>”) and replaces the Company’s previously existing revolving credit facility, which was contemporaneously terminated as described in Item 1.02 below. The loans under the Credit Facility have a variable interest rate based on either the London Interbank Offered Rate or the alternate base rate (or other applicable rate with respect to non-dollar borrowings), plus an applicable margin that varies with the Company’s debt rating and total leverage ratio. The Credit Agreement includes an option for the Company to elect to increase the commitments under the Credit Facility and/or to enter into one or more tranches of term loans in the aggregate principal amount of up to $250 million, subject to the consent of the lenders providing the additional commitments or term loans, as applicable, and certain other conditions.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proceeds of the loans under the Credit Facility may be used to finance the working capital needs, and for general corporate or other lawful purposes, of Regeneron and its subsidiaries. The Company has guaranteed all obligations under the Credit Facility.</w:t>
      </w:r>
    </w:p>
    <w:p>
      <w:pPr>
        <w:spacing w:after="0" w:line="170"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Credit Agreement contains financial and operating covenants. Financial covenants include a maximum total leverage ratio and a minimum interest expense coverage ratio. Operating covenants include, among other things, limitations on (i) the incurrence of indebtedness by the Company’s subsidiaries,</w:t>
      </w: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liens on assets of the Company and its subsidiaries, (iii) certain fundamental changes and the disposition of assets by the Company and its subsidiaries,</w:t>
      </w:r>
    </w:p>
    <w:p>
      <w:pPr>
        <w:spacing w:after="0" w:line="32" w:lineRule="exact"/>
        <w:rPr>
          <w:rFonts w:ascii="Arial" w:cs="Arial" w:eastAsia="Arial" w:hAnsi="Arial"/>
          <w:sz w:val="16"/>
          <w:szCs w:val="16"/>
          <w:color w:val="auto"/>
        </w:rPr>
      </w:pPr>
    </w:p>
    <w:p>
      <w:pPr>
        <w:ind w:right="120" w:firstLine="8"/>
        <w:spacing w:after="0" w:line="255"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entering into swap agreements, (v) entering into affiliate transactions, and (vi) the payment of dividends, distributions, and certain other restricted payments in respect of the capital stock of the Company and its subsidiaries. The Credit Agreement contains other customary covenants, representations and warranties, and events of default.</w:t>
      </w:r>
    </w:p>
    <w:p>
      <w:pPr>
        <w:spacing w:after="0" w:line="19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Credit Facility matures, and all amounts outstanding thereunder will become due and payable in full, on December 14, 2023. The Credit Agreement includes an option for the Company to elect to extend the maturity date of the Credit Facility, subject to the consent of the extending lenders and certain other conditions. Amounts borrowed under the Credit Facility may be prepaid, and the commitments under the Credit Facility may be terminated, at any time without premium or penalty. As of the date of this report, no borrowings were outstanding under the Credit Facility.</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foregoing summary of the Credit Agreement is qualified in its entirety by the full text of the Credit Agreement, which is attached as Exhibit 10.1 hereto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On December 14, 2018, in connection with entering into the new Credit Agreement as described in Item 1.01 above, the Company terminated its then-existing credit agreement, dated as of March 19, 2015, as amended (the “</w:t>
      </w:r>
      <w:r>
        <w:rPr>
          <w:rFonts w:ascii="Arial" w:cs="Arial" w:eastAsia="Arial" w:hAnsi="Arial"/>
          <w:sz w:val="16"/>
          <w:szCs w:val="16"/>
          <w:u w:val="single" w:color="auto"/>
          <w:color w:val="auto"/>
        </w:rPr>
        <w:t>Prior Credit Agreement</w:t>
      </w:r>
      <w:r>
        <w:rPr>
          <w:rFonts w:ascii="Arial" w:cs="Arial" w:eastAsia="Arial" w:hAnsi="Arial"/>
          <w:sz w:val="16"/>
          <w:szCs w:val="16"/>
          <w:color w:val="auto"/>
        </w:rPr>
        <w:t>”), by and among Regeneron, as a borrower and guarantor, certain subsidiaries of Regeneron party thereto as subsidiary borrowers, JPMorgan Chase Bank, N.A., as administrative agent, and the lenders and other financial institutions party thereto. No borrowings were outstanding under the Prior Credit Agreement at the time of its termination.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December 14, 2018, the Company entered into the Credit Agreement as described under Item 1.01 above. The description of the Credit Agreement set forth in Item 1.01 above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hanging="809"/>
        <w:spacing w:after="0" w:line="29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Credit Agreement, dated as of December 14, 2018, by and among Regeneron Pharmaceuticals, Inc., as a borrower and guarantor; certain direct subsidiaries of Regeneron Pharmaceuticals, Inc., as the initial subsidiary borrowers; JPMorgan Chase Bank, N.A., as administrative agent; Bank of America, N.A. and U.S. Bank National Association, as co-syndication agents; Barclays Bank PLC, Citibank, N.A., Fifth Third Bank, and MUFG Bank, Ltd., as co-documentation agents; JPMorgan Chase Bank, N.A., Bank of America, N.A., and U.S. Bank National Association, as the issuing banks; JPMorgan Chase Bank, N.A., as the swingline lender; and the other lenders party thereto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5"/>
          </w:tcPr>
          <w:p>
            <w:pPr>
              <w:ind w:left="39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gridSpan w:val="5"/>
          </w:tcPr>
          <w:p>
            <w:pPr>
              <w:ind w:left="48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380" w:type="dxa"/>
            <w:vAlign w:val="bottom"/>
            <w:tcBorders>
              <w:top w:val="single" w:sz="8" w:color="auto"/>
            </w:tcBorders>
            <w:gridSpan w:val="5"/>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Credit Agreement, dated as of December 14, 2018, by and among Regeneron Pharmaceuticals, Inc., as a borrower and guarantor; certain direct</w:t>
              </w:r>
            </w:hyperlink>
          </w:p>
        </w:tc>
        <w:tc>
          <w:tcPr>
            <w:tcW w:w="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subsidiaries of Regeneron Pharmaceuticals, Inc., as the initial subsidiary borrowers; JPMorgan Chase Bank, N.A., as administrative agent;</w:t>
              </w:r>
            </w:hyperlink>
          </w:p>
        </w:tc>
        <w:tc>
          <w:tcPr>
            <w:tcW w:w="3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5"/>
          </w:tcPr>
          <w:p>
            <w:pPr>
              <w:spacing w:after="0" w:line="196" w:lineRule="exact"/>
              <w:rPr>
                <w:rFonts w:ascii="Arial" w:cs="Arial" w:eastAsia="Arial" w:hAnsi="Arial"/>
                <w:sz w:val="18"/>
                <w:szCs w:val="18"/>
                <w:color w:val="0000EE"/>
                <w:w w:val="94"/>
              </w:rPr>
            </w:pPr>
            <w:hyperlink r:id="rId15">
              <w:r>
                <w:rPr>
                  <w:rFonts w:ascii="Arial" w:cs="Arial" w:eastAsia="Arial" w:hAnsi="Arial"/>
                  <w:sz w:val="18"/>
                  <w:szCs w:val="18"/>
                  <w:color w:val="0000EE"/>
                  <w:w w:val="94"/>
                </w:rPr>
                <w:t>Bank of America, N.A. and U.S. Bank National Association, as co-syndication agents; Barclays Bank PLC, Citibank, N.A., Fifth Third Bank,</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tcBorders>
              <w:top w:val="single" w:sz="8" w:color="0000EE"/>
            </w:tcBorders>
            <w:gridSpan w:val="3"/>
          </w:tcPr>
          <w:p>
            <w:pPr>
              <w:spacing w:after="0" w:line="196" w:lineRule="exact"/>
              <w:rPr>
                <w:rFonts w:ascii="Arial" w:cs="Arial" w:eastAsia="Arial" w:hAnsi="Arial"/>
                <w:sz w:val="18"/>
                <w:szCs w:val="18"/>
                <w:color w:val="0000EE"/>
                <w:w w:val="98"/>
              </w:rPr>
            </w:pPr>
            <w:hyperlink r:id="rId15">
              <w:r>
                <w:rPr>
                  <w:rFonts w:ascii="Arial" w:cs="Arial" w:eastAsia="Arial" w:hAnsi="Arial"/>
                  <w:sz w:val="18"/>
                  <w:szCs w:val="18"/>
                  <w:color w:val="0000EE"/>
                  <w:w w:val="98"/>
                </w:rPr>
                <w:t>and MUFG Bank, Ltd., as co-documentation agents; JPMorgan Chase Bank, N.A., Bank of America, N.A., and U.S. Bank National</w:t>
              </w:r>
            </w:hyperlink>
          </w:p>
        </w:tc>
        <w:tc>
          <w:tcPr>
            <w:tcW w:w="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5"/>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Association, as the issuing banks; JPMorgan Chase Bank, N.A., as the swingline lender; and the other lenders party thereto from time to time.</w:t>
              </w:r>
            </w:hyperlink>
          </w:p>
        </w:tc>
        <w:tc>
          <w:tcPr>
            <w:tcW w:w="4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Borders>
              <w:top w:val="single" w:sz="8" w:color="0000EE"/>
            </w:tcBorders>
          </w:tcPr>
          <w:p>
            <w:pPr>
              <w:ind w:left="4620"/>
              <w:spacing w:after="0"/>
              <w:rPr>
                <w:sz w:val="20"/>
                <w:szCs w:val="20"/>
                <w:color w:val="auto"/>
              </w:rPr>
            </w:pPr>
            <w:r>
              <w:rPr>
                <w:rFonts w:ascii="Arial" w:cs="Arial" w:eastAsia="Arial" w:hAnsi="Arial"/>
                <w:sz w:val="18"/>
                <w:szCs w:val="18"/>
                <w:color w:val="auto"/>
              </w:rPr>
              <w:t>4</w:t>
            </w: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4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2018</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1892935</wp:posOffset>
            </wp:positionH>
            <wp:positionV relativeFrom="paragraph">
              <wp:posOffset>317500</wp:posOffset>
            </wp:positionV>
            <wp:extent cx="194691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9469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14,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HEALTHCARE SOLUTIONS,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GENETICS CENTER LLC</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Subsidiary Borrowers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BANK OF AMERICA, N.A. and U.S. BANK NATIONAL ASSOCIATION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 FIFTH THIRD BANK,</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MUFG BANK, LTD. and 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211455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372745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u w:val="single" w:color="auto"/>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vMerge w:val="restart"/>
          </w:tcPr>
          <w:p>
            <w:pPr>
              <w:spacing w:after="0"/>
              <w:rPr>
                <w:sz w:val="20"/>
                <w:szCs w:val="20"/>
                <w:color w:val="auto"/>
              </w:rPr>
            </w:pPr>
            <w:r>
              <w:rPr>
                <w:rFonts w:ascii="Arial" w:cs="Arial" w:eastAsia="Arial" w:hAnsi="Arial"/>
                <w:sz w:val="18"/>
                <w:szCs w:val="18"/>
                <w:color w:val="auto"/>
                <w:w w:val="97"/>
              </w:rPr>
              <w:t>ARTICLE I Definitions</w:t>
            </w:r>
          </w:p>
        </w:tc>
        <w:tc>
          <w:tcPr>
            <w:tcW w:w="85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85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720" w:type="dxa"/>
            <w:vAlign w:val="bottom"/>
          </w:tcPr>
          <w:p>
            <w:pPr>
              <w:spacing w:after="0"/>
              <w:rPr>
                <w:sz w:val="20"/>
                <w:szCs w:val="20"/>
                <w:color w:val="auto"/>
              </w:rPr>
            </w:pPr>
            <w:r>
              <w:rPr>
                <w:rFonts w:ascii="Arial" w:cs="Arial" w:eastAsia="Arial" w:hAnsi="Arial"/>
                <w:sz w:val="18"/>
                <w:szCs w:val="18"/>
                <w:color w:val="auto"/>
              </w:rPr>
              <w:t>SECTION 1.01.</w:t>
            </w:r>
          </w:p>
        </w:tc>
        <w:tc>
          <w:tcPr>
            <w:tcW w:w="8560" w:type="dxa"/>
            <w:vAlign w:val="bottom"/>
          </w:tcPr>
          <w:p>
            <w:pPr>
              <w:spacing w:after="0"/>
              <w:rPr>
                <w:sz w:val="20"/>
                <w:szCs w:val="20"/>
                <w:color w:val="auto"/>
              </w:rPr>
            </w:pPr>
            <w:r>
              <w:rPr>
                <w:rFonts w:ascii="Arial" w:cs="Arial" w:eastAsia="Arial" w:hAnsi="Arial"/>
                <w:sz w:val="18"/>
                <w:szCs w:val="18"/>
                <w:color w:val="auto"/>
              </w:rPr>
              <w:t>DEFINED TERMS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1.02.</w:t>
            </w:r>
          </w:p>
        </w:tc>
        <w:tc>
          <w:tcPr>
            <w:tcW w:w="8560" w:type="dxa"/>
            <w:vAlign w:val="bottom"/>
          </w:tcPr>
          <w:p>
            <w:pPr>
              <w:spacing w:after="0"/>
              <w:rPr>
                <w:sz w:val="20"/>
                <w:szCs w:val="20"/>
                <w:color w:val="auto"/>
              </w:rPr>
            </w:pPr>
            <w:r>
              <w:rPr>
                <w:rFonts w:ascii="Arial" w:cs="Arial" w:eastAsia="Arial" w:hAnsi="Arial"/>
                <w:sz w:val="18"/>
                <w:szCs w:val="18"/>
                <w:color w:val="auto"/>
              </w:rPr>
              <w:t>CLASSIFICATION OF LOANS AND BORROWINGS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1.03.</w:t>
            </w:r>
          </w:p>
        </w:tc>
        <w:tc>
          <w:tcPr>
            <w:tcW w:w="8560" w:type="dxa"/>
            <w:vAlign w:val="bottom"/>
          </w:tcPr>
          <w:p>
            <w:pPr>
              <w:spacing w:after="0"/>
              <w:rPr>
                <w:sz w:val="20"/>
                <w:szCs w:val="20"/>
                <w:color w:val="auto"/>
              </w:rPr>
            </w:pPr>
            <w:r>
              <w:rPr>
                <w:rFonts w:ascii="Arial" w:cs="Arial" w:eastAsia="Arial" w:hAnsi="Arial"/>
                <w:sz w:val="18"/>
                <w:szCs w:val="18"/>
                <w:color w:val="auto"/>
              </w:rPr>
              <w:t>TERMS GENERALLY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1.04.</w:t>
            </w:r>
          </w:p>
        </w:tc>
        <w:tc>
          <w:tcPr>
            <w:tcW w:w="8560" w:type="dxa"/>
            <w:vAlign w:val="bottom"/>
          </w:tcPr>
          <w:p>
            <w:pPr>
              <w:spacing w:after="0"/>
              <w:rPr>
                <w:sz w:val="20"/>
                <w:szCs w:val="20"/>
                <w:color w:val="auto"/>
              </w:rPr>
            </w:pPr>
            <w:r>
              <w:rPr>
                <w:rFonts w:ascii="Arial" w:cs="Arial" w:eastAsia="Arial" w:hAnsi="Arial"/>
                <w:sz w:val="18"/>
                <w:szCs w:val="18"/>
                <w:color w:val="auto"/>
              </w:rPr>
              <w:t>ACCOUNTING TERMS; GAAP; PRO FORMA CALCULATIONS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SECTION 1.05.</w:t>
            </w:r>
          </w:p>
        </w:tc>
        <w:tc>
          <w:tcPr>
            <w:tcW w:w="8560" w:type="dxa"/>
            <w:vAlign w:val="bottom"/>
          </w:tcPr>
          <w:p>
            <w:pPr>
              <w:spacing w:after="0"/>
              <w:rPr>
                <w:sz w:val="20"/>
                <w:szCs w:val="20"/>
                <w:color w:val="auto"/>
              </w:rPr>
            </w:pPr>
            <w:r>
              <w:rPr>
                <w:rFonts w:ascii="Arial" w:cs="Arial" w:eastAsia="Arial" w:hAnsi="Arial"/>
                <w:sz w:val="18"/>
                <w:szCs w:val="18"/>
                <w:color w:val="auto"/>
              </w:rPr>
              <w:t>INTEREST RATES; LIBOR NOTIFICATION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SECTION 2.01.</w:t>
            </w:r>
          </w:p>
        </w:tc>
        <w:tc>
          <w:tcPr>
            <w:tcW w:w="8560" w:type="dxa"/>
            <w:vAlign w:val="bottom"/>
          </w:tcPr>
          <w:p>
            <w:pPr>
              <w:spacing w:after="0"/>
              <w:rPr>
                <w:sz w:val="20"/>
                <w:szCs w:val="20"/>
                <w:color w:val="auto"/>
              </w:rPr>
            </w:pPr>
            <w:r>
              <w:rPr>
                <w:rFonts w:ascii="Arial" w:cs="Arial" w:eastAsia="Arial" w:hAnsi="Arial"/>
                <w:sz w:val="18"/>
                <w:szCs w:val="18"/>
                <w:color w:val="auto"/>
              </w:rPr>
              <w:t>COMMITMENTS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2.02.</w:t>
            </w:r>
          </w:p>
        </w:tc>
        <w:tc>
          <w:tcPr>
            <w:tcW w:w="8560" w:type="dxa"/>
            <w:vAlign w:val="bottom"/>
          </w:tcPr>
          <w:p>
            <w:pPr>
              <w:spacing w:after="0"/>
              <w:rPr>
                <w:sz w:val="20"/>
                <w:szCs w:val="20"/>
                <w:color w:val="auto"/>
              </w:rPr>
            </w:pPr>
            <w:r>
              <w:rPr>
                <w:rFonts w:ascii="Arial" w:cs="Arial" w:eastAsia="Arial" w:hAnsi="Arial"/>
                <w:sz w:val="18"/>
                <w:szCs w:val="18"/>
                <w:color w:val="auto"/>
              </w:rPr>
              <w:t>LOANS AND BORROWINGS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2.03.</w:t>
            </w:r>
          </w:p>
        </w:tc>
        <w:tc>
          <w:tcPr>
            <w:tcW w:w="8560" w:type="dxa"/>
            <w:vAlign w:val="bottom"/>
          </w:tcPr>
          <w:p>
            <w:pPr>
              <w:spacing w:after="0"/>
              <w:rPr>
                <w:sz w:val="20"/>
                <w:szCs w:val="20"/>
                <w:color w:val="auto"/>
              </w:rPr>
            </w:pPr>
            <w:r>
              <w:rPr>
                <w:rFonts w:ascii="Arial" w:cs="Arial" w:eastAsia="Arial" w:hAnsi="Arial"/>
                <w:sz w:val="18"/>
                <w:szCs w:val="18"/>
                <w:color w:val="auto"/>
              </w:rPr>
              <w:t>REQUESTS FOR REVOLVING BORROWINGS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2.04.</w:t>
            </w:r>
          </w:p>
        </w:tc>
        <w:tc>
          <w:tcPr>
            <w:tcW w:w="8560" w:type="dxa"/>
            <w:vAlign w:val="bottom"/>
          </w:tcPr>
          <w:p>
            <w:pPr>
              <w:spacing w:after="0"/>
              <w:rPr>
                <w:sz w:val="20"/>
                <w:szCs w:val="20"/>
                <w:color w:val="auto"/>
              </w:rPr>
            </w:pPr>
            <w:r>
              <w:rPr>
                <w:rFonts w:ascii="Arial" w:cs="Arial" w:eastAsia="Arial" w:hAnsi="Arial"/>
                <w:sz w:val="18"/>
                <w:szCs w:val="18"/>
                <w:color w:val="auto"/>
              </w:rPr>
              <w:t>DETERMINATION OF DOLLAR AMOUNTS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2.05.</w:t>
            </w:r>
          </w:p>
        </w:tc>
        <w:tc>
          <w:tcPr>
            <w:tcW w:w="8560" w:type="dxa"/>
            <w:vAlign w:val="bottom"/>
          </w:tcPr>
          <w:p>
            <w:pPr>
              <w:spacing w:after="0"/>
              <w:rPr>
                <w:sz w:val="20"/>
                <w:szCs w:val="20"/>
                <w:color w:val="auto"/>
              </w:rPr>
            </w:pPr>
            <w:r>
              <w:rPr>
                <w:rFonts w:ascii="Arial" w:cs="Arial" w:eastAsia="Arial" w:hAnsi="Arial"/>
                <w:sz w:val="18"/>
                <w:szCs w:val="18"/>
                <w:color w:val="auto"/>
              </w:rPr>
              <w:t>SWINGLINE LOANS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2.06.</w:t>
            </w:r>
          </w:p>
        </w:tc>
        <w:tc>
          <w:tcPr>
            <w:tcW w:w="8560" w:type="dxa"/>
            <w:vAlign w:val="bottom"/>
          </w:tcPr>
          <w:p>
            <w:pPr>
              <w:spacing w:after="0"/>
              <w:rPr>
                <w:sz w:val="20"/>
                <w:szCs w:val="20"/>
                <w:color w:val="auto"/>
              </w:rPr>
            </w:pPr>
            <w:r>
              <w:rPr>
                <w:rFonts w:ascii="Arial" w:cs="Arial" w:eastAsia="Arial" w:hAnsi="Arial"/>
                <w:sz w:val="18"/>
                <w:szCs w:val="18"/>
                <w:color w:val="auto"/>
              </w:rPr>
              <w:t>LETTERS OF CREDIT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2.07.</w:t>
            </w:r>
          </w:p>
        </w:tc>
        <w:tc>
          <w:tcPr>
            <w:tcW w:w="8560" w:type="dxa"/>
            <w:vAlign w:val="bottom"/>
          </w:tcPr>
          <w:p>
            <w:pPr>
              <w:spacing w:after="0"/>
              <w:rPr>
                <w:sz w:val="20"/>
                <w:szCs w:val="20"/>
                <w:color w:val="auto"/>
              </w:rPr>
            </w:pPr>
            <w:r>
              <w:rPr>
                <w:rFonts w:ascii="Arial" w:cs="Arial" w:eastAsia="Arial" w:hAnsi="Arial"/>
                <w:sz w:val="18"/>
                <w:szCs w:val="18"/>
                <w:color w:val="auto"/>
              </w:rPr>
              <w:t>FUNDING OF BORROWINGS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2.08.</w:t>
            </w:r>
          </w:p>
        </w:tc>
        <w:tc>
          <w:tcPr>
            <w:tcW w:w="8560" w:type="dxa"/>
            <w:vAlign w:val="bottom"/>
          </w:tcPr>
          <w:p>
            <w:pPr>
              <w:spacing w:after="0"/>
              <w:rPr>
                <w:sz w:val="20"/>
                <w:szCs w:val="20"/>
                <w:color w:val="auto"/>
              </w:rPr>
            </w:pPr>
            <w:r>
              <w:rPr>
                <w:rFonts w:ascii="Arial" w:cs="Arial" w:eastAsia="Arial" w:hAnsi="Arial"/>
                <w:sz w:val="18"/>
                <w:szCs w:val="18"/>
                <w:color w:val="auto"/>
              </w:rPr>
              <w:t>INTEREST ELECTIONS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2.09.</w:t>
            </w:r>
          </w:p>
        </w:tc>
        <w:tc>
          <w:tcPr>
            <w:tcW w:w="8560" w:type="dxa"/>
            <w:vAlign w:val="bottom"/>
          </w:tcPr>
          <w:p>
            <w:pPr>
              <w:spacing w:after="0"/>
              <w:rPr>
                <w:sz w:val="20"/>
                <w:szCs w:val="20"/>
                <w:color w:val="auto"/>
              </w:rPr>
            </w:pPr>
            <w:r>
              <w:rPr>
                <w:rFonts w:ascii="Arial" w:cs="Arial" w:eastAsia="Arial" w:hAnsi="Arial"/>
                <w:sz w:val="18"/>
                <w:szCs w:val="18"/>
                <w:color w:val="auto"/>
              </w:rPr>
              <w:t>TERMINATION AND REDUCTION OF COMMITMENTS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2.10.</w:t>
            </w:r>
          </w:p>
        </w:tc>
        <w:tc>
          <w:tcPr>
            <w:tcW w:w="8560" w:type="dxa"/>
            <w:vAlign w:val="bottom"/>
          </w:tcPr>
          <w:p>
            <w:pPr>
              <w:spacing w:after="0"/>
              <w:rPr>
                <w:sz w:val="20"/>
                <w:szCs w:val="20"/>
                <w:color w:val="auto"/>
              </w:rPr>
            </w:pPr>
            <w:r>
              <w:rPr>
                <w:rFonts w:ascii="Arial" w:cs="Arial" w:eastAsia="Arial" w:hAnsi="Arial"/>
                <w:sz w:val="18"/>
                <w:szCs w:val="18"/>
                <w:color w:val="auto"/>
              </w:rPr>
              <w:t>REPAYMENT OF LOANS; EVIDENCE OF DEBT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2.11.</w:t>
            </w:r>
          </w:p>
        </w:tc>
        <w:tc>
          <w:tcPr>
            <w:tcW w:w="8560" w:type="dxa"/>
            <w:vAlign w:val="bottom"/>
          </w:tcPr>
          <w:p>
            <w:pPr>
              <w:spacing w:after="0"/>
              <w:rPr>
                <w:sz w:val="20"/>
                <w:szCs w:val="20"/>
                <w:color w:val="auto"/>
              </w:rPr>
            </w:pPr>
            <w:r>
              <w:rPr>
                <w:rFonts w:ascii="Arial" w:cs="Arial" w:eastAsia="Arial" w:hAnsi="Arial"/>
                <w:sz w:val="18"/>
                <w:szCs w:val="18"/>
                <w:color w:val="auto"/>
              </w:rPr>
              <w:t>PREPAYMENT OF LOANS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2.12.</w:t>
            </w:r>
          </w:p>
        </w:tc>
        <w:tc>
          <w:tcPr>
            <w:tcW w:w="8560" w:type="dxa"/>
            <w:vAlign w:val="bottom"/>
          </w:tcPr>
          <w:p>
            <w:pPr>
              <w:spacing w:after="0"/>
              <w:rPr>
                <w:sz w:val="20"/>
                <w:szCs w:val="20"/>
                <w:color w:val="auto"/>
              </w:rPr>
            </w:pPr>
            <w:r>
              <w:rPr>
                <w:rFonts w:ascii="Arial" w:cs="Arial" w:eastAsia="Arial" w:hAnsi="Arial"/>
                <w:sz w:val="18"/>
                <w:szCs w:val="18"/>
                <w:color w:val="auto"/>
              </w:rPr>
              <w:t>FEES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2.13.</w:t>
            </w:r>
          </w:p>
        </w:tc>
        <w:tc>
          <w:tcPr>
            <w:tcW w:w="8560" w:type="dxa"/>
            <w:vAlign w:val="bottom"/>
          </w:tcPr>
          <w:p>
            <w:pPr>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2.14.</w:t>
            </w:r>
          </w:p>
        </w:tc>
        <w:tc>
          <w:tcPr>
            <w:tcW w:w="8560" w:type="dxa"/>
            <w:vAlign w:val="bottom"/>
          </w:tcPr>
          <w:p>
            <w:pPr>
              <w:spacing w:after="0"/>
              <w:rPr>
                <w:sz w:val="20"/>
                <w:szCs w:val="20"/>
                <w:color w:val="auto"/>
              </w:rPr>
            </w:pPr>
            <w:r>
              <w:rPr>
                <w:rFonts w:ascii="Arial" w:cs="Arial" w:eastAsia="Arial" w:hAnsi="Arial"/>
                <w:sz w:val="18"/>
                <w:szCs w:val="18"/>
                <w:color w:val="auto"/>
              </w:rPr>
              <w:t>ALTERNATE RATE OF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2.15.</w:t>
            </w:r>
          </w:p>
        </w:tc>
        <w:tc>
          <w:tcPr>
            <w:tcW w:w="8560" w:type="dxa"/>
            <w:vAlign w:val="bottom"/>
          </w:tcPr>
          <w:p>
            <w:pPr>
              <w:spacing w:after="0"/>
              <w:rPr>
                <w:sz w:val="20"/>
                <w:szCs w:val="20"/>
                <w:color w:val="auto"/>
              </w:rPr>
            </w:pPr>
            <w:r>
              <w:rPr>
                <w:rFonts w:ascii="Arial" w:cs="Arial" w:eastAsia="Arial" w:hAnsi="Arial"/>
                <w:sz w:val="18"/>
                <w:szCs w:val="18"/>
                <w:color w:val="auto"/>
              </w:rPr>
              <w:t>INCREASED COSTS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2.16.</w:t>
            </w:r>
          </w:p>
        </w:tc>
        <w:tc>
          <w:tcPr>
            <w:tcW w:w="8560" w:type="dxa"/>
            <w:vAlign w:val="bottom"/>
          </w:tcPr>
          <w:p>
            <w:pPr>
              <w:spacing w:after="0"/>
              <w:rPr>
                <w:sz w:val="20"/>
                <w:szCs w:val="20"/>
                <w:color w:val="auto"/>
              </w:rPr>
            </w:pPr>
            <w:r>
              <w:rPr>
                <w:rFonts w:ascii="Arial" w:cs="Arial" w:eastAsia="Arial" w:hAnsi="Arial"/>
                <w:sz w:val="18"/>
                <w:szCs w:val="18"/>
                <w:color w:val="auto"/>
              </w:rPr>
              <w:t>BREAK FUNDING PAYMENTS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2.17.</w:t>
            </w:r>
          </w:p>
        </w:tc>
        <w:tc>
          <w:tcPr>
            <w:tcW w:w="8560" w:type="dxa"/>
            <w:vAlign w:val="bottom"/>
          </w:tcPr>
          <w:p>
            <w:pPr>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2.18.</w:t>
            </w:r>
          </w:p>
        </w:tc>
        <w:tc>
          <w:tcPr>
            <w:tcW w:w="8560" w:type="dxa"/>
            <w:vAlign w:val="bottom"/>
          </w:tcPr>
          <w:p>
            <w:pPr>
              <w:spacing w:after="0"/>
              <w:rPr>
                <w:sz w:val="20"/>
                <w:szCs w:val="20"/>
                <w:color w:val="auto"/>
              </w:rPr>
            </w:pPr>
            <w:r>
              <w:rPr>
                <w:rFonts w:ascii="Arial" w:cs="Arial" w:eastAsia="Arial" w:hAnsi="Arial"/>
                <w:sz w:val="18"/>
                <w:szCs w:val="18"/>
                <w:color w:val="auto"/>
              </w:rPr>
              <w:t>PAYMENTS GENERALLY; PRO RATA TREATMENT; SHARING OF SET-OFFS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2.19.</w:t>
            </w:r>
          </w:p>
        </w:tc>
        <w:tc>
          <w:tcPr>
            <w:tcW w:w="8560" w:type="dxa"/>
            <w:vAlign w:val="bottom"/>
          </w:tcPr>
          <w:p>
            <w:pPr>
              <w:spacing w:after="0"/>
              <w:rPr>
                <w:sz w:val="20"/>
                <w:szCs w:val="20"/>
                <w:color w:val="auto"/>
              </w:rPr>
            </w:pPr>
            <w:r>
              <w:rPr>
                <w:rFonts w:ascii="Arial" w:cs="Arial" w:eastAsia="Arial" w:hAnsi="Arial"/>
                <w:sz w:val="18"/>
                <w:szCs w:val="18"/>
                <w:color w:val="auto"/>
              </w:rPr>
              <w:t>MITIGATION OBLIGATIONS; REPLACEMENT OF LENDERS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2.20.</w:t>
            </w:r>
          </w:p>
        </w:tc>
        <w:tc>
          <w:tcPr>
            <w:tcW w:w="8560" w:type="dxa"/>
            <w:vAlign w:val="bottom"/>
          </w:tcPr>
          <w:p>
            <w:pPr>
              <w:spacing w:after="0"/>
              <w:rPr>
                <w:sz w:val="20"/>
                <w:szCs w:val="20"/>
                <w:color w:val="auto"/>
              </w:rPr>
            </w:pPr>
            <w:r>
              <w:rPr>
                <w:rFonts w:ascii="Arial" w:cs="Arial" w:eastAsia="Arial" w:hAnsi="Arial"/>
                <w:sz w:val="18"/>
                <w:szCs w:val="18"/>
                <w:color w:val="auto"/>
              </w:rPr>
              <w:t>EXPANSION OPTION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2.21.</w:t>
            </w:r>
          </w:p>
        </w:tc>
        <w:tc>
          <w:tcPr>
            <w:tcW w:w="8560" w:type="dxa"/>
            <w:vAlign w:val="bottom"/>
          </w:tcPr>
          <w:p>
            <w:pPr>
              <w:spacing w:after="0"/>
              <w:rPr>
                <w:sz w:val="20"/>
                <w:szCs w:val="20"/>
                <w:color w:val="auto"/>
              </w:rPr>
            </w:pPr>
            <w:r>
              <w:rPr>
                <w:rFonts w:ascii="Arial" w:cs="Arial" w:eastAsia="Arial" w:hAnsi="Arial"/>
                <w:sz w:val="18"/>
                <w:szCs w:val="18"/>
                <w:color w:val="auto"/>
              </w:rPr>
              <w:t>EXTENSION OF MATURITY DATE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2.22.</w:t>
            </w:r>
          </w:p>
        </w:tc>
        <w:tc>
          <w:tcPr>
            <w:tcW w:w="8560" w:type="dxa"/>
            <w:vAlign w:val="bottom"/>
          </w:tcPr>
          <w:p>
            <w:pPr>
              <w:spacing w:after="0"/>
              <w:rPr>
                <w:sz w:val="20"/>
                <w:szCs w:val="20"/>
                <w:color w:val="auto"/>
              </w:rPr>
            </w:pPr>
            <w:r>
              <w:rPr>
                <w:rFonts w:ascii="Arial" w:cs="Arial" w:eastAsia="Arial" w:hAnsi="Arial"/>
                <w:sz w:val="18"/>
                <w:szCs w:val="18"/>
                <w:color w:val="auto"/>
              </w:rPr>
              <w:t>JUDGMENT CURRENCY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2.23.</w:t>
            </w:r>
          </w:p>
        </w:tc>
        <w:tc>
          <w:tcPr>
            <w:tcW w:w="8560" w:type="dxa"/>
            <w:vAlign w:val="bottom"/>
          </w:tcPr>
          <w:p>
            <w:pPr>
              <w:spacing w:after="0"/>
              <w:rPr>
                <w:sz w:val="20"/>
                <w:szCs w:val="20"/>
                <w:color w:val="auto"/>
              </w:rPr>
            </w:pPr>
            <w:r>
              <w:rPr>
                <w:rFonts w:ascii="Arial" w:cs="Arial" w:eastAsia="Arial" w:hAnsi="Arial"/>
                <w:sz w:val="18"/>
                <w:szCs w:val="18"/>
                <w:color w:val="auto"/>
              </w:rPr>
              <w:t>DESIGNATION OF SUBSIDIARY BORROWERS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SECTION 2.24.</w:t>
            </w:r>
          </w:p>
        </w:tc>
        <w:tc>
          <w:tcPr>
            <w:tcW w:w="8560" w:type="dxa"/>
            <w:vAlign w:val="bottom"/>
          </w:tcPr>
          <w:p>
            <w:pPr>
              <w:spacing w:after="0"/>
              <w:rPr>
                <w:sz w:val="20"/>
                <w:szCs w:val="20"/>
                <w:color w:val="auto"/>
              </w:rPr>
            </w:pPr>
            <w:r>
              <w:rPr>
                <w:rFonts w:ascii="Arial" w:cs="Arial" w:eastAsia="Arial" w:hAnsi="Arial"/>
                <w:sz w:val="18"/>
                <w:szCs w:val="18"/>
                <w:color w:val="auto"/>
              </w:rPr>
              <w:t>DEFAULTING LENDERS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SECTION 3.01.</w:t>
            </w:r>
          </w:p>
        </w:tc>
        <w:tc>
          <w:tcPr>
            <w:tcW w:w="8560" w:type="dxa"/>
            <w:vAlign w:val="bottom"/>
          </w:tcPr>
          <w:p>
            <w:pPr>
              <w:spacing w:after="0"/>
              <w:rPr>
                <w:sz w:val="20"/>
                <w:szCs w:val="20"/>
                <w:color w:val="auto"/>
              </w:rPr>
            </w:pPr>
            <w:r>
              <w:rPr>
                <w:rFonts w:ascii="Arial" w:cs="Arial" w:eastAsia="Arial" w:hAnsi="Arial"/>
                <w:sz w:val="18"/>
                <w:szCs w:val="18"/>
                <w:color w:val="auto"/>
              </w:rPr>
              <w:t>ORGANIZATION; POWERS; SUBSIDIARIES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3.02.</w:t>
            </w:r>
          </w:p>
        </w:tc>
        <w:tc>
          <w:tcPr>
            <w:tcW w:w="8560" w:type="dxa"/>
            <w:vAlign w:val="bottom"/>
          </w:tcPr>
          <w:p>
            <w:pPr>
              <w:spacing w:after="0"/>
              <w:rPr>
                <w:sz w:val="20"/>
                <w:szCs w:val="20"/>
                <w:color w:val="auto"/>
              </w:rPr>
            </w:pPr>
            <w:r>
              <w:rPr>
                <w:rFonts w:ascii="Arial" w:cs="Arial" w:eastAsia="Arial" w:hAnsi="Arial"/>
                <w:sz w:val="18"/>
                <w:szCs w:val="18"/>
                <w:color w:val="auto"/>
              </w:rPr>
              <w:t>AUTHORIZATION; ENFORCEABILITY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3.03.</w:t>
            </w:r>
          </w:p>
        </w:tc>
        <w:tc>
          <w:tcPr>
            <w:tcW w:w="8560" w:type="dxa"/>
            <w:vAlign w:val="bottom"/>
          </w:tcPr>
          <w:p>
            <w:pPr>
              <w:spacing w:after="0"/>
              <w:rPr>
                <w:sz w:val="20"/>
                <w:szCs w:val="20"/>
                <w:color w:val="auto"/>
              </w:rPr>
            </w:pPr>
            <w:r>
              <w:rPr>
                <w:rFonts w:ascii="Arial" w:cs="Arial" w:eastAsia="Arial" w:hAnsi="Arial"/>
                <w:sz w:val="18"/>
                <w:szCs w:val="18"/>
                <w:color w:val="auto"/>
              </w:rPr>
              <w:t>GOVERNMENTAL APPROVALS; NO CONFLICTS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3.04.</w:t>
            </w:r>
          </w:p>
        </w:tc>
        <w:tc>
          <w:tcPr>
            <w:tcW w:w="8560" w:type="dxa"/>
            <w:vAlign w:val="bottom"/>
          </w:tcPr>
          <w:p>
            <w:pPr>
              <w:spacing w:after="0"/>
              <w:rPr>
                <w:sz w:val="20"/>
                <w:szCs w:val="20"/>
                <w:color w:val="auto"/>
              </w:rPr>
            </w:pPr>
            <w:r>
              <w:rPr>
                <w:rFonts w:ascii="Arial" w:cs="Arial" w:eastAsia="Arial" w:hAnsi="Arial"/>
                <w:sz w:val="18"/>
                <w:szCs w:val="18"/>
                <w:color w:val="auto"/>
              </w:rPr>
              <w:t>FINANCIAL CONDITION; NO MATERIAL ADVERSE 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3.05.</w:t>
            </w:r>
          </w:p>
        </w:tc>
        <w:tc>
          <w:tcPr>
            <w:tcW w:w="8560" w:type="dxa"/>
            <w:vAlign w:val="bottom"/>
          </w:tcPr>
          <w:p>
            <w:pPr>
              <w:spacing w:after="0"/>
              <w:rPr>
                <w:sz w:val="20"/>
                <w:szCs w:val="20"/>
                <w:color w:val="auto"/>
              </w:rPr>
            </w:pPr>
            <w:r>
              <w:rPr>
                <w:rFonts w:ascii="Arial" w:cs="Arial" w:eastAsia="Arial" w:hAnsi="Arial"/>
                <w:sz w:val="18"/>
                <w:szCs w:val="18"/>
                <w:color w:val="auto"/>
              </w:rPr>
              <w:t>PROPERTIES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3.06.</w:t>
            </w:r>
          </w:p>
        </w:tc>
        <w:tc>
          <w:tcPr>
            <w:tcW w:w="8560" w:type="dxa"/>
            <w:vAlign w:val="bottom"/>
          </w:tcPr>
          <w:p>
            <w:pPr>
              <w:spacing w:after="0"/>
              <w:rPr>
                <w:sz w:val="20"/>
                <w:szCs w:val="20"/>
                <w:color w:val="auto"/>
              </w:rPr>
            </w:pPr>
            <w:r>
              <w:rPr>
                <w:rFonts w:ascii="Arial" w:cs="Arial" w:eastAsia="Arial" w:hAnsi="Arial"/>
                <w:sz w:val="18"/>
                <w:szCs w:val="18"/>
                <w:color w:val="auto"/>
              </w:rPr>
              <w:t>LITIGATION AND ENVIRONMENTAL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3.07.</w:t>
            </w:r>
          </w:p>
        </w:tc>
        <w:tc>
          <w:tcPr>
            <w:tcW w:w="8560" w:type="dxa"/>
            <w:vAlign w:val="bottom"/>
          </w:tcPr>
          <w:p>
            <w:pPr>
              <w:spacing w:after="0"/>
              <w:rPr>
                <w:sz w:val="20"/>
                <w:szCs w:val="20"/>
                <w:color w:val="auto"/>
              </w:rPr>
            </w:pPr>
            <w:r>
              <w:rPr>
                <w:rFonts w:ascii="Arial" w:cs="Arial" w:eastAsia="Arial" w:hAnsi="Arial"/>
                <w:sz w:val="18"/>
                <w:szCs w:val="18"/>
                <w:color w:val="auto"/>
              </w:rPr>
              <w:t>COMPLIANCE WITH LAWS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3.08.</w:t>
            </w:r>
          </w:p>
        </w:tc>
        <w:tc>
          <w:tcPr>
            <w:tcW w:w="8560" w:type="dxa"/>
            <w:vAlign w:val="bottom"/>
          </w:tcPr>
          <w:p>
            <w:pPr>
              <w:spacing w:after="0"/>
              <w:rPr>
                <w:sz w:val="20"/>
                <w:szCs w:val="20"/>
                <w:color w:val="auto"/>
              </w:rPr>
            </w:pPr>
            <w:r>
              <w:rPr>
                <w:rFonts w:ascii="Arial" w:cs="Arial" w:eastAsia="Arial" w:hAnsi="Arial"/>
                <w:sz w:val="18"/>
                <w:szCs w:val="18"/>
                <w:color w:val="auto"/>
              </w:rPr>
              <w:t>INVESTMENT COMPANY STATUS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3.09.</w:t>
            </w:r>
          </w:p>
        </w:tc>
        <w:tc>
          <w:tcPr>
            <w:tcW w:w="8560" w:type="dxa"/>
            <w:vAlign w:val="bottom"/>
          </w:tcPr>
          <w:p>
            <w:pPr>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3.10.</w:t>
            </w:r>
          </w:p>
        </w:tc>
        <w:tc>
          <w:tcPr>
            <w:tcW w:w="8560" w:type="dxa"/>
            <w:vAlign w:val="bottom"/>
          </w:tcPr>
          <w:p>
            <w:pPr>
              <w:spacing w:after="0"/>
              <w:rPr>
                <w:sz w:val="20"/>
                <w:szCs w:val="20"/>
                <w:color w:val="auto"/>
              </w:rPr>
            </w:pPr>
            <w:r>
              <w:rPr>
                <w:rFonts w:ascii="Arial" w:cs="Arial" w:eastAsia="Arial" w:hAnsi="Arial"/>
                <w:sz w:val="18"/>
                <w:szCs w:val="18"/>
                <w:color w:val="auto"/>
              </w:rPr>
              <w:t>ERISA</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SECTION 3.11.</w:t>
            </w:r>
          </w:p>
        </w:tc>
        <w:tc>
          <w:tcPr>
            <w:tcW w:w="8560" w:type="dxa"/>
            <w:vAlign w:val="bottom"/>
          </w:tcPr>
          <w:p>
            <w:pPr>
              <w:spacing w:after="0"/>
              <w:rPr>
                <w:sz w:val="20"/>
                <w:szCs w:val="20"/>
                <w:color w:val="auto"/>
              </w:rPr>
            </w:pPr>
            <w:r>
              <w:rPr>
                <w:rFonts w:ascii="Arial" w:cs="Arial" w:eastAsia="Arial" w:hAnsi="Arial"/>
                <w:sz w:val="18"/>
                <w:szCs w:val="18"/>
                <w:color w:val="auto"/>
              </w:rPr>
              <w:t>DISCLOSURE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SECTION 3.12.</w:t>
            </w:r>
          </w:p>
        </w:tc>
        <w:tc>
          <w:tcPr>
            <w:tcW w:w="8560" w:type="dxa"/>
            <w:vAlign w:val="bottom"/>
          </w:tcPr>
          <w:p>
            <w:pPr>
              <w:spacing w:after="0"/>
              <w:rPr>
                <w:sz w:val="20"/>
                <w:szCs w:val="20"/>
                <w:color w:val="auto"/>
              </w:rPr>
            </w:pPr>
            <w:r>
              <w:rPr>
                <w:rFonts w:ascii="Arial" w:cs="Arial" w:eastAsia="Arial" w:hAnsi="Arial"/>
                <w:sz w:val="18"/>
                <w:szCs w:val="18"/>
                <w:color w:val="auto"/>
              </w:rPr>
              <w:t>FEDERAL RESERVE REGULATIONS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48"/>
        </w:trPr>
        <w:tc>
          <w:tcPr>
            <w:tcW w:w="1720" w:type="dxa"/>
            <w:vAlign w:val="bottom"/>
            <w:tcBorders>
              <w:bottom w:val="single" w:sz="8" w:color="808080"/>
            </w:tcBorders>
          </w:tcPr>
          <w:p>
            <w:pPr>
              <w:spacing w:after="0"/>
              <w:rPr>
                <w:sz w:val="24"/>
                <w:szCs w:val="24"/>
                <w:color w:val="auto"/>
              </w:rPr>
            </w:pPr>
          </w:p>
        </w:tc>
        <w:tc>
          <w:tcPr>
            <w:tcW w:w="8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44"/>
        </w:trPr>
        <w:tc>
          <w:tcPr>
            <w:tcW w:w="1440" w:type="dxa"/>
            <w:vAlign w:val="bottom"/>
          </w:tcPr>
          <w:p>
            <w:pPr>
              <w:spacing w:after="0"/>
              <w:rPr>
                <w:sz w:val="20"/>
                <w:szCs w:val="20"/>
                <w:color w:val="auto"/>
              </w:rPr>
            </w:pPr>
            <w:r>
              <w:rPr>
                <w:rFonts w:ascii="Arial" w:cs="Arial" w:eastAsia="Arial" w:hAnsi="Arial"/>
                <w:sz w:val="18"/>
                <w:szCs w:val="18"/>
                <w:color w:val="auto"/>
              </w:rPr>
              <w:t>SECTION 3.13.</w:t>
            </w:r>
          </w:p>
        </w:tc>
        <w:tc>
          <w:tcPr>
            <w:tcW w:w="884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3.14.</w:t>
            </w:r>
          </w:p>
        </w:tc>
        <w:tc>
          <w:tcPr>
            <w:tcW w:w="8840" w:type="dxa"/>
            <w:vAlign w:val="bottom"/>
          </w:tcPr>
          <w:p>
            <w:pPr>
              <w:ind w:left="280"/>
              <w:spacing w:after="0"/>
              <w:rPr>
                <w:sz w:val="20"/>
                <w:szCs w:val="20"/>
                <w:color w:val="auto"/>
              </w:rPr>
            </w:pPr>
            <w:r>
              <w:rPr>
                <w:rFonts w:ascii="Arial" w:cs="Arial" w:eastAsia="Arial" w:hAnsi="Arial"/>
                <w:sz w:val="18"/>
                <w:szCs w:val="18"/>
                <w:color w:val="auto"/>
              </w:rPr>
              <w:t>ANTI-CORRUPTION LAWS AND SANCTIONS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3.15.</w:t>
            </w:r>
          </w:p>
        </w:tc>
        <w:tc>
          <w:tcPr>
            <w:tcW w:w="8840" w:type="dxa"/>
            <w:vAlign w:val="bottom"/>
          </w:tcPr>
          <w:p>
            <w:pPr>
              <w:ind w:left="280"/>
              <w:spacing w:after="0"/>
              <w:rPr>
                <w:sz w:val="20"/>
                <w:szCs w:val="20"/>
                <w:color w:val="auto"/>
              </w:rPr>
            </w:pPr>
            <w:r>
              <w:rPr>
                <w:rFonts w:ascii="Arial" w:cs="Arial" w:eastAsia="Arial" w:hAnsi="Arial"/>
                <w:sz w:val="18"/>
                <w:szCs w:val="18"/>
                <w:color w:val="auto"/>
              </w:rPr>
              <w:t>EEA FINANCIAL INSTITUTION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3.16.</w:t>
            </w:r>
          </w:p>
        </w:tc>
        <w:tc>
          <w:tcPr>
            <w:tcW w:w="8840" w:type="dxa"/>
            <w:vAlign w:val="bottom"/>
          </w:tcPr>
          <w:p>
            <w:pPr>
              <w:ind w:left="280"/>
              <w:spacing w:after="0"/>
              <w:rPr>
                <w:sz w:val="20"/>
                <w:szCs w:val="20"/>
                <w:color w:val="auto"/>
              </w:rPr>
            </w:pPr>
            <w:r>
              <w:rPr>
                <w:rFonts w:ascii="Arial" w:cs="Arial" w:eastAsia="Arial" w:hAnsi="Arial"/>
                <w:sz w:val="18"/>
                <w:szCs w:val="18"/>
                <w:color w:val="auto"/>
              </w:rPr>
              <w:t>DUTCH FISCAL UNITY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8840" w:type="dxa"/>
            <w:vAlign w:val="bottom"/>
          </w:tcPr>
          <w:p>
            <w:pPr>
              <w:ind w:left="280"/>
              <w:spacing w:after="0"/>
              <w:rPr>
                <w:sz w:val="20"/>
                <w:szCs w:val="20"/>
                <w:color w:val="auto"/>
              </w:rPr>
            </w:pPr>
            <w:r>
              <w:rPr>
                <w:rFonts w:ascii="Arial" w:cs="Arial" w:eastAsia="Arial" w:hAnsi="Arial"/>
                <w:sz w:val="18"/>
                <w:szCs w:val="18"/>
                <w:color w:val="auto"/>
              </w:rPr>
              <w:t>EFFECTIVE DATE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8840" w:type="dxa"/>
            <w:vAlign w:val="bottom"/>
          </w:tcPr>
          <w:p>
            <w:pPr>
              <w:ind w:left="280"/>
              <w:spacing w:after="0"/>
              <w:rPr>
                <w:sz w:val="20"/>
                <w:szCs w:val="20"/>
                <w:color w:val="auto"/>
              </w:rPr>
            </w:pPr>
            <w:r>
              <w:rPr>
                <w:rFonts w:ascii="Arial" w:cs="Arial" w:eastAsia="Arial" w:hAnsi="Arial"/>
                <w:sz w:val="18"/>
                <w:szCs w:val="18"/>
                <w:color w:val="auto"/>
              </w:rPr>
              <w:t>EACH CREDIT EVENT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4.03.</w:t>
            </w:r>
          </w:p>
        </w:tc>
        <w:tc>
          <w:tcPr>
            <w:tcW w:w="8840" w:type="dxa"/>
            <w:vAlign w:val="bottom"/>
          </w:tcPr>
          <w:p>
            <w:pPr>
              <w:ind w:left="280"/>
              <w:spacing w:after="0"/>
              <w:rPr>
                <w:sz w:val="20"/>
                <w:szCs w:val="20"/>
                <w:color w:val="auto"/>
              </w:rPr>
            </w:pPr>
            <w:r>
              <w:rPr>
                <w:rFonts w:ascii="Arial" w:cs="Arial" w:eastAsia="Arial" w:hAnsi="Arial"/>
                <w:sz w:val="18"/>
                <w:szCs w:val="18"/>
                <w:color w:val="auto"/>
              </w:rPr>
              <w:t>DESIGNATION OF A SUBSIDIARY BORROWER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8840" w:type="dxa"/>
            <w:vAlign w:val="bottom"/>
          </w:tcPr>
          <w:p>
            <w:pPr>
              <w:ind w:left="280"/>
              <w:spacing w:after="0"/>
              <w:rPr>
                <w:sz w:val="20"/>
                <w:szCs w:val="20"/>
                <w:color w:val="auto"/>
              </w:rPr>
            </w:pPr>
            <w:r>
              <w:rPr>
                <w:rFonts w:ascii="Arial" w:cs="Arial" w:eastAsia="Arial" w:hAnsi="Arial"/>
                <w:sz w:val="18"/>
                <w:szCs w:val="18"/>
                <w:color w:val="auto"/>
              </w:rPr>
              <w:t>FINANCIAL STATEMENTS AND OTHER INFORMATION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8840" w:type="dxa"/>
            <w:vAlign w:val="bottom"/>
          </w:tcPr>
          <w:p>
            <w:pPr>
              <w:ind w:left="280"/>
              <w:spacing w:after="0"/>
              <w:rPr>
                <w:sz w:val="20"/>
                <w:szCs w:val="20"/>
                <w:color w:val="auto"/>
              </w:rPr>
            </w:pPr>
            <w:r>
              <w:rPr>
                <w:rFonts w:ascii="Arial" w:cs="Arial" w:eastAsia="Arial" w:hAnsi="Arial"/>
                <w:sz w:val="18"/>
                <w:szCs w:val="18"/>
                <w:color w:val="auto"/>
              </w:rPr>
              <w:t>NOTICES OF MATERIAL EVENTS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5.03.</w:t>
            </w:r>
          </w:p>
        </w:tc>
        <w:tc>
          <w:tcPr>
            <w:tcW w:w="8840" w:type="dxa"/>
            <w:vAlign w:val="bottom"/>
          </w:tcPr>
          <w:p>
            <w:pPr>
              <w:ind w:left="280"/>
              <w:spacing w:after="0"/>
              <w:rPr>
                <w:sz w:val="20"/>
                <w:szCs w:val="20"/>
                <w:color w:val="auto"/>
              </w:rPr>
            </w:pPr>
            <w:r>
              <w:rPr>
                <w:rFonts w:ascii="Arial" w:cs="Arial" w:eastAsia="Arial" w:hAnsi="Arial"/>
                <w:sz w:val="18"/>
                <w:szCs w:val="18"/>
                <w:color w:val="auto"/>
              </w:rPr>
              <w:t>EXISTENCE; CONDUCT OF BUSINESS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8840" w:type="dxa"/>
            <w:vAlign w:val="bottom"/>
          </w:tcPr>
          <w:p>
            <w:pPr>
              <w:ind w:left="280"/>
              <w:spacing w:after="0"/>
              <w:rPr>
                <w:sz w:val="20"/>
                <w:szCs w:val="20"/>
                <w:color w:val="auto"/>
              </w:rPr>
            </w:pPr>
            <w:r>
              <w:rPr>
                <w:rFonts w:ascii="Arial" w:cs="Arial" w:eastAsia="Arial" w:hAnsi="Arial"/>
                <w:sz w:val="18"/>
                <w:szCs w:val="18"/>
                <w:color w:val="auto"/>
              </w:rPr>
              <w:t>PAYMENT OF 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8840" w:type="dxa"/>
            <w:vAlign w:val="bottom"/>
          </w:tcPr>
          <w:p>
            <w:pPr>
              <w:ind w:left="280"/>
              <w:spacing w:after="0"/>
              <w:rPr>
                <w:sz w:val="20"/>
                <w:szCs w:val="20"/>
                <w:color w:val="auto"/>
              </w:rPr>
            </w:pPr>
            <w:r>
              <w:rPr>
                <w:rFonts w:ascii="Arial" w:cs="Arial" w:eastAsia="Arial" w:hAnsi="Arial"/>
                <w:sz w:val="18"/>
                <w:szCs w:val="18"/>
                <w:color w:val="auto"/>
              </w:rPr>
              <w:t>MAINTENANCE OF PROPERTIES; INSURANCE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8840" w:type="dxa"/>
            <w:vAlign w:val="bottom"/>
          </w:tcPr>
          <w:p>
            <w:pPr>
              <w:ind w:left="280"/>
              <w:spacing w:after="0"/>
              <w:rPr>
                <w:sz w:val="20"/>
                <w:szCs w:val="20"/>
                <w:color w:val="auto"/>
              </w:rPr>
            </w:pPr>
            <w:r>
              <w:rPr>
                <w:rFonts w:ascii="Arial" w:cs="Arial" w:eastAsia="Arial" w:hAnsi="Arial"/>
                <w:sz w:val="18"/>
                <w:szCs w:val="18"/>
                <w:color w:val="auto"/>
              </w:rPr>
              <w:t>BOOKS AND RECORDS; INSPECTION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884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884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8840" w:type="dxa"/>
            <w:vAlign w:val="bottom"/>
          </w:tcPr>
          <w:p>
            <w:pPr>
              <w:ind w:left="280"/>
              <w:spacing w:after="0"/>
              <w:rPr>
                <w:sz w:val="20"/>
                <w:szCs w:val="20"/>
                <w:color w:val="auto"/>
              </w:rPr>
            </w:pPr>
            <w:r>
              <w:rPr>
                <w:rFonts w:ascii="Arial" w:cs="Arial" w:eastAsia="Arial" w:hAnsi="Arial"/>
                <w:sz w:val="18"/>
                <w:szCs w:val="18"/>
                <w:color w:val="auto"/>
              </w:rPr>
              <w:t>SUBSIDIARY GUARANTY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8840" w:type="dxa"/>
            <w:vAlign w:val="bottom"/>
          </w:tcPr>
          <w:p>
            <w:pPr>
              <w:ind w:left="280"/>
              <w:spacing w:after="0"/>
              <w:rPr>
                <w:sz w:val="20"/>
                <w:szCs w:val="20"/>
                <w:color w:val="auto"/>
              </w:rPr>
            </w:pPr>
            <w:r>
              <w:rPr>
                <w:rFonts w:ascii="Arial" w:cs="Arial" w:eastAsia="Arial" w:hAnsi="Arial"/>
                <w:sz w:val="18"/>
                <w:szCs w:val="18"/>
                <w:color w:val="auto"/>
              </w:rPr>
              <w:t>DUTCH FISCAL UNITY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8840" w:type="dxa"/>
            <w:vAlign w:val="bottom"/>
          </w:tcPr>
          <w:p>
            <w:pPr>
              <w:ind w:left="280"/>
              <w:spacing w:after="0"/>
              <w:rPr>
                <w:sz w:val="20"/>
                <w:szCs w:val="20"/>
                <w:color w:val="auto"/>
              </w:rPr>
            </w:pPr>
            <w:r>
              <w:rPr>
                <w:rFonts w:ascii="Arial" w:cs="Arial" w:eastAsia="Arial" w:hAnsi="Arial"/>
                <w:sz w:val="18"/>
                <w:szCs w:val="18"/>
                <w:color w:val="auto"/>
              </w:rPr>
              <w:t>SUBSIDIARY INDEBTEDNESS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8840" w:type="dxa"/>
            <w:vAlign w:val="bottom"/>
          </w:tcPr>
          <w:p>
            <w:pPr>
              <w:ind w:left="280"/>
              <w:spacing w:after="0"/>
              <w:rPr>
                <w:sz w:val="20"/>
                <w:szCs w:val="20"/>
                <w:color w:val="auto"/>
              </w:rPr>
            </w:pPr>
            <w:r>
              <w:rPr>
                <w:rFonts w:ascii="Arial" w:cs="Arial" w:eastAsia="Arial" w:hAnsi="Arial"/>
                <w:sz w:val="18"/>
                <w:szCs w:val="18"/>
                <w:color w:val="auto"/>
              </w:rPr>
              <w:t>LIENS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8840" w:type="dxa"/>
            <w:vAlign w:val="bottom"/>
          </w:tcPr>
          <w:p>
            <w:pPr>
              <w:ind w:left="280"/>
              <w:spacing w:after="0"/>
              <w:rPr>
                <w:sz w:val="20"/>
                <w:szCs w:val="20"/>
                <w:color w:val="auto"/>
              </w:rPr>
            </w:pPr>
            <w:r>
              <w:rPr>
                <w:rFonts w:ascii="Arial" w:cs="Arial" w:eastAsia="Arial" w:hAnsi="Arial"/>
                <w:sz w:val="18"/>
                <w:szCs w:val="18"/>
                <w:color w:val="auto"/>
              </w:rPr>
              <w:t>FUNDAMENTAL CHANGES AND ASSET SALES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8840" w:type="dxa"/>
            <w:vAlign w:val="bottom"/>
          </w:tcPr>
          <w:p>
            <w:pPr>
              <w:ind w:left="280"/>
              <w:spacing w:after="0"/>
              <w:rPr>
                <w:sz w:val="20"/>
                <w:szCs w:val="20"/>
                <w:color w:val="auto"/>
              </w:rPr>
            </w:pPr>
            <w:r>
              <w:rPr>
                <w:rFonts w:ascii="Arial" w:cs="Arial" w:eastAsia="Arial" w:hAnsi="Arial"/>
                <w:sz w:val="18"/>
                <w:szCs w:val="18"/>
                <w:color w:val="auto"/>
              </w:rPr>
              <w:t>SWAP AGREEMENTS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6.05.</w:t>
            </w:r>
          </w:p>
        </w:tc>
        <w:tc>
          <w:tcPr>
            <w:tcW w:w="8840" w:type="dxa"/>
            <w:vAlign w:val="bottom"/>
          </w:tcPr>
          <w:p>
            <w:pPr>
              <w:ind w:left="280"/>
              <w:spacing w:after="0"/>
              <w:rPr>
                <w:sz w:val="20"/>
                <w:szCs w:val="20"/>
                <w:color w:val="auto"/>
              </w:rPr>
            </w:pPr>
            <w:r>
              <w:rPr>
                <w:rFonts w:ascii="Arial" w:cs="Arial" w:eastAsia="Arial" w:hAnsi="Arial"/>
                <w:sz w:val="18"/>
                <w:szCs w:val="18"/>
                <w:color w:val="auto"/>
              </w:rPr>
              <w:t>TRANSACTIONS WITH AFFILIATES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6.06.</w:t>
            </w:r>
          </w:p>
        </w:tc>
        <w:tc>
          <w:tcPr>
            <w:tcW w:w="8840" w:type="dxa"/>
            <w:vAlign w:val="bottom"/>
          </w:tcPr>
          <w:p>
            <w:pPr>
              <w:ind w:left="280"/>
              <w:spacing w:after="0"/>
              <w:rPr>
                <w:sz w:val="20"/>
                <w:szCs w:val="20"/>
                <w:color w:val="auto"/>
              </w:rPr>
            </w:pPr>
            <w:r>
              <w:rPr>
                <w:rFonts w:ascii="Arial" w:cs="Arial" w:eastAsia="Arial" w:hAnsi="Arial"/>
                <w:sz w:val="18"/>
                <w:szCs w:val="18"/>
                <w:color w:val="auto"/>
              </w:rPr>
              <w:t>RESTRICTED PAYMENTS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6.07.</w:t>
            </w:r>
          </w:p>
        </w:tc>
        <w:tc>
          <w:tcPr>
            <w:tcW w:w="8840" w:type="dxa"/>
            <w:vAlign w:val="bottom"/>
          </w:tcPr>
          <w:p>
            <w:pPr>
              <w:ind w:left="280"/>
              <w:spacing w:after="0"/>
              <w:rPr>
                <w:sz w:val="20"/>
                <w:szCs w:val="20"/>
                <w:color w:val="auto"/>
              </w:rPr>
            </w:pPr>
            <w:r>
              <w:rPr>
                <w:rFonts w:ascii="Arial" w:cs="Arial" w:eastAsia="Arial" w:hAnsi="Arial"/>
                <w:sz w:val="18"/>
                <w:szCs w:val="18"/>
                <w:color w:val="auto"/>
              </w:rPr>
              <w:t>FINANCIAL COVENANTS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8840" w:type="dxa"/>
            <w:vAlign w:val="bottom"/>
          </w:tcPr>
          <w:p>
            <w:pPr>
              <w:ind w:left="28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8840" w:type="dxa"/>
            <w:vAlign w:val="bottom"/>
          </w:tcPr>
          <w:p>
            <w:pPr>
              <w:ind w:left="280"/>
              <w:spacing w:after="0"/>
              <w:rPr>
                <w:sz w:val="20"/>
                <w:szCs w:val="20"/>
                <w:color w:val="auto"/>
              </w:rPr>
            </w:pPr>
            <w:r>
              <w:rPr>
                <w:rFonts w:ascii="Arial" w:cs="Arial" w:eastAsia="Arial" w:hAnsi="Arial"/>
                <w:sz w:val="18"/>
                <w:szCs w:val="18"/>
                <w:color w:val="auto"/>
              </w:rPr>
              <w:t>POSTING OF COMMUNICATIONS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8.03.</w:t>
            </w:r>
          </w:p>
        </w:tc>
        <w:tc>
          <w:tcPr>
            <w:tcW w:w="8840" w:type="dxa"/>
            <w:vAlign w:val="bottom"/>
          </w:tcPr>
          <w:p>
            <w:pPr>
              <w:ind w:left="280"/>
              <w:spacing w:after="0"/>
              <w:rPr>
                <w:sz w:val="20"/>
                <w:szCs w:val="20"/>
                <w:color w:val="auto"/>
              </w:rPr>
            </w:pPr>
            <w:r>
              <w:rPr>
                <w:rFonts w:ascii="Arial" w:cs="Arial" w:eastAsia="Arial" w:hAnsi="Arial"/>
                <w:sz w:val="18"/>
                <w:szCs w:val="18"/>
                <w:color w:val="auto"/>
              </w:rPr>
              <w:t>CERTAIN ERISA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8840" w:type="dxa"/>
            <w:vAlign w:val="bottom"/>
          </w:tcPr>
          <w:p>
            <w:pPr>
              <w:ind w:left="280"/>
              <w:spacing w:after="0"/>
              <w:rPr>
                <w:sz w:val="20"/>
                <w:szCs w:val="20"/>
                <w:color w:val="auto"/>
              </w:rPr>
            </w:pPr>
            <w:r>
              <w:rPr>
                <w:rFonts w:ascii="Arial" w:cs="Arial" w:eastAsia="Arial" w:hAnsi="Arial"/>
                <w:sz w:val="18"/>
                <w:szCs w:val="18"/>
                <w:color w:val="auto"/>
              </w:rPr>
              <w:t>NOTICES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8840" w:type="dxa"/>
            <w:vAlign w:val="bottom"/>
          </w:tcPr>
          <w:p>
            <w:pPr>
              <w:ind w:left="280"/>
              <w:spacing w:after="0"/>
              <w:rPr>
                <w:sz w:val="20"/>
                <w:szCs w:val="20"/>
                <w:color w:val="auto"/>
              </w:rPr>
            </w:pPr>
            <w:r>
              <w:rPr>
                <w:rFonts w:ascii="Arial" w:cs="Arial" w:eastAsia="Arial" w:hAnsi="Arial"/>
                <w:sz w:val="18"/>
                <w:szCs w:val="18"/>
                <w:color w:val="auto"/>
              </w:rPr>
              <w:t>WAIVERS; AMENDMENTS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9.03.</w:t>
            </w:r>
          </w:p>
        </w:tc>
        <w:tc>
          <w:tcPr>
            <w:tcW w:w="8840" w:type="dxa"/>
            <w:vAlign w:val="bottom"/>
          </w:tcPr>
          <w:p>
            <w:pPr>
              <w:ind w:left="280"/>
              <w:spacing w:after="0"/>
              <w:rPr>
                <w:sz w:val="20"/>
                <w:szCs w:val="20"/>
                <w:color w:val="auto"/>
              </w:rPr>
            </w:pPr>
            <w:r>
              <w:rPr>
                <w:rFonts w:ascii="Arial" w:cs="Arial" w:eastAsia="Arial" w:hAnsi="Arial"/>
                <w:sz w:val="18"/>
                <w:szCs w:val="18"/>
                <w:color w:val="auto"/>
              </w:rPr>
              <w:t>EXPENSES; INDEMNITY; DAMAGE WAIVER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9.04.</w:t>
            </w:r>
          </w:p>
        </w:tc>
        <w:tc>
          <w:tcPr>
            <w:tcW w:w="884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9.05.</w:t>
            </w:r>
          </w:p>
        </w:tc>
        <w:tc>
          <w:tcPr>
            <w:tcW w:w="8840" w:type="dxa"/>
            <w:vAlign w:val="bottom"/>
          </w:tcPr>
          <w:p>
            <w:pPr>
              <w:ind w:left="280"/>
              <w:spacing w:after="0"/>
              <w:rPr>
                <w:sz w:val="20"/>
                <w:szCs w:val="20"/>
                <w:color w:val="auto"/>
              </w:rPr>
            </w:pPr>
            <w:r>
              <w:rPr>
                <w:rFonts w:ascii="Arial" w:cs="Arial" w:eastAsia="Arial" w:hAnsi="Arial"/>
                <w:sz w:val="18"/>
                <w:szCs w:val="18"/>
                <w:color w:val="auto"/>
              </w:rPr>
              <w:t>SURVIVAL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348"/>
        </w:trPr>
        <w:tc>
          <w:tcPr>
            <w:tcW w:w="1440" w:type="dxa"/>
            <w:vAlign w:val="bottom"/>
            <w:tcBorders>
              <w:bottom w:val="single" w:sz="8" w:color="808080"/>
            </w:tcBorders>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44"/>
        </w:trPr>
        <w:tc>
          <w:tcPr>
            <w:tcW w:w="1480" w:type="dxa"/>
            <w:vAlign w:val="bottom"/>
          </w:tcPr>
          <w:p>
            <w:pPr>
              <w:spacing w:after="0"/>
              <w:rPr>
                <w:sz w:val="20"/>
                <w:szCs w:val="20"/>
                <w:color w:val="auto"/>
              </w:rPr>
            </w:pPr>
            <w:r>
              <w:rPr>
                <w:rFonts w:ascii="Arial" w:cs="Arial" w:eastAsia="Arial" w:hAnsi="Arial"/>
                <w:sz w:val="18"/>
                <w:szCs w:val="18"/>
                <w:color w:val="auto"/>
              </w:rPr>
              <w:t>SECTION 9.06.</w:t>
            </w:r>
          </w:p>
        </w:tc>
        <w:tc>
          <w:tcPr>
            <w:tcW w:w="8800" w:type="dxa"/>
            <w:vAlign w:val="bottom"/>
          </w:tcPr>
          <w:p>
            <w:pPr>
              <w:ind w:left="240"/>
              <w:spacing w:after="0"/>
              <w:rPr>
                <w:sz w:val="20"/>
                <w:szCs w:val="20"/>
                <w:color w:val="auto"/>
              </w:rPr>
            </w:pPr>
            <w:r>
              <w:rPr>
                <w:rFonts w:ascii="Arial" w:cs="Arial" w:eastAsia="Arial" w:hAnsi="Arial"/>
                <w:sz w:val="18"/>
                <w:szCs w:val="18"/>
                <w:color w:val="auto"/>
              </w:rPr>
              <w:t>COUNTERPARTS; INTEGRATION; EFFECTIVENESS; ELECTRONIC EXECUTION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9.07.</w:t>
            </w:r>
          </w:p>
        </w:tc>
        <w:tc>
          <w:tcPr>
            <w:tcW w:w="880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9.08.</w:t>
            </w:r>
          </w:p>
        </w:tc>
        <w:tc>
          <w:tcPr>
            <w:tcW w:w="880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2"/>
        </w:trPr>
        <w:tc>
          <w:tcPr>
            <w:tcW w:w="1480" w:type="dxa"/>
            <w:vAlign w:val="bottom"/>
          </w:tcPr>
          <w:p>
            <w:pPr>
              <w:spacing w:after="0"/>
              <w:rPr>
                <w:sz w:val="20"/>
                <w:szCs w:val="20"/>
                <w:color w:val="auto"/>
              </w:rPr>
            </w:pPr>
            <w:r>
              <w:rPr>
                <w:rFonts w:ascii="Arial" w:cs="Arial" w:eastAsia="Arial" w:hAnsi="Arial"/>
                <w:sz w:val="18"/>
                <w:szCs w:val="18"/>
                <w:color w:val="auto"/>
              </w:rPr>
              <w:t>SECTION 9.09.</w:t>
            </w:r>
          </w:p>
        </w:tc>
        <w:tc>
          <w:tcPr>
            <w:tcW w:w="8800" w:type="dxa"/>
            <w:vAlign w:val="bottom"/>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20"/>
        </w:trPr>
        <w:tc>
          <w:tcPr>
            <w:tcW w:w="1480" w:type="dxa"/>
            <w:vAlign w:val="bottom"/>
          </w:tcPr>
          <w:p>
            <w:pPr>
              <w:spacing w:after="0"/>
              <w:rPr>
                <w:sz w:val="20"/>
                <w:szCs w:val="20"/>
                <w:color w:val="auto"/>
              </w:rPr>
            </w:pPr>
            <w:r>
              <w:rPr>
                <w:rFonts w:ascii="Arial" w:cs="Arial" w:eastAsia="Arial" w:hAnsi="Arial"/>
                <w:sz w:val="18"/>
                <w:szCs w:val="18"/>
                <w:b w:val="1"/>
                <w:bCs w:val="1"/>
                <w:color w:val="auto"/>
              </w:rPr>
              <w:t>SECTION 9.10.</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WAIVER OF JURY TRIAL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9.11.</w:t>
            </w:r>
          </w:p>
        </w:tc>
        <w:tc>
          <w:tcPr>
            <w:tcW w:w="8800" w:type="dxa"/>
            <w:vAlign w:val="bottom"/>
          </w:tcPr>
          <w:p>
            <w:pPr>
              <w:ind w:left="240"/>
              <w:spacing w:after="0"/>
              <w:rPr>
                <w:sz w:val="20"/>
                <w:szCs w:val="20"/>
                <w:color w:val="auto"/>
              </w:rPr>
            </w:pPr>
            <w:r>
              <w:rPr>
                <w:rFonts w:ascii="Arial" w:cs="Arial" w:eastAsia="Arial" w:hAnsi="Arial"/>
                <w:sz w:val="18"/>
                <w:szCs w:val="18"/>
                <w:color w:val="auto"/>
              </w:rPr>
              <w:t>HEADINGS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9.12.</w:t>
            </w:r>
          </w:p>
        </w:tc>
        <w:tc>
          <w:tcPr>
            <w:tcW w:w="880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9.13.</w:t>
            </w:r>
          </w:p>
        </w:tc>
        <w:tc>
          <w:tcPr>
            <w:tcW w:w="8800" w:type="dxa"/>
            <w:vAlign w:val="bottom"/>
          </w:tcPr>
          <w:p>
            <w:pPr>
              <w:ind w:left="240"/>
              <w:spacing w:after="0"/>
              <w:rPr>
                <w:sz w:val="20"/>
                <w:szCs w:val="20"/>
                <w:color w:val="auto"/>
              </w:rPr>
            </w:pPr>
            <w:r>
              <w:rPr>
                <w:rFonts w:ascii="Arial" w:cs="Arial" w:eastAsia="Arial" w:hAnsi="Arial"/>
                <w:sz w:val="18"/>
                <w:szCs w:val="18"/>
                <w:color w:val="auto"/>
              </w:rPr>
              <w:t>USA PATRIOT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9.14.</w:t>
            </w:r>
          </w:p>
        </w:tc>
        <w:tc>
          <w:tcPr>
            <w:tcW w:w="8800" w:type="dxa"/>
            <w:vAlign w:val="bottom"/>
          </w:tcPr>
          <w:p>
            <w:pPr>
              <w:ind w:left="240"/>
              <w:spacing w:after="0"/>
              <w:rPr>
                <w:sz w:val="20"/>
                <w:szCs w:val="20"/>
                <w:color w:val="auto"/>
              </w:rPr>
            </w:pPr>
            <w:r>
              <w:rPr>
                <w:rFonts w:ascii="Arial" w:cs="Arial" w:eastAsia="Arial" w:hAnsi="Arial"/>
                <w:sz w:val="18"/>
                <w:szCs w:val="18"/>
                <w:color w:val="auto"/>
              </w:rPr>
              <w:t>RELEASES OF SUBSIDIARY GUARANTORS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9.15.</w:t>
            </w:r>
          </w:p>
        </w:tc>
        <w:tc>
          <w:tcPr>
            <w:tcW w:w="8800" w:type="dxa"/>
            <w:vAlign w:val="bottom"/>
          </w:tcPr>
          <w:p>
            <w:pPr>
              <w:ind w:left="240"/>
              <w:spacing w:after="0"/>
              <w:rPr>
                <w:sz w:val="20"/>
                <w:szCs w:val="20"/>
                <w:color w:val="auto"/>
              </w:rPr>
            </w:pPr>
            <w:r>
              <w:rPr>
                <w:rFonts w:ascii="Arial" w:cs="Arial" w:eastAsia="Arial" w:hAnsi="Arial"/>
                <w:sz w:val="18"/>
                <w:szCs w:val="18"/>
                <w:color w:val="auto"/>
              </w:rPr>
              <w:t>INTEREST RATE LIMITATION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9.16.</w:t>
            </w:r>
          </w:p>
        </w:tc>
        <w:tc>
          <w:tcPr>
            <w:tcW w:w="8800" w:type="dxa"/>
            <w:vAlign w:val="bottom"/>
          </w:tcPr>
          <w:p>
            <w:pPr>
              <w:ind w:left="240"/>
              <w:spacing w:after="0"/>
              <w:rPr>
                <w:sz w:val="20"/>
                <w:szCs w:val="20"/>
                <w:color w:val="auto"/>
              </w:rPr>
            </w:pPr>
            <w:r>
              <w:rPr>
                <w:rFonts w:ascii="Arial" w:cs="Arial" w:eastAsia="Arial" w:hAnsi="Arial"/>
                <w:sz w:val="18"/>
                <w:szCs w:val="18"/>
                <w:color w:val="auto"/>
              </w:rPr>
              <w:t>NO ADVISORY OR FIDUCIARY RESPONSIBILITY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9.17.</w:t>
            </w:r>
          </w:p>
        </w:tc>
        <w:tc>
          <w:tcPr>
            <w:tcW w:w="8800" w:type="dxa"/>
            <w:vAlign w:val="bottom"/>
          </w:tcPr>
          <w:p>
            <w:pPr>
              <w:ind w:left="240"/>
              <w:spacing w:after="0"/>
              <w:rPr>
                <w:sz w:val="20"/>
                <w:szCs w:val="20"/>
                <w:color w:val="auto"/>
              </w:rPr>
            </w:pPr>
            <w:r>
              <w:rPr>
                <w:rFonts w:ascii="Arial" w:cs="Arial" w:eastAsia="Arial" w:hAnsi="Arial"/>
                <w:sz w:val="18"/>
                <w:szCs w:val="18"/>
                <w:color w:val="auto"/>
              </w:rPr>
              <w:t>ATTORNEY REPRESENTATION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9.18.</w:t>
            </w:r>
          </w:p>
        </w:tc>
        <w:tc>
          <w:tcPr>
            <w:tcW w:w="8800" w:type="dxa"/>
            <w:vAlign w:val="bottom"/>
          </w:tcPr>
          <w:p>
            <w:pPr>
              <w:ind w:left="240"/>
              <w:spacing w:after="0"/>
              <w:rPr>
                <w:sz w:val="20"/>
                <w:szCs w:val="20"/>
                <w:color w:val="auto"/>
              </w:rPr>
            </w:pPr>
            <w:r>
              <w:rPr>
                <w:rFonts w:ascii="Arial" w:cs="Arial" w:eastAsia="Arial" w:hAnsi="Arial"/>
                <w:sz w:val="18"/>
                <w:szCs w:val="18"/>
                <w:color w:val="auto"/>
              </w:rPr>
              <w:t>SWAP OBLIGATIONS AND BANKING SERVICES OBLIGATIONS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9.19.</w:t>
            </w:r>
          </w:p>
        </w:tc>
        <w:tc>
          <w:tcPr>
            <w:tcW w:w="880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 Company Guarantee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348"/>
        </w:trPr>
        <w:tc>
          <w:tcPr>
            <w:tcW w:w="1480" w:type="dxa"/>
            <w:vAlign w:val="bottom"/>
            <w:tcBorders>
              <w:bottom w:val="single" w:sz="8" w:color="808080"/>
            </w:tcBorders>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18"/>
        </w:trPr>
        <w:tc>
          <w:tcPr>
            <w:tcW w:w="146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420" w:type="dxa"/>
            <w:vAlign w:val="bottom"/>
          </w:tcPr>
          <w:p>
            <w:pPr>
              <w:spacing w:after="0"/>
              <w:rPr>
                <w:sz w:val="24"/>
                <w:szCs w:val="24"/>
                <w:color w:val="auto"/>
              </w:rPr>
            </w:pP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Commitments</w:t>
            </w:r>
          </w:p>
        </w:tc>
        <w:tc>
          <w:tcPr>
            <w:tcW w:w="40" w:type="dxa"/>
            <w:vAlign w:val="bottom"/>
          </w:tcPr>
          <w:p>
            <w:pPr>
              <w:spacing w:after="0"/>
              <w:rPr>
                <w:sz w:val="24"/>
                <w:szCs w:val="24"/>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Subsidiaries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Existing Indebtedness</w:t>
            </w:r>
          </w:p>
        </w:tc>
        <w:tc>
          <w:tcPr>
            <w:tcW w:w="40" w:type="dxa"/>
            <w:vAlign w:val="bottom"/>
          </w:tcPr>
          <w:p>
            <w:pPr>
              <w:spacing w:after="0"/>
              <w:rPr>
                <w:sz w:val="18"/>
                <w:szCs w:val="18"/>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Existing Liens</w:t>
            </w:r>
          </w:p>
        </w:tc>
        <w:tc>
          <w:tcPr>
            <w:tcW w:w="40" w:type="dxa"/>
            <w:vAlign w:val="bottom"/>
          </w:tcPr>
          <w:p>
            <w:pPr>
              <w:spacing w:after="0"/>
              <w:rPr>
                <w:sz w:val="20"/>
                <w:szCs w:val="20"/>
                <w:color w:val="auto"/>
              </w:rPr>
            </w:pPr>
          </w:p>
        </w:tc>
      </w:tr>
      <w:tr>
        <w:trPr>
          <w:trHeight w:val="392"/>
        </w:trPr>
        <w:tc>
          <w:tcPr>
            <w:tcW w:w="146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640" w:type="dxa"/>
            <w:vAlign w:val="bottom"/>
            <w:gridSpan w:val="2"/>
          </w:tcPr>
          <w:p>
            <w:pPr>
              <w:spacing w:after="0"/>
              <w:rPr>
                <w:sz w:val="24"/>
                <w:szCs w:val="24"/>
                <w:color w:val="auto"/>
              </w:rPr>
            </w:pP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Assignment and Assumption</w:t>
            </w:r>
          </w:p>
        </w:tc>
        <w:tc>
          <w:tcPr>
            <w:tcW w:w="40" w:type="dxa"/>
            <w:vAlign w:val="bottom"/>
          </w:tcPr>
          <w:p>
            <w:pPr>
              <w:spacing w:after="0"/>
              <w:rPr>
                <w:sz w:val="24"/>
                <w:szCs w:val="24"/>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Increasing Lender Supplement</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Augmenting Lender Supplement</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List of Closing Documents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E-1</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Borrowing Subsidiary Agreement</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E-2</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Borrowing Subsidiary Termination</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Subsidiary Guaranty</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U.S. Tax Certificate (Foreign Lenders That Are Not Partnerships)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U.S. Tax Certificate (Foreign Participants That Are Not Partnerships)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U.S. Tax Certificate (Foreign Participants That Are Partnerships)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G-4</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U.S. Tax Certificate (Foreign Lenders That Are Partnerships)</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Borrowing Request</w:t>
            </w:r>
          </w:p>
        </w:tc>
        <w:tc>
          <w:tcPr>
            <w:tcW w:w="40" w:type="dxa"/>
            <w:vAlign w:val="bottom"/>
          </w:tcPr>
          <w:p>
            <w:pPr>
              <w:spacing w:after="0"/>
              <w:rPr>
                <w:sz w:val="18"/>
                <w:szCs w:val="18"/>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Interest Election Request</w:t>
            </w:r>
          </w:p>
        </w:tc>
        <w:tc>
          <w:tcPr>
            <w:tcW w:w="40" w:type="dxa"/>
            <w:vAlign w:val="bottom"/>
          </w:tcPr>
          <w:p>
            <w:pPr>
              <w:spacing w:after="0"/>
              <w:rPr>
                <w:sz w:val="18"/>
                <w:szCs w:val="18"/>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960" w:type="dxa"/>
            <w:vAlign w:val="bottom"/>
            <w:gridSpan w:val="2"/>
          </w:tcPr>
          <w:p>
            <w:pPr>
              <w:ind w:left="380"/>
              <w:spacing w:after="0"/>
              <w:rPr>
                <w:sz w:val="20"/>
                <w:szCs w:val="20"/>
                <w:color w:val="auto"/>
              </w:rPr>
            </w:pPr>
            <w:r>
              <w:rPr>
                <w:rFonts w:ascii="Arial" w:cs="Arial" w:eastAsia="Arial" w:hAnsi="Arial"/>
                <w:sz w:val="18"/>
                <w:szCs w:val="18"/>
                <w:color w:val="auto"/>
              </w:rPr>
              <w:t>— Form of Note</w:t>
            </w:r>
          </w:p>
        </w:tc>
        <w:tc>
          <w:tcPr>
            <w:tcW w:w="40" w:type="dxa"/>
            <w:vAlign w:val="bottom"/>
          </w:tcPr>
          <w:p>
            <w:pPr>
              <w:spacing w:after="0"/>
              <w:rPr>
                <w:sz w:val="20"/>
                <w:szCs w:val="20"/>
                <w:color w:val="auto"/>
              </w:rPr>
            </w:pPr>
          </w:p>
        </w:tc>
      </w:tr>
      <w:tr>
        <w:trPr>
          <w:trHeight w:val="348"/>
        </w:trPr>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8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9"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14, 2018 among REGENERON PHARMACEUTICALS, INC., a New York corporation, REGENERON HEALTHCARE SOLUTIONS, INC., a New York corporation, REGENERON GENETICS CENTER LLC, a Delaware limited liability company, the other SUBSIDIARY BORROWERS from time to time party hereto, the LENDERS from time to time party hereto, JPMORGAN CHASE BANK, N.A., as Administrative Agent, BANK OF AMERICA, N.A. and U.S. BANK NATIONAL ASSOCIATION, as Co-Syndication Agents, and CITIBANK, N.A., FIFTH THIRD BANK, MUFG BANK, LTD. and BARCLAYS BANK PLC, as Co-Documentation Agents.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(i) any acquisition (whether by purchase, merger, consolidation or otherwise) or series of related acquisitions by the Company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Eurocurrency Borrowing for any Interest Period, an interest rate per annum (rounded upwards, if necessary, to the next 1/100 of 1%) equal to (a) the LIBO Rate for such Interest Period multiplied by (b) the Statutory Reserve Rate.</w:t>
      </w:r>
    </w:p>
    <w:p>
      <w:pPr>
        <w:spacing w:after="0" w:line="124"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$750,000,000.</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and (iii) any other currency (x) that is a lawful currency (other than Dollars) that is readily available and freely transferable and convertible into Dollars, (y) for which a LIBOR Screen Rate is available in the Administrative Agent’s reasonable determination and (z) (1) with respect to Loans, that is agreed to by the Administrative Agent and each of the Lenders and (2) with respect to Letters of Credit, that is agreed to by the Administrative and the applicable Issuing Bank.</w:t>
      </w:r>
    </w:p>
    <w:p>
      <w:pPr>
        <w:spacing w:after="0" w:line="187"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½ of 1% and (c) the Adjusted LIBO Rate for a one month Interest Period in Dollars on such day (or if such day is not a Business Day,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Adjusted LIBO Rate for any day shall be based on the LIBOR Screen Rate (or if the LIBOR Screen Rate is not available for such one month Interest Period, the Interpolated Rate) at approximately 11:00 a.m. London time on such day, subject to the interest rate floors set forth therein. Any change in the Alternate Base Rate due to a change in the Prime Rate, the NYFRB Rate or the Adjusted LIBO Rate, as the case may be,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clauses (a) and (b) above and shall be determined without reference to clause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 above. For the avoidance of doubt, if the Alternate Base Rate shall be less than zero, such rate shall be deemed to be zero for purposes of this Agreement.</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assigned to such term in Section 2.14(a).</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7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means (i) with respect to JPMorgan Chase Bank, N.A. in its capacity as an Issuing Bank under this Agreement, $16,675,000, (ii) with respect to Bank of America, N.A. in its capacity as an Issuing Bank under this Agreement, $16,675,000, (iii) with respect to U.S. Bank National Association in its capacity as an Issuing Bank under this Agreement, $16,675,000 and (iv) with respect to any other Person that becomes an Issuing Bank pursuant to the terms of this Agreement, such amount as agreed to in writing by the Company, the Administrative Agent and such Person at the time such Person becomes an Issuing Bank pursuant to the terms of this Agreement, as each of the foregoing amounts may be decreased or increased from time to time with the written consent of the Company, the Administrative Agent and the Issuing Banks (provided that any increase in the Applicable LC Sublimit with respect to any Issuing Bank shall only require the consent of the Company and such Issuing Bank).</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has the meaning assigned to it in Section 8.02(c).</w:t>
      </w:r>
    </w:p>
    <w:p>
      <w:pPr>
        <w:spacing w:after="0" w:line="225"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2.24 when a Defaulting Lender shall exist, “Applicable Percentage” shall mean the percentage of the Aggregate Commitment (disregarding any Defaulting Lender’s Commitment) represented by such Lender’s Commitment. If the Commitments have terminated or expired, the Applicable Percentages shall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be determined based upon the Commitments most recently in effect, giving effect to any assignments and to any Lender’s status as a Defaulting Lender at the time of determination.</w:t>
      </w:r>
    </w:p>
    <w:p>
      <w:pPr>
        <w:spacing w:after="0" w:line="170"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Loan or any ABR Loan or with respect to the commitment fees payable hereunder, as the case may be, the applicable rate per annum set forth below under the caption “Eurocurrency Spread”, “ABR Spread” or “Commitment Fee Rate”, as the case may be, based upon the Pricing Level applicable on such date:</w:t>
      </w:r>
    </w:p>
    <w:p>
      <w:pPr>
        <w:spacing w:after="0" w:line="16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 Level:</w:t>
            </w: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Eurocurrency</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left="488"/>
              <w:spacing w:after="0"/>
              <w:rPr>
                <w:sz w:val="20"/>
                <w:szCs w:val="20"/>
                <w:color w:val="auto"/>
              </w:rPr>
            </w:pPr>
            <w:r>
              <w:rPr>
                <w:rFonts w:ascii="Arial" w:cs="Arial" w:eastAsia="Arial" w:hAnsi="Arial"/>
                <w:sz w:val="14"/>
                <w:szCs w:val="14"/>
                <w:b w:val="1"/>
                <w:bCs w:val="1"/>
                <w:color w:val="auto"/>
              </w:rPr>
              <w:t>ABR</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71"/>
        </w:trPr>
        <w:tc>
          <w:tcPr>
            <w:tcW w:w="100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left="388"/>
              <w:spacing w:after="0"/>
              <w:rPr>
                <w:sz w:val="20"/>
                <w:szCs w:val="20"/>
                <w:color w:val="auto"/>
              </w:rPr>
            </w:pPr>
            <w:r>
              <w:rPr>
                <w:rFonts w:ascii="Arial" w:cs="Arial" w:eastAsia="Arial" w:hAnsi="Arial"/>
                <w:sz w:val="14"/>
                <w:szCs w:val="14"/>
                <w:b w:val="1"/>
                <w:bCs w:val="1"/>
                <w:color w:val="auto"/>
                <w:w w:val="88"/>
              </w:rPr>
              <w:t>Spread</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left="488"/>
              <w:spacing w:after="0"/>
              <w:rPr>
                <w:sz w:val="20"/>
                <w:szCs w:val="20"/>
                <w:color w:val="auto"/>
              </w:rPr>
            </w:pPr>
            <w:r>
              <w:rPr>
                <w:rFonts w:ascii="Arial" w:cs="Arial" w:eastAsia="Arial" w:hAnsi="Arial"/>
                <w:sz w:val="14"/>
                <w:szCs w:val="14"/>
                <w:b w:val="1"/>
                <w:bCs w:val="1"/>
                <w:color w:val="auto"/>
                <w:w w:val="92"/>
              </w:rPr>
              <w:t>Spread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Fee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right="910"/>
              <w:spacing w:after="0"/>
              <w:rPr>
                <w:sz w:val="20"/>
                <w:szCs w:val="20"/>
                <w:color w:val="auto"/>
              </w:rPr>
            </w:pPr>
            <w:r>
              <w:rPr>
                <w:rFonts w:ascii="Arial" w:cs="Arial" w:eastAsia="Arial" w:hAnsi="Arial"/>
                <w:sz w:val="18"/>
                <w:szCs w:val="18"/>
                <w:color w:val="auto"/>
                <w:w w:val="94"/>
              </w:rPr>
              <w:t>Level I</w:t>
            </w:r>
          </w:p>
        </w:tc>
        <w:tc>
          <w:tcPr>
            <w:tcW w:w="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1.125%</w:t>
            </w:r>
          </w:p>
        </w:tc>
        <w:tc>
          <w:tcPr>
            <w:tcW w:w="1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0.125%</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80" w:type="dxa"/>
            <w:vAlign w:val="bottom"/>
            <w:gridSpan w:val="3"/>
          </w:tcPr>
          <w:p>
            <w:pPr>
              <w:jc w:val="center"/>
              <w:ind w:right="2648"/>
              <w:spacing w:after="0"/>
              <w:rPr>
                <w:sz w:val="20"/>
                <w:szCs w:val="20"/>
                <w:color w:val="auto"/>
              </w:rPr>
            </w:pPr>
            <w:r>
              <w:rPr>
                <w:rFonts w:ascii="Arial" w:cs="Arial" w:eastAsia="Arial" w:hAnsi="Arial"/>
                <w:sz w:val="18"/>
                <w:szCs w:val="18"/>
                <w:color w:val="auto"/>
                <w:w w:val="99"/>
              </w:rPr>
              <w:t>Level II</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jc w:val="center"/>
              <w:ind w:right="2648"/>
              <w:spacing w:after="0"/>
              <w:rPr>
                <w:sz w:val="20"/>
                <w:szCs w:val="20"/>
                <w:color w:val="auto"/>
              </w:rPr>
            </w:pPr>
            <w:r>
              <w:rPr>
                <w:rFonts w:ascii="Arial" w:cs="Arial" w:eastAsia="Arial" w:hAnsi="Arial"/>
                <w:sz w:val="18"/>
                <w:szCs w:val="18"/>
                <w:color w:val="auto"/>
                <w:w w:val="98"/>
              </w:rPr>
              <w:t>Level III</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1.375%</w:t>
            </w:r>
          </w:p>
        </w:tc>
        <w:tc>
          <w:tcPr>
            <w:tcW w:w="1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0.375%</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80" w:type="dxa"/>
            <w:vAlign w:val="bottom"/>
            <w:gridSpan w:val="3"/>
          </w:tcPr>
          <w:p>
            <w:pPr>
              <w:jc w:val="center"/>
              <w:ind w:right="2648"/>
              <w:spacing w:after="0"/>
              <w:rPr>
                <w:sz w:val="20"/>
                <w:szCs w:val="20"/>
                <w:color w:val="auto"/>
              </w:rPr>
            </w:pPr>
            <w:r>
              <w:rPr>
                <w:rFonts w:ascii="Arial" w:cs="Arial" w:eastAsia="Arial" w:hAnsi="Arial"/>
                <w:sz w:val="18"/>
                <w:szCs w:val="18"/>
                <w:color w:val="auto"/>
              </w:rPr>
              <w:t>Level IV</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3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17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Leverage Level Determination</w:t>
      </w:r>
    </w:p>
    <w:p>
      <w:pPr>
        <w:spacing w:after="0" w:line="217" w:lineRule="exact"/>
        <w:rPr>
          <w:sz w:val="20"/>
          <w:szCs w:val="20"/>
          <w:color w:val="auto"/>
        </w:rPr>
      </w:pPr>
    </w:p>
    <w:tbl>
      <w:tblPr>
        <w:tblLayout w:type="fixed"/>
        <w:tblInd w:w="3100" w:type="dxa"/>
        <w:tblCellMar>
          <w:top w:w="0" w:type="dxa"/>
          <w:left w:w="0" w:type="dxa"/>
          <w:bottom w:w="0" w:type="dxa"/>
          <w:right w:w="0" w:type="dxa"/>
        </w:tblCellMar>
      </w:tblPr>
      <w:tr>
        <w:trPr>
          <w:trHeight w:val="17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Leverage Level</w:t>
            </w:r>
          </w:p>
        </w:tc>
        <w:tc>
          <w:tcPr>
            <w:tcW w:w="2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Total Leverage Ratio</w:t>
            </w:r>
          </w:p>
        </w:tc>
      </w:tr>
      <w:tr>
        <w:trPr>
          <w:trHeight w:val="169"/>
        </w:trPr>
        <w:tc>
          <w:tcPr>
            <w:tcW w:w="2500" w:type="dxa"/>
            <w:vAlign w:val="bottom"/>
            <w:tcBorders>
              <w:top w:val="single" w:sz="8" w:color="auto"/>
            </w:tcBorders>
            <w:shd w:val="clear" w:color="auto" w:fill="CCEEFF"/>
          </w:tcPr>
          <w:p>
            <w:pPr>
              <w:ind w:left="980"/>
              <w:spacing w:after="0" w:line="170" w:lineRule="exact"/>
              <w:rPr>
                <w:sz w:val="20"/>
                <w:szCs w:val="20"/>
                <w:color w:val="auto"/>
              </w:rPr>
            </w:pPr>
            <w:r>
              <w:rPr>
                <w:rFonts w:ascii="Arial" w:cs="Arial" w:eastAsia="Arial" w:hAnsi="Arial"/>
                <w:sz w:val="18"/>
                <w:szCs w:val="18"/>
                <w:color w:val="auto"/>
              </w:rPr>
              <w:t>Level 2</w:t>
            </w:r>
          </w:p>
        </w:tc>
        <w:tc>
          <w:tcPr>
            <w:tcW w:w="2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gridSpan w:val="2"/>
            <w:shd w:val="clear" w:color="auto" w:fill="CCEEFF"/>
          </w:tcPr>
          <w:p>
            <w:pPr>
              <w:jc w:val="center"/>
              <w:ind w:right="680"/>
              <w:spacing w:after="0" w:line="170" w:lineRule="exact"/>
              <w:rPr>
                <w:sz w:val="20"/>
                <w:szCs w:val="20"/>
                <w:color w:val="auto"/>
              </w:rPr>
            </w:pPr>
            <w:r>
              <w:rPr>
                <w:rFonts w:ascii="Arial" w:cs="Arial" w:eastAsia="Arial" w:hAnsi="Arial"/>
                <w:sz w:val="18"/>
                <w:szCs w:val="18"/>
                <w:color w:val="auto"/>
                <w:w w:val="92"/>
              </w:rPr>
              <w:t>&lt; 1.00 to 1.00</w:t>
            </w: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80" w:type="dxa"/>
            <w:vAlign w:val="bottom"/>
            <w:gridSpan w:val="2"/>
          </w:tcPr>
          <w:p>
            <w:pPr>
              <w:ind w:left="980"/>
              <w:spacing w:after="0"/>
              <w:rPr>
                <w:sz w:val="20"/>
                <w:szCs w:val="20"/>
                <w:color w:val="auto"/>
              </w:rPr>
            </w:pPr>
            <w:r>
              <w:rPr>
                <w:rFonts w:ascii="Arial" w:cs="Arial" w:eastAsia="Arial" w:hAnsi="Arial"/>
                <w:sz w:val="18"/>
                <w:szCs w:val="18"/>
                <w:color w:val="auto"/>
              </w:rPr>
              <w:t>Level 3</w:t>
            </w: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&gt; 1.00 to 1.00 but &lt; 2.00 to 1.00</w:t>
            </w:r>
          </w:p>
        </w:tc>
      </w:tr>
      <w:tr>
        <w:trPr>
          <w:trHeight w:val="176"/>
        </w:trPr>
        <w:tc>
          <w:tcPr>
            <w:tcW w:w="2780" w:type="dxa"/>
            <w:vAlign w:val="bottom"/>
            <w:gridSpan w:val="2"/>
            <w:shd w:val="clear" w:color="auto" w:fill="CCEEFF"/>
          </w:tcPr>
          <w:p>
            <w:pPr>
              <w:ind w:left="980"/>
              <w:spacing w:after="0" w:line="176" w:lineRule="exact"/>
              <w:rPr>
                <w:sz w:val="20"/>
                <w:szCs w:val="20"/>
                <w:color w:val="auto"/>
              </w:rPr>
            </w:pPr>
            <w:r>
              <w:rPr>
                <w:rFonts w:ascii="Arial" w:cs="Arial" w:eastAsia="Arial" w:hAnsi="Arial"/>
                <w:sz w:val="18"/>
                <w:szCs w:val="18"/>
                <w:color w:val="auto"/>
              </w:rPr>
              <w:t>Level 4</w:t>
            </w:r>
          </w:p>
        </w:tc>
        <w:tc>
          <w:tcPr>
            <w:tcW w:w="66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center"/>
              <w:ind w:right="780"/>
              <w:spacing w:after="0" w:line="176" w:lineRule="exact"/>
              <w:rPr>
                <w:sz w:val="20"/>
                <w:szCs w:val="20"/>
                <w:color w:val="auto"/>
              </w:rPr>
            </w:pPr>
            <w:r>
              <w:rPr>
                <w:rFonts w:ascii="Arial" w:cs="Arial" w:eastAsia="Arial" w:hAnsi="Arial"/>
                <w:sz w:val="18"/>
                <w:szCs w:val="18"/>
                <w:color w:val="auto"/>
                <w:w w:val="92"/>
              </w:rPr>
              <w:t>&gt; 2.00 to 1.00</w:t>
            </w:r>
          </w:p>
        </w:tc>
      </w:tr>
      <w:tr>
        <w:trPr>
          <w:trHeight w:val="21"/>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Unless Ratings Level A is then in effect, if at any time the Company fails to deliver the Financials on or before the date such Financials are due pursuant to Section 5.01,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180"/>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Notwithstanding anything to the contrary set forth in this definition, Leverage Level 2 shall be deemed to be applicable until the Administrative Agent’s receipt of the applicable financial statements for the Company’s first full fiscal quarter ending after the Effective Date and adjustments to the Leverage Level then in effect shall thereafter be effected in accordance with the terms of this definition.</w:t>
      </w:r>
    </w:p>
    <w:p>
      <w:pPr>
        <w:spacing w:after="0" w:line="164" w:lineRule="exact"/>
        <w:rPr>
          <w:sz w:val="20"/>
          <w:szCs w:val="20"/>
          <w:color w:val="auto"/>
        </w:rPr>
      </w:pPr>
    </w:p>
    <w:tbl>
      <w:tblPr>
        <w:tblLayout w:type="fixed"/>
        <w:tblInd w:w="244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Ratings Level Determination</w:t>
            </w:r>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Ratings Level</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Index Debt Ratings</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(S&amp;P/Moody’s)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6"/>
              </w:rPr>
              <w:t>Level A</w:t>
            </w: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BBB+/Baa1 or higher</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960"/>
              <w:spacing w:after="0"/>
              <w:rPr>
                <w:sz w:val="20"/>
                <w:szCs w:val="20"/>
                <w:color w:val="auto"/>
              </w:rPr>
            </w:pPr>
            <w:r>
              <w:rPr>
                <w:rFonts w:ascii="Arial" w:cs="Arial" w:eastAsia="Arial" w:hAnsi="Arial"/>
                <w:sz w:val="18"/>
                <w:szCs w:val="18"/>
                <w:color w:val="auto"/>
                <w:w w:val="96"/>
              </w:rPr>
              <w:t>Level B</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BBB/Baa2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4"/>
              </w:rPr>
              <w:t>Level C</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BBB-/Baa3</w:t>
            </w:r>
          </w:p>
        </w:tc>
        <w:tc>
          <w:tcPr>
            <w:tcW w:w="0" w:type="dxa"/>
            <w:vAlign w:val="bottom"/>
          </w:tcPr>
          <w:p>
            <w:pPr>
              <w:spacing w:after="0"/>
              <w:rPr>
                <w:sz w:val="1"/>
                <w:szCs w:val="1"/>
                <w:color w:val="auto"/>
              </w:rPr>
            </w:pPr>
          </w:p>
        </w:tc>
      </w:tr>
      <w:tr>
        <w:trPr>
          <w:trHeight w:val="230"/>
        </w:trPr>
        <w:tc>
          <w:tcPr>
            <w:tcW w:w="1560" w:type="dxa"/>
            <w:vAlign w:val="bottom"/>
          </w:tcPr>
          <w:p>
            <w:pPr>
              <w:ind w:left="960"/>
              <w:spacing w:after="0"/>
              <w:rPr>
                <w:sz w:val="20"/>
                <w:szCs w:val="20"/>
                <w:color w:val="auto"/>
              </w:rPr>
            </w:pPr>
            <w:r>
              <w:rPr>
                <w:rFonts w:ascii="Arial" w:cs="Arial" w:eastAsia="Arial" w:hAnsi="Arial"/>
                <w:sz w:val="18"/>
                <w:szCs w:val="18"/>
                <w:color w:val="auto"/>
                <w:w w:val="94"/>
              </w:rPr>
              <w:t>Level D</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BB+/Ba1 or lower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use of an electronic platform) approved by the Administrative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means, at any time with respect to any Lender, the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66"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w:t>
      </w:r>
    </w:p>
    <w:p>
      <w:pPr>
        <w:ind w:right="400" w:firstLine="8"/>
        <w:spacing w:after="0" w:line="261"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means any agreement entered into by the Company or any Subsidiary in connection with Banking Services.</w:t>
      </w:r>
    </w:p>
    <w:p>
      <w:pPr>
        <w:spacing w:after="0" w:line="24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220"/>
        <w:spacing w:after="0" w:line="264" w:lineRule="auto"/>
        <w:rPr>
          <w:sz w:val="20"/>
          <w:szCs w:val="20"/>
          <w:color w:val="auto"/>
        </w:rPr>
      </w:pPr>
      <w:r>
        <w:rPr>
          <w:rFonts w:ascii="Arial" w:cs="Arial" w:eastAsia="Arial" w:hAnsi="Arial"/>
          <w:sz w:val="18"/>
          <w:szCs w:val="18"/>
          <w:color w:val="auto"/>
        </w:rPr>
        <w:t>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or any Subsidiary Borrower.</w:t>
      </w:r>
    </w:p>
    <w:p>
      <w:pPr>
        <w:spacing w:after="0" w:line="225"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Loans of the same Type and Class, made, converted or continued on the same date and to the same Borrower and, in the case of Eurocurrency Loans, as to which a single Interest Period is in effect or (b) a Swingline Loan.</w:t>
      </w:r>
    </w:p>
    <w:p>
      <w:pPr>
        <w:spacing w:after="0" w:line="14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with respect to any request for a Borrowing, a request by any Borrower, together with the Company in the case of a Borrowing requested by a Subsidiary Borrower, for a Borrowing in accordance with Section 2.03 and (b) with respect to any request for a Swingline Loan, a request by any Swingline Borrower, together with the Company in the case of a Swingline Loan requested by a Subsidiary Borrower, for a Swingline Loan in accordance with Section 2.05, in any such case, substantially in the form attached hereto as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or any other form approved by the Administrative Agent.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Agreement</w:t>
      </w:r>
      <w:r>
        <w:rPr>
          <w:rFonts w:ascii="Arial" w:cs="Arial" w:eastAsia="Arial" w:hAnsi="Arial"/>
          <w:sz w:val="18"/>
          <w:szCs w:val="18"/>
          <w:color w:val="auto"/>
        </w:rPr>
        <w:t xml:space="preserve">” means a Borrowing Subsidiary Agreement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xml:space="preserve">” means a Borrowing Subsidiary Termination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the relevant Agreed Currency in the London interbank market or the principal financial center of such Agreed Currency (and, if the Borrowings or LC Disbursements which are the subject of a borrowing, drawing, payment, reimbursement or rate selection are denominated in euro,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the TARGET2 payment system is not open for the settlement of payments in euro).</w:t>
      </w:r>
    </w:p>
    <w:p>
      <w:pPr>
        <w:spacing w:after="0" w:line="193"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 w:name="page17"/>
    <w:bookmarkEnd w:id="16"/>
    <w:p>
      <w:pPr>
        <w:ind w:right="780"/>
        <w:spacing w:after="0" w:line="277" w:lineRule="auto"/>
        <w:rPr>
          <w:sz w:val="20"/>
          <w:szCs w:val="20"/>
          <w:color w:val="auto"/>
        </w:rPr>
      </w:pPr>
      <w:r>
        <w:rPr>
          <w:rFonts w:ascii="Arial" w:cs="Arial" w:eastAsia="Arial" w:hAnsi="Arial"/>
          <w:sz w:val="18"/>
          <w:szCs w:val="18"/>
          <w:color w:val="auto"/>
        </w:rPr>
        <w:t>capital lease obligations on a balance sheet of such Person under GAAP, and the amount of such obligations shall be the capitalized amount thereof determined in accordance with GAAP. The foregoing is subject to Section 1.04(a).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within the meaning of section 957 of the Code.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Debt</w:t>
      </w:r>
      <w:r>
        <w:rPr>
          <w:rFonts w:ascii="Arial" w:cs="Arial" w:eastAsia="Arial" w:hAnsi="Arial"/>
          <w:sz w:val="18"/>
          <w:szCs w:val="18"/>
          <w:color w:val="auto"/>
        </w:rPr>
        <w:t>” means, with respect to any Person, any Indebtedness or accounts receivable that is owed, or treated as owed for United States federal income tax purposes, by any CFC to such Person.</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each as in effect on the date hereof) of Equity Interests representing more than 50% of the aggregate ordinary voting power represented by the issued and outstanding Equity Interests of the Company; (b) within any period of 24 consecutive months, occupation of a majority of the seats (other than vacant seats) on the board of directors of the Company other than by individuals who were (i) directors at the beginning of such period, (ii) nominated or approved by the board of directors of the Company or (iii) 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 or (c) the Company ceases to (1) Control, directly or indirectly, any Subsidiary Borrower or (2) own, directly or indirectly, 100% (other than (x) directors’ qualifying shares; (y) shares issued to foreign nationals to the extent required by applicable law; and (z) shares held by a Person on trust for, or otherwise where the beneficial interest is held by, the Company (directly or indirectly)) of the ordinary voting and economic interests in any Subsidiary Borrower’s issued and outstanding Equity Interests unless, in any such case, a Borrowing Subsidiary Termination delivered pursuant to Section 2.23 (i) has become effective with respect to such Subsidiary Borrower or (ii) will become effective with respect to such Subsidiary Borrower substantially concurrently with any transaction not prohibited hereby pursuant to which such Subsidiary Borrower ceases to be a wholly-owned Subsidiary of the Company.</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w:t>
      </w:r>
      <w:r>
        <w:rPr>
          <w:rFonts w:ascii="Arial" w:cs="Arial" w:eastAsia="Arial" w:hAnsi="Arial"/>
          <w:sz w:val="18"/>
          <w:szCs w:val="18"/>
          <w:color w:val="auto"/>
        </w:rPr>
        <w:t>” means each of Citibank, N.A., Fifth Third Bank, MUFG Bank, Ltd. and Barclays Bank PLC in its capacity as co-documentation agent for the credit facility evidenced by this Agreement.</w:t>
      </w:r>
    </w:p>
    <w:p>
      <w:pPr>
        <w:spacing w:after="0" w:line="170" w:lineRule="exact"/>
        <w:rPr>
          <w:sz w:val="20"/>
          <w:szCs w:val="20"/>
          <w:color w:val="auto"/>
        </w:rPr>
      </w:pPr>
    </w:p>
    <w:p>
      <w:pPr>
        <w:ind w:right="7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Collaboration Arrangement</w:t>
      </w:r>
      <w:r>
        <w:rPr>
          <w:rFonts w:ascii="Arial" w:cs="Arial" w:eastAsia="Arial" w:hAnsi="Arial"/>
          <w:sz w:val="17"/>
          <w:szCs w:val="17"/>
          <w:color w:val="auto"/>
        </w:rPr>
        <w:t>” means any license, sublicense, lease, sublease, collaboration agreement or other profit-loss sharing arrangement relating to the discovery, research, development, manufacture or commercialization of any drug, product line or service.</w:t>
      </w:r>
    </w:p>
    <w:p>
      <w:pPr>
        <w:spacing w:after="0" w:line="14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reduced, terminated or increased from time to time in accordance with the terms of this Agreement. The initial amount of each Lender’s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or in the Assignment and Assumption or record (as such term is defined in Section 9-102(a)(70) of the New York Uniform Commercial Code) as provided in Section 9.04(b)(ii)(C) or other documentation contemplated hereby pursuant to which such Lender shall have assumed its Commitment, as applicable.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8.02(c), including through an Approved Electronic Platform.</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Regeneron Pharmaceuticals, Inc., a New York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2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with reference to any period and without duplication, an amount equal to (a)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deducted in determining Consolidated Net Income, (i) Consolidated Interest Expense, (ii) income tax expenses, (iii) depreciation,</w:t>
      </w:r>
    </w:p>
    <w:p>
      <w:pPr>
        <w:ind w:firstLine="8"/>
        <w:spacing w:after="0" w:line="268"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$75,000,000 during any such period, (vii) losses due to fluctuations in currency exchange rates, (viii) unrealized losses under Swap Agreements, (ix) net after-tax losses (including all fees and expenses or charges relating thereto) on any sale or disposition of any asset of the Company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 w:name="page19"/>
    <w:bookmarkEnd w:id="18"/>
    <w:p>
      <w:pPr>
        <w:ind w:right="20"/>
        <w:spacing w:after="0" w:line="283" w:lineRule="auto"/>
        <w:rPr>
          <w:sz w:val="20"/>
          <w:szCs w:val="20"/>
          <w:color w:val="auto"/>
        </w:rPr>
      </w:pPr>
      <w:r>
        <w:rPr>
          <w:rFonts w:ascii="Arial" w:cs="Arial" w:eastAsia="Arial" w:hAnsi="Arial"/>
          <w:sz w:val="16"/>
          <w:szCs w:val="16"/>
          <w:color w:val="auto"/>
        </w:rPr>
        <w:t>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Company or any of its Subsidiaries, in each case, to the extent incurred within twelve (12) months of the completion or abandonment (as applicable) of such transactions and so long as such transactions are not prohibited under the Loan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Company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w:t>
      </w:r>
    </w:p>
    <w:p>
      <w:pPr>
        <w:spacing w:after="0" w:line="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acquired in-process research and development expenditures, (xv) unrealized non-cash losses arising from the revaluation of equity securities, and</w:t>
      </w:r>
    </w:p>
    <w:p>
      <w:pPr>
        <w:spacing w:after="0" w:line="20" w:lineRule="exact"/>
        <w:rPr>
          <w:rFonts w:ascii="Arial" w:cs="Arial" w:eastAsia="Arial" w:hAnsi="Arial"/>
          <w:sz w:val="17"/>
          <w:szCs w:val="17"/>
          <w:color w:val="auto"/>
        </w:rPr>
      </w:pPr>
    </w:p>
    <w:p>
      <w:pPr>
        <w:ind w:firstLine="8"/>
        <w:spacing w:after="0" w:line="281" w:lineRule="auto"/>
        <w:tabs>
          <w:tab w:leader="none" w:pos="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Milestone Payments and one-time Upfront Payments,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Consolidated Net Income, (1) interest income, (2) income tax credits and refunds (to the extent not netted from income tax expense), (3) any cash payments made during such period in respect of items described in clauses (v) or (xi) above subsequent to the fiscal quarter in which the relevant non-cash expenses or losses were incurred, (4) 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Company or any of its Subsidiaries outside of the ordinary course of business and net after-tax gains from discontinued operations (without reduction on account of any amounts added back in clause (b)(ii) of this definition), (8) any net after-tax gains (less and fees and expenses or charges related thereto) on the retirement or extinguishment of debt and</w:t>
      </w:r>
    </w:p>
    <w:p>
      <w:pPr>
        <w:spacing w:after="0" w:line="4" w:lineRule="exact"/>
        <w:rPr>
          <w:rFonts w:ascii="Arial" w:cs="Arial" w:eastAsia="Arial" w:hAnsi="Arial"/>
          <w:sz w:val="16"/>
          <w:szCs w:val="16"/>
          <w:color w:val="auto"/>
        </w:rPr>
      </w:pPr>
    </w:p>
    <w:p>
      <w:pPr>
        <w:ind w:right="40"/>
        <w:spacing w:after="0" w:line="284" w:lineRule="auto"/>
        <w:rPr>
          <w:rFonts w:ascii="Arial" w:cs="Arial" w:eastAsia="Arial" w:hAnsi="Arial"/>
          <w:sz w:val="16"/>
          <w:szCs w:val="16"/>
          <w:color w:val="auto"/>
        </w:rPr>
      </w:pPr>
      <w:r>
        <w:rPr>
          <w:rFonts w:ascii="Arial" w:cs="Arial" w:eastAsia="Arial" w:hAnsi="Arial"/>
          <w:sz w:val="16"/>
          <w:szCs w:val="16"/>
          <w:color w:val="auto"/>
        </w:rPr>
        <w:t>(9) unrealized non-cash gains arising from the revaluation of equity securities,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by the Company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$25,000,000 (calculated to include the aggregate amount of Indebtedness assumed in connection with such acquisition);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of the Company or any Subsidiary or series of related sales, transfers, or dispositions of property of the Company or such Subsidiary (other than any Exclusive License or transactions between or among any of the Loan Parties or any of their Subsidiaries (or any combination thereof)) that yields gross cash proceeds to the Company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2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excess of (a)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Section 2.16, and (iv) any interest expense in respect of any Operating Lease, including any interest, yield, rent or break funding payment (or similar obligations) paid or payable pursuant to any Corporate Campus Facility Financing Documents.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80"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any income (or loss) of any Person other than the Company or a Subsidiary, but any such income so excluded may be included in such period or any later period to the extent of any dividends, distributions or other payments actually paid in cash (or to the extent converted into cash) in the relevant period to the Company or any wholly-owned Subsidiary of the Company.</w:t>
      </w:r>
    </w:p>
    <w:p>
      <w:pPr>
        <w:spacing w:after="0" w:line="18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the date of any determination thereof, the consolidated stockholders’ equity of the Company and its Subsidiaries calculated on a consolidated basis in accordance with GAAP.</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Company and its Subsidiaries calculated in accordance with GAAP on a consolidated basis as of such date.</w:t>
      </w:r>
    </w:p>
    <w:p>
      <w:pPr>
        <w:spacing w:after="0" w:line="170"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date the sum, without duplication, of (a) the aggregate Indebtedness of the Company and its Subsidiaries (other than intercompany Indebtedness among the Company and its Subsidiaries) that is of a type that would be reflected on a consolidated balance sheet of the Company prepared as of such date in accordance with GAAP, (b) the aggregate amount of Indebtedness of the Company and its Subsidiaries constituting drawn and unreimbursed amounts under all letters of credit, bankers acceptances, bank guarantees and letters of guaranty issued by banks or other financial institutions for the account of the Company or any Subsidiary and (c) Indebtedness of the type referred to in clauses (a) or (b) hereof of another Person (other than the Company or any Subsidiary) guaranteed by the Company or any of its Subsidiaries; provided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Company or any Subsidiary and (ii) shall be subject, in all respects, to the limitations and exclusions set forth in the definition of Indebtedness, including as to the calculation of the amount of any limited recourse guarantee under clause (c) above.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Related Party</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Campus Facility</w:t>
      </w:r>
      <w:r>
        <w:rPr>
          <w:rFonts w:ascii="Arial" w:cs="Arial" w:eastAsia="Arial" w:hAnsi="Arial"/>
          <w:sz w:val="17"/>
          <w:szCs w:val="17"/>
          <w:color w:val="auto"/>
        </w:rPr>
        <w:t>” means the Company’s corporate headquarters and other rentable area consisting of approximately 150 acres of predominately office buildings and laboratory space located in the towns of Mount Pleasant and Greenburgh, New York, acquired by the Company pursuant to the Corporate Campus Facility Purchase Agreement, together with assets related thereto, improvements thereon, replacements and products thereof, additions and accessions thereto or proceeds from the disposition of such property or assets and customary security deposits.</w:t>
      </w:r>
    </w:p>
    <w:p>
      <w:pPr>
        <w:spacing w:after="0" w:line="17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Documents</w:t>
      </w:r>
      <w:r>
        <w:rPr>
          <w:rFonts w:ascii="Arial" w:cs="Arial" w:eastAsia="Arial" w:hAnsi="Arial"/>
          <w:sz w:val="18"/>
          <w:szCs w:val="18"/>
          <w:color w:val="auto"/>
        </w:rPr>
        <w:t>” means the definitive documentation to which the Company and/or any Subsidiary is a party governing or otherwise evidencing the Corporate Campus Facility Lease Financing (including, if applicable, any participation agreement, lease agreement, other finance documents, related security documents and similar or related agreements or documents), in each case, as amended, restated, supplemented, modified, extended, refinanced, renewed or replaced from time to time.</w:t>
      </w:r>
    </w:p>
    <w:p>
      <w:pPr>
        <w:spacing w:after="0" w:line="187"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Obligations</w:t>
      </w:r>
      <w:r>
        <w:rPr>
          <w:rFonts w:ascii="Arial" w:cs="Arial" w:eastAsia="Arial" w:hAnsi="Arial"/>
          <w:sz w:val="18"/>
          <w:szCs w:val="18"/>
          <w:color w:val="auto"/>
        </w:rPr>
        <w:t>” means all obligations (monetary or otherwise) of the Company and any of its Subsidiaries arising under or in connection with any of the Corporate Campus Facility Financing Documents.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Lease Financing</w:t>
      </w:r>
      <w:r>
        <w:rPr>
          <w:rFonts w:ascii="Arial" w:cs="Arial" w:eastAsia="Arial" w:hAnsi="Arial"/>
          <w:sz w:val="18"/>
          <w:szCs w:val="18"/>
          <w:color w:val="auto"/>
        </w:rPr>
        <w:t>” means the financing of the Company’s acquisition of the Corporate Campus Facility pursuant to the Corporate Campus Facility Financing Documents, as such financing may be amended, restated, supplemented, modified, extended, refinanced, renewed or replaced from time to time.</w:t>
      </w:r>
    </w:p>
    <w:p>
      <w:pPr>
        <w:spacing w:after="0" w:line="181"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Purchase Agreement</w:t>
      </w:r>
      <w:r>
        <w:rPr>
          <w:rFonts w:ascii="Arial" w:cs="Arial" w:eastAsia="Arial" w:hAnsi="Arial"/>
          <w:sz w:val="18"/>
          <w:szCs w:val="18"/>
          <w:color w:val="auto"/>
        </w:rPr>
        <w:t>” means that certain Purchase Agreement, dated as of December 30, 2016, among BMR-Landmark at Eastview LLC and BMR-Landmark at Eastview IV LLC, as the sellers, and the Company, as the buyer, as amended, restated, supplemented or otherwise modified from time to time.</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means each of Bank of America, N.A. and U.S. Bank National Association in its capacity as co-documentation agent for the credit facility evidenced by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Event</w:t>
      </w:r>
      <w:r>
        <w:rPr>
          <w:rFonts w:ascii="Arial" w:cs="Arial" w:eastAsia="Arial" w:hAnsi="Arial"/>
          <w:sz w:val="16"/>
          <w:szCs w:val="16"/>
          <w:color w:val="auto"/>
        </w:rPr>
        <w:t>” means a Borrowing, the issuance, amendment, renewal or extension of a Letter of Credit, an LC Disbursement or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the Swingline Lender or any other Lender.</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CRR</w:t>
      </w:r>
      <w:r>
        <w:rPr>
          <w:rFonts w:ascii="Arial" w:cs="Arial" w:eastAsia="Arial" w:hAnsi="Arial"/>
          <w:sz w:val="18"/>
          <w:szCs w:val="18"/>
          <w:color w:val="auto"/>
        </w:rPr>
        <w:t>” means the Council Regulation (EU) No 575/2013 of the European Parliament and of the Council of 26 June 2013 on prudential requirements for credit institutions and investment firms and amending Regulation (EU) No 648/2012.</w:t>
      </w:r>
    </w:p>
    <w:p>
      <w:pPr>
        <w:spacing w:after="0" w:line="17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ind w:firstLine="8"/>
        <w:spacing w:after="0" w:line="285"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such Credit Party’s receipt of such certification in form and substance satisfactory to it and the Administrative Agent, or (d) (i) has become the subject of a Bankruptcy Event or (ii) has become subject to a Bail-In Action or has a parent company that has become subject to a Bail-In Action.</w:t>
      </w:r>
    </w:p>
    <w:p>
      <w:pPr>
        <w:spacing w:after="0" w:line="173"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Subsidiary Borrower</w:t>
      </w:r>
      <w:r>
        <w:rPr>
          <w:rFonts w:ascii="Arial" w:cs="Arial" w:eastAsia="Arial" w:hAnsi="Arial"/>
          <w:sz w:val="18"/>
          <w:szCs w:val="18"/>
          <w:color w:val="auto"/>
        </w:rPr>
        <w:t>” means a Foreign Subsidiary Borrower that is organized under the laws of Luxembourg or any other jurisdiction (other than Ireland or the Netherlands) designated from time to time by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Loan</w:t>
      </w:r>
      <w:r>
        <w:rPr>
          <w:rFonts w:ascii="Arial" w:cs="Arial" w:eastAsia="Arial" w:hAnsi="Arial"/>
          <w:sz w:val="18"/>
          <w:szCs w:val="18"/>
          <w:color w:val="auto"/>
        </w:rPr>
        <w:t>” means a Revolving Loan denominated in Dollars to a Designated Foreign Subsidiary Borrower.</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any event, circumstance, condition or other matter disclosed in the reports and other documents furnished to or filed with the SEC by the Company or posted by the Company on http://www.regeneron.com or https://investor.regeneron.com, in any such case, that are publicly available on or prior to the Effective Date.</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any Person and transaction, a member of the board of directors (or similar governing body) of such 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right="10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Disregarded Entity</w:t>
      </w:r>
      <w:r>
        <w:rPr>
          <w:rFonts w:ascii="Arial" w:cs="Arial" w:eastAsia="Arial" w:hAnsi="Arial"/>
          <w:sz w:val="18"/>
          <w:szCs w:val="18"/>
          <w:color w:val="auto"/>
        </w:rPr>
        <w:t>” means any entity treated as disregarded as an entity separate from its owner under Treasury Regulations Section 301.7701-3.</w:t>
      </w:r>
    </w:p>
    <w:p>
      <w:pPr>
        <w:spacing w:after="0" w:line="170"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Amount</w:t>
      </w:r>
      <w:r>
        <w:rPr>
          <w:rFonts w:ascii="Arial" w:cs="Arial" w:eastAsia="Arial" w:hAnsi="Arial"/>
          <w:sz w:val="16"/>
          <w:szCs w:val="16"/>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Thomson Reuters Corp.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consultation with the Company, in its reasonable discretion (or if such service ceases to be available or ceases to provide such rate of exchange,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t>the equivalent of such amount in Dollars as determined by the Administrative Agent in consultation with the Company, using any method of determination it deems appropriate in its reasonable discretion) and (c) if such amount is denominated in any other currency, the equivalent of such amount in Dollars as determined by the Administrative Agent in consultation with the Company, using any method of determination it deems appropriate in its reasonable discretion.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Foreign Holdco Subsidiary</w:t>
      </w:r>
      <w:r>
        <w:rPr>
          <w:rFonts w:ascii="Arial" w:cs="Arial" w:eastAsia="Arial" w:hAnsi="Arial"/>
          <w:sz w:val="16"/>
          <w:szCs w:val="16"/>
          <w:color w:val="auto"/>
        </w:rPr>
        <w:t>” means a Domestic Subsidiary (a) substantially all of the assets of which consist of the Equity Interests of one or more CFCs and, if any, CFC Debt or (b) that is a Disregarded Entity that holds no material assets other than Equity Interests of one or more CFCs and, if any, CFC Debt, in the case of clause (a) above, so long as such Domestic Subsidiary (i) does not conduct any substantial business or activities other than the ownership of such Equity Interests and, if any, CFC Debt (except for immaterial assets and activities reasonably related or ancillary thereto) and (ii) does not incur, and is not otherwise liable for, any material Indebtedness or other material liabilities (other than intercompany indebtedness permitted pursuant to Section 6.01(c) and, if such Domestic Subsidiary is a Borrower hereunder, Indebtedness permitted pursuant to Section 6.01(a)).</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Acquisition</w:t>
      </w:r>
      <w:r>
        <w:rPr>
          <w:rFonts w:ascii="Arial" w:cs="Arial" w:eastAsia="Arial" w:hAnsi="Arial"/>
          <w:sz w:val="18"/>
          <w:szCs w:val="18"/>
          <w:color w:val="auto"/>
        </w:rPr>
        <w:t>” means any acquisition (including any license or any acquisition of any license) solely or primarily of all or any portion of the rights in respect of one or more drugs or pharmaceutical products, whether in development or on the market (including related intellectual property), but not of Equity Interests in any Person or any operating business unit.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Borrower</w:t>
      </w:r>
      <w:r>
        <w:rPr>
          <w:rFonts w:ascii="Arial" w:cs="Arial" w:eastAsia="Arial" w:hAnsi="Arial"/>
          <w:sz w:val="18"/>
          <w:szCs w:val="18"/>
          <w:color w:val="auto"/>
        </w:rPr>
        <w:t>” means any Borrower that is organized under the laws of the Netherlands.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Non-Public Lender</w:t>
      </w:r>
      <w:r>
        <w:rPr>
          <w:rFonts w:ascii="Arial" w:cs="Arial" w:eastAsia="Arial" w:hAnsi="Arial"/>
          <w:sz w:val="18"/>
          <w:szCs w:val="18"/>
          <w:color w:val="auto"/>
        </w:rPr>
        <w:t>” means:</w:t>
      </w:r>
    </w:p>
    <w:p>
      <w:pPr>
        <w:spacing w:after="0" w:line="225" w:lineRule="exact"/>
        <w:rPr>
          <w:sz w:val="20"/>
          <w:szCs w:val="20"/>
          <w:color w:val="auto"/>
        </w:rPr>
      </w:pPr>
    </w:p>
    <w:p>
      <w:pPr>
        <w:ind w:right="140" w:firstLine="1305"/>
        <w:spacing w:after="0" w:line="264" w:lineRule="auto"/>
        <w:tabs>
          <w:tab w:leader="none" w:pos="1511" w:val="left"/>
        </w:tabs>
        <w:numPr>
          <w:ilvl w:val="0"/>
          <w:numId w:val="8"/>
        </w:numPr>
        <w:rPr>
          <w:rFonts w:ascii="Arial" w:cs="Arial" w:eastAsia="Arial" w:hAnsi="Arial"/>
          <w:sz w:val="18"/>
          <w:szCs w:val="18"/>
          <w:color w:val="auto"/>
        </w:rPr>
      </w:pPr>
      <w:r>
        <w:rPr>
          <w:rFonts w:ascii="Arial" w:cs="Arial" w:eastAsia="Arial" w:hAnsi="Arial"/>
          <w:sz w:val="18"/>
          <w:szCs w:val="18"/>
          <w:color w:val="auto"/>
        </w:rPr>
        <w:t>until the publication of an interpretation of “public” as referred to in the CRR by the relevant authority/ies: an entity that provides repayable funds to a Dutch Borrower for a minimum initial amount of EUR 100,000 (or its equivalent in another currency) or an entity otherwise qualifying as not forming part of the public), and</w:t>
      </w:r>
    </w:p>
    <w:p>
      <w:pPr>
        <w:spacing w:after="0" w:line="181" w:lineRule="exact"/>
        <w:rPr>
          <w:rFonts w:ascii="Arial" w:cs="Arial" w:eastAsia="Arial" w:hAnsi="Arial"/>
          <w:sz w:val="18"/>
          <w:szCs w:val="18"/>
          <w:color w:val="auto"/>
        </w:rPr>
      </w:pPr>
    </w:p>
    <w:p>
      <w:pPr>
        <w:ind w:right="240" w:firstLine="1305"/>
        <w:spacing w:after="0" w:line="277" w:lineRule="auto"/>
        <w:tabs>
          <w:tab w:leader="none" w:pos="1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the publication of an interpretation of “public” as referred to in the CRR by the relevant authority/ies: such amount or such criterion as a result of which such entity shall qualify as not forming part of the public.</w:t>
      </w:r>
    </w:p>
    <w:p>
      <w:pPr>
        <w:spacing w:after="0" w:line="170"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Jurisdiction</w:t>
      </w:r>
      <w:r>
        <w:rPr>
          <w:rFonts w:ascii="Arial" w:cs="Arial" w:eastAsia="Arial" w:hAnsi="Arial"/>
          <w:sz w:val="18"/>
          <w:szCs w:val="18"/>
          <w:color w:val="auto"/>
        </w:rPr>
        <w:t>” means the Netherlands, Ireland, Luxembourg and any other jurisdiction that is approved from time to time by the Administrative Agent and each of the Lenders.</w:t>
      </w:r>
    </w:p>
    <w:p>
      <w:pPr>
        <w:spacing w:after="0" w:line="170"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Subsidiary</w:t>
      </w:r>
      <w:r>
        <w:rPr>
          <w:rFonts w:ascii="Arial" w:cs="Arial" w:eastAsia="Arial" w:hAnsi="Arial"/>
          <w:sz w:val="18"/>
          <w:szCs w:val="18"/>
          <w:color w:val="auto"/>
        </w:rPr>
        <w:t>” means (i) the Initial Subsidiary Borrowers, (ii) a Domestic Subsidiary, (iii) any Subsidiary incorporated or organized under the laws of an Eligible Foreign Jurisdiction and (iv) any other Subsidiary that is approved from time to time by the Administrative Agent and each of the Lenders.</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 binding orders, decrees, judgments, injunctions, written notices or agreements issued, promulgated or entered into by any Governmental Authority, relating to pollution or protection of the environment, preservation or reclamation of natural resources, the management, release or threatened release of any Hazardous Material, or to the protection of human health and safety in respect of Hazardous Materials.</w:t>
      </w:r>
    </w:p>
    <w:p>
      <w:pPr>
        <w:spacing w:after="0" w:line="187"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6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4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w:t>
      </w:r>
    </w:p>
    <w:p>
      <w:pPr>
        <w:ind w:right="40"/>
        <w:spacing w:after="0" w:line="252" w:lineRule="auto"/>
        <w:rPr>
          <w:sz w:val="20"/>
          <w:szCs w:val="20"/>
          <w:color w:val="auto"/>
        </w:rPr>
      </w:pPr>
      <w:r>
        <w:rPr>
          <w:rFonts w:ascii="Arial" w:cs="Arial" w:eastAsia="Arial" w:hAnsi="Arial"/>
          <w:sz w:val="18"/>
          <w:szCs w:val="18"/>
          <w:color w:val="auto"/>
        </w:rPr>
        <w:t>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written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written notice, or the receipt by any Multiemployer Plan from the Company or any ERISA Affiliate of any written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19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w:t>
      </w:r>
      <w:r>
        <w:rPr>
          <w:rFonts w:ascii="Arial" w:cs="Arial" w:eastAsia="Arial" w:hAnsi="Arial"/>
          <w:sz w:val="16"/>
          <w:szCs w:val="16"/>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p>
    <w:p>
      <w:pPr>
        <w:spacing w:after="0" w:line="124"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Payment Office</w:t>
      </w:r>
      <w:r>
        <w:rPr>
          <w:rFonts w:ascii="Arial" w:cs="Arial" w:eastAsia="Arial" w:hAnsi="Arial"/>
          <w:sz w:val="18"/>
          <w:szCs w:val="18"/>
          <w:color w:val="auto"/>
        </w:rPr>
        <w:t>” of the Administrative Agent means, for each Foreign Currency and each Designated Loan, the office, branch, affiliate or correspondent bank of the Administrative Agent for such currency or Designated Loan, as applicable, as specified from time to time by the Administrative Agent to the Company and each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Domestic Foreign Holdco Subsidiary, (b) any Domestic Subsidiary whose Equity Interests are owned directly or indirectly by a CFC, (c) any Subsidiary that is prohibited by applicable law or contractual obligations (other than any contractual obligation in favor of the Company or any of its Subsidiaries) existing on the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and (d) any captive insurance company.</w:t>
      </w:r>
    </w:p>
    <w:p>
      <w:pPr>
        <w:spacing w:after="0" w:line="193"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jc w:val="both"/>
        <w:ind w:right="8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right="60" w:firstLine="8"/>
        <w:spacing w:after="0" w:line="281"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(including a Participant treated as a Lender pursuant to Section 9.04(c)),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w:t>
      </w:r>
    </w:p>
    <w:p>
      <w:pPr>
        <w:spacing w:after="0" w:line="3" w:lineRule="exact"/>
        <w:rPr>
          <w:rFonts w:ascii="Arial" w:cs="Arial" w:eastAsia="Arial" w:hAnsi="Arial"/>
          <w:sz w:val="16"/>
          <w:szCs w:val="16"/>
          <w:color w:val="auto"/>
        </w:rPr>
      </w:pPr>
    </w:p>
    <w:p>
      <w:pPr>
        <w:ind w:firstLine="8"/>
        <w:spacing w:after="0" w:line="254"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9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w:t>
      </w:r>
      <w:r>
        <w:rPr>
          <w:rFonts w:ascii="Arial" w:cs="Arial" w:eastAsia="Arial" w:hAnsi="Arial"/>
          <w:sz w:val="18"/>
          <w:szCs w:val="18"/>
          <w:color w:val="auto"/>
        </w:rPr>
        <w:t>” means any license to develop and commercialize a drug or other product line of any Person with a term greater than five (5) years and made on an exclusive basis.</w:t>
      </w:r>
    </w:p>
    <w:p>
      <w:pPr>
        <w:spacing w:after="0" w:line="170"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the $750,000,000 Credit Agreement dated as of March 19, 2015, among the Company, the lenders party thereto and JPMorgan Chase Bank, N.A., as administrative agent, as amended, restated, supplemented or otherwise modified prior to the Effective Date.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assistant treasurer, senior vice president-finance or controller of the Company.</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of the Company and its consolidated Subsidiaries required to be delivered pursuant to Section 5.01(a) or 5.01(b) and accompanying certificates required to be delivered pursuant to Section 5.01(c).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Borrower that is a Foreign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Company in good faith.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asbestos or asbestos containing materials, polychlorinated biphenyls, radon gas, infectious or medical wastes and all other substances or wastes of any nature regulated pursuant to any Environmental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 and applicable accounting requirements (as issued by the International Accounting Standards Board and the International Financial Reporting Standards Interpretations Committee and/or adopted by the European Union) or other generally accepted accounting principles applicable to a Person in a particular country.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right="14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w:t>
      </w:r>
    </w:p>
    <w:p>
      <w:pPr>
        <w:ind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Company’s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w:t>
      </w:r>
    </w:p>
    <w:p>
      <w:pPr>
        <w:spacing w:after="0" w:line="9" w:lineRule="exact"/>
        <w:rPr>
          <w:rFonts w:ascii="Arial" w:cs="Arial" w:eastAsia="Arial" w:hAnsi="Arial"/>
          <w:sz w:val="16"/>
          <w:szCs w:val="16"/>
          <w:color w:val="auto"/>
        </w:rPr>
      </w:pPr>
    </w:p>
    <w:p>
      <w:pPr>
        <w:ind w:right="360" w:firstLine="8"/>
        <w:spacing w:after="0" w:line="295"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 (vi) all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obligations of such Person arising under any Tax Abatement Transaction, (vii) the Corporate Campus Facility Financing Obligations and (viii) all obligations of such Person under or relating to any Operating Lease.</w:t>
      </w:r>
    </w:p>
    <w:p>
      <w:pPr>
        <w:spacing w:after="0" w:line="170"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Company that is not guaranteed by any other person or entity or subject to any other credit enhancement.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Memorandum</w:t>
      </w:r>
      <w:r>
        <w:rPr>
          <w:rFonts w:ascii="Arial" w:cs="Arial" w:eastAsia="Arial" w:hAnsi="Arial"/>
          <w:sz w:val="16"/>
          <w:szCs w:val="16"/>
          <w:color w:val="auto"/>
        </w:rPr>
        <w:t>” means the Named Agents Package dated November 16, 2018 relating to the Company and the Transactions.</w:t>
      </w:r>
    </w:p>
    <w:p>
      <w:pPr>
        <w:spacing w:after="0" w:line="24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Subsidiary Borrowers</w:t>
      </w:r>
      <w:r>
        <w:rPr>
          <w:rFonts w:ascii="Arial" w:cs="Arial" w:eastAsia="Arial" w:hAnsi="Arial"/>
          <w:sz w:val="18"/>
          <w:szCs w:val="18"/>
          <w:color w:val="auto"/>
        </w:rPr>
        <w:t>” means Regeneron Healthcare Solutions, Inc., a New York corporation, and Regeneron Genetics Center LLC, a Delaware limited liability company.</w:t>
      </w:r>
    </w:p>
    <w:p>
      <w:pPr>
        <w:spacing w:after="0" w:line="170"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applicable Borrower to convert or continue a Revolving Borrowing in accordance with Section 2.08, which shall be substantially in the form attached hereto as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or any other form approved by the Administrative Agent.</w:t>
      </w:r>
    </w:p>
    <w:p>
      <w:pPr>
        <w:spacing w:after="0" w:line="147"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Maturity Date,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 and the Maturity Date.</w:t>
      </w:r>
    </w:p>
    <w:p>
      <w:pPr>
        <w:spacing w:after="0" w:line="17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(or, if reasonably satisfactory to the Administrative Agent and each of the Lenders, such other period) thereafter, as the applicable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6"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for any Interest Period, the rate per annum determined by the Administrative Agent (which determination shall be conclusive and binding absent manifest error) to be equal to the rate that results from interpolating on a linear basis between: (a)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 xml:space="preserve">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Interpolated Rate shall be less than zero, such rate shall be deemed to be zero for purposes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Borrower</w:t>
      </w:r>
      <w:r>
        <w:rPr>
          <w:rFonts w:ascii="Arial" w:cs="Arial" w:eastAsia="Arial" w:hAnsi="Arial"/>
          <w:sz w:val="18"/>
          <w:szCs w:val="18"/>
          <w:color w:val="auto"/>
        </w:rPr>
        <w:t>” means any Borrower that is incorporated under the laws of Ireland.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Chase Bank, N.A., Bank of America, N.A. and U.S. Bank National Association and each other Lender designated by the Company as an “Issuing Bank” hereunder that has agreed to such designation (and is reasonably acceptable to the Administrative Agent),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Bookrunner</w:t>
      </w:r>
      <w:r>
        <w:rPr>
          <w:rFonts w:ascii="Arial" w:cs="Arial" w:eastAsia="Arial" w:hAnsi="Arial"/>
          <w:sz w:val="17"/>
          <w:szCs w:val="17"/>
          <w:color w:val="auto"/>
        </w:rPr>
        <w:t>” means each of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and U.S. Bank National Association in its capacity as a joint bookrunner and joint lead arranger for the credit facility evidenced by this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total LC Exposure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Notice Date</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and any other Person that shall have become a Lender hereunder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2.19, 2.20 or 2.21 or pursuant to an Assignment and Assumption or other documentation contemplated hereby, other than any such Person that ceases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a party hereto pursuant to an Assignment and Assumption or other documentation contemplated hereby. Unless the context otherwise requires, the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“Lenders” includes the Swingline Lender and the Issuing Banks.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2.06(b).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1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date and time, with respect to any Eurocurrency Borrowing denominated in any Agreed Currency and for any applicable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w:t>
      </w:r>
    </w:p>
    <w:p>
      <w:pPr>
        <w:spacing w:after="0" w:line="287" w:lineRule="auto"/>
        <w:rPr>
          <w:sz w:val="20"/>
          <w:szCs w:val="20"/>
          <w:color w:val="auto"/>
        </w:rPr>
      </w:pPr>
      <w:r>
        <w:rPr>
          <w:rFonts w:ascii="Arial" w:cs="Arial" w:eastAsia="Arial" w:hAnsi="Arial"/>
          <w:sz w:val="16"/>
          <w:szCs w:val="16"/>
          <w:color w:val="auto"/>
        </w:rPr>
        <w:t>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6"/>
          <w:szCs w:val="16"/>
          <w:u w:val="single" w:color="auto"/>
          <w:color w:val="auto"/>
        </w:rPr>
        <w:t>LIBOR Screen Rate</w:t>
      </w:r>
      <w:r>
        <w:rPr>
          <w:rFonts w:ascii="Arial" w:cs="Arial" w:eastAsia="Arial" w:hAnsi="Arial"/>
          <w:sz w:val="16"/>
          <w:szCs w:val="16"/>
          <w:color w:val="auto"/>
        </w:rPr>
        <w:t xml:space="preserve">”) at approximately 11:00 a.m., London time, on the Quotation Day for such Agreed Currency and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LIBOR Screen Rate as so determined would be less than zero, such rate shall be deemed to be zero for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 LIBOR Screen Rate shall not be available at such time for such Interest Period (the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then the LIBO Rate for such Agreed Currency and such Interest Period shall be the Interpolated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Interpolated Rate shall be less than zero, such rate shall be deemed to be zero for the purposes of this Agreement. It is understood and agreed that all of the terms and conditions of this definition of “LIBO Rate” shall be subject to Section 2.14.</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166"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Borrowing Subsidiary Agreement, each Borrowing Subsidiary Termination, the Subsidiary Guaranty, any promissory notes issued pursuant to Section 2.10(e) of this Agreement and any Letter of Credit Agreements. Any reference in this Agreement or any other Loan Document to a Loan Document shall include all appendices, exhibits or schedules thereto, and all amendments, restatements, supplements or other modifications thereto (including any Incremental Term Loan Amendment), and shall refer to this Agreement or such Loan Document as the same may be in effect at any and all times such reference becomes operative.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and the Subsidiary Guarantors.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jc w:val="both"/>
        <w:ind w:right="3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Borrowing or LC Disbursement denominated in Dollars (other than Designated Loans) and (ii) local time in the case of a Loan, Borrowing or LC Disbursement denominated in a Foreign Currency and Designated Loans (it being understood that such local time shall mean London, England time unless otherwise notified by the Administrative Agent).</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Borrower</w:t>
      </w:r>
      <w:r>
        <w:rPr>
          <w:rFonts w:ascii="Arial" w:cs="Arial" w:eastAsia="Arial" w:hAnsi="Arial"/>
          <w:sz w:val="18"/>
          <w:szCs w:val="18"/>
          <w:color w:val="auto"/>
        </w:rPr>
        <w:t>” means any Luxembourg Subsidiary that becomes a Subsidiary Borrower pursuant to Section 2.23 and that has not ceased to be a Subsidiary Borrower pursuant to such Section.</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Insolvency Event</w:t>
      </w:r>
      <w:r>
        <w:rPr>
          <w:rFonts w:ascii="Arial" w:cs="Arial" w:eastAsia="Arial" w:hAnsi="Arial"/>
          <w:sz w:val="18"/>
          <w:szCs w:val="18"/>
          <w:color w:val="auto"/>
        </w:rPr>
        <w:t>” shall mean, with respect to any Luxembourg Borrower, (i) a situation of (</w:t>
      </w:r>
      <w:r>
        <w:rPr>
          <w:rFonts w:ascii="Arial" w:cs="Arial" w:eastAsia="Arial" w:hAnsi="Arial"/>
          <w:sz w:val="18"/>
          <w:szCs w:val="18"/>
          <w:i w:val="1"/>
          <w:iCs w:val="1"/>
          <w:color w:val="auto"/>
        </w:rPr>
        <w:t>cessation de paiements</w:t>
      </w:r>
      <w:r>
        <w:rPr>
          <w:rFonts w:ascii="Arial" w:cs="Arial" w:eastAsia="Arial" w:hAnsi="Arial"/>
          <w:sz w:val="18"/>
          <w:szCs w:val="18"/>
          <w:color w:val="auto"/>
        </w:rPr>
        <w:t>) and absence of access to credit (</w:t>
      </w:r>
      <w:r>
        <w:rPr>
          <w:rFonts w:ascii="Arial" w:cs="Arial" w:eastAsia="Arial" w:hAnsi="Arial"/>
          <w:sz w:val="18"/>
          <w:szCs w:val="18"/>
          <w:i w:val="1"/>
          <w:iCs w:val="1"/>
          <w:color w:val="auto"/>
        </w:rPr>
        <w:t>credit ébranlé</w:t>
      </w:r>
      <w:r>
        <w:rPr>
          <w:rFonts w:ascii="Arial" w:cs="Arial" w:eastAsia="Arial" w:hAnsi="Arial"/>
          <w:sz w:val="18"/>
          <w:szCs w:val="18"/>
          <w:color w:val="auto"/>
        </w:rPr>
        <w:t>) within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40"/>
        <w:spacing w:after="0" w:line="293" w:lineRule="auto"/>
        <w:rPr>
          <w:sz w:val="20"/>
          <w:szCs w:val="20"/>
          <w:color w:val="auto"/>
        </w:rPr>
      </w:pPr>
      <w:r>
        <w:rPr>
          <w:rFonts w:ascii="Arial" w:cs="Arial" w:eastAsia="Arial" w:hAnsi="Arial"/>
          <w:sz w:val="16"/>
          <w:szCs w:val="16"/>
          <w:color w:val="auto"/>
        </w:rPr>
        <w:t>meaning of Article 437 of the Luxembourg Commercial Code, (ii) insolvency proceedings (</w:t>
      </w:r>
      <w:r>
        <w:rPr>
          <w:rFonts w:ascii="Arial" w:cs="Arial" w:eastAsia="Arial" w:hAnsi="Arial"/>
          <w:sz w:val="16"/>
          <w:szCs w:val="16"/>
          <w:i w:val="1"/>
          <w:iCs w:val="1"/>
          <w:color w:val="auto"/>
        </w:rPr>
        <w:t>faillite</w:t>
      </w:r>
      <w:r>
        <w:rPr>
          <w:rFonts w:ascii="Arial" w:cs="Arial" w:eastAsia="Arial" w:hAnsi="Arial"/>
          <w:sz w:val="16"/>
          <w:szCs w:val="16"/>
          <w:color w:val="auto"/>
        </w:rPr>
        <w:t>) within the meaning of Articles 437 ff. of the Luxembourg Commercial Code, (iii)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within the meaning of the grand ducal regulation of 24 May 1935 on controlled management, (iv) voluntary arrangement with creditors (</w:t>
      </w:r>
      <w:r>
        <w:rPr>
          <w:rFonts w:ascii="Arial" w:cs="Arial" w:eastAsia="Arial" w:hAnsi="Arial"/>
          <w:sz w:val="16"/>
          <w:szCs w:val="16"/>
          <w:i w:val="1"/>
          <w:iCs w:val="1"/>
          <w:color w:val="auto"/>
        </w:rPr>
        <w:t>concordat préventif de faillite</w:t>
      </w:r>
      <w:r>
        <w:rPr>
          <w:rFonts w:ascii="Arial" w:cs="Arial" w:eastAsia="Arial" w:hAnsi="Arial"/>
          <w:sz w:val="16"/>
          <w:szCs w:val="16"/>
          <w:color w:val="auto"/>
        </w:rPr>
        <w:t>) within the meaning of the law of 14 April 1886 on arrangements to prevent insolvency, as amended, (v) suspension of payments (</w:t>
      </w:r>
      <w:r>
        <w:rPr>
          <w:rFonts w:ascii="Arial" w:cs="Arial" w:eastAsia="Arial" w:hAnsi="Arial"/>
          <w:sz w:val="16"/>
          <w:szCs w:val="16"/>
          <w:i w:val="1"/>
          <w:iCs w:val="1"/>
          <w:color w:val="auto"/>
        </w:rPr>
        <w:t>sursis de paiement</w:t>
      </w:r>
      <w:r>
        <w:rPr>
          <w:rFonts w:ascii="Arial" w:cs="Arial" w:eastAsia="Arial" w:hAnsi="Arial"/>
          <w:sz w:val="16"/>
          <w:szCs w:val="16"/>
          <w:color w:val="auto"/>
        </w:rPr>
        <w:t>) within the meaning of Articles 593 ff. of the Luxembourg Commercial Code, (vi) voluntary or compulsory winding-up pursuant to the law of 10 August 1915 on commercial companies, as amended or (vii) the appointment of an ad hoc director (</w:t>
      </w:r>
      <w:r>
        <w:rPr>
          <w:rFonts w:ascii="Arial" w:cs="Arial" w:eastAsia="Arial" w:hAnsi="Arial"/>
          <w:sz w:val="16"/>
          <w:szCs w:val="16"/>
          <w:i w:val="1"/>
          <w:iCs w:val="1"/>
          <w:color w:val="auto"/>
        </w:rPr>
        <w:t>administrateur provisoire</w:t>
      </w:r>
      <w:r>
        <w:rPr>
          <w:rFonts w:ascii="Arial" w:cs="Arial" w:eastAsia="Arial" w:hAnsi="Arial"/>
          <w:sz w:val="16"/>
          <w:szCs w:val="16"/>
          <w:color w:val="auto"/>
        </w:rPr>
        <w:t>) by a court in respect of such Luxembourg Borrower or a substantial part of its assets.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Subsidiary</w:t>
      </w:r>
      <w:r>
        <w:rPr>
          <w:rFonts w:ascii="Arial" w:cs="Arial" w:eastAsia="Arial" w:hAnsi="Arial"/>
          <w:sz w:val="18"/>
          <w:szCs w:val="18"/>
          <w:color w:val="auto"/>
        </w:rPr>
        <w:t>” means any Subsidiary organized under the laws of Luxembourg.</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results of operations or financial condition of the Company and the Subsidiaries taken as a whole, (b) the ability of (i) the Company to perform its payment obligations under this Agreement or (ii) the Loan Parties (taken as a whole) to perform their payment obligations under the Loan Documents (taken as a whole) or (c) the material rights or remedies of the Administrative Agent and the Lenders under the Loan Documents (taken as a whole).</w:t>
      </w:r>
    </w:p>
    <w:p>
      <w:pPr>
        <w:spacing w:after="0" w:line="187"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and other than any intercompany indebtedness), or obligations in respect of one or more Swap Agreements, of any one or more of any Borrower or any Material Subsidiary in an aggregate principal amount exceeding $100,000,000. For purposes of determining Material Indebtedness, the “principal amount” of the obligations of any Borrower or any Material Subsidiary in respect of any Swap Agreement at any time shall be the maximum aggregate amount (giving effect to any netting agreements) that such Borrower or such Material Subsidiary would be required to pay if such Swap Agreement were terminated at such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each Material Subsidiary that is a Domestic Subsidiary and not an Excluded Subsidiary.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of determination, each wholly-owned Subsidiary which, as of the most recent fiscal year of the Company, for the period of four consecutive fiscal quarters then ended, for which financial statements have been delivered pursuant to Section 5.01(a) (or, prior to the delivery of any such financial statements, the last fiscal year of the Company included in the financial statements referred to in Section 3.04(a)), contributed greater than ten percent (10%) of Consolidated EBITDA for such period.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December 14, 2023 subject to extension (in the case of each Lender consenting thereto) as provided in Section 2.21.</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Payments</w:t>
      </w:r>
      <w:r>
        <w:rPr>
          <w:rFonts w:ascii="Arial" w:cs="Arial" w:eastAsia="Arial" w:hAnsi="Arial"/>
          <w:sz w:val="18"/>
          <w:szCs w:val="18"/>
          <w:color w:val="auto"/>
        </w:rPr>
        <w:t>” means payments based on the achievement of specified revenue, profit or other performance targets (financial or otherwise), in any such case, that are made pursuant to contractual arrangements during the period of twelve months ending on the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zero, such rate shall be deemed to be zero for purposes of this Agreement.</w:t>
      </w:r>
    </w:p>
    <w:p>
      <w:pPr>
        <w:spacing w:after="0" w:line="158"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examinership,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definition of “Obligations” shall not create or include any guarantee by any Loan Party of any Excluded Swap Obligations of such Loan Party for purposes of determining any obligations of any Loan Party and (ii) obligations arising under Permitted Call Spread Swap Agreements shall not be considered Obligations.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Loan Documents pursuant to Section 1.04.</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color w:val="auto"/>
        </w:rPr>
        <w:t>otherwise with respect to, any Loan Document, except any such Taxes that are Other Connection Taxes imposed with respect to an assignment (other than an assignment made pursuant to Section 2.19).</w:t>
      </w:r>
    </w:p>
    <w:p>
      <w:pPr>
        <w:spacing w:after="0" w:line="170"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66"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Foreign Currency Rate</w:t>
      </w:r>
      <w:r>
        <w:rPr>
          <w:rFonts w:ascii="Arial" w:cs="Arial" w:eastAsia="Arial" w:hAnsi="Arial"/>
          <w:sz w:val="16"/>
          <w:szCs w:val="16"/>
          <w:color w:val="auto"/>
        </w:rPr>
        <w:t>” means, for any amount payable in a Foreign Currency, the rate of interest per annum as determined by the Administrative Agent at which overnight or weekend deposits in the relevant currency (or if such amount due remains unpaid for more than three</w:t>
      </w:r>
    </w:p>
    <w:p>
      <w:pPr>
        <w:ind w:firstLine="8"/>
        <w:spacing w:after="0" w:line="271"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Business Days, then for such other period of time as the Administrative Agent may reasonably determine)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plus any taxes, levies, imposts, duties, deductions, charges or withholdings (in any such case, other than Excluded Taxes) imposed upon, or charged to, the Administrative Agent by any relevant correspondent bank in respect of such amount in such relevant currency.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Swap Agreement</w:t>
      </w:r>
      <w:r>
        <w:rPr>
          <w:rFonts w:ascii="Arial" w:cs="Arial" w:eastAsia="Arial" w:hAnsi="Arial"/>
          <w:sz w:val="17"/>
          <w:szCs w:val="17"/>
          <w:color w:val="auto"/>
        </w:rPr>
        <w:t xml:space="preserve">” means (a) any Swap Agreement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 of such option and (b) any Swap Agreement pursuant to which the Company issues to the counterparty thereto warrants to acquire common stock of the Company (whether such warrant is settled in shares, cash or a combination thereof), in each case entered into by the Company in connection with the issuance of Permitted Convertible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conditions and covenants of each such Swap Agreement shall be such as are customary for Swap Agreements of such type (as determined by the Board of Directors of the Company in good faith). For the avoidance of doubt, “Permitted Call Spread Swap Agreement” includes any convertible note hedge and warrant transaction similar to any such transaction that was previously entered into by the Company in connection with the Company’s 1.875% convertible senior notes due October 1, 2016.</w:t>
      </w:r>
    </w:p>
    <w:p>
      <w:pPr>
        <w:spacing w:after="0" w:line="18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notes issued by the Company that are convertible into common stock of the Company, cash or any combination thereof. For the avoidance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doubt, “Permitted Convertible Notes” includes any such notes similar to the Company’s 1.875% convertible senior notes due October 1, 2016.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right="180" w:firstLine="1305"/>
        <w:spacing w:after="0" w:line="277" w:lineRule="auto"/>
        <w:tabs>
          <w:tab w:leader="none" w:pos="19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5.04) or are being contested in compliance with Section 5.04, and Liens for unpaid utility charges;</w:t>
      </w:r>
    </w:p>
    <w:p>
      <w:pPr>
        <w:spacing w:after="0" w:line="170" w:lineRule="exact"/>
        <w:rPr>
          <w:rFonts w:ascii="Arial" w:cs="Arial" w:eastAsia="Arial" w:hAnsi="Arial"/>
          <w:sz w:val="18"/>
          <w:szCs w:val="18"/>
          <w:color w:val="auto"/>
        </w:rPr>
      </w:pPr>
    </w:p>
    <w:p>
      <w:pPr>
        <w:ind w:right="140" w:firstLine="1305"/>
        <w:spacing w:after="0" w:line="264" w:lineRule="auto"/>
        <w:tabs>
          <w:tab w:leader="none" w:pos="19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and other like Liens imposed by law, arising in the ordinary course of business and securing obligations that are not overdue by more than sixty (60) days (or if more than 60 days overdue, are unfiled and no other action has been taken to enforce such Liens) or are being contested in compliance with Section 5.04;</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spacing w:after="0" w:line="181" w:lineRule="exact"/>
        <w:rPr>
          <w:rFonts w:ascii="Arial" w:cs="Arial" w:eastAsia="Arial" w:hAnsi="Arial"/>
          <w:sz w:val="18"/>
          <w:szCs w:val="18"/>
          <w:color w:val="auto"/>
        </w:rPr>
      </w:pPr>
    </w:p>
    <w:p>
      <w:pPr>
        <w:ind w:right="140" w:firstLine="1305"/>
        <w:spacing w:after="0" w:line="286" w:lineRule="auto"/>
        <w:tabs>
          <w:tab w:leader="none" w:pos="19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65" w:lineRule="exact"/>
        <w:rPr>
          <w:rFonts w:ascii="Arial" w:cs="Arial" w:eastAsia="Arial" w:hAnsi="Arial"/>
          <w:sz w:val="17"/>
          <w:szCs w:val="17"/>
          <w:color w:val="auto"/>
        </w:rPr>
      </w:pPr>
    </w:p>
    <w:p>
      <w:pPr>
        <w:ind w:right="120" w:firstLine="1305"/>
        <w:spacing w:after="0" w:line="342" w:lineRule="auto"/>
        <w:tabs>
          <w:tab w:leader="none" w:pos="1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Lien granted or arising in connection with any legal proceeding (including judgment Liens) to the extent such proceeding has not resulted in an Event of Default under clause (k) of Article VII or Liens securing appeal or surety bonds related to such legal proceedings or judgments;</w:t>
      </w:r>
    </w:p>
    <w:p>
      <w:pPr>
        <w:spacing w:after="0" w:line="123" w:lineRule="exact"/>
        <w:rPr>
          <w:rFonts w:ascii="Arial" w:cs="Arial" w:eastAsia="Arial" w:hAnsi="Arial"/>
          <w:sz w:val="16"/>
          <w:szCs w:val="16"/>
          <w:color w:val="auto"/>
        </w:rPr>
      </w:pPr>
    </w:p>
    <w:p>
      <w:pPr>
        <w:ind w:right="60" w:firstLine="1305"/>
        <w:spacing w:after="0" w:line="264" w:lineRule="auto"/>
        <w:tabs>
          <w:tab w:leader="none" w:pos="19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its Subsidiaries, taken as a whole;</w:t>
      </w:r>
    </w:p>
    <w:p>
      <w:pPr>
        <w:spacing w:after="0" w:line="181" w:lineRule="exact"/>
        <w:rPr>
          <w:rFonts w:ascii="Arial" w:cs="Arial" w:eastAsia="Arial" w:hAnsi="Arial"/>
          <w:sz w:val="18"/>
          <w:szCs w:val="18"/>
          <w:color w:val="auto"/>
        </w:rPr>
      </w:pPr>
    </w:p>
    <w:p>
      <w:pPr>
        <w:ind w:right="140" w:firstLine="1305"/>
        <w:spacing w:after="0" w:line="277" w:lineRule="auto"/>
        <w:tabs>
          <w:tab w:leader="none" w:pos="19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or title of, and other statutory and common law liens of, a landlord, lessor or sublessor under any lease or sublease or any Lien affecting solely the interest of the landlord, lessor or sublessor;</w:t>
      </w:r>
    </w:p>
    <w:p>
      <w:pPr>
        <w:spacing w:after="0" w:line="170" w:lineRule="exact"/>
        <w:rPr>
          <w:rFonts w:ascii="Arial" w:cs="Arial" w:eastAsia="Arial" w:hAnsi="Arial"/>
          <w:sz w:val="18"/>
          <w:szCs w:val="18"/>
          <w:color w:val="auto"/>
        </w:rPr>
      </w:pPr>
    </w:p>
    <w:p>
      <w:pPr>
        <w:ind w:right="140" w:firstLine="1305"/>
        <w:spacing w:after="0" w:line="286" w:lineRule="auto"/>
        <w:tabs>
          <w:tab w:leader="none" w:pos="19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leases, licenses, subleases or sublicenses (i) that are granted to others and do not adversely interfere in any material respect with the business of the Company and its Subsidiaries as conducted at the time granted, taken as a whole, (ii) between or among any of the Loan Parties or any of their Subsidiaries (or any combination thereof) or (iii) granted to other Persons and not prohibited under Section 6.03;</w:t>
      </w:r>
    </w:p>
    <w:p>
      <w:pPr>
        <w:spacing w:after="0" w:line="165" w:lineRule="exact"/>
        <w:rPr>
          <w:rFonts w:ascii="Arial" w:cs="Arial" w:eastAsia="Arial" w:hAnsi="Arial"/>
          <w:sz w:val="17"/>
          <w:szCs w:val="17"/>
          <w:color w:val="auto"/>
        </w:rPr>
      </w:pPr>
    </w:p>
    <w:p>
      <w:pPr>
        <w:ind w:firstLine="1305"/>
        <w:spacing w:after="0" w:line="277" w:lineRule="auto"/>
        <w:tabs>
          <w:tab w:leader="none" w:pos="19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Company or any of its Subsidiaries in the ordinary course of business;</w:t>
      </w:r>
    </w:p>
    <w:p>
      <w:pPr>
        <w:spacing w:after="0" w:line="170" w:lineRule="exact"/>
        <w:rPr>
          <w:rFonts w:ascii="Arial" w:cs="Arial" w:eastAsia="Arial" w:hAnsi="Arial"/>
          <w:sz w:val="18"/>
          <w:szCs w:val="18"/>
          <w:color w:val="auto"/>
        </w:rPr>
      </w:pPr>
    </w:p>
    <w:p>
      <w:pPr>
        <w:ind w:right="280" w:firstLine="1305"/>
        <w:spacing w:after="0" w:line="308" w:lineRule="auto"/>
        <w:tabs>
          <w:tab w:leader="none" w:pos="19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interest or title of a licensor under any license or sublicense entered into by the Company or any Subsidiary as a licensee or sublicensee (i) existing on the date hereof, (ii) in the ordinary course of its business or (iii) not otherwise prohibited by this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960" w:hanging="655"/>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any real property, immaterial title defects or irregularities that do not materially impair the use of such real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20" w:firstLine="1305"/>
        <w:spacing w:after="0" w:line="277" w:lineRule="auto"/>
        <w:tabs>
          <w:tab w:leader="none" w:pos="19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Restructurings</w:t>
      </w:r>
      <w:r>
        <w:rPr>
          <w:rFonts w:ascii="Arial" w:cs="Arial" w:eastAsia="Arial" w:hAnsi="Arial"/>
          <w:sz w:val="16"/>
          <w:szCs w:val="16"/>
          <w:color w:val="auto"/>
        </w:rPr>
        <w:t>” means a transaction or series of transactions pursuant to which direct and indirect Subsidiaries of the Company are converted, restructured or reorganized for tax planning or due to changes or potential changes in any relevant legal or regulatory framework, whether by</w:t>
      </w:r>
    </w:p>
    <w:p>
      <w:pPr>
        <w:ind w:right="120" w:firstLine="8"/>
        <w:spacing w:after="0" w:line="270" w:lineRule="auto"/>
        <w:tabs>
          <w:tab w:leader="none" w:pos="2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transfer, (ii) acquisition, (iii) contribution, (iv) merger, (v) consolidation, (vi) voluntary dissolution, (vii) liquidation, (viii) recapitalization, (ix) change in identity, form, place of organization, incorporation, domicile or, to the extent relevant and subject to Section 5.03(b), centre of main interests (as that term is used in Article 3(1) of the Regulation), or (x) otherwise, in each case the result of which may cause a direct or indirect sale, assignment or transfer of Equity Interests and/or other assets between and among the Company and/or various Subsidiaries of the Company, and in each case to the extent the Administrative Agent (acting in its reasonable credit judgment) approves such Permitted Restructuring (it being understood and agreed that the proposed Permitted Restructurings disclosed in writing by the Company to the Administrative Agent prior to the Effective Date are approved).</w:t>
      </w:r>
    </w:p>
    <w:p>
      <w:pPr>
        <w:spacing w:after="0" w:line="179"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Corporate Campus Facility Leases</w:t>
      </w:r>
      <w:r>
        <w:rPr>
          <w:rFonts w:ascii="Arial" w:cs="Arial" w:eastAsia="Arial" w:hAnsi="Arial"/>
          <w:sz w:val="18"/>
          <w:szCs w:val="18"/>
          <w:color w:val="auto"/>
        </w:rPr>
        <w:t>” means the leases dated as of December 21, 2006 and April 3, 2013, respectively, by and between BMR-Landmark at Eastview LLC, as landlord, and the Company, as tenant, each as amended and in effect immediately prior to the date of the Corporate Campus Facility Purchase Agreement.</w:t>
      </w:r>
    </w:p>
    <w:p>
      <w:pPr>
        <w:spacing w:after="0" w:line="181"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Indebtedness</w:t>
      </w:r>
      <w:r>
        <w:rPr>
          <w:rFonts w:ascii="Arial" w:cs="Arial" w:eastAsia="Arial" w:hAnsi="Arial"/>
          <w:sz w:val="18"/>
          <w:szCs w:val="18"/>
          <w:color w:val="auto"/>
        </w:rPr>
        <w:t>” means (a) Indebtedness of the Company or any Subsidiary secured by any Lien on any asset(s) of the Company or any Subsidiary and (b) unsecured Indebtedness of any Subsidiary that is not a Borrower or a Subsidiary Guarantor, in each case owing to a Person other than the Company or any Subsidiary.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Day</w:t>
      </w:r>
      <w:r>
        <w:rPr>
          <w:rFonts w:ascii="Arial" w:cs="Arial" w:eastAsia="Arial" w:hAnsi="Arial"/>
          <w:sz w:val="16"/>
          <w:szCs w:val="16"/>
          <w:color w:val="auto"/>
        </w:rPr>
        <w:t>” means, with respect to any Eurocurrency Borrowing for any Interest Period, (i) if the currency is Pounds Sterling, the first day of such Interest Period, (ii) if the currency is euro, the day that is two (2) TARGET2 Days before the first day of such Interest Period, and (iii) for any other currency, two (2) Business Days prior to the commencement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 Rate</w:t>
      </w:r>
      <w:r>
        <w:rPr>
          <w:rFonts w:ascii="Arial" w:cs="Arial" w:eastAsia="Arial" w:hAnsi="Arial"/>
          <w:sz w:val="18"/>
          <w:szCs w:val="18"/>
          <w:color w:val="auto"/>
        </w:rPr>
        <w:t>” means the arithmetic mean of the rates (rounded upwards to four decimal places) supplied to the Administrative Agent at its request by the Reference Banks (as the case may be) as of the applicable time on the Quotation Day for Loans in the applicable currency and the applicable Interest Period as the rate at which the relevant Reference Bank could borrow funds in the London (or other applicable) interbank market in the relevant currency and for the relevant period, were it to do so by asking for and then accepting interbank offers in reasonable market size in that currency and for that period.</w:t>
      </w:r>
    </w:p>
    <w:p>
      <w:pPr>
        <w:spacing w:after="0" w:line="18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such banks as may be appointed by the Administrative Agent (and agreed by such bank) in consultation with the Company. No Lender shall be obligated to be a Reference Bank without its consent.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means the regulation (EU) 2015/848 of the European Parliament and of the Council of 20 May 2015 on insolvency proceedings (recast).</w:t>
      </w:r>
    </w:p>
    <w:p>
      <w:pPr>
        <w:spacing w:after="0" w:line="170" w:lineRule="exact"/>
        <w:rPr>
          <w:sz w:val="20"/>
          <w:szCs w:val="20"/>
          <w:color w:val="auto"/>
        </w:rPr>
      </w:pPr>
    </w:p>
    <w:p>
      <w:pPr>
        <w:ind w:right="8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Municipal Party</w:t>
      </w:r>
      <w:r>
        <w:rPr>
          <w:rFonts w:ascii="Arial" w:cs="Arial" w:eastAsia="Arial" w:hAnsi="Arial"/>
          <w:sz w:val="18"/>
          <w:szCs w:val="18"/>
          <w:color w:val="auto"/>
        </w:rPr>
        <w:t>” means the industrial development agency or other Governmental Authority party to a Tax Abatement Transaction and, if applicable, any trustee or agent with respect to such Tax Abatement Transaction.</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managers, employees, agents and advisors of such Person and such Person’s Affiliates.</w:t>
      </w:r>
    </w:p>
    <w:p>
      <w:pPr>
        <w:spacing w:after="0" w:line="170"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at any time, Lenders having Revolving Credit Exposures (provided, that, as to any Lender, clause (a) of the definition of “Swingline Exposure” shall only be applicable in calculating a Lender’s Revolving Credit Exposure to the extent such Lender shall have funded its respective participations in the outstanding Swingline Loans) and Unfunded Commitments representing more than 50% of the sum of the Total Revolving Credit Exposure and Unfunded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declaring the Loans to be due and payable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for all purposes after the Loans become due and payable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the Commitments expire or terminate, then, as to each Lender, the Unfunded Commitment of each Lender shall be deemed to be zero.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right="2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a Financial Officer or chief legal officer of the Company or any other Person designated by any such Person in writing to the Administrative Agent and reasonably acceptable to the Administrative Agent.</w:t>
      </w:r>
    </w:p>
    <w:p>
      <w:pPr>
        <w:spacing w:after="0" w:line="147"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Equity Interests in the Company or any Subsidiary, and (b) any payment (whether in cash, securities or other property), including any sinking fund or similar deposit, on account of the purchase, redemption, retirement, acquisition, cancellation or termination of any Equity Interests in the Company or any option, warrant or other similar right to acquire any such Equity Interests in the Company. Notwithstanding the foregoing, and for the avoidance of doubt, any of the foregoing directly on account of any Permitted Convertible Notes or any Permitted Call Spread Swap Agreement, including (i) any issuance of, conversion of (including any cash payment upon conversion), or payment of any principal or premium on, or payment of any interest with respect to, or any other exercise of rights or performance of obligations under any Permitted Convertible Notes and (ii) any entry into, payment with respect to, or early unwind or settlement of, or any other exercise of rights or performance of obligations under any Permitted Call Spread Swap Agreement, in any such case, shall not constitute a Restricted Payment.</w:t>
      </w:r>
    </w:p>
    <w:p>
      <w:pPr>
        <w:spacing w:after="0" w:line="19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its LC Exposure and its Swingline Exposure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region or territory which is itself the subject or target of any comprehensive Sanctions (which for purposes of illustration and clarification includes, at the time of this Agreement, Crimea, Cuba, Iran, North Korea and Syria).</w:t>
      </w:r>
    </w:p>
    <w:p>
      <w:pPr>
        <w:spacing w:after="0" w:line="14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or Her Majesty’s Treasury of the United Kingdom, (b) any Person located, organized or resident in a Sanctioned Country, or (c) any Person owned 50% or more or controlled by any such Person or Persons described in the foregoing clauses (a) or (b).</w:t>
      </w:r>
    </w:p>
    <w:p>
      <w:pPr>
        <w:spacing w:after="0" w:line="18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Governmental Authority succeeding to any of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10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Ancillary Obligations</w:t>
      </w:r>
      <w:r>
        <w:rPr>
          <w:rFonts w:ascii="Arial" w:cs="Arial" w:eastAsia="Arial" w:hAnsi="Arial"/>
          <w:sz w:val="17"/>
          <w:szCs w:val="17"/>
          <w:color w:val="auto"/>
        </w:rPr>
        <w:t xml:space="preserve">” means all obligations and liabilities (including interest and fees accruing during the pendency of any bankruptcy, insolvency, examinership,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definition of “Specified Ancillary Obligations” shall not create or include any guarantee by any Loan Party of any Excluded Swap Obligations of such Loan Party for purposes of determining any obligations of any Loan Party and (ii) obligations arising under Permitted Call Spread Swap Agreements shall not be considered Specified Ancillary Obligations.</w:t>
      </w:r>
    </w:p>
    <w:p>
      <w:pPr>
        <w:spacing w:after="0" w:line="17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Lease Arrangements</w:t>
      </w:r>
      <w:r>
        <w:rPr>
          <w:rFonts w:ascii="Arial" w:cs="Arial" w:eastAsia="Arial" w:hAnsi="Arial"/>
          <w:sz w:val="18"/>
          <w:szCs w:val="18"/>
          <w:color w:val="auto"/>
        </w:rPr>
        <w:t>” means, to the extent any of the following constitute Capital Lease Obligations (but for the provisions set forth in Section 1.04) or other obligations reflected as a liability on the consolidated balance sheet of the Company, (a) any obligations of the Company and its Subsidiaries owed to any Affiliates of the Company related to leases of assets (whether pursuant to a Sale and Leaseback Transaction or otherwise), (b) any arrangement similar to either of the Prior Corporate Campus Facility Leases, (c) any of the Corporate Campus Facility Financing Obligations and (d) any lease or other obligation that was or would have been categorized as “facility lease obligations” or “facility financing obligations” on the Company’s consolidated balance sheet as of the Effective Date.</w:t>
      </w:r>
    </w:p>
    <w:p>
      <w:pPr>
        <w:spacing w:after="0" w:line="193"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82"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(i) Regeneron Healthcare Solutions, Inc., a New York corporation, (ii) Regeneron Genetics Center LLC, a Delaware limited liability company, and (iii)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660"/>
        <w:spacing w:after="0" w:line="277" w:lineRule="auto"/>
        <w:rPr>
          <w:sz w:val="20"/>
          <w:szCs w:val="20"/>
          <w:color w:val="auto"/>
        </w:rPr>
      </w:pPr>
      <w:r>
        <w:rPr>
          <w:rFonts w:ascii="Arial" w:cs="Arial" w:eastAsia="Arial" w:hAnsi="Arial"/>
          <w:sz w:val="18"/>
          <w:szCs w:val="18"/>
          <w:color w:val="auto"/>
        </w:rPr>
        <w:t>Eligible Subsidiary that becomes a Subsidiary Borrower pursuant to Section 2.23 and, in the case of each of the foregoing, that has not ceased to be a Subsidiary Borrower pursuant to such Section.</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each Material Domestic Subsidiary that is a party to the Subsidiary Guaranty. The Subsidiary Guarantors on the Effective Date (if any) are identified as such in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that certain Guaranty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(including any and all supplements thereto) and executed by each Subsidiary Guarantor party thereto, as amended, restated, supplemented or otherwise modified from time to time.</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not prohibited hereunder with a Lender or an Affiliate of a Lender, and (b) any and all cancellations, buy backs, reversals, terminations or assignments of any such Swap Agreement transaction.</w:t>
      </w:r>
    </w:p>
    <w:p>
      <w:pPr>
        <w:spacing w:after="0" w:line="18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Borrower</w:t>
      </w:r>
      <w:r>
        <w:rPr>
          <w:rFonts w:ascii="Arial" w:cs="Arial" w:eastAsia="Arial" w:hAnsi="Arial"/>
          <w:sz w:val="18"/>
          <w:szCs w:val="18"/>
          <w:color w:val="auto"/>
        </w:rPr>
        <w:t>” means (a) the Company and (b) any other Borrower requested by the Company and approved in writing by the Swingline Lender and the Administrative Agent in their discretion.</w:t>
      </w:r>
    </w:p>
    <w:p>
      <w:pPr>
        <w:spacing w:after="0" w:line="170"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Lenders in such Swingline Loans).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in its capacity as lender of Swingline Loans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 Day</w:t>
      </w:r>
      <w:r>
        <w:rPr>
          <w:rFonts w:ascii="Arial" w:cs="Arial" w:eastAsia="Arial" w:hAnsi="Arial"/>
          <w:sz w:val="18"/>
          <w:szCs w:val="18"/>
          <w:color w:val="auto"/>
        </w:rPr>
        <w:t>” means a day that TARGET2 is open for the settlement of payments in euro.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Abatement Transactions</w:t>
      </w:r>
      <w:r>
        <w:rPr>
          <w:rFonts w:ascii="Arial" w:cs="Arial" w:eastAsia="Arial" w:hAnsi="Arial"/>
          <w:sz w:val="17"/>
          <w:szCs w:val="17"/>
          <w:color w:val="auto"/>
        </w:rPr>
        <w:t>” means a transaction between the Company or any of its Subsidiaries, on the one hand, and a Related Municipal Party, on the other hand (and, if applicable, other Person(s)), entered into for the purposes of reducing certain of the Company’s or any Subsidiary’s Tax liabilities through (a) the sale, other transfer, lease or license to such Related Municipal Party of title to or an interest in real property, fixtures, equipment, other fixed or capital assets or other related assets of the Company or such Subsidiary, (b) the granting to such Related Municipal Party of Liens on real property, fixtures, equipment, other fixed or capital assets or other related assets of the Company or such Subsidiary, (c) a Sale and Leaseback Transaction or other transfer and licensing arrangement between the Company or such Subsidiary and such Related Municipal Party (and, if applicable, such other Person(s)) with respect to real property, fixtures, equipment, other fixed or capital assets or other related assets of the Company or such Subsidiary, (d) PILOT agreements or (e) any combination of the foregoing or through arrangements similar thereto.</w:t>
      </w:r>
    </w:p>
    <w:p>
      <w:pPr>
        <w:spacing w:after="0" w:line="179"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6.07(a).</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xml:space="preserve">” means, at any time, the sum of all Lenders’ Revolving Credit Exposure; </w:t>
      </w:r>
      <w:r>
        <w:rPr>
          <w:rFonts w:ascii="Arial" w:cs="Arial" w:eastAsia="Arial" w:hAnsi="Arial"/>
          <w:sz w:val="18"/>
          <w:szCs w:val="18"/>
          <w:u w:val="single" w:color="auto"/>
          <w:color w:val="auto"/>
        </w:rPr>
        <w:t>provided</w:t>
      </w:r>
      <w:r>
        <w:rPr>
          <w:rFonts w:ascii="Arial" w:cs="Arial" w:eastAsia="Arial" w:hAnsi="Arial"/>
          <w:sz w:val="18"/>
          <w:szCs w:val="18"/>
          <w:color w:val="auto"/>
        </w:rPr>
        <w:t>, that clause (a) of the definition of “Swingline Exposure” shall only be applicable to the extent Lenders shall have funded their respective participations in the outstanding Swingline Loans.</w:t>
      </w:r>
    </w:p>
    <w:p>
      <w:pPr>
        <w:spacing w:after="0" w:line="181"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4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ind w:right="7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in any applicable jurisdiction or any other laws of any jurisdiction which are required to be applied in connection with the issue of creation, perfection or priority of security interests.</w:t>
      </w:r>
    </w:p>
    <w:p>
      <w:pPr>
        <w:spacing w:after="0" w:line="147" w:lineRule="exact"/>
        <w:rPr>
          <w:sz w:val="20"/>
          <w:szCs w:val="20"/>
          <w:color w:val="auto"/>
        </w:rPr>
      </w:pPr>
    </w:p>
    <w:p>
      <w:pPr>
        <w:ind w:right="4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Commitment</w:t>
      </w:r>
      <w:r>
        <w:rPr>
          <w:rFonts w:ascii="Arial" w:cs="Arial" w:eastAsia="Arial" w:hAnsi="Arial"/>
          <w:sz w:val="17"/>
          <w:szCs w:val="17"/>
          <w:color w:val="auto"/>
        </w:rPr>
        <w:t xml:space="preserve">” means, with respect to each Lender, the Commitment of such Lender less its Revolving Credit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as to any Lender, clause (a) of the definition of “Swingline Exposure” shall only be applicable in calculating a Lender’s Revolving Credit Exposure to the extent such Lender shall have funded its respective participations in the outstanding Swingline Loans.</w:t>
      </w:r>
    </w:p>
    <w:p>
      <w:pPr>
        <w:spacing w:after="0" w:line="166"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Upfront Payments</w:t>
      </w:r>
      <w:r>
        <w:rPr>
          <w:rFonts w:ascii="Arial" w:cs="Arial" w:eastAsia="Arial" w:hAnsi="Arial"/>
          <w:sz w:val="18"/>
          <w:szCs w:val="18"/>
          <w:color w:val="auto"/>
        </w:rPr>
        <w:t>” means any upfront or similar payments made during the period of twelve months ending on the 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26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a Subsidiary with respect to which 100% of the issued and outstanding Equity Interests are owned directly or indirectly by the Company (other than (x) directors’ qualifying shares; (y) shares issued to foreign nationals to the extent required by applicable law; and (z) shares held by a Person on trust for, or otherwise where the beneficial interest is held by, the Company (directly or indirectly)).</w:t>
      </w:r>
    </w:p>
    <w:p>
      <w:pPr>
        <w:spacing w:after="0" w:line="14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Revolving Loan</w:t>
      </w:r>
      <w:r>
        <w:rPr>
          <w:rFonts w:ascii="Arial" w:cs="Arial" w:eastAsia="Arial" w:hAnsi="Arial"/>
          <w:sz w:val="18"/>
          <w:szCs w:val="18"/>
          <w:color w:val="auto"/>
        </w:rPr>
        <w:t>”).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Revolving Borrowing</w:t>
      </w:r>
      <w:r>
        <w:rPr>
          <w:rFonts w:ascii="Arial" w:cs="Arial" w:eastAsia="Arial" w:hAnsi="Arial"/>
          <w:sz w:val="18"/>
          <w:szCs w:val="18"/>
          <w:color w:val="auto"/>
        </w:rPr>
        <w:t>”).</w:t>
      </w:r>
    </w:p>
    <w:p>
      <w:pPr>
        <w:spacing w:after="0" w:line="18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any and all tangible and intangible assets and properties, including cash, securities, accounts and contract rights and (g)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40" w:firstLine="1297"/>
        <w:spacing w:after="0" w:line="284"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 Pro Forma Calculations</w:t>
      </w:r>
      <w:r>
        <w:rPr>
          <w:rFonts w:ascii="Arial" w:cs="Arial" w:eastAsia="Arial" w:hAnsi="Arial"/>
          <w:sz w:val="16"/>
          <w:szCs w:val="16"/>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(a)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(b)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notwithstanding any modification or interpretative change to GAAP after the Effective Date (including any such modification or change as a result of any treatment of leases under Accounting Standards Codification 842 (or any other Accounting Standards Codification or Financial Accounting Standard having a similar result or effect)), any obligations relating to any of the following shall be deemed to be obligations relating to an operating lease and shall not constitute Capital Lease Obligations under the Loan Documents: (x) a lease that was or would have been accounted for by such Person as an operating lease as of the Effective Date, (y) any Specified Lease Arrangements of such Person or (z) any lease or arrangement similar to any of the foregoing entered into after the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182" w:lineRule="exact"/>
        <w:rPr>
          <w:sz w:val="20"/>
          <w:szCs w:val="20"/>
          <w:color w:val="auto"/>
        </w:rPr>
      </w:pPr>
    </w:p>
    <w:p>
      <w:pPr>
        <w:ind w:firstLine="1305"/>
        <w:spacing w:after="0" w:line="286" w:lineRule="auto"/>
        <w:tabs>
          <w:tab w:leader="none" w:pos="15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or issuance, incurrence or assumption of Indebtedness or other transaction is not prohibited to be consummated hereunder)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fiscal quarter ended September 30, 2018),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pro forma computation required to be made hereunder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determination had been the applicable rate for the entire period (taking into account any Swap Agreement applicable to such Indebtedness).</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Interest Rates; LIBOR Notification</w:t>
      </w:r>
      <w:r>
        <w:rPr>
          <w:rFonts w:ascii="Arial" w:cs="Arial" w:eastAsia="Arial" w:hAnsi="Arial"/>
          <w:sz w:val="17"/>
          <w:szCs w:val="17"/>
          <w:color w:val="auto"/>
        </w:rPr>
        <w:t>. The interest rate on Eurocurrency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Administration, the “</w:t>
      </w:r>
      <w:r>
        <w:rPr>
          <w:rFonts w:ascii="Arial" w:cs="Arial" w:eastAsia="Arial" w:hAnsi="Arial"/>
          <w:sz w:val="17"/>
          <w:szCs w:val="17"/>
          <w:u w:val="single" w:color="auto"/>
          <w:color w:val="auto"/>
        </w:rPr>
        <w:t>IBA</w:t>
      </w:r>
      <w:r>
        <w:rPr>
          <w:rFonts w:ascii="Arial" w:cs="Arial" w:eastAsia="Arial" w:hAnsi="Arial"/>
          <w:sz w:val="17"/>
          <w:szCs w:val="17"/>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2.14(c) of this Agreement, such Section 2.14(c) provides a mechanism for determining an alternative rate of interest. The Administrative Agent will notify the Company, pursuant to Section 2.14, in advance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2.14(c), will be similar to, or produce the same value or economic equivalence of, the LIBO Rate or have the same volume or liquidity as did the London interbank offered rate prior to its discontinuance or unavailability.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220" w:firstLine="1297"/>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(severally and not jointly) agrees to make Revolving Loans to the Borrowers severally in Agreed Currencies from time to time during the Availability Period in an aggregate principal amount that will not result (after giving effect to any application of proceeds of such Borrowing to any Swingline Loans outstanding pursuant to Section 2.10(a)) in</w:t>
      </w:r>
    </w:p>
    <w:p>
      <w:pPr>
        <w:ind w:right="40" w:firstLine="8"/>
        <w:spacing w:after="0" w:line="277"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 to Sections 2.04 and 2.11(b), the Dollar Amount of such Lender’s Revolving Credit Exposure exceeding such Lender’s Commitment or (b) subject to Sections 2.04 and 2.11(b), the Dollar Amount of the Total Revolving Credit Exposure exceeding the Aggregate Commitment. Within the foregoing limits and subject to the terms and conditions set forth herein, the Borrowers may borrow, prepay and reborrow Revolving Loans.</w:t>
      </w:r>
    </w:p>
    <w:p>
      <w:pPr>
        <w:spacing w:after="0" w:line="173"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8" w:lineRule="exact"/>
        <w:rPr>
          <w:sz w:val="20"/>
          <w:szCs w:val="20"/>
          <w:color w:val="auto"/>
        </w:rPr>
      </w:pPr>
    </w:p>
    <w:p>
      <w:pPr>
        <w:ind w:left="660" w:firstLine="645"/>
        <w:spacing w:after="0" w:line="264" w:lineRule="auto"/>
        <w:tabs>
          <w:tab w:leader="none" w:pos="1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Subject to Section 2.14, each Revolving Borrowing shall be comprised entirely of ABR Loans or Eurocurrency Loans as the relevant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ABR Loan shall only be made in Dollars and no ABR Loan shall be made to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left="660" w:right="140"/>
        <w:spacing w:after="0" w:line="279" w:lineRule="auto"/>
        <w:rPr>
          <w:sz w:val="20"/>
          <w:szCs w:val="20"/>
          <w:color w:val="auto"/>
        </w:rPr>
      </w:pPr>
      <w:r>
        <w:rPr>
          <w:rFonts w:ascii="Arial" w:cs="Arial" w:eastAsia="Arial" w:hAnsi="Arial"/>
          <w:sz w:val="17"/>
          <w:szCs w:val="17"/>
          <w:color w:val="auto"/>
        </w:rPr>
        <w:t xml:space="preserve">Designated Foreign Subsidiary Borrower.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relevant Borrower to repay such Loan in accordance with the terms of this Agreement.</w:t>
      </w:r>
    </w:p>
    <w:p>
      <w:pPr>
        <w:spacing w:after="0" w:line="171" w:lineRule="exact"/>
        <w:rPr>
          <w:sz w:val="20"/>
          <w:szCs w:val="20"/>
          <w:color w:val="auto"/>
        </w:rPr>
      </w:pPr>
    </w:p>
    <w:p>
      <w:pPr>
        <w:ind w:left="660" w:right="160" w:firstLine="645"/>
        <w:spacing w:after="0" w:line="270" w:lineRule="auto"/>
        <w:tabs>
          <w:tab w:leader="none" w:pos="19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Eurocurrency Revolving Borrowing, such Borrowing shall be in an aggregate amount that is an integral multiple of $1,000,000 (or, if such Borrowing is denominated in a Foreign Currency, 1,000,000 units of such currency) and not less than $10,000,000 (or, if such Borrowing is denominated in a Foreign Currency, 10,000,000 units of such currency). At the time that each ABR Revolving Borrowing is made, such Borrowing shall be in an aggregate amount that is an integral multiple of $1,000,000 and not less than $10,000,000;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$10,000,000.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six (6) Eurocurrency Borrowings outstanding.</w:t>
      </w:r>
    </w:p>
    <w:p>
      <w:pPr>
        <w:spacing w:after="0" w:line="181" w:lineRule="exact"/>
        <w:rPr>
          <w:rFonts w:ascii="Arial" w:cs="Arial" w:eastAsia="Arial" w:hAnsi="Arial"/>
          <w:sz w:val="17"/>
          <w:szCs w:val="17"/>
          <w:color w:val="auto"/>
        </w:rPr>
      </w:pPr>
    </w:p>
    <w:p>
      <w:pPr>
        <w:ind w:left="660" w:right="40" w:firstLine="645"/>
        <w:spacing w:after="0" w:line="277"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Credit Event to any Dutch Borrower shall at all times be provided by a Lender that is a Dutch Non-Public Lender.</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To request a Revolving Borrowing, the applicable Borrower, together with the Company in the case of a Revolving Borrowing by a Subsidiary Borrower, shall notify the Administrative Agent of such request (a) by irrevocable written notice (via a written Borrowing Request signed by the applicable Borrower, together with the Company in the case of a Revolving Borrowing by a Subsidiary Borrower, promptly followed by telephonic confirmation of such request) in the case of a Eurocurrency Borrowing, not later than 12:00 noon, Local Time, three (3) Business Days (in the case of a Eurocurrency Borrowing denominated in Dollars) or by irrevocable written notice (via a written Borrowing Request signed by such Borrower, together with the Company in the case of a Revolving Borrowing by a Subsidiary Borrower) not later than 12:00 noon, Local Time, four (4) Business Days (in the case of a Eurocurrency Borrowing denominated in a Foreign Currency), in each case before the date of the proposed Borrowing or (b) by telephone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signed by the applicable Borrower, together with the Company in the case of a Revolving Borrowing by a Subsidiary Borrower. Each such telephonic and written Borrowing Request shall specify the following information in compliance with Section 2.02:</w:t>
      </w:r>
    </w:p>
    <w:p>
      <w:pPr>
        <w:spacing w:after="0" w:line="173" w:lineRule="exact"/>
        <w:rPr>
          <w:sz w:val="20"/>
          <w:szCs w:val="20"/>
          <w:color w:val="auto"/>
        </w:rPr>
      </w:pPr>
    </w:p>
    <w:p>
      <w:pPr>
        <w:ind w:left="2620" w:hanging="667"/>
        <w:spacing w:after="0"/>
        <w:tabs>
          <w:tab w:leader="none" w:pos="2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225" w:lineRule="exact"/>
        <w:rPr>
          <w:rFonts w:ascii="Arial" w:cs="Arial" w:eastAsia="Arial" w:hAnsi="Arial"/>
          <w:sz w:val="18"/>
          <w:szCs w:val="18"/>
          <w:color w:val="auto"/>
        </w:rPr>
      </w:pPr>
    </w:p>
    <w:p>
      <w:pPr>
        <w:ind w:left="5620" w:right="4480" w:hanging="3667"/>
        <w:spacing w:after="0" w:line="573" w:lineRule="auto"/>
        <w:tabs>
          <w:tab w:leader="none" w:pos="26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of such Borrowing, which shall be a Business Day;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2620" w:hanging="667"/>
        <w:spacing w:after="0"/>
        <w:tabs>
          <w:tab w:leader="none" w:pos="2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225"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Eurocurrency Borrowing, the Agreed Currency and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 which shall comply with the requirements of Section 2.07.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no election as to the Type of Revolving Borrowing is specified, then, in the case of a Borrowing denominated in Dollars (other than a Designated Loan), the requested Revolving Borrowing shall be an ABR Borrowing. If no Interest Period is specified with respect to any requested Eurocurrency Revolving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Determination of Dollar Amounts</w:t>
      </w:r>
      <w:r>
        <w:rPr>
          <w:rFonts w:ascii="Arial" w:cs="Arial" w:eastAsia="Arial" w:hAnsi="Arial"/>
          <w:sz w:val="17"/>
          <w:szCs w:val="17"/>
          <w:color w:val="auto"/>
        </w:rPr>
        <w:t>. The Administrative Agent will determine the Dollar Amount of:</w:t>
      </w:r>
    </w:p>
    <w:p>
      <w:pPr>
        <w:spacing w:after="0" w:line="225" w:lineRule="exact"/>
        <w:rPr>
          <w:sz w:val="20"/>
          <w:szCs w:val="20"/>
          <w:color w:val="auto"/>
        </w:rPr>
      </w:pPr>
    </w:p>
    <w:p>
      <w:pPr>
        <w:ind w:left="660" w:right="260" w:firstLine="645"/>
        <w:spacing w:after="0" w:line="277" w:lineRule="auto"/>
        <w:tabs>
          <w:tab w:leader="none" w:pos="19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Loan denominated in a Foreign Currency, on each of the following: (i) the date of the Borrowing of such Loan and (ii) each date of a conversation or continuation of such Loan pursuant to the terms of this Agreement,</w:t>
      </w:r>
    </w:p>
    <w:p>
      <w:pPr>
        <w:spacing w:after="0" w:line="170"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Credit Event, on any additional date as the Administrative Agent may determine at any time when an Event of Default exists.</w:t>
      </w: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(a) Subject to the terms and conditions set forth herein, the Swingline Lender may in its sole discretion make Swingline Loans in Dollars to any Swingline Borrower from time to time during the Availability Period, in an aggregate principal amount at any time outstanding that will not result in (i) the aggregate principal amount of outstanding Swingline Loans exceeding $25,000,000, (ii) the Swingline Lender’s Revolving Credit Exposure exceeding its Commitment or (iii) the Dollar Amount of the Total Revolving Credit Exposure exceeding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each Swingline Borrower may borrow and reborrow Swingline Loans and prepay any Swingline Loan made to it.</w:t>
      </w:r>
    </w:p>
    <w:p>
      <w:pPr>
        <w:spacing w:after="0" w:line="189" w:lineRule="exact"/>
        <w:rPr>
          <w:sz w:val="20"/>
          <w:szCs w:val="20"/>
          <w:color w:val="auto"/>
        </w:rPr>
      </w:pPr>
    </w:p>
    <w:p>
      <w:pPr>
        <w:jc w:val="both"/>
        <w:ind w:left="660" w:right="680" w:firstLine="645"/>
        <w:spacing w:after="0" w:line="342" w:lineRule="auto"/>
        <w:tabs>
          <w:tab w:leader="none" w:pos="19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request a Swingline Loan, the applicable Swingline Borrower shall notify the Administrative Agent of such request by telephone (confirmed promptly by telecopy to the Administrative Agent of a written Borrowing Request signed by the applicable Swingline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line="270" w:lineRule="auto"/>
        <w:rPr>
          <w:sz w:val="20"/>
          <w:szCs w:val="20"/>
          <w:color w:val="auto"/>
        </w:rPr>
      </w:pPr>
      <w:r>
        <w:rPr>
          <w:rFonts w:ascii="Arial" w:cs="Arial" w:eastAsia="Arial" w:hAnsi="Arial"/>
          <w:sz w:val="17"/>
          <w:szCs w:val="17"/>
          <w:color w:val="auto"/>
        </w:rPr>
        <w:t>Borrower, together with the Company in the case of a request for a Swingline Loan by a Subsidiary Borrower), not later than 1:00 p.m., New York City time, on the day of a proposed Swingline Loan. Each such notice shall be irrevocable and shall specify the requested date (which shall be a Business Day), the applicable Swingline Borrower requesting such Swingline Loan and amount of the requested Swingline Loan. The Administrative Agent will promptly advise the Swingline Lender of any such notice received from any Swingline Borrower. The Swingline Lender shall make each Swingline Loan available to the applicable Swingline Borrower by means of a credit to an account of such Swingline Borrower with the Administrative Agent designated for such purpose or to such other account as directed in writing by such Swingline Borrower in the Borrowing Notice (or, in the case of a Swingline Loan made to finance the reimbursement of an LC Disbursement as provided in Section 2.06(e), by remittance to the relevant Issuing Bank) by 3:00 p.m., New York City time, on the requested date of such Swingline Loan. Any Swingline Loan made to finance the reimbursement of an LC Disbursement shall be for the account of the Company.</w:t>
      </w:r>
    </w:p>
    <w:p>
      <w:pPr>
        <w:spacing w:after="0" w:line="182" w:lineRule="exact"/>
        <w:rPr>
          <w:sz w:val="20"/>
          <w:szCs w:val="20"/>
          <w:color w:val="auto"/>
        </w:rPr>
      </w:pPr>
    </w:p>
    <w:p>
      <w:pPr>
        <w:ind w:firstLine="645"/>
        <w:spacing w:after="0" w:line="284"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Lenders), and the Administrative Agent shall promptly pay to the Swingline Lender the amounts so received by it from the Lenders. The Administrative Agent shall notify the applicable Swingline Borrower of any participations in any Swingline Loan acquired pursuant to this paragraph, and thereafter payments made by such Swingline Borrower in respect of such Swingline Loan shall be made to the Administrative Agent and not to the Swingline Lender. Any amounts received by the Swingline Lender from any Swingline Borrower (or other party on behalf of any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Swingline Lender or to the Administrative Agent, as applicable, if and to the extent such payment is required to be refunded to any Swingline Borrower for any reason. The purchase of participations in a Swingline Loan pursuant to this paragraph shall not relieve any Swingline Borrower of any default in the payment of any Swingline Loan made to such Swingline Borrower.</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7" w:name="page48"/>
    <w:bookmarkEnd w:id="47"/>
    <w:p>
      <w:pPr>
        <w:ind w:firstLine="1305"/>
        <w:spacing w:after="0" w:line="270" w:lineRule="auto"/>
        <w:tabs>
          <w:tab w:leader="none" w:pos="19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Swingline Lender may be replaced at any time by written agreement among the Company, the Administrative Agent, the replaced Swingline Lender and the successor Swingline Lender. The Administrative Agent shall notify the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1" w:lineRule="exact"/>
        <w:rPr>
          <w:rFonts w:ascii="Arial" w:cs="Arial" w:eastAsia="Arial" w:hAnsi="Arial"/>
          <w:sz w:val="17"/>
          <w:szCs w:val="17"/>
          <w:color w:val="auto"/>
        </w:rPr>
      </w:pPr>
    </w:p>
    <w:p>
      <w:pPr>
        <w:jc w:val="both"/>
        <w:ind w:right="420" w:firstLine="1305"/>
        <w:spacing w:after="0" w:line="264"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Swingline Lender, the Swingline Lender may resign as a Swingline Lender at any time upon thirty (30) days’ prior written notice to the Administrative Agent, the Company and the Lenders, in which case, such Swingline Lender shall be replaced in accordance with Section 2.05(d) above.</w:t>
      </w:r>
    </w:p>
    <w:p>
      <w:pPr>
        <w:spacing w:after="0" w:line="181"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Company or any Subsidiary Borrower may request the issuance of Letters of Credit denominated in Agreed Currencies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a Sanctioned Country, (ii) in any manner that would result in a violation of any Sanctions by any party to this Agreement or (iii) in any manner that would result in a violation (as reasonably determined by such Issuing Bank in good faith) of one or more Sanctions-related policies of such Issuing Bank applicable to letters of credit generally (it being agreed that, upon request by the Company, such Issuing Bank shall deliver a certificate setting forth, in reasonable detail, the basis for any non-issuance pursuant to this clause (iii)).</w:t>
      </w:r>
    </w:p>
    <w:p>
      <w:pPr>
        <w:spacing w:after="0" w:line="193" w:lineRule="exact"/>
        <w:rPr>
          <w:sz w:val="20"/>
          <w:szCs w:val="20"/>
          <w:color w:val="auto"/>
        </w:rPr>
      </w:pPr>
    </w:p>
    <w:p>
      <w:pPr>
        <w:ind w:left="660" w:right="60" w:firstLine="645"/>
        <w:spacing w:after="0" w:line="287" w:lineRule="auto"/>
        <w:tabs>
          <w:tab w:leader="none" w:pos="1964"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Company (or applicable Subsidiary Borrower, together with the Company)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but in any event no less than three (3) Business Days unless otherwise agreed by the relevant Issuing Bank) a notice signed by the Company (or if such Letter of Credit or amendment, renewal or extension is being requested by a Subsidiary Borrower, signed by such Subsidiary Borrower and the Company)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89" w:lineRule="auto"/>
        <w:rPr>
          <w:sz w:val="20"/>
          <w:szCs w:val="20"/>
          <w:color w:val="auto"/>
        </w:rPr>
      </w:pPr>
      <w:r>
        <w:rPr>
          <w:rFonts w:ascii="Arial" w:cs="Arial" w:eastAsia="Arial" w:hAnsi="Arial"/>
          <w:sz w:val="16"/>
          <w:szCs w:val="16"/>
          <w:color w:val="auto"/>
        </w:rPr>
        <w:t>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 Letter of Credit shall be issued, amended, renewed or extended only if (and upon issuance, amendment, renewal or extension of each Letter of Credit the Company shall be deemed to represent and warrant that), after giving effect to such issuance, amendment, renewal or extension (i) subject to Sections 2.04 and 2.11(b), the Dollar Amount of the LC Exposure shall not exceed $50,000,000, (ii) subject to Sections 2.04 and 2.11(b), the Dollar Amount of the Total Revolving Credit Exposure shall not exceed the Aggregate Commitment, (iii) subject to Sections 2.04 and 2.11(b), the Dollar Amount of each Lender’s Revolving Credit Exposure shall not exceed such Lender’s Commitment and (iv) the aggregate face amount of all Letters of Credit issued and then outstanding by any Issuing Bank shall not exceed such Issuing Bank’s Applicable LC Sublimit, unless such excess is consented to, or otherwise waived, by such Issuing Bank in its sole discretion.</w:t>
      </w:r>
    </w:p>
    <w:p>
      <w:pPr>
        <w:spacing w:after="0" w:line="167" w:lineRule="exact"/>
        <w:rPr>
          <w:sz w:val="20"/>
          <w:szCs w:val="20"/>
          <w:color w:val="auto"/>
        </w:rPr>
      </w:pPr>
    </w:p>
    <w:p>
      <w:pPr>
        <w:ind w:right="20" w:firstLine="645"/>
        <w:spacing w:after="0" w:line="287" w:lineRule="auto"/>
        <w:tabs>
          <w:tab w:leader="none" w:pos="130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(or be subject to termination by notice from the relevant Issuing Bank to the beneficiary thereof) at or prior to the close of business on the earlier of (i) the date one year (or such longer period as may be consented to by the relevant Issuing Bank) after the date of the issuance of such Letter of Credit (or, in the case of any renewal or extension thereof, one year after such renewal or extension) and (ii) the date that is five (5) Business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tenor may contain customary automatic renewal provisions agreed upon by the Company or the applicable Subsidiary Borrower and the relevant Issuing Bank that provide for the renewal thereof for additional one-year periods (which shall in no event extend beyond the date referenced in clause (ii) above), subject to a right on the part of such Issuing Bank to prevent any such renewal from occurring by giving notice to the beneficiary in advance of any such renewal. Notwithstanding the foregoing, any Letter of Credit may expire no later than one year after the Maturity Date so long as the Company cash collateralizes an amount equal to 105% of the face amount of such Letter of Credit, concurrently with the issuance of such Letter of Credit, in the manner described in Section 2.06(j) and otherwise on terms and conditions reasonably acceptable to the relevant Issuing Bank and the Administrative Agent or provides a backup letter of credit in such amount and otherwise in form and substance reasonably acceptable to the relevant Issuing Bank and the Administrative Agent, in each case no later than five (5) Business Days prior to the Maturity Date.</w:t>
      </w:r>
    </w:p>
    <w:p>
      <w:pPr>
        <w:spacing w:after="0" w:line="168" w:lineRule="exact"/>
        <w:rPr>
          <w:rFonts w:ascii="Arial" w:cs="Arial" w:eastAsia="Arial" w:hAnsi="Arial"/>
          <w:sz w:val="16"/>
          <w:szCs w:val="16"/>
          <w:color w:val="auto"/>
        </w:rPr>
      </w:pPr>
    </w:p>
    <w:p>
      <w:pPr>
        <w:ind w:right="140" w:firstLine="645"/>
        <w:spacing w:after="0" w:line="284"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w:t>
      </w:r>
    </w:p>
    <w:p>
      <w:pPr>
        <w:spacing w:after="0" w:line="4"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9" w:name="page50"/>
    <w:bookmarkEnd w:id="49"/>
    <w:p>
      <w:pPr>
        <w:ind w:firstLine="645"/>
        <w:spacing w:after="0" w:line="284" w:lineRule="auto"/>
        <w:tabs>
          <w:tab w:leader="none" w:pos="130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Business Day immediately following the Business Day that the Company shall have received notice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subject to the conditions to borrowing set forth herein, request in accordance with Section 2.03 or 2.05 that such payment be financed with (i) to the extent such LC Disbursement was made in Dollars (or is permitted by such Issuing Bank to be reimbursed in Dollars), an ABR Revolving Borrowing, Eurocurrency Revolving Borrowing or Swingline Loan in Dollars in the Dollar Amount equal to such LC Disbursement or (ii) to the extent such LC Disbursement was made in a Foreign Currency, a Eurocurrency Revolving Borrowing in such Foreign Currency (to the extent that such Foreign Currency is an Agreed Currency that is available for Loans under this Agreement) in an amount equal to such LC Disbursement and, in each case, to the extent so financed, the Company’s obligation to make such payment shall be discharged and replaced by the resulting ABR Revolving Borrowing, Eurocurrency Revolving Borrowing or Swingline Loan,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w:t>
      </w:r>
    </w:p>
    <w:p>
      <w:pPr>
        <w:spacing w:after="0" w:line="389" w:lineRule="exact"/>
        <w:rPr>
          <w:rFonts w:ascii="Arial" w:cs="Arial" w:eastAsia="Arial" w:hAnsi="Arial"/>
          <w:sz w:val="16"/>
          <w:szCs w:val="16"/>
          <w:color w:val="auto"/>
        </w:rPr>
      </w:pPr>
    </w:p>
    <w:p>
      <w:pPr>
        <w:ind w:left="1300" w:hanging="65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Company’s obligation to reimburse LC Disbursements as provided in paragraph (e) of this</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0" w:name="page51"/>
    <w:bookmarkEnd w:id="50"/>
    <w:p>
      <w:pPr>
        <w:ind w:right="40"/>
        <w:spacing w:after="0" w:line="285" w:lineRule="auto"/>
        <w:rPr>
          <w:sz w:val="20"/>
          <w:szCs w:val="20"/>
          <w:color w:val="auto"/>
        </w:rPr>
      </w:pPr>
      <w:r>
        <w:rPr>
          <w:rFonts w:ascii="Arial" w:cs="Arial" w:eastAsia="Arial" w:hAnsi="Arial"/>
          <w:sz w:val="16"/>
          <w:szCs w:val="16"/>
          <w:color w:val="auto"/>
        </w:rPr>
        <w:t xml:space="preserve">but for the provisions of this Section, constitute a legal or equitable discharge of, or provide a right of setoff against, the Company’s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sz w:val="20"/>
          <w:szCs w:val="20"/>
          <w:color w:val="auto"/>
        </w:rPr>
      </w:pPr>
    </w:p>
    <w:p>
      <w:pPr>
        <w:ind w:right="80" w:firstLine="645"/>
        <w:spacing w:after="0" w:line="257" w:lineRule="auto"/>
        <w:tabs>
          <w:tab w:leader="none" w:pos="131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Company of its obligation to reimburse such Issuing Bank and the Lenders with respect to any such LC Disbursement.</w:t>
      </w:r>
    </w:p>
    <w:p>
      <w:pPr>
        <w:spacing w:after="0" w:line="188" w:lineRule="exact"/>
        <w:rPr>
          <w:rFonts w:ascii="Arial" w:cs="Arial" w:eastAsia="Arial" w:hAnsi="Arial"/>
          <w:sz w:val="18"/>
          <w:szCs w:val="18"/>
          <w:color w:val="auto"/>
        </w:rPr>
      </w:pPr>
    </w:p>
    <w:p>
      <w:pPr>
        <w:ind w:firstLine="645"/>
        <w:spacing w:after="0" w:line="289" w:lineRule="auto"/>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the Company shall reimburse such LC Disbursement in full within one Business Day of the date on which such LC Disbursement is made,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Foreign Currency Rate for such Agreed Currency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then effective Applicable Rate with respect to Eurocurrency Revolving Loans) and such interest shall be due and payable on the date when such reimbursement is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fails to reimburse such LC Disbursement when due pursuant to paragraph (e) of this Section, then Section 2.13(c)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spacing w:after="0" w:line="166" w:lineRule="exact"/>
        <w:rPr>
          <w:rFonts w:ascii="Arial" w:cs="Arial" w:eastAsia="Arial" w:hAnsi="Arial"/>
          <w:sz w:val="16"/>
          <w:szCs w:val="16"/>
          <w:color w:val="auto"/>
        </w:rPr>
      </w:pPr>
    </w:p>
    <w:p>
      <w:pPr>
        <w:ind w:right="80" w:firstLine="645"/>
        <w:spacing w:after="0" w:line="342" w:lineRule="auto"/>
        <w:tabs>
          <w:tab w:leader="none" w:pos="131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Replacement of Issuing Bank</w:t>
      </w:r>
      <w:r>
        <w:rPr>
          <w:rFonts w:ascii="Arial" w:cs="Arial" w:eastAsia="Arial" w:hAnsi="Arial"/>
          <w:sz w:val="16"/>
          <w:szCs w:val="16"/>
          <w:color w:val="auto"/>
        </w:rPr>
        <w:t>. (A) Any Issuing Bank may be replaced at any time by written agreement among the Company, the Administrative Agent, the replaced Issuing Bank and the successor Issuing Bank. The Administrative Agent shall notify the Lenders of any such</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51" w:name="page52"/>
    <w:bookmarkEnd w:id="51"/>
    <w:p>
      <w:pPr>
        <w:ind w:right="40"/>
        <w:spacing w:after="0" w:line="291" w:lineRule="auto"/>
        <w:rPr>
          <w:sz w:val="20"/>
          <w:szCs w:val="20"/>
          <w:color w:val="auto"/>
        </w:rPr>
      </w:pPr>
      <w:r>
        <w:rPr>
          <w:rFonts w:ascii="Arial" w:cs="Arial" w:eastAsia="Arial" w:hAnsi="Arial"/>
          <w:sz w:val="16"/>
          <w:szCs w:val="16"/>
          <w:color w:val="auto"/>
        </w:rPr>
        <w:t>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67" w:lineRule="exact"/>
        <w:rPr>
          <w:sz w:val="20"/>
          <w:szCs w:val="20"/>
          <w:color w:val="auto"/>
        </w:rPr>
      </w:pPr>
    </w:p>
    <w:p>
      <w:pPr>
        <w:ind w:left="640" w:firstLine="653"/>
        <w:spacing w:after="0" w:line="264" w:lineRule="auto"/>
        <w:tabs>
          <w:tab w:leader="none" w:pos="15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(30) days’ prior written notice to the Administrative Agent, the Company and the Lenders, in which case, such Issuing Bank shall be replaced in accordance with Section 2.06(i)(A) above.</w:t>
      </w:r>
    </w:p>
    <w:p>
      <w:pPr>
        <w:spacing w:after="0" w:line="181" w:lineRule="exact"/>
        <w:rPr>
          <w:rFonts w:ascii="Arial" w:cs="Arial" w:eastAsia="Arial" w:hAnsi="Arial"/>
          <w:sz w:val="18"/>
          <w:szCs w:val="18"/>
          <w:color w:val="auto"/>
        </w:rPr>
      </w:pPr>
    </w:p>
    <w:p>
      <w:pPr>
        <w:ind w:right="20" w:firstLine="645"/>
        <w:spacing w:after="0" w:line="282" w:lineRule="auto"/>
        <w:tabs>
          <w:tab w:leader="none" w:pos="130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an amount in cash equal to 105% of the Dollar Amount of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Article VII.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of the Company with the consent of the Administrative Agent in its reasonable discretion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 If the Company is required to provide an amount of cash collateral hereunder pursuant to</w:t>
      </w:r>
    </w:p>
    <w:p>
      <w:pPr>
        <w:spacing w:after="0" w:line="1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2.11(b), such amount (to the extent not applied as</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52" w:name="page53"/>
    <w:bookmarkEnd w:id="52"/>
    <w:p>
      <w:pPr>
        <w:ind w:left="660" w:right="300"/>
        <w:spacing w:after="0" w:line="277" w:lineRule="auto"/>
        <w:rPr>
          <w:sz w:val="20"/>
          <w:szCs w:val="20"/>
          <w:color w:val="auto"/>
        </w:rPr>
      </w:pPr>
      <w:r>
        <w:rPr>
          <w:rFonts w:ascii="Arial" w:cs="Arial" w:eastAsia="Arial" w:hAnsi="Arial"/>
          <w:sz w:val="18"/>
          <w:szCs w:val="18"/>
          <w:color w:val="auto"/>
        </w:rPr>
        <w:t>aforesaid) shall be returned to the Company as and to the extent that, after giving effect to such return, the aggregate Revolving Credit Exposures would not exceed the Aggregate Commitment and no Event of Default shall have occurred and be continuing.</w:t>
      </w:r>
    </w:p>
    <w:p>
      <w:pPr>
        <w:spacing w:after="0" w:line="170" w:lineRule="exact"/>
        <w:rPr>
          <w:sz w:val="20"/>
          <w:szCs w:val="20"/>
          <w:color w:val="auto"/>
        </w:rPr>
      </w:pPr>
    </w:p>
    <w:p>
      <w:pPr>
        <w:ind w:left="660" w:firstLine="645"/>
        <w:spacing w:after="0" w:line="269" w:lineRule="auto"/>
        <w:tabs>
          <w:tab w:leader="none" w:pos="196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Issuing Bank Agreements</w:t>
      </w:r>
      <w:r>
        <w:rPr>
          <w:rFonts w:ascii="Arial" w:cs="Arial" w:eastAsia="Arial" w:hAnsi="Arial"/>
          <w:sz w:val="17"/>
          <w:szCs w:val="17"/>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and currency of the Letters of Credit to be issued, amended, renewed or extended by it and outstanding after giving effect to such issuance, amendment, renewal or extension occurred (and whether the amount thereof changed), (iii) on each Business Day on which such Issuing Bank pays any amount in respect of one or more drawings under Letters of Credit, the date of such payment(s) and the amount and currency of such payment(s), (iv) on any Business Day on which the Company fails to reimburse any amount required to be reimbursed to such Issuing Bank on such day, the date of such failure and the amount and currency of such payment in respect of Letters of Credit and (v) on any other Business Day, such other information as the Administrative Agent shall reasonably request.</w:t>
      </w:r>
    </w:p>
    <w:p>
      <w:pPr>
        <w:spacing w:after="0" w:line="182" w:lineRule="exact"/>
        <w:rPr>
          <w:rFonts w:ascii="Arial" w:cs="Arial" w:eastAsia="Arial" w:hAnsi="Arial"/>
          <w:sz w:val="17"/>
          <w:szCs w:val="17"/>
          <w:color w:val="auto"/>
        </w:rPr>
      </w:pPr>
    </w:p>
    <w:p>
      <w:pPr>
        <w:ind w:left="660" w:right="60" w:firstLine="645"/>
        <w:spacing w:after="0" w:line="253" w:lineRule="auto"/>
        <w:tabs>
          <w:tab w:leader="none" w:pos="197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any Issuing Bank (whether arising by contract, at law, in equity or otherwise) against such Subsidiary in respect of such Letter of Credit, the Company (i) shall reimburse, indemnify and compensate the relevant Issuing Bank hereunder for such Letter of Credit (including to reimburse any and all drawings thereunder) in accordance with the terms of this Agreement as if such Letter of Credit had been issued solely for the account of the Company and (ii) irrevocably waives any and all defenses to the extent permitted by applicable law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195" w:lineRule="exact"/>
        <w:rPr>
          <w:sz w:val="20"/>
          <w:szCs w:val="20"/>
          <w:color w:val="auto"/>
        </w:rPr>
      </w:pPr>
    </w:p>
    <w:p>
      <w:pPr>
        <w:ind w:right="140" w:firstLine="1297"/>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solely by wire transfer of immediately available funds (i) in the case of Loans denominated in Dollars (other than a Designated Loan), by 12:00 noon, New York City time, to the account of the Administrative Agent most recently designated by it for such purpose by notice to the Lenders and (ii) in the case of each Loan denominated in a Foreign Currency and Designated Loans, by 12:00 noon, Local Time, in the city of the Administrative Agent’s Eurocurrency Payment Office for such currency and at such Eurocurrency Payment Office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Except in respect of the provisions of this Agreement covering the reimbursement of Letters of Credit, the Administrative Agent will make such Loans available to the relevant Borrower by promptly crediting the funds so received in the aforesaid account of the Administrative Agent to (x) an account of such Borrower designated by such Borrower in the applicable Borrowing Request, in the case of Loans denominated in Dollars, (y) an account of such Borrower in the relevant jurisdiction and designated by such Borrower in the applicable Borrowing Request, in the case of Loans denominated in a Foreign Currency or (z) such other account designated by such Borrower in the applicable Borrowing Request and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Revolving Loans made to finance the reimbursement of an LC Disbursement as provided in Section 2.06(e) shall be remitted by the Administrative Agent to the relevant Issuing Bank.</w:t>
      </w:r>
    </w:p>
    <w:p>
      <w:pPr>
        <w:spacing w:after="0" w:line="170" w:lineRule="exact"/>
        <w:rPr>
          <w:sz w:val="20"/>
          <w:szCs w:val="20"/>
          <w:color w:val="auto"/>
        </w:rPr>
      </w:pPr>
    </w:p>
    <w:p>
      <w:pPr>
        <w:ind w:left="660" w:right="20" w:firstLine="645"/>
        <w:spacing w:after="0" w:line="287" w:lineRule="auto"/>
        <w:tabs>
          <w:tab w:leader="none" w:pos="1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NYFRB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ABR Loans. If such Lender pays such amount to the Administrative Agent, then such amount shall constitute such Lender’s Loan included in such Borrowing.</w:t>
      </w:r>
    </w:p>
    <w:p>
      <w:pPr>
        <w:spacing w:after="0" w:line="173"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specified in the applicable Borrowing Request and, in the case of a Eurocurrency Borrowing, shall have an initial Interest Period as specified in such Borrowing Request. Thereafter, the relevant Borrower may elect to convert such Borrowing to a different Type or to continue such Borrowing and, in the case of a Eurocurrency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65" w:lineRule="exact"/>
        <w:rPr>
          <w:sz w:val="20"/>
          <w:szCs w:val="20"/>
          <w:color w:val="auto"/>
        </w:rPr>
      </w:pPr>
    </w:p>
    <w:p>
      <w:pPr>
        <w:ind w:left="660" w:right="20" w:firstLine="645"/>
        <w:spacing w:after="0" w:line="284" w:lineRule="auto"/>
        <w:tabs>
          <w:tab w:leader="none" w:pos="1964"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make an election pursuant to this Section, the applicable Borrower shall notify the Administrative Agent of such election (by telephone or irrevocable written notice from such Borrower in the case of a Borrowing denominated in Dollars (other than Designated Loans) or by irrevocable written notice (via an Interest Election Request signed by such Borrower) in the case of a Borrowing denominated in a Foreign Currency or a Designated Loan) by the time that a Borrowing Request would be required under Section 2.03 if such Borrower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relevant Borrower. Notwithstanding any contrary provision herein, this Section shall not be construed to permit any Borrower to</w:t>
      </w:r>
    </w:p>
    <w:p>
      <w:pPr>
        <w:spacing w:after="0" w:line="2" w:lineRule="exact"/>
        <w:rPr>
          <w:rFonts w:ascii="Arial" w:cs="Arial" w:eastAsia="Arial" w:hAnsi="Arial"/>
          <w:sz w:val="16"/>
          <w:szCs w:val="16"/>
          <w:color w:val="auto"/>
        </w:rPr>
      </w:pPr>
    </w:p>
    <w:p>
      <w:pPr>
        <w:ind w:left="880" w:hanging="224"/>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 the currency of any Borrowing, (ii) elect an Interest Period for Eurocurrency Loans that does not comply with Section 2.02(d) or</w:t>
      </w:r>
    </w:p>
    <w:p>
      <w:pPr>
        <w:spacing w:after="0" w:line="2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convert any Borrowing to a Borrowing of a Type not available under such Borrowing.</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237" w:lineRule="exact"/>
        <w:rPr>
          <w:sz w:val="20"/>
          <w:szCs w:val="20"/>
          <w:color w:val="auto"/>
        </w:rPr>
      </w:pPr>
    </w:p>
    <w:p>
      <w:pPr>
        <w:ind w:left="1300" w:right="140" w:firstLine="653"/>
        <w:spacing w:after="0" w:line="277" w:lineRule="auto"/>
        <w:tabs>
          <w:tab w:leader="none" w:pos="26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the applicable Borrower and the Borrowing to which such Interest Election Request applies and, if different options are being elected with respect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1300" w:right="300"/>
        <w:spacing w:after="0" w:line="277" w:lineRule="auto"/>
        <w:rPr>
          <w:sz w:val="20"/>
          <w:szCs w:val="20"/>
          <w:color w:val="auto"/>
        </w:rPr>
      </w:pPr>
      <w:r>
        <w:rPr>
          <w:rFonts w:ascii="Arial" w:cs="Arial" w:eastAsia="Arial" w:hAnsi="Arial"/>
          <w:sz w:val="18"/>
          <w:szCs w:val="18"/>
          <w:color w:val="auto"/>
        </w:rPr>
        <w:t>different portions thereof, the portions thereof to be allocated to each resulting Borrowing (in which case the information to be specified pursuant to clauses (iii) and (iv) below shall be specified for each resulting Borrowing);</w:t>
      </w:r>
    </w:p>
    <w:p>
      <w:pPr>
        <w:spacing w:after="0" w:line="170" w:lineRule="exact"/>
        <w:rPr>
          <w:sz w:val="20"/>
          <w:szCs w:val="20"/>
          <w:color w:val="auto"/>
        </w:rPr>
      </w:pPr>
    </w:p>
    <w:p>
      <w:pPr>
        <w:ind w:left="2640" w:hanging="687"/>
        <w:spacing w:after="0"/>
        <w:tabs>
          <w:tab w:leader="none" w:pos="2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225" w:lineRule="exact"/>
        <w:rPr>
          <w:rFonts w:ascii="Arial" w:cs="Arial" w:eastAsia="Arial" w:hAnsi="Arial"/>
          <w:sz w:val="18"/>
          <w:szCs w:val="18"/>
          <w:color w:val="auto"/>
        </w:rPr>
      </w:pPr>
    </w:p>
    <w:p>
      <w:pPr>
        <w:ind w:left="1300" w:right="40" w:firstLine="653"/>
        <w:spacing w:after="0" w:line="342" w:lineRule="auto"/>
        <w:tabs>
          <w:tab w:leader="none" w:pos="26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resulting Borrowing is a Eurocurrency Borrowing, the Interest Period and Agreed Currency to be applicable thereto after giving effect to such election, which Interest Period shall be a period contemplated by the definition of the term “Interest Period”.</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left="660" w:right="520" w:firstLine="645"/>
        <w:spacing w:after="0" w:line="277" w:lineRule="auto"/>
        <w:tabs>
          <w:tab w:leader="none" w:pos="1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left="660" w:firstLine="645"/>
        <w:spacing w:after="0" w:line="262" w:lineRule="auto"/>
        <w:tabs>
          <w:tab w:leader="none" w:pos="19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relevant Borrower fails to deliver a timely Interest Election Request with respect to a Eurocurrency Borrowing prior to the end of the Interest Period applicable thereto, then, unless such Borrowing is repaid as provided herein, at the end of such Interest Period (i) in the case of a Borrowing denominated in Dollars (other than Designated Loans), such Borrowing shall be converted to an ABR Borrowing and (ii) in the case of a Borrowing denominated in a Foreign Currency or a Designated Loan in respect of which the applicable Borrower shall have failed to deliver an Interest Election Request prior to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preceding the end of such Interest Period, such Borrowing shall automatically continue as a Eurocurrency Borrowing in the same Agreed Currency with an Interest Period of one month unless such Eurocurrency Borrowing is or was repaid in accordance with Section 2.11.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(other than Designated Loans) may be converted to or continued as a Eurocurrency Borrowing, (ii) unless repaid, each Eurocurrency Borrowing denominated in Dollars (other than Designated Loans) shall be converted to an ABR Borrowing at the end of the Interest Period applicable thereto, but without duplication for interest payments made by any Borrower on such amount and (iii) unless repaid, each Eurocurrency Borrowing denominated in a Foreign Currency and each Designated Loan shall automatically be continued as a Eurocurrency Borrowing with an Interest Period of one month.</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11" w:lineRule="exact"/>
        <w:rPr>
          <w:sz w:val="20"/>
          <w:szCs w:val="20"/>
          <w:color w:val="auto"/>
        </w:rPr>
      </w:pPr>
    </w:p>
    <w:p>
      <w:pPr>
        <w:ind w:left="660" w:firstLine="645"/>
        <w:spacing w:after="0" w:line="264" w:lineRule="auto"/>
        <w:tabs>
          <w:tab w:leader="none" w:pos="1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Company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$10,000,000 and (ii) the Company shall not terminate or reduce the Commitments if, after giving effect to any concurrent prepayment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left="660"/>
        <w:spacing w:after="0"/>
        <w:rPr>
          <w:sz w:val="20"/>
          <w:szCs w:val="20"/>
          <w:color w:val="auto"/>
        </w:rPr>
      </w:pPr>
      <w:r>
        <w:rPr>
          <w:rFonts w:ascii="Arial" w:cs="Arial" w:eastAsia="Arial" w:hAnsi="Arial"/>
          <w:sz w:val="17"/>
          <w:szCs w:val="17"/>
          <w:color w:val="auto"/>
        </w:rPr>
        <w:t>Loans in accordance with Section 2.11, the Dollar Amount of the Total Revolving Credit Exposure would exceed the Aggregate Commitment.</w:t>
      </w:r>
    </w:p>
    <w:p>
      <w:pPr>
        <w:spacing w:after="0" w:line="237" w:lineRule="exact"/>
        <w:rPr>
          <w:sz w:val="20"/>
          <w:szCs w:val="20"/>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notify the Administrative Agent of any election to terminate or reduce the Commitments under</w:t>
      </w:r>
    </w:p>
    <w:p>
      <w:pPr>
        <w:spacing w:after="0" w:line="23"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 xml:space="preserve">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Company may state that such notice is conditioned upon the effectiveness of other credit facilities or one or more other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1" w:lineRule="exact"/>
        <w:rPr>
          <w:sz w:val="20"/>
          <w:szCs w:val="20"/>
          <w:color w:val="auto"/>
        </w:rPr>
      </w:pPr>
    </w:p>
    <w:p>
      <w:pPr>
        <w:ind w:firstLine="1297"/>
        <w:spacing w:after="0" w:line="280"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 Each Borrower (severally and not jointly) hereby unconditionally promises to pay (i) to the Administrative Agent for the account of each Lender the then unpaid principal amount of each Revolving Loan made to such Borrower on the Maturity Date in the currency of such Loan and (ii) in the case of each Swingline Borrower, to the Swingline Lender the then unpaid principal amount of each Swingline Loan made to such Swingline Borrower on the earlier of the Maturity Date and the first date after such Swingline Loan is made to such Swingline Borrower that is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or last day of a calendar month and is at least two (2) Business Days after such Swingline Loan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date that a Revolving Borrowing is made, each Swingline Borrower shall repay all Swingline Loans made to such Swingline Borrower then outstanding and the proceeds of any such Borrowing shall be applied by the Administrative Agent to repay any Swingline Loans outstanding.</w:t>
      </w:r>
    </w:p>
    <w:p>
      <w:pPr>
        <w:spacing w:after="0" w:line="172" w:lineRule="exact"/>
        <w:rPr>
          <w:sz w:val="20"/>
          <w:szCs w:val="20"/>
          <w:color w:val="auto"/>
        </w:rPr>
      </w:pPr>
    </w:p>
    <w:p>
      <w:pPr>
        <w:ind w:left="660" w:right="220" w:firstLine="645"/>
        <w:spacing w:after="0" w:line="264" w:lineRule="auto"/>
        <w:tabs>
          <w:tab w:leader="none" w:pos="1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left="660" w:right="80" w:firstLine="645"/>
        <w:spacing w:after="0" w:line="259" w:lineRule="auto"/>
        <w:tabs>
          <w:tab w:leader="none" w:pos="19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left="660" w:right="240" w:firstLine="645"/>
        <w:spacing w:after="0" w:line="264" w:lineRule="auto"/>
        <w:tabs>
          <w:tab w:leader="none" w:pos="1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w:t>
      </w:r>
    </w:p>
    <w:p>
      <w:pPr>
        <w:spacing w:after="0" w:line="181" w:lineRule="exact"/>
        <w:rPr>
          <w:rFonts w:ascii="Arial" w:cs="Arial" w:eastAsia="Arial" w:hAnsi="Arial"/>
          <w:sz w:val="18"/>
          <w:szCs w:val="18"/>
          <w:color w:val="auto"/>
        </w:rPr>
      </w:pPr>
    </w:p>
    <w:p>
      <w:pPr>
        <w:ind w:left="660" w:right="240" w:firstLine="645"/>
        <w:spacing w:after="0" w:line="257" w:lineRule="auto"/>
        <w:tabs>
          <w:tab w:leader="none" w:pos="19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to any Borrower be evidenced by a promissory note. In such event, the relevant Borrower shall prepare, execute and deliver to such Lender a promissory note payable to such Lender and its registered assigns and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Thereafter, the Loans evidenced by such promissory note and interest thereon shall at all times (including after assignment pursuant to Section 9.04) be represented by one or more promissory notes in such form payable to the payee named therein and its registered assigns.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1300"/>
        <w:spacing w:after="0"/>
        <w:tabs>
          <w:tab w:leader="none" w:pos="26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82" w:lineRule="auto"/>
        <w:tabs>
          <w:tab w:leader="none" w:pos="1954"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Any Borrower shall have the right at any time and from time to time to prepay any Borrowing in whole or in part, without premium or penalty (but subject to break funding payments required by Section 2.16) subject to prior notice in accordance with the provisions of this Section 2.11(a). The applicable Borrower shall notify the Administrative Agent (and, in the case of prepayment of a Swingline Loan, the Swingline Lender) of any prepayment hereunder (i) in the case of prepayment of a Eurocurrency Revolving Borrowing denominated in Dollars (other than Designated Loans), by telephonic notice (promptly followed by written confirmation from such Borrower of such request) not later than 11:00 a.m., Local Time, three (3) Business Days before the date of prepayment, (ii) in the case of prepayment of a Eurocurrency Revolving Borrowing denominated in any Foreign Currency and Designated Loans, by written notice from such Borrower (promptly followed by telephonic confirmation of such request) not later than 11:00 a.m., Local Time, four (4) Business Days before the date of prepayment, (iii) in the case of prepayment of an ABR Revolving Borrowing, by telephonic notice (promptly followed by written confirmation from such Borrower of such request) not later than 11:00 a.m., New York City time, on the date of prepayment or (iv) in the case of prepayment of a Swingline Loan, by telephonic notice (promptly followed by written confirmation from such Borrower of such request) not later than 12:00 noon, New York City time, on the date of prepayment. Each such notice from any Borrower shall be irrevocable and shall specify the prepayment date and the principal amount of each Borrowing or portion thereof to be prepaid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prepayment delivered by any Borrower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w:t>
      </w:r>
    </w:p>
    <w:p>
      <w:pPr>
        <w:spacing w:after="0" w:line="12" w:lineRule="exact"/>
        <w:rPr>
          <w:rFonts w:ascii="Arial" w:cs="Arial" w:eastAsia="Arial" w:hAnsi="Arial"/>
          <w:sz w:val="16"/>
          <w:szCs w:val="16"/>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break funding payments to the extent required by Section 2.16.</w:t>
      </w:r>
    </w:p>
    <w:p>
      <w:pPr>
        <w:spacing w:after="0" w:line="210" w:lineRule="exact"/>
        <w:rPr>
          <w:rFonts w:ascii="Arial" w:cs="Arial" w:eastAsia="Arial" w:hAnsi="Arial"/>
          <w:sz w:val="18"/>
          <w:szCs w:val="18"/>
          <w:color w:val="auto"/>
        </w:rPr>
      </w:pPr>
    </w:p>
    <w:p>
      <w:pPr>
        <w:ind w:left="660" w:right="40" w:firstLine="645"/>
        <w:spacing w:after="0" w:line="289" w:lineRule="auto"/>
        <w:tabs>
          <w:tab w:leader="none" w:pos="1964"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at any time, (i) other than as a result of fluctuations in currency exchange rates, the aggregate principal Dollar Amount of the Total Revolving Credit Exposure (calculated, with respect to those Credit Events denominated in Foreign Currencies, as of the most recent Computation Date with respect to each such Credit Event) exceeds the Aggregate Commitment or (ii) solely as a result of fluctuations in currency exchange rates, the aggregate principal Dollar Amount of the Total Revolving Credit Exposure (so calculated) exceeds 105% of the Aggregate Commitment, the Company or the relevant Subsidiary Borrower shall in each case, within two (2) Business Days after receiving notice from the Administrative Agent in respect thereof, repay Borrowings (with respect to any payment made by or required from any Subsidiary Borrower, as directed by such Subsidiary Borrower to repay Borrowings of such Subsidiary Borrower) or cash collateralize LC Exposure in an account with the Administrative Agent pursuant to Section 2.06(j), as applicable, in an aggregate principal amount sufficient to cause the aggregate Dollar Amount of the Total Revolving Credit Exposure (so calculated) to be less than or equal to the Aggregate Commitment.</w:t>
      </w:r>
    </w:p>
    <w:p>
      <w:pPr>
        <w:spacing w:after="0" w:line="167"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(a) The Company agrees to pay to the Administrative Agent for the account of each Lender a commitment fee, which shall accrue at the applicable Commitment Fee Rate (as specified in the definition of Applicable Rate) on the daily average amount of the Available Revolving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ind w:right="100"/>
        <w:spacing w:after="0" w:line="242" w:lineRule="auto"/>
        <w:rPr>
          <w:sz w:val="20"/>
          <w:szCs w:val="20"/>
          <w:color w:val="auto"/>
        </w:rPr>
      </w:pPr>
      <w:r>
        <w:rPr>
          <w:rFonts w:ascii="Arial" w:cs="Arial" w:eastAsia="Arial" w:hAnsi="Arial"/>
          <w:sz w:val="18"/>
          <w:szCs w:val="18"/>
          <w:color w:val="auto"/>
        </w:rPr>
        <w:t>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such last day and on the date on which the Commitments terminate,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202" w:lineRule="exact"/>
        <w:rPr>
          <w:sz w:val="20"/>
          <w:szCs w:val="20"/>
          <w:color w:val="auto"/>
        </w:rPr>
      </w:pPr>
    </w:p>
    <w:p>
      <w:pPr>
        <w:ind w:left="660" w:firstLine="645"/>
        <w:spacing w:after="0" w:line="281" w:lineRule="auto"/>
        <w:tabs>
          <w:tab w:leader="none" w:pos="19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Revolving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or prior to the fifteenth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73" w:lineRule="exact"/>
        <w:rPr>
          <w:rFonts w:ascii="Arial" w:cs="Arial" w:eastAsia="Arial" w:hAnsi="Arial"/>
          <w:sz w:val="16"/>
          <w:szCs w:val="16"/>
          <w:color w:val="auto"/>
        </w:rPr>
      </w:pPr>
    </w:p>
    <w:p>
      <w:pPr>
        <w:ind w:left="660" w:right="600" w:firstLine="645"/>
        <w:spacing w:after="0" w:line="277" w:lineRule="auto"/>
        <w:tabs>
          <w:tab w:leader="none" w:pos="19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 from time to time.</w:t>
      </w:r>
    </w:p>
    <w:p>
      <w:pPr>
        <w:spacing w:after="0" w:line="170" w:lineRule="exact"/>
        <w:rPr>
          <w:rFonts w:ascii="Arial" w:cs="Arial" w:eastAsia="Arial" w:hAnsi="Arial"/>
          <w:sz w:val="18"/>
          <w:szCs w:val="18"/>
          <w:color w:val="auto"/>
        </w:rPr>
      </w:pPr>
    </w:p>
    <w:p>
      <w:pPr>
        <w:jc w:val="both"/>
        <w:ind w:left="660" w:right="100" w:firstLine="645"/>
        <w:spacing w:after="0" w:line="312" w:lineRule="auto"/>
        <w:tabs>
          <w:tab w:leader="none" w:pos="19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14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(including each Swingline Loan) shall bear interest at the Alternate Base Rate plus the Applicable Rate.</w:t>
      </w:r>
    </w:p>
    <w:p>
      <w:pPr>
        <w:spacing w:after="0" w:line="170" w:lineRule="exact"/>
        <w:rPr>
          <w:sz w:val="20"/>
          <w:szCs w:val="20"/>
          <w:color w:val="auto"/>
        </w:rPr>
      </w:pPr>
    </w:p>
    <w:p>
      <w:pPr>
        <w:ind w:left="660" w:right="40" w:firstLine="645"/>
        <w:spacing w:after="0" w:line="277" w:lineRule="auto"/>
        <w:tabs>
          <w:tab w:leader="none" w:pos="1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left="4" w:right="40" w:firstLine="645"/>
        <w:spacing w:after="0" w:line="257" w:lineRule="auto"/>
        <w:tabs>
          <w:tab w:leader="none" w:pos="13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8" w:lineRule="exact"/>
        <w:rPr>
          <w:rFonts w:ascii="Arial" w:cs="Arial" w:eastAsia="Arial" w:hAnsi="Arial"/>
          <w:sz w:val="18"/>
          <w:szCs w:val="18"/>
          <w:color w:val="auto"/>
        </w:rPr>
      </w:pPr>
    </w:p>
    <w:p>
      <w:pPr>
        <w:jc w:val="both"/>
        <w:ind w:left="4" w:firstLine="645"/>
        <w:spacing w:after="0" w:line="291" w:lineRule="auto"/>
        <w:tabs>
          <w:tab w:leader="none" w:pos="13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by the applicable Borrower(s) on demand,</w:t>
      </w:r>
    </w:p>
    <w:p>
      <w:pPr>
        <w:ind w:left="4" w:right="280" w:hanging="4"/>
        <w:spacing w:after="0" w:line="281" w:lineRule="auto"/>
        <w:tabs>
          <w:tab w:leader="none" w:pos="2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of any repayment or prepayment of any Loan (other than a prepayment of an ABR Revolving Loan prior to the end of the Availability Period), accrued interest on the principal amount repaid or prepaid shall be payable on the date of such repayment or prepayment and</w:t>
      </w:r>
    </w:p>
    <w:p>
      <w:pPr>
        <w:spacing w:after="0" w:line="1" w:lineRule="exact"/>
        <w:rPr>
          <w:rFonts w:ascii="Arial" w:cs="Arial" w:eastAsia="Arial" w:hAnsi="Arial"/>
          <w:sz w:val="16"/>
          <w:szCs w:val="16"/>
          <w:color w:val="auto"/>
        </w:rPr>
      </w:pPr>
    </w:p>
    <w:p>
      <w:pPr>
        <w:ind w:left="4" w:right="220" w:hanging="4"/>
        <w:spacing w:after="0" w:line="261"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of any conversion of any Eurocurrency Loan prior to the end of the current Interest Period therefor, accrued interest on such Loan shall be payable on the effective date of such conversion.</w:t>
      </w:r>
    </w:p>
    <w:p>
      <w:pPr>
        <w:spacing w:after="0" w:line="183" w:lineRule="exact"/>
        <w:rPr>
          <w:rFonts w:ascii="Arial" w:cs="Arial" w:eastAsia="Arial" w:hAnsi="Arial"/>
          <w:sz w:val="18"/>
          <w:szCs w:val="18"/>
          <w:color w:val="auto"/>
        </w:rPr>
      </w:pPr>
    </w:p>
    <w:p>
      <w:pPr>
        <w:ind w:left="4" w:right="260" w:firstLine="645"/>
        <w:spacing w:after="0" w:line="291" w:lineRule="auto"/>
        <w:tabs>
          <w:tab w:leader="none" w:pos="131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(i) computed by reference to the Alternate Base Rate at times when the Alternate Base Rate is based on the Prime Rate shall be computed on the basis of a year of 365 days (or</w:t>
      </w:r>
    </w:p>
    <w:p>
      <w:pPr>
        <w:ind w:left="4" w:right="140"/>
        <w:spacing w:after="0" w:line="254" w:lineRule="auto"/>
        <w:rPr>
          <w:rFonts w:ascii="Arial" w:cs="Arial" w:eastAsia="Arial" w:hAnsi="Arial"/>
          <w:sz w:val="16"/>
          <w:szCs w:val="16"/>
          <w:color w:val="auto"/>
        </w:rPr>
      </w:pPr>
      <w:r>
        <w:rPr>
          <w:rFonts w:ascii="Arial" w:cs="Arial" w:eastAsia="Arial" w:hAnsi="Arial"/>
          <w:sz w:val="18"/>
          <w:szCs w:val="18"/>
          <w:color w:val="auto"/>
        </w:rPr>
        <w:t>366 days in a leap year) and (ii) for Borrowings denominated in Pounds Sterling shall be computed on the basis of a year of 365 days,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89" w:lineRule="exact"/>
        <w:rPr>
          <w:rFonts w:ascii="Arial" w:cs="Arial" w:eastAsia="Arial" w:hAnsi="Arial"/>
          <w:sz w:val="16"/>
          <w:szCs w:val="16"/>
          <w:color w:val="auto"/>
        </w:rPr>
      </w:pPr>
    </w:p>
    <w:p>
      <w:pPr>
        <w:ind w:left="4" w:right="420" w:firstLine="645"/>
        <w:spacing w:after="0" w:line="277" w:lineRule="auto"/>
        <w:tabs>
          <w:tab w:leader="none" w:pos="13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Interest in respect of Loans denominated in Dollars shall be paid in Dollars, and interest in respect of Loans denominated in a Foreign Currency shall be paid in such Foreign Currency.</w:t>
      </w:r>
    </w:p>
    <w:p>
      <w:pPr>
        <w:spacing w:after="0" w:line="170" w:lineRule="exact"/>
        <w:rPr>
          <w:sz w:val="20"/>
          <w:szCs w:val="20"/>
          <w:color w:val="auto"/>
        </w:rPr>
      </w:pPr>
    </w:p>
    <w:p>
      <w:pPr>
        <w:ind w:left="644"/>
        <w:spacing w:after="0"/>
        <w:tabs>
          <w:tab w:leader="none" w:pos="1943"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25" w:lineRule="exact"/>
        <w:rPr>
          <w:sz w:val="20"/>
          <w:szCs w:val="20"/>
          <w:color w:val="auto"/>
        </w:rPr>
      </w:pPr>
    </w:p>
    <w:p>
      <w:pPr>
        <w:ind w:left="4" w:firstLine="645"/>
        <w:spacing w:after="0" w:line="286" w:lineRule="auto"/>
        <w:tabs>
          <w:tab w:leader="none" w:pos="129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at the time that the Administrative Agent shall seek to determine the LIBOR Screen Rate on the Quotation Day for any Interest Period for a Eurocurrency Borrowing the LIBOR Screen Rate shall not be available for such Interest Period and/or for the applicable currency with respect to such Eurocurrency Borrowing for any reason, and the Administrative Agent shall reasonably determine that it is not possible to determine the Interpolated Rate (which conclusion shall be conclusive and binding absent manifest error), then the Reference Bank Rate shall be the LIBO Rate for such Interest Period for such Eurocurrency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Reference Bank Rate shall be less than zero, such rate shall be deemed to be zero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however, that if less than two Reference Banks shall supply a rate to the Administrative Agent for purposes of determining the LIBO Rate for such Eurocurrency Borrowing, (i) if such Borrowing shall be requested in Dollars (other than Designated Loans), then such Borrowing shall be made as an ABR Borrowing at the Alternate Base Rate and (ii) if such Borrowing shall be requested in any Foreign Currency or if such Borrowing is a Designated Loan, the LIBO Rate shall be equal to the rate determined by the Administrative Agent in its reasonable discretion and consented to in writing by the Company and the Required Lenders (the “</w:t>
      </w:r>
      <w:r>
        <w:rPr>
          <w:rFonts w:ascii="Arial" w:cs="Arial" w:eastAsia="Arial" w:hAnsi="Arial"/>
          <w:sz w:val="16"/>
          <w:szCs w:val="16"/>
          <w:u w:val="single" w:color="auto"/>
          <w:color w:val="auto"/>
        </w:rPr>
        <w:t>Alternative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such time as the Alternative Rate shall be determined and so consented to by the Company and the Required Lenders, Borrowings shall not be available in such Foreign Currency. It is hereby understood and agreed that, notwithstanding anything to the foregoing set forth in this Section 2.14(a), if at any time the conditions set forth in Section 2.14(c)(i)</w:t>
      </w:r>
    </w:p>
    <w:p>
      <w:pPr>
        <w:spacing w:after="0" w:line="17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59" w:name="page60"/>
    <w:bookmarkEnd w:id="59"/>
    <w:p>
      <w:pPr>
        <w:ind w:left="660" w:right="100"/>
        <w:spacing w:after="0" w:line="264" w:lineRule="auto"/>
        <w:rPr>
          <w:sz w:val="20"/>
          <w:szCs w:val="20"/>
          <w:color w:val="auto"/>
        </w:rPr>
      </w:pPr>
      <w:r>
        <w:rPr>
          <w:rFonts w:ascii="Arial" w:cs="Arial" w:eastAsia="Arial" w:hAnsi="Arial"/>
          <w:sz w:val="18"/>
          <w:szCs w:val="18"/>
          <w:color w:val="auto"/>
        </w:rPr>
        <w:t>or (ii) are in effect, the provisions of this Section 2.14(a) shall no longer be applicable for any purpose of determining any alternative rate of interest under this Agreement and Section 2.14(c) shall instead be applicable for all purposes of determining any alternative rate of interest under this Agreement.</w:t>
      </w:r>
    </w:p>
    <w:p>
      <w:pPr>
        <w:spacing w:after="0" w:line="181"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25" w:lineRule="exact"/>
        <w:rPr>
          <w:rFonts w:ascii="Arial" w:cs="Arial" w:eastAsia="Arial" w:hAnsi="Arial"/>
          <w:sz w:val="18"/>
          <w:szCs w:val="18"/>
          <w:color w:val="auto"/>
        </w:rPr>
      </w:pPr>
    </w:p>
    <w:p>
      <w:pPr>
        <w:ind w:left="1300" w:firstLine="653"/>
        <w:spacing w:after="0" w:line="259" w:lineRule="auto"/>
        <w:tabs>
          <w:tab w:leader="none" w:pos="26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(including because the LIBOR Screen Rate is not available or published on a current basis), for a Loan in the applicable currency or for the applicable Interest Period; or</w:t>
      </w:r>
    </w:p>
    <w:p>
      <w:pPr>
        <w:spacing w:after="0" w:line="186" w:lineRule="exact"/>
        <w:rPr>
          <w:rFonts w:ascii="Arial" w:cs="Arial" w:eastAsia="Arial" w:hAnsi="Arial"/>
          <w:sz w:val="18"/>
          <w:szCs w:val="18"/>
          <w:color w:val="auto"/>
        </w:rPr>
      </w:pPr>
    </w:p>
    <w:p>
      <w:pPr>
        <w:ind w:left="1300" w:right="200" w:firstLine="653"/>
        <w:spacing w:after="0" w:line="264" w:lineRule="auto"/>
        <w:tabs>
          <w:tab w:leader="none" w:pos="26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of making or maintaining their Loans included in such Borrowing for such Interest Period;</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then the Administrative Agent shall give notice thereof to the Company and any applicable Subsidiary Borrower and the Lenders by telephone or telecopy as promptly as practicable thereafter and, until the Administrative Agent notifies the Company and any applicable Subsidiary Borrower and the Lenders that the circumstances giving rise to such notice no longer exist, (i) any Interest Election Request that requests the conversion of any Borrowing to, or continuation of any Borrowing as, a Eurocurrency Borrowing in the applicable currency or for the applicable Interest Period, as the case may be, shall be ineffective, (ii) if any Borrowing Request requests a Eurocurrency Borrowing in Dollars (other than a Designated Loan), such Borrowing shall be made as an ABR Borrowing and (iii) if any Borrowing Request requests a Eurocurrency Borrowing in a Foreign Currency or a Designated Loan, then the LIBO Rate for such Eurocurrency Borrowing shall be the Alternative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notice affect only one Type of Borrowings, then the other Type of Borrowings shall be permitted.</w:t>
      </w:r>
    </w:p>
    <w:p>
      <w:pPr>
        <w:spacing w:after="0" w:line="179" w:lineRule="exact"/>
        <w:rPr>
          <w:sz w:val="20"/>
          <w:szCs w:val="20"/>
          <w:color w:val="auto"/>
        </w:rPr>
      </w:pPr>
    </w:p>
    <w:p>
      <w:pPr>
        <w:ind w:left="660" w:right="480" w:firstLine="645"/>
        <w:spacing w:after="0" w:line="291" w:lineRule="auto"/>
        <w:tabs>
          <w:tab w:leader="none" w:pos="19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Notwithstanding the foregoing, if at any time the Administrative Agent determines (which determination shall be conclusive absent manifest error), or the Company notifies the Administrative Agent that it has determined, that (i) the circumstances set forth in</w:t>
      </w:r>
    </w:p>
    <w:p>
      <w:pPr>
        <w:ind w:left="660" w:right="20"/>
        <w:spacing w:after="0" w:line="267" w:lineRule="auto"/>
        <w:rPr>
          <w:rFonts w:ascii="Arial" w:cs="Arial" w:eastAsia="Arial" w:hAnsi="Arial"/>
          <w:sz w:val="16"/>
          <w:szCs w:val="16"/>
          <w:color w:val="auto"/>
        </w:rPr>
      </w:pPr>
      <w:r>
        <w:rPr>
          <w:rFonts w:ascii="Arial" w:cs="Arial" w:eastAsia="Arial" w:hAnsi="Arial"/>
          <w:sz w:val="17"/>
          <w:szCs w:val="17"/>
          <w:color w:val="auto"/>
        </w:rPr>
        <w:t>Section 2.14(b)(i) have arisen and such circumstances are unlikely to be temporary or (ii) the circumstances set forth in Section 2.14(b)(i) have not arisen but any of (w) the supervisor for the administrator of the LIBOR Screen Rate has made a public statement that the administrator of the LIBOR Screen Rate is insolvent (and there is no successor administrator that will continue publication of the LIBOR Screen Rate), (x) the administrator of the LIBOR Screen Rate has made a public statement identifying a specific date after which the LIBOR Screen Rate will permanently or indefinitely cease to be published by it (and there is no successor administrator that will continue publication of the LIBOR Screen Rate), (y) the supervisor for the administrator of the LIBOR Screen Rate has made a public statement identifying a specific date after which the LIBOR Screen Rate will permanently or indefinitely cease to be published or (z) the supervisor for the administrator of the LIBOR Screen Rate or a Governmental Authority having jurisdiction over the Administrative Agent has made a public statement identifying a specific date after which the LIBOR Screen Rate may no longer be used for determining interest rates for loans, then the Administrative Agent and the Company shall endeavor to establish an alternate rate of interest to the LIBO Rate that gives due consideration to the then prevailing market convention for determining a rate of interest for syndicated loans in the United States at such time, and shall enter into an amendment to this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660" w:right="60"/>
        <w:spacing w:after="0" w:line="283" w:lineRule="auto"/>
        <w:rPr>
          <w:sz w:val="20"/>
          <w:szCs w:val="20"/>
          <w:color w:val="auto"/>
        </w:rPr>
      </w:pPr>
      <w:r>
        <w:rPr>
          <w:rFonts w:ascii="Arial" w:cs="Arial" w:eastAsia="Arial" w:hAnsi="Arial"/>
          <w:sz w:val="16"/>
          <w:szCs w:val="16"/>
          <w:color w:val="auto"/>
        </w:rPr>
        <w:t xml:space="preserve">Agreement to reflect such alternate rate of interest and such other related changes (including any mathematical or other adjustments to the benchmark (if any) incorporated therein and including, without limitation, (A) the modification, replacement or deletion of clause (iii)(y) set forth in the definition of “Agreed Currencies” and (B) the modification or replacement of clause (c) set forth in the definition of “Alternate Base Rate”) to this Agreement as may be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Section 9.02,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Section 2.14(c) (but, in the case of the circumstances described in clause (ii)(w), clause (ii)(x) or clause (ii)(y) of the first sentence of this</w:t>
      </w:r>
    </w:p>
    <w:p>
      <w:pPr>
        <w:spacing w:after="0" w:line="7" w:lineRule="exact"/>
        <w:rPr>
          <w:sz w:val="20"/>
          <w:szCs w:val="20"/>
          <w:color w:val="auto"/>
        </w:rPr>
      </w:pPr>
    </w:p>
    <w:p>
      <w:pPr>
        <w:ind w:left="660" w:right="160"/>
        <w:spacing w:after="0" w:line="271" w:lineRule="auto"/>
        <w:rPr>
          <w:sz w:val="20"/>
          <w:szCs w:val="20"/>
          <w:color w:val="auto"/>
        </w:rPr>
      </w:pPr>
      <w:r>
        <w:rPr>
          <w:rFonts w:ascii="Arial" w:cs="Arial" w:eastAsia="Arial" w:hAnsi="Arial"/>
          <w:sz w:val="17"/>
          <w:szCs w:val="17"/>
          <w:color w:val="auto"/>
        </w:rPr>
        <w:t>Section 2.14(c), only to the extent the LIBOR Screen Rate for the applicable currency and such Interest Period is not available or published at such time on a current basis), (x) any Interest Election Request that requests the conversion of any Borrowing to, or continuation of any Borrowing as, a Eurocurrency Borrowing in the applicable currency or for the applicable Interest Period, as the case may be, shall be ineffective, (y) if any Borrowing Request requests a Eurocurrency Borrowing in Dollars, such Borrowing shall be made as an ABR Borrowing and (z) if any Borrowing Request requests a Eurocurrency Borrowing in a Foreign Currency, then such request shall be ineffective.</w:t>
      </w:r>
    </w:p>
    <w:p>
      <w:pPr>
        <w:spacing w:after="0" w:line="17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225" w:lineRule="exact"/>
        <w:rPr>
          <w:sz w:val="20"/>
          <w:szCs w:val="20"/>
          <w:color w:val="auto"/>
        </w:rPr>
      </w:pPr>
    </w:p>
    <w:p>
      <w:pPr>
        <w:ind w:left="1300" w:firstLine="653"/>
        <w:spacing w:after="0" w:line="286" w:lineRule="auto"/>
        <w:tabs>
          <w:tab w:leader="none" w:pos="2618"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65" w:lineRule="exact"/>
        <w:rPr>
          <w:rFonts w:ascii="Arial" w:cs="Arial" w:eastAsia="Arial" w:hAnsi="Arial"/>
          <w:sz w:val="17"/>
          <w:szCs w:val="17"/>
          <w:color w:val="auto"/>
        </w:rPr>
      </w:pPr>
    </w:p>
    <w:p>
      <w:pPr>
        <w:ind w:left="1300" w:right="220" w:firstLine="653"/>
        <w:spacing w:after="0" w:line="308" w:lineRule="auto"/>
        <w:tabs>
          <w:tab w:leader="none" w:pos="26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46" w:lineRule="exact"/>
        <w:rPr>
          <w:rFonts w:ascii="Arial" w:cs="Arial" w:eastAsia="Arial" w:hAnsi="Arial"/>
          <w:sz w:val="17"/>
          <w:szCs w:val="17"/>
          <w:color w:val="auto"/>
        </w:rPr>
      </w:pPr>
    </w:p>
    <w:p>
      <w:pPr>
        <w:ind w:left="1300" w:right="160" w:firstLine="653"/>
        <w:spacing w:after="0" w:line="264" w:lineRule="auto"/>
        <w:tabs>
          <w:tab w:leader="none" w:pos="2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factors as the Administrative Agent, such Lender or such Issuing Bank, as applicable, then reasonably determines to be relevant).</w:t>
      </w:r>
    </w:p>
    <w:p>
      <w:pPr>
        <w:spacing w:after="0" w:line="225" w:lineRule="exact"/>
        <w:rPr>
          <w:sz w:val="20"/>
          <w:szCs w:val="20"/>
          <w:color w:val="auto"/>
        </w:rPr>
      </w:pPr>
    </w:p>
    <w:p>
      <w:pPr>
        <w:ind w:left="660" w:firstLine="645"/>
        <w:spacing w:after="0" w:line="287" w:lineRule="auto"/>
        <w:tabs>
          <w:tab w:leader="none" w:pos="1964"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68" w:lineRule="exact"/>
        <w:rPr>
          <w:rFonts w:ascii="Arial" w:cs="Arial" w:eastAsia="Arial" w:hAnsi="Arial"/>
          <w:sz w:val="16"/>
          <w:szCs w:val="16"/>
          <w:color w:val="auto"/>
        </w:rPr>
      </w:pPr>
    </w:p>
    <w:p>
      <w:pPr>
        <w:ind w:left="660" w:right="100" w:firstLine="645"/>
        <w:spacing w:after="0" w:line="291" w:lineRule="auto"/>
        <w:tabs>
          <w:tab w:leader="none" w:pos="196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in reasonable detail, the basis and calculation of the amount or amounts necessary to compensate such Lender or such Issuing Bank or its respective holding company, as the case may be, as specified in paragraph (a) or</w:t>
      </w:r>
    </w:p>
    <w:p>
      <w:pPr>
        <w:ind w:left="920" w:hanging="264"/>
        <w:spacing w:after="0"/>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of this Section shall be delivered to the Company and shall be conclusive absent manifest error. The Company shall pay, or, subject to</w:t>
      </w:r>
    </w:p>
    <w:p>
      <w:pPr>
        <w:spacing w:after="0" w:line="21"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Section 2.23(b), cause the other applicable Borrowers to pay, such Lender or such Issuing Bank, as the case may be, the amount shown as due on any such certificate within thirty (30) days after receipt thereof.</w:t>
      </w:r>
    </w:p>
    <w:p>
      <w:pPr>
        <w:spacing w:after="0" w:line="184" w:lineRule="exact"/>
        <w:rPr>
          <w:sz w:val="20"/>
          <w:szCs w:val="20"/>
          <w:color w:val="auto"/>
        </w:rPr>
      </w:pPr>
    </w:p>
    <w:p>
      <w:pPr>
        <w:ind w:left="660" w:right="80" w:firstLine="645"/>
        <w:spacing w:after="0" w:line="255" w:lineRule="auto"/>
        <w:tabs>
          <w:tab w:leader="none" w:pos="1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Lender or an Issuing Bank pursuant to this Section for any increased costs or reductions incurred more than 120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89"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or as a result of any prepayment pursuant to Section 2.11),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w:t>
      </w:r>
    </w:p>
    <w:p>
      <w:pPr>
        <w:spacing w:after="0" w:line="2"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Section 2.11(a) and is revoked in accordance therewith) or (d) the assignment of any Eurocurrency Loan other than on the last day of the Interest Period applicable thereto as a result of a request by the Company pursuant to Section 2.19 or 9.02(d), then, in any such event, the applicable Borrower(s) shall compensate each Lender for the loss, cost and expense attributable to such event (other than loss of anticipated profits). Such loss, cost or expense 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right="60"/>
        <w:spacing w:after="0" w:line="287" w:lineRule="auto"/>
        <w:rPr>
          <w:sz w:val="20"/>
          <w:szCs w:val="20"/>
          <w:color w:val="auto"/>
        </w:rPr>
      </w:pPr>
      <w:r>
        <w:rPr>
          <w:rFonts w:ascii="Arial" w:cs="Arial" w:eastAsia="Arial" w:hAnsi="Arial"/>
          <w:sz w:val="16"/>
          <w:szCs w:val="16"/>
          <w:color w:val="auto"/>
        </w:rPr>
        <w:t xml:space="preserve">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thirty (30) days after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pursuant to this Section for any amounts under this Section 2.16 incurred more than 120 days prior to the date that such Lender notifies such Borrower of such amount and of such Lender’s intention to claim compensation therefor.</w:t>
      </w:r>
    </w:p>
    <w:p>
      <w:pPr>
        <w:spacing w:after="0" w:line="173"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spacing w:after="0" w:line="179" w:lineRule="exact"/>
        <w:rPr>
          <w:sz w:val="20"/>
          <w:szCs w:val="20"/>
          <w:color w:val="auto"/>
        </w:rPr>
      </w:pPr>
    </w:p>
    <w:p>
      <w:pPr>
        <w:ind w:right="380" w:firstLine="1305"/>
        <w:spacing w:after="0" w:line="308" w:lineRule="auto"/>
        <w:tabs>
          <w:tab w:leader="none" w:pos="1952"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Borrowers</w:t>
      </w:r>
      <w:r>
        <w:rPr>
          <w:rFonts w:ascii="Arial" w:cs="Arial" w:eastAsia="Arial" w:hAnsi="Arial"/>
          <w:sz w:val="17"/>
          <w:szCs w:val="17"/>
          <w:color w:val="auto"/>
        </w:rPr>
        <w:t>. The relevant Borrower shall timely pay to the relevant Governmental Authority in accordance with applicable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ind w:right="60" w:firstLine="1305"/>
        <w:spacing w:after="0" w:line="257"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or by the Administrative Agent to a Governmental Authority pursuant to this Section 2.17, such Loan Party shall deliver to the Administrative Agent or the Administrative Agent shall deliver to the applicable Loan Party, as the case may be, the original or a certified copy of a receipt issued by such Governmental Authority evidencing such payment, a copy of the return reporting such payment or other evidence of such payment reasonably satisfactory to the Administrative Agent or the applicable Loan Party, as the case may be.</w:t>
      </w:r>
    </w:p>
    <w:p>
      <w:pPr>
        <w:spacing w:after="0" w:line="188" w:lineRule="exact"/>
        <w:rPr>
          <w:rFonts w:ascii="Arial" w:cs="Arial" w:eastAsia="Arial" w:hAnsi="Arial"/>
          <w:sz w:val="18"/>
          <w:szCs w:val="18"/>
          <w:color w:val="auto"/>
        </w:rPr>
      </w:pPr>
    </w:p>
    <w:p>
      <w:pPr>
        <w:ind w:firstLine="1305"/>
        <w:spacing w:after="0" w:line="255"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20" w:firstLine="1305"/>
        <w:spacing w:after="0" w:line="289" w:lineRule="auto"/>
        <w:tabs>
          <w:tab w:leader="none" w:pos="193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6" w:lineRule="exact"/>
        <w:rPr>
          <w:rFonts w:ascii="Arial" w:cs="Arial" w:eastAsia="Arial" w:hAnsi="Arial"/>
          <w:sz w:val="16"/>
          <w:szCs w:val="16"/>
          <w:color w:val="auto"/>
        </w:rPr>
      </w:pPr>
    </w:p>
    <w:p>
      <w:pPr>
        <w:ind w:left="-20" w:right="60" w:firstLine="1305"/>
        <w:spacing w:after="0" w:line="269" w:lineRule="auto"/>
        <w:tabs>
          <w:tab w:leader="none" w:pos="192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any Borrower or the Administrative Agent as will permit such payments to be made without withholding or at a reduced rate of withholding. In addition, any Lender, if reasonably requested by any Borrower or the Administrative Agent, shall deliver such other documentation prescribed by applicable law or reasonably requested by any Borrower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(it being understood that the Borrowers shall be given a reasonable opportunity to reimburse such Lender with respect to such cost or expense) or would materially prejudice the legal or commercial position of such Lender.</w:t>
      </w:r>
    </w:p>
    <w:p>
      <w:pPr>
        <w:spacing w:after="0" w:line="182" w:lineRule="exact"/>
        <w:rPr>
          <w:rFonts w:ascii="Arial" w:cs="Arial" w:eastAsia="Arial" w:hAnsi="Arial"/>
          <w:sz w:val="17"/>
          <w:szCs w:val="17"/>
          <w:color w:val="auto"/>
        </w:rPr>
      </w:pPr>
    </w:p>
    <w:p>
      <w:pPr>
        <w:ind w:left="2620" w:hanging="687"/>
        <w:spacing w:after="0"/>
        <w:tabs>
          <w:tab w:leader="none" w:pos="2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any Borrower is a U.S. Person:</w:t>
      </w:r>
    </w:p>
    <w:p>
      <w:pPr>
        <w:spacing w:after="0" w:line="225" w:lineRule="exact"/>
        <w:rPr>
          <w:sz w:val="20"/>
          <w:szCs w:val="20"/>
          <w:color w:val="auto"/>
        </w:rPr>
      </w:pPr>
    </w:p>
    <w:p>
      <w:pPr>
        <w:ind w:left="1280" w:right="100" w:firstLine="653"/>
        <w:spacing w:after="0" w:line="259" w:lineRule="auto"/>
        <w:tabs>
          <w:tab w:leader="none" w:pos="25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Lender that is a U.S. Person shall deliver to each such Borrower and the Administrative Agent on or prior to the date on which such Lender becomes a Lender under this Agreement (and from time to time thereafter upon the reasonable request of any such Borrower or the Administrative Agent), duly executed copies of IRS Form W-9 certifying that such Lender is exempt from U.S. federal backup withholding tax;</w:t>
      </w:r>
    </w:p>
    <w:p>
      <w:pPr>
        <w:spacing w:after="0" w:line="186" w:lineRule="exact"/>
        <w:rPr>
          <w:rFonts w:ascii="Arial" w:cs="Arial" w:eastAsia="Arial" w:hAnsi="Arial"/>
          <w:sz w:val="18"/>
          <w:szCs w:val="18"/>
          <w:color w:val="auto"/>
        </w:rPr>
      </w:pPr>
    </w:p>
    <w:p>
      <w:pPr>
        <w:ind w:left="1280" w:right="20" w:firstLine="653"/>
        <w:spacing w:after="0" w:line="259" w:lineRule="auto"/>
        <w:tabs>
          <w:tab w:leader="none" w:pos="25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each such Borrower and the Administrative Agent (in such number of copies as shall be requested by the recipient) on or prior to the date on which such Foreign Lender becomes a Lender under this Agreement (and from time to time thereafter upon the reasonable request of each such Borrower or the Administrative Agent), whichever of the following is applicable:</w:t>
      </w:r>
    </w:p>
    <w:p>
      <w:pPr>
        <w:spacing w:after="0" w:line="187" w:lineRule="exact"/>
        <w:rPr>
          <w:sz w:val="20"/>
          <w:szCs w:val="20"/>
          <w:color w:val="auto"/>
        </w:rPr>
      </w:pPr>
    </w:p>
    <w:p>
      <w:pPr>
        <w:ind w:left="1940" w:right="400" w:hanging="7"/>
        <w:spacing w:after="0" w:line="342" w:lineRule="auto"/>
        <w:tabs>
          <w:tab w:leader="none" w:pos="2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duly executed copies of IRS Form W-8BEN or IRS Form 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64" w:name="page65"/>
    <w:bookmarkEnd w:id="64"/>
    <w:p>
      <w:pPr>
        <w:ind w:left="760"/>
        <w:spacing w:after="0" w:line="259" w:lineRule="auto"/>
        <w:rPr>
          <w:sz w:val="20"/>
          <w:szCs w:val="20"/>
          <w:color w:val="auto"/>
        </w:rPr>
      </w:pPr>
      <w:r>
        <w:rPr>
          <w:rFonts w:ascii="Arial" w:cs="Arial" w:eastAsia="Arial" w:hAnsi="Arial"/>
          <w:sz w:val="18"/>
          <w:szCs w:val="18"/>
          <w:color w:val="auto"/>
        </w:rPr>
        <w:t>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7" w:lineRule="exact"/>
        <w:rPr>
          <w:sz w:val="20"/>
          <w:szCs w:val="20"/>
          <w:color w:val="auto"/>
        </w:rPr>
      </w:pPr>
    </w:p>
    <w:p>
      <w:pPr>
        <w:ind w:left="760" w:right="420" w:hanging="7"/>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duly executed copies of IRS Form W-8ECI;</w:t>
      </w:r>
    </w:p>
    <w:p>
      <w:pPr>
        <w:spacing w:after="0" w:line="170" w:lineRule="exact"/>
        <w:rPr>
          <w:rFonts w:ascii="Arial" w:cs="Arial" w:eastAsia="Arial" w:hAnsi="Arial"/>
          <w:sz w:val="18"/>
          <w:szCs w:val="18"/>
          <w:color w:val="auto"/>
        </w:rPr>
      </w:pPr>
    </w:p>
    <w:p>
      <w:pPr>
        <w:ind w:left="1000" w:hanging="247"/>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760" w:right="1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(x) a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or</w:t>
      </w:r>
    </w:p>
    <w:p>
      <w:pPr>
        <w:spacing w:after="0" w:line="189" w:lineRule="exact"/>
        <w:rPr>
          <w:rFonts w:ascii="Arial" w:cs="Arial" w:eastAsia="Arial" w:hAnsi="Arial"/>
          <w:sz w:val="16"/>
          <w:szCs w:val="16"/>
          <w:color w:val="auto"/>
        </w:rPr>
      </w:pPr>
    </w:p>
    <w:p>
      <w:pPr>
        <w:ind w:left="760" w:right="40" w:hanging="7"/>
        <w:spacing w:after="0" w:line="255"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193" w:lineRule="exact"/>
        <w:rPr>
          <w:sz w:val="20"/>
          <w:szCs w:val="20"/>
          <w:color w:val="auto"/>
        </w:rPr>
      </w:pPr>
    </w:p>
    <w:p>
      <w:pPr>
        <w:ind w:left="100" w:right="20" w:firstLine="653"/>
        <w:spacing w:after="0" w:line="293" w:lineRule="auto"/>
        <w:tabs>
          <w:tab w:leader="none" w:pos="14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each such Borrower and the Administrative Agent (in such number of copies as shall be requested by the recipient) on or prior to the date on which such Foreign Lender becomes a Lender under this Agreement (and from time to time thereafter upon the reasonable request of any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each such Borrower or the Administrative Agent to determine the withholding or deduction required to be made; and</w:t>
      </w:r>
    </w:p>
    <w:p>
      <w:pPr>
        <w:spacing w:after="0" w:line="164" w:lineRule="exact"/>
        <w:rPr>
          <w:rFonts w:ascii="Arial" w:cs="Arial" w:eastAsia="Arial" w:hAnsi="Arial"/>
          <w:sz w:val="16"/>
          <w:szCs w:val="16"/>
          <w:color w:val="auto"/>
        </w:rPr>
      </w:pPr>
    </w:p>
    <w:p>
      <w:pPr>
        <w:ind w:left="100" w:right="80" w:firstLine="653"/>
        <w:spacing w:after="0" w:line="272" w:lineRule="auto"/>
        <w:tabs>
          <w:tab w:leader="none" w:pos="14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each such Borrower and the Administrative Agent at the time or times prescribed by law and at such time or times reasonably requested by any such Borrower or the Administrative Agent such documentation prescribed by applicable law (including as prescribed by Section 1471(b)(3)(C)(i) of the Code) and such additional documentation reasonably requested by any such Borrower or the Administrative Agent as may be necessary for each such Borrower and the Administrative Agent to comply with their obligations under FATCA</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65" w:name="page66"/>
    <w:bookmarkEnd w:id="65"/>
    <w:p>
      <w:pPr>
        <w:jc w:val="both"/>
        <w:ind w:left="1300" w:right="300"/>
        <w:spacing w:after="0" w:line="264" w:lineRule="auto"/>
        <w:rPr>
          <w:sz w:val="20"/>
          <w:szCs w:val="20"/>
          <w:color w:val="auto"/>
        </w:rPr>
      </w:pPr>
      <w:r>
        <w:rPr>
          <w:rFonts w:ascii="Arial" w:cs="Arial" w:eastAsia="Arial" w:hAnsi="Arial"/>
          <w:sz w:val="18"/>
          <w:szCs w:val="18"/>
          <w:color w:val="auto"/>
        </w:rPr>
        <w:t>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70" w:lineRule="exact"/>
        <w:rPr>
          <w:sz w:val="20"/>
          <w:szCs w:val="20"/>
          <w:color w:val="auto"/>
        </w:rPr>
      </w:pPr>
    </w:p>
    <w:p>
      <w:pPr>
        <w:ind w:firstLine="1305"/>
        <w:spacing w:after="0" w:line="287" w:lineRule="auto"/>
        <w:tabs>
          <w:tab w:leader="none" w:pos="196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8" w:lineRule="exact"/>
        <w:rPr>
          <w:rFonts w:ascii="Arial" w:cs="Arial" w:eastAsia="Arial" w:hAnsi="Arial"/>
          <w:sz w:val="16"/>
          <w:szCs w:val="16"/>
          <w:color w:val="auto"/>
        </w:rPr>
      </w:pPr>
    </w:p>
    <w:p>
      <w:pPr>
        <w:ind w:firstLine="1305"/>
        <w:spacing w:after="0" w:line="264"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2.17, the term “Lender” includes each Issuing Bank and the term “applicable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includes FATCA.</w:t>
      </w:r>
    </w:p>
    <w:p>
      <w:pPr>
        <w:spacing w:after="0" w:line="210" w:lineRule="exact"/>
        <w:rPr>
          <w:rFonts w:ascii="Arial" w:cs="Arial" w:eastAsia="Arial" w:hAnsi="Arial"/>
          <w:sz w:val="16"/>
          <w:szCs w:val="16"/>
          <w:color w:val="auto"/>
        </w:rPr>
      </w:pPr>
    </w:p>
    <w:p>
      <w:pPr>
        <w:ind w:right="100" w:firstLine="1305"/>
        <w:spacing w:after="0" w:line="257" w:lineRule="auto"/>
        <w:tabs>
          <w:tab w:leader="none" w:pos="195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Luxembourg Registration Duty</w:t>
      </w:r>
      <w:r>
        <w:rPr>
          <w:rFonts w:ascii="Arial" w:cs="Arial" w:eastAsia="Arial" w:hAnsi="Arial"/>
          <w:sz w:val="18"/>
          <w:szCs w:val="18"/>
          <w:color w:val="auto"/>
        </w:rPr>
        <w:t>. In order to not unnecessarily cause application of Luxembourg’s registration duty applicable to documents in writing evidencing an obligation to pay, neither the Administrative Agent nor any Lender will take any action to file or register this Agreement or any of the Loan Documents with applicable Luxembourg authorities which would cause such registration duty to be payable unless the Administrative Agent reasonably deems such action necessary or advisable in connection with the protection of rights or pursuit of remedies during the continuance of an Event of Default.</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59" w:lineRule="auto"/>
        <w:tabs>
          <w:tab w:leader="none" w:pos="19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Borrower shall make each payment required to be made by it hereunder (whether of principal, interest, fees or reimbursement of LC Disbursements, or of amounts payable under Section 2.15, 2.16 or 2.17, or otherwise) prior to (i) in the case of payments denominated in Dollars (other than in respect of Designated Loans), 2:00 p.m., New York City time and (ii) in the case of payments denominated in a Foreign Currency or in respect of Designated Loans, 1:00 p.m.,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20"/>
        <w:spacing w:after="0" w:line="285" w:lineRule="auto"/>
        <w:rPr>
          <w:sz w:val="20"/>
          <w:szCs w:val="20"/>
          <w:color w:val="auto"/>
        </w:rPr>
      </w:pPr>
      <w:r>
        <w:rPr>
          <w:rFonts w:ascii="Arial" w:cs="Arial" w:eastAsia="Arial" w:hAnsi="Arial"/>
          <w:sz w:val="16"/>
          <w:szCs w:val="16"/>
          <w:color w:val="auto"/>
        </w:rPr>
        <w:t>Local Time, in the city of the Administrative Agent’s Eurocurrency Payment Office for such currency or Designated Loan, as applicable, in each case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or a Designated Loan, the Administrative Agent’s Eurocurrency Payment Office for such currency or Designated Loan, as applicable, except payments to be made directly to any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applicable Borrower is not able to make payment required to be made by it hereunder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391" w:lineRule="exact"/>
        <w:rPr>
          <w:sz w:val="20"/>
          <w:szCs w:val="20"/>
          <w:color w:val="auto"/>
        </w:rPr>
      </w:pPr>
    </w:p>
    <w:p>
      <w:pPr>
        <w:ind w:right="20" w:firstLine="645"/>
        <w:spacing w:after="0" w:line="276" w:lineRule="auto"/>
        <w:tabs>
          <w:tab w:leader="none" w:pos="130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2" w:lineRule="exact"/>
        <w:rPr>
          <w:rFonts w:ascii="Arial" w:cs="Arial" w:eastAsia="Arial" w:hAnsi="Arial"/>
          <w:sz w:val="17"/>
          <w:szCs w:val="17"/>
          <w:color w:val="auto"/>
        </w:rPr>
      </w:pPr>
    </w:p>
    <w:p>
      <w:pPr>
        <w:ind w:firstLine="645"/>
        <w:spacing w:after="0" w:line="288" w:lineRule="auto"/>
        <w:tabs>
          <w:tab w:leader="none" w:pos="13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Subject to Section 2.23(b),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67" w:name="page68"/>
    <w:bookmarkEnd w:id="67"/>
    <w:p>
      <w:pPr>
        <w:ind w:left="660" w:right="80"/>
        <w:spacing w:after="0" w:line="255" w:lineRule="auto"/>
        <w:rPr>
          <w:sz w:val="20"/>
          <w:szCs w:val="20"/>
          <w:color w:val="auto"/>
        </w:rPr>
      </w:pPr>
      <w:r>
        <w:rPr>
          <w:rFonts w:ascii="Arial" w:cs="Arial" w:eastAsia="Arial" w:hAnsi="Arial"/>
          <w:sz w:val="18"/>
          <w:szCs w:val="18"/>
          <w:color w:val="auto"/>
        </w:rPr>
        <w:t>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relating to any Obligations owed by such Borrower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3" w:lineRule="exact"/>
        <w:rPr>
          <w:sz w:val="20"/>
          <w:szCs w:val="20"/>
          <w:color w:val="auto"/>
        </w:rPr>
      </w:pPr>
    </w:p>
    <w:p>
      <w:pPr>
        <w:ind w:left="660" w:right="20" w:firstLine="645"/>
        <w:spacing w:after="0" w:line="289" w:lineRule="auto"/>
        <w:tabs>
          <w:tab w:leader="none" w:pos="19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Company or the relevant Subsidiary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2.05(c), 2.06(d) or (e), 2.07(b),</w:t>
      </w:r>
    </w:p>
    <w:p>
      <w:pPr>
        <w:spacing w:after="0" w:line="35" w:lineRule="exact"/>
        <w:rPr>
          <w:sz w:val="20"/>
          <w:szCs w:val="20"/>
          <w:color w:val="auto"/>
        </w:rPr>
      </w:pPr>
    </w:p>
    <w:p>
      <w:pPr>
        <w:ind w:left="660" w:right="240"/>
        <w:spacing w:after="0" w:line="281" w:lineRule="auto"/>
        <w:rPr>
          <w:sz w:val="20"/>
          <w:szCs w:val="20"/>
          <w:color w:val="auto"/>
        </w:rPr>
      </w:pPr>
      <w:r>
        <w:rPr>
          <w:rFonts w:ascii="Arial" w:cs="Arial" w:eastAsia="Arial" w:hAnsi="Arial"/>
          <w:sz w:val="16"/>
          <w:szCs w:val="16"/>
          <w:color w:val="auto"/>
        </w:rPr>
        <w:t>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w:t>
      </w:r>
    </w:p>
    <w:p>
      <w:pPr>
        <w:spacing w:after="0" w:line="2" w:lineRule="exact"/>
        <w:rPr>
          <w:sz w:val="20"/>
          <w:szCs w:val="20"/>
          <w:color w:val="auto"/>
        </w:rPr>
      </w:pPr>
    </w:p>
    <w:p>
      <w:pPr>
        <w:ind w:left="660" w:right="60" w:hanging="4"/>
        <w:spacing w:after="0" w:line="255" w:lineRule="auto"/>
        <w:tabs>
          <w:tab w:leader="none" w:pos="9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90"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(a) If any Lender requests compensation under Section 2.15, or if any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78" w:lineRule="exact"/>
        <w:rPr>
          <w:sz w:val="20"/>
          <w:szCs w:val="20"/>
          <w:color w:val="auto"/>
        </w:rPr>
      </w:pPr>
    </w:p>
    <w:p>
      <w:pPr>
        <w:ind w:left="660" w:firstLine="645"/>
        <w:spacing w:after="0" w:line="259"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660" w:right="60"/>
        <w:spacing w:after="0" w:line="288" w:lineRule="auto"/>
        <w:rPr>
          <w:sz w:val="20"/>
          <w:szCs w:val="20"/>
          <w:color w:val="auto"/>
        </w:rPr>
      </w:pPr>
      <w:r>
        <w:rPr>
          <w:rFonts w:ascii="Arial" w:cs="Arial" w:eastAsia="Arial" w:hAnsi="Arial"/>
          <w:sz w:val="16"/>
          <w:szCs w:val="16"/>
          <w:color w:val="auto"/>
        </w:rPr>
        <w:t xml:space="preserve">(in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such consent would be required pursuant to</w:t>
      </w:r>
    </w:p>
    <w:p>
      <w:pPr>
        <w:ind w:left="660"/>
        <w:spacing w:after="0" w:line="266" w:lineRule="auto"/>
        <w:rPr>
          <w:sz w:val="20"/>
          <w:szCs w:val="20"/>
          <w:color w:val="auto"/>
        </w:rPr>
      </w:pPr>
      <w:r>
        <w:rPr>
          <w:rFonts w:ascii="Arial" w:cs="Arial" w:eastAsia="Arial" w:hAnsi="Arial"/>
          <w:sz w:val="17"/>
          <w:szCs w:val="17"/>
          <w:color w:val="auto"/>
        </w:rPr>
        <w:t xml:space="preserve">Section 9.04(b), the Company shall have received the prior written consent of the Administrative Agent (and if a Commitment is being assigned, the Swingline Lender and the Issuing Banks), which consent shall not unreasonably be withheld, delayed or conditioned, (ii) such Lender shall have received payment of an amount equal to the outstanding principal of its Loans and participations in LC Disbursements and Swingline Loans, accrued interest thereon, accrued fees and all other amounts payable to it hereunder (including amounts payable pursuant to Section 2.16), from the assignee (to the extent of such outstanding principal and accrued interest and fees) or the Company or relevant Subsidiary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93"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Expansion Option</w:t>
      </w:r>
      <w:r>
        <w:rPr>
          <w:rFonts w:ascii="Arial" w:cs="Arial" w:eastAsia="Arial" w:hAnsi="Arial"/>
          <w:sz w:val="16"/>
          <w:szCs w:val="16"/>
          <w:color w:val="auto"/>
        </w:rPr>
        <w:t>. The Company may from time to time elect to increase the Commitments or enter into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minimum increments of $50,000,000 so long as, after giving effect thereto, the aggregate amount of such increases and all such Incremental Term Loans does not exceed $250,000,000. The Company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Ineligible Institution may be an Augmenting Lender), which agree to increase their existing Commitments, or to participate in such Incremental Term Loans, or provide new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Company, the Administrative Agent and, if the Augmenting Lender is providing new or increased Revolving Commitments, the Swingline Lender and the Issuing Banks (such approvals not to be unreasonably withheld, delayed or conditioned) and (ii) (x) in the case of an Increasing Lender, the Company and such Increasing Lender execute an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(y) in the case of an Augmenting Lender, the Company and such Augmenting 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(as the case may be), and the Administrative Agent shall notify each Lender thereof. Notwithstanding the foregoing, no increase in the Commitments (or in the Commitment of any Lender)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line="284" w:lineRule="auto"/>
        <w:rPr>
          <w:sz w:val="20"/>
          <w:szCs w:val="20"/>
          <w:color w:val="auto"/>
        </w:rPr>
      </w:pPr>
      <w:r>
        <w:rPr>
          <w:rFonts w:ascii="Arial" w:cs="Arial" w:eastAsia="Arial" w:hAnsi="Arial"/>
          <w:sz w:val="16"/>
          <w:szCs w:val="16"/>
          <w:color w:val="auto"/>
        </w:rPr>
        <w:t xml:space="preserve">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on behalf of the Company to that effect dated such date and executed by a Responsible Officer of the Company and (B) the Company shall be in compliance (on a pro forma basis) with the covenants contained in Section 6.07 and (ii) to the extent reasonably requested by the Administrative Agent, the Administrative Agent shall have received documents and opinions of the same type, to the extent applicable, as those delivered on the Effective Date as to the organizational power and authority of the Borrowers to borrow hereunder after giving effect to such increase (or to the extent the resolutions delivered on the Effective Date approve such matters, a certification from the Borrowers (or the Company on behalf of the Borrowers) that the resolutions delivered on the Effective Date remain in full force and effect and have not been amended or otherwise modified since the adoption thereof).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each of the relevant Borrowers shall be deemed to have repaid and reborrowed all outstanding Revolving Loans owed by such Borrower as of the date of any increase in the Commitments (with such reborrowing to consist of the Types of Revolving Loans, with related Interest Periods if applicable, specified in a notice delivered by the applicable Borrower, together with the Company, in accordance with the requirements of Section 2.03). The deemed payments made pursuant to clause (ii) of the immediately preceding sentence shall be accompanied by payment of all accrued interest on the amount prepaid and, in respect of each Eurocurrency Loan, shall be subject to indemnification by the applicable Borrower(s)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and/or customary prepayments prior to such date) and (c) shall be treated substantially the same as (and in any event no more favorably than)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(whether in the form of interest rate margin, upfront fees, original issue discount, call protection or otherwise) than the Revolving Loans. Incremental Term Loans may be made hereunder pursuant to an amendment or restatement (an “</w:t>
      </w:r>
      <w:r>
        <w:rPr>
          <w:rFonts w:ascii="Arial" w:cs="Arial" w:eastAsia="Arial" w:hAnsi="Arial"/>
          <w:sz w:val="16"/>
          <w:szCs w:val="16"/>
          <w:u w:val="single" w:color="auto"/>
          <w:color w:val="auto"/>
        </w:rPr>
        <w:t>Incremental Term Loan Amendment</w:t>
      </w:r>
      <w:r>
        <w:rPr>
          <w:rFonts w:ascii="Arial" w:cs="Arial" w:eastAsia="Arial" w:hAnsi="Arial"/>
          <w:sz w:val="16"/>
          <w:szCs w:val="16"/>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16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59" w:lineRule="auto"/>
        <w:tabs>
          <w:tab w:leader="none" w:pos="195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by notice to the Administrative Agent (who shall promptly notify the Lenders) at any time (each such date, an “</w:t>
      </w:r>
      <w:r>
        <w:rPr>
          <w:rFonts w:ascii="Arial" w:cs="Arial" w:eastAsia="Arial" w:hAnsi="Arial"/>
          <w:sz w:val="18"/>
          <w:szCs w:val="18"/>
          <w:u w:val="single" w:color="auto"/>
          <w:color w:val="auto"/>
        </w:rPr>
        <w:t>Extension Date</w:t>
      </w:r>
      <w:r>
        <w:rPr>
          <w:rFonts w:ascii="Arial" w:cs="Arial" w:eastAsia="Arial" w:hAnsi="Arial"/>
          <w:sz w:val="18"/>
          <w:szCs w:val="18"/>
          <w:color w:val="auto"/>
        </w:rPr>
        <w:t>”), request that each Lender extend such Lender’s Maturity Date to the date that is one year after the Maturity Date then in effect for such Lender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provided that any such request shall be made no later than 30 days prior to the applicable Existing Maturity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ind w:left="-540" w:firstLine="645"/>
        <w:spacing w:after="0" w:line="290" w:lineRule="auto"/>
        <w:tabs>
          <w:tab w:leader="none" w:pos="76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Lender Elections to Extend</w:t>
      </w:r>
      <w:r>
        <w:rPr>
          <w:rFonts w:ascii="Arial" w:cs="Arial" w:eastAsia="Arial" w:hAnsi="Arial"/>
          <w:sz w:val="16"/>
          <w:szCs w:val="16"/>
          <w:color w:val="auto"/>
        </w:rPr>
        <w:t>. Each Lender, acting in its sole and individual discretion, shall, by notice to the Administrative Agent given not later than the date that is 15 days after the date on which the Administrative Agent received the Company’s extension request (the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Date</w:t>
      </w:r>
      <w:r>
        <w:rPr>
          <w:rFonts w:ascii="Arial" w:cs="Arial" w:eastAsia="Arial" w:hAnsi="Arial"/>
          <w:sz w:val="16"/>
          <w:szCs w:val="16"/>
          <w:color w:val="auto"/>
        </w:rPr>
        <w:t>”), advise the Administrative Agent whether or not such Lender agrees to such extension (each Lender that determines to so extend its Maturity Date,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Each Lender that determines not to so extend its Maturity Date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Maturity Date.</w:t>
      </w:r>
    </w:p>
    <w:p>
      <w:pPr>
        <w:spacing w:after="0" w:line="166" w:lineRule="exact"/>
        <w:rPr>
          <w:rFonts w:ascii="Arial" w:cs="Arial" w:eastAsia="Arial" w:hAnsi="Arial"/>
          <w:sz w:val="16"/>
          <w:szCs w:val="16"/>
          <w:color w:val="auto"/>
        </w:rPr>
      </w:pPr>
    </w:p>
    <w:p>
      <w:pPr>
        <w:jc w:val="both"/>
        <w:ind w:left="-540" w:right="80" w:firstLine="645"/>
        <w:spacing w:after="0" w:line="264" w:lineRule="auto"/>
        <w:tabs>
          <w:tab w:leader="none" w:pos="76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Company of each Lender’s determination under this Section no later than the date that is 15 days prior to the applicable Extension Date (or, if such date is not a Business Day, on the next preceding Business Day).</w:t>
      </w:r>
    </w:p>
    <w:p>
      <w:pPr>
        <w:spacing w:after="0" w:line="181" w:lineRule="exact"/>
        <w:rPr>
          <w:rFonts w:ascii="Arial" w:cs="Arial" w:eastAsia="Arial" w:hAnsi="Arial"/>
          <w:sz w:val="18"/>
          <w:szCs w:val="18"/>
          <w:color w:val="auto"/>
        </w:rPr>
      </w:pPr>
    </w:p>
    <w:p>
      <w:pPr>
        <w:ind w:left="-540" w:right="100" w:firstLine="645"/>
        <w:spacing w:after="0" w:line="268" w:lineRule="auto"/>
        <w:tabs>
          <w:tab w:leader="none" w:pos="76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Additional Commitment Lenders</w:t>
      </w:r>
      <w:r>
        <w:rPr>
          <w:rFonts w:ascii="Arial" w:cs="Arial" w:eastAsia="Arial" w:hAnsi="Arial"/>
          <w:sz w:val="17"/>
          <w:szCs w:val="17"/>
          <w:color w:val="auto"/>
        </w:rPr>
        <w:t>. The Company shall have the right, but shall not be obligated, on or before the applicable Maturity Date for any Non-Extending Lender to replace such Non-Extending Lender with, and add as “Lenders” under this Agreement in place thereof, one or more financial institutions that are not Ineligible Institutions (each, an “</w:t>
      </w:r>
      <w:r>
        <w:rPr>
          <w:rFonts w:ascii="Arial" w:cs="Arial" w:eastAsia="Arial" w:hAnsi="Arial"/>
          <w:sz w:val="17"/>
          <w:szCs w:val="17"/>
          <w:u w:val="single" w:color="auto"/>
          <w:color w:val="auto"/>
        </w:rPr>
        <w:t>Additional Commitment Lender</w:t>
      </w:r>
      <w:r>
        <w:rPr>
          <w:rFonts w:ascii="Arial" w:cs="Arial" w:eastAsia="Arial" w:hAnsi="Arial"/>
          <w:sz w:val="17"/>
          <w:szCs w:val="17"/>
          <w:color w:val="auto"/>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Company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Maturity Date), to become an Extending Lender. The Administrative Agent may effect such amendments to this Agreement as are reasonably necessary to provide for any such extensions with the consent of the Company but without the consent of any other Lenders.</w:t>
      </w:r>
    </w:p>
    <w:p>
      <w:pPr>
        <w:spacing w:after="0" w:line="187" w:lineRule="exact"/>
        <w:rPr>
          <w:rFonts w:ascii="Arial" w:cs="Arial" w:eastAsia="Arial" w:hAnsi="Arial"/>
          <w:sz w:val="17"/>
          <w:szCs w:val="17"/>
          <w:color w:val="auto"/>
        </w:rPr>
      </w:pPr>
    </w:p>
    <w:p>
      <w:pPr>
        <w:ind w:left="-540" w:right="100" w:firstLine="645"/>
        <w:spacing w:after="0" w:line="257" w:lineRule="auto"/>
        <w:tabs>
          <w:tab w:leader="none" w:pos="76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Effective Date of Extension</w:t>
      </w:r>
      <w:r>
        <w:rPr>
          <w:rFonts w:ascii="Arial" w:cs="Arial" w:eastAsia="Arial" w:hAnsi="Arial"/>
          <w:sz w:val="18"/>
          <w:szCs w:val="18"/>
          <w:color w:val="auto"/>
        </w:rPr>
        <w:t>. Effective as of the applicable Extension Date, the Maturity Date of each Extending Lender and of each Additional Commitment Lender shall be extended to 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188" w:lineRule="exact"/>
        <w:rPr>
          <w:rFonts w:ascii="Arial" w:cs="Arial" w:eastAsia="Arial" w:hAnsi="Arial"/>
          <w:sz w:val="18"/>
          <w:szCs w:val="18"/>
          <w:color w:val="auto"/>
        </w:rPr>
      </w:pPr>
    </w:p>
    <w:p>
      <w:pPr>
        <w:ind w:left="-540" w:right="100" w:firstLine="645"/>
        <w:spacing w:after="0" w:line="264" w:lineRule="auto"/>
        <w:tabs>
          <w:tab w:leader="none" w:pos="76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Notwithstanding the foregoing, (x) no more than two (2) extensions of the Maturity Date shall be permitted hereunder and (y) any extension of any Maturity Date pursuant to this Section 2.21 shall not be effective with respect to any Extending Lender unless:</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71" w:name="page72"/>
    <w:bookmarkEnd w:id="71"/>
    <w:p>
      <w:pPr>
        <w:ind w:left="1300" w:right="140" w:firstLine="653"/>
        <w:spacing w:after="0" w:line="277" w:lineRule="auto"/>
        <w:tabs>
          <w:tab w:leader="none" w:pos="2618"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applicable Extension Date and immediately after giving effect thereto;</w:t>
      </w:r>
    </w:p>
    <w:p>
      <w:pPr>
        <w:spacing w:after="0" w:line="170" w:lineRule="exact"/>
        <w:rPr>
          <w:rFonts w:ascii="Arial" w:cs="Arial" w:eastAsia="Arial" w:hAnsi="Arial"/>
          <w:sz w:val="18"/>
          <w:szCs w:val="18"/>
          <w:color w:val="auto"/>
        </w:rPr>
      </w:pPr>
    </w:p>
    <w:p>
      <w:pPr>
        <w:ind w:left="1300" w:right="100" w:firstLine="653"/>
        <w:spacing w:after="0" w:line="257" w:lineRule="auto"/>
        <w:tabs>
          <w:tab w:leader="none" w:pos="262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(excluding the representations and warranties set forth in Sections 3.04(b) and 3.06(a)) are true and correct in all material respects (or, in the case of any representation or warranty qualified by materiality or Material Adverse Effect, in all respects) on and as of the applicable Extension Date and after giving effect thereto, as though made on and as of such date (or, if any such representation or warranty is expressly stated to have been made as of a specific date, as of such specific date); and</w:t>
      </w:r>
    </w:p>
    <w:p>
      <w:pPr>
        <w:spacing w:after="0" w:line="188" w:lineRule="exact"/>
        <w:rPr>
          <w:rFonts w:ascii="Arial" w:cs="Arial" w:eastAsia="Arial" w:hAnsi="Arial"/>
          <w:sz w:val="18"/>
          <w:szCs w:val="18"/>
          <w:color w:val="auto"/>
        </w:rPr>
      </w:pPr>
    </w:p>
    <w:p>
      <w:pPr>
        <w:ind w:left="1300" w:right="100" w:firstLine="653"/>
        <w:spacing w:after="0" w:line="297" w:lineRule="auto"/>
        <w:tabs>
          <w:tab w:leader="none" w:pos="2637"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the Company signed by a Responsible Officer of the Company, delivered on behalf of the Company, (A) certifying the accuracy of the foregoing clause (i) and (B) certifying and attaching the resolutions adopted by each Borrower approving or consenting to such extension (or to the extent the resolutions delivered on the Effective Date approve such matters, a certification from the Borrowers (or the Company on behalf of the Borrowers) that the resolutions delivered on the Effective Date remain in full force and effect and have not been amended or otherwise modified since the adoption thereof).</w:t>
      </w:r>
    </w:p>
    <w:p>
      <w:pPr>
        <w:spacing w:after="0" w:line="158" w:lineRule="exact"/>
        <w:rPr>
          <w:rFonts w:ascii="Arial" w:cs="Arial" w:eastAsia="Arial" w:hAnsi="Arial"/>
          <w:sz w:val="16"/>
          <w:szCs w:val="16"/>
          <w:color w:val="auto"/>
        </w:rPr>
      </w:pPr>
    </w:p>
    <w:p>
      <w:pPr>
        <w:ind w:left="660" w:firstLine="645"/>
        <w:spacing w:after="0" w:line="272" w:lineRule="auto"/>
        <w:tabs>
          <w:tab w:leader="none" w:pos="197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Maturity Date for Non-Extending Lenders</w:t>
      </w:r>
      <w:r>
        <w:rPr>
          <w:rFonts w:ascii="Arial" w:cs="Arial" w:eastAsia="Arial" w:hAnsi="Arial"/>
          <w:sz w:val="17"/>
          <w:szCs w:val="17"/>
          <w:color w:val="auto"/>
        </w:rPr>
        <w:t>. On the Maturity Date of each Non-Extending Lender, (i) the Commitment of each Non-Extending Lender shall automatically terminate and (ii) the Company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shall supersede any provisions in Section 2.18 or Section 9.02 to the contrary.</w:t>
      </w:r>
    </w:p>
    <w:p>
      <w:pPr>
        <w:spacing w:after="0" w:line="225"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any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by such Borrower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8"/>
          <w:szCs w:val="18"/>
          <w:color w:val="auto"/>
        </w:rPr>
        <w:t>may be, against such loss, and if the amount of the specified currency so purchased exceeds (a) the sum originally due to any Lender or the Administrative Agent by such Borrower, as the case may be, in the specified currency and (b) any amounts shared with other Lenders relating to amounts owed by such Borrower as a result of allocations of such excess as a disproportionate payment to such Lender under Section 2.18, such Lender or the Administrative Agent, as the case may be, agrees to remit such excess to such Borrower.</w:t>
      </w:r>
    </w:p>
    <w:p>
      <w:pPr>
        <w:spacing w:after="0" w:line="187"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u w:val="single" w:color="auto"/>
          <w:color w:val="auto"/>
        </w:rPr>
        <w:t>Designation of Subsidiary Borrowers</w:t>
      </w:r>
      <w:r>
        <w:rPr>
          <w:rFonts w:ascii="Arial" w:cs="Arial" w:eastAsia="Arial" w:hAnsi="Arial"/>
          <w:sz w:val="16"/>
          <w:szCs w:val="16"/>
          <w:color w:val="auto"/>
        </w:rPr>
        <w:t xml:space="preserve">. (a) On the Effective Date, and subject to the satisfaction of the conditions set forth in Section 4.01, the Initial Subsidiary Borrowers shall become Subsidiary Borrowers party to this Agreement until the Company shall have executed and delivered to the Administrative Agent a Borrowing Subsidiary Termination with respect to any such Subsidiary in accordance with the terms and conditions of this Section 2.23, whereupon such Subsidiary shall cease to be a Subsidiary Borrower and a party to this Agreement or any other Loan Document. After the Effective Date, the Company may at any time and from time to time designate any Eligible Subsidiary as a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Borrowing Subsidiary Termination with respect to such Subsidiary, whereupon such Subsidiary shall cease to be a Subsidiary Borrower and a party to this Agreement. Notwithstanding the preceding sentence, no Borrowing Subsidiary Termination will become effective as to any Subsidiary Borrower at a time when any principal of or interest on any Loan to such Borrower shall be outstanding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Borrowing Subsidiary Termination shall be effective to terminate the right of such Subsidiary Borrower to make further Borrowings under this Agreement. As soon as practicable upon receipt of a Borrowing Subsidiary Agreement, the Administrative Agent shall furnish a copy thereof to each Lender. Each Subsidiary of the Company that is or becomes a Subsidiary Borrower pursuant to this Section 2.23 hereby irrevocably appoints the Company as its non-exclusive agent for all purposes relevant to this Agreement and each of the other Loan Documents, including (i) the giving and receipt of notices, (ii) the execution and delivery of all documents, instruments and certificates contemplated herein and all modifications hereto (other than any Borrowing Request, Interest Election Request, request for Swingline Loans, request for the issuance, amendment, renewal or extension of a Letter of Credit or prepayment notice), and (iii) the receipt of the proceeds of any Loans made by the Lenders to any such Subsidiary Borrower hereunder, but such appointment does not limit the right of each Subsidiary Borrower to take these actions directly for its own account; provided that in the event that the Administrative Agent shall receive conflicting instructions from the Company and a Subsidiary Borrower, the Administrative Agent shall follow the instruction of the Company.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provided that any such appointment by a Subsidiary Borrower and any actions taken by the Company in such capacity shall be subject in all respects to Section 2.23(b). Subject to Section 2.23(b), any notice, demand, consent, acknowledgement, direction, certification or other communication delivered to the Company in accordance with the terms of this Agreement shall be deemed to have been delivered to each Subsidiary Borrower.</w:t>
      </w:r>
    </w:p>
    <w:p>
      <w:pPr>
        <w:spacing w:after="0" w:line="3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Notwithstanding anything set forth herein or in any other Loan Document to the contrary, (i) other than as expressly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solely with respect to the Company, the parties hereto agree that the Obligations of the Borrowers are several in nature (and not the joint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Borrowers), including any obligations of Borrowers hereunder to make payments of principal and interest regarding the Loans, and (ii) the parties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Subsidiary Borrowers are not obligated to pay or otherwise liable for, and do not guaranty, collaterally support or otherwise have any responsibility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620"/>
        <w:spacing w:after="0" w:line="277" w:lineRule="auto"/>
        <w:rPr>
          <w:sz w:val="20"/>
          <w:szCs w:val="20"/>
          <w:color w:val="auto"/>
        </w:rPr>
      </w:pPr>
      <w:r>
        <w:rPr>
          <w:rFonts w:ascii="Arial" w:cs="Arial" w:eastAsia="Arial" w:hAnsi="Arial"/>
          <w:sz w:val="18"/>
          <w:szCs w:val="18"/>
          <w:color w:val="auto"/>
        </w:rPr>
        <w:t>such case, either directly or indirectly, whether as a primary obligor, guarantor, indemnitor or otherwise) with respect to, any Obligations or Specified Ancillary Obligations of the Company, any Subsidiary Guarantor or any other Subsidiary Borrower.</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 Notwithstanding any provision of this Agreement to the contrary, if any Lender becomes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211" w:lineRule="exact"/>
        <w:rPr>
          <w:sz w:val="20"/>
          <w:szCs w:val="20"/>
          <w:color w:val="auto"/>
        </w:rPr>
      </w:pPr>
    </w:p>
    <w:p>
      <w:pPr>
        <w:ind w:left="1940" w:hanging="635"/>
        <w:spacing w:after="0"/>
        <w:tabs>
          <w:tab w:leader="none" w:pos="1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2.12(a);</w:t>
      </w:r>
    </w:p>
    <w:p>
      <w:pPr>
        <w:spacing w:after="0" w:line="236" w:lineRule="exact"/>
        <w:rPr>
          <w:rFonts w:ascii="Arial" w:cs="Arial" w:eastAsia="Arial" w:hAnsi="Arial"/>
          <w:sz w:val="17"/>
          <w:szCs w:val="17"/>
          <w:color w:val="auto"/>
        </w:rPr>
      </w:pPr>
    </w:p>
    <w:p>
      <w:pPr>
        <w:ind w:left="660" w:firstLine="645"/>
        <w:spacing w:after="0" w:line="284" w:lineRule="auto"/>
        <w:tabs>
          <w:tab w:leader="none" w:pos="19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Issuing Banks 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relevant Issuing Bank’s LC Exposure with respect to such Defaulting Lender in accordance with this Section;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relevant Issuing Bank’s future LC Exposure with respect to such Defaulting Lender with respect to future Letters of Credit issued under this Agreement, in accordance with this Section;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Document;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left="-540" w:right="140" w:firstLine="645"/>
        <w:spacing w:after="0" w:line="302" w:lineRule="auto"/>
        <w:tabs>
          <w:tab w:leader="none" w:pos="7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54" w:lineRule="exact"/>
        <w:rPr>
          <w:rFonts w:ascii="Arial" w:cs="Arial" w:eastAsia="Arial" w:hAnsi="Arial"/>
          <w:sz w:val="16"/>
          <w:szCs w:val="16"/>
          <w:color w:val="auto"/>
        </w:rPr>
      </w:pPr>
    </w:p>
    <w:p>
      <w:pPr>
        <w:ind w:left="760" w:hanging="655"/>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25" w:lineRule="exact"/>
        <w:rPr>
          <w:rFonts w:ascii="Arial" w:cs="Arial" w:eastAsia="Arial" w:hAnsi="Arial"/>
          <w:sz w:val="18"/>
          <w:szCs w:val="18"/>
          <w:color w:val="auto"/>
        </w:rPr>
      </w:pPr>
    </w:p>
    <w:p>
      <w:pPr>
        <w:ind w:left="100" w:right="20" w:firstLine="653"/>
        <w:spacing w:after="0" w:line="276" w:lineRule="auto"/>
        <w:tabs>
          <w:tab w:leader="none" w:pos="1418"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to the extent that (A) no Default or Event of Default shall be continuing at the time of such reallocation and (B) the sum of all non-Defaulting Lenders’ Revolving Credit Exposures plus such Defaulting Lender’s Swingline Exposure and LC Exposure does not exceed the total of all non-Defaulting Lenders’ Commitments;</w:t>
      </w:r>
    </w:p>
    <w:p>
      <w:pPr>
        <w:spacing w:after="0" w:line="172" w:lineRule="exact"/>
        <w:rPr>
          <w:rFonts w:ascii="Arial" w:cs="Arial" w:eastAsia="Arial" w:hAnsi="Arial"/>
          <w:sz w:val="17"/>
          <w:szCs w:val="17"/>
          <w:color w:val="auto"/>
        </w:rPr>
      </w:pPr>
    </w:p>
    <w:p>
      <w:pPr>
        <w:ind w:left="1440" w:hanging="687"/>
        <w:spacing w:after="0"/>
        <w:tabs>
          <w:tab w:leader="none" w:pos="14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Company shall within one</w:t>
      </w:r>
    </w:p>
    <w:p>
      <w:pPr>
        <w:spacing w:after="0" w:line="46" w:lineRule="exact"/>
        <w:rPr>
          <w:rFonts w:ascii="Arial" w:cs="Arial" w:eastAsia="Arial" w:hAnsi="Arial"/>
          <w:sz w:val="16"/>
          <w:szCs w:val="16"/>
          <w:color w:val="auto"/>
        </w:rPr>
      </w:pPr>
    </w:p>
    <w:p>
      <w:pPr>
        <w:ind w:left="1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 Business Day following notice by the Administrative Agent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such Swingline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cash collateralize for the benefit of each relevant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9" w:lineRule="exact"/>
        <w:rPr>
          <w:rFonts w:ascii="Arial" w:cs="Arial" w:eastAsia="Arial" w:hAnsi="Arial"/>
          <w:sz w:val="16"/>
          <w:szCs w:val="16"/>
          <w:color w:val="auto"/>
        </w:rPr>
      </w:pPr>
    </w:p>
    <w:p>
      <w:pPr>
        <w:jc w:val="both"/>
        <w:ind w:left="100" w:right="220" w:firstLine="653"/>
        <w:spacing w:after="0" w:line="286" w:lineRule="auto"/>
        <w:tabs>
          <w:tab w:leader="none" w:pos="1437"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65" w:lineRule="exact"/>
        <w:rPr>
          <w:rFonts w:ascii="Arial" w:cs="Arial" w:eastAsia="Arial" w:hAnsi="Arial"/>
          <w:sz w:val="17"/>
          <w:szCs w:val="17"/>
          <w:color w:val="auto"/>
        </w:rPr>
      </w:pPr>
    </w:p>
    <w:p>
      <w:pPr>
        <w:ind w:left="100" w:right="120" w:firstLine="653"/>
        <w:spacing w:after="0" w:line="264" w:lineRule="auto"/>
        <w:tabs>
          <w:tab w:leader="none" w:pos="1413"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81" w:lineRule="exact"/>
        <w:rPr>
          <w:rFonts w:ascii="Arial" w:cs="Arial" w:eastAsia="Arial" w:hAnsi="Arial"/>
          <w:sz w:val="18"/>
          <w:szCs w:val="18"/>
          <w:color w:val="auto"/>
        </w:rPr>
      </w:pPr>
    </w:p>
    <w:p>
      <w:pPr>
        <w:ind w:left="100" w:right="240" w:firstLine="653"/>
        <w:spacing w:after="0" w:line="279" w:lineRule="auto"/>
        <w:tabs>
          <w:tab w:leader="none" w:pos="1404"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171" w:lineRule="exact"/>
        <w:rPr>
          <w:rFonts w:ascii="Arial" w:cs="Arial" w:eastAsia="Arial" w:hAnsi="Arial"/>
          <w:sz w:val="17"/>
          <w:szCs w:val="17"/>
          <w:color w:val="auto"/>
        </w:rPr>
      </w:pPr>
    </w:p>
    <w:p>
      <w:pPr>
        <w:jc w:val="both"/>
        <w:ind w:left="-540" w:right="360" w:firstLine="645"/>
        <w:spacing w:after="0" w:line="302" w:lineRule="auto"/>
        <w:tabs>
          <w:tab w:leader="none" w:pos="7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2.24(d), and Swingline Exposure related to any such newly made Swingline Loan or LC</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75" w:name="page76"/>
    <w:bookmarkEnd w:id="75"/>
    <w:p>
      <w:pPr>
        <w:ind w:left="660" w:right="380"/>
        <w:spacing w:after="0" w:line="277" w:lineRule="auto"/>
        <w:rPr>
          <w:sz w:val="20"/>
          <w:szCs w:val="20"/>
          <w:color w:val="auto"/>
        </w:rPr>
      </w:pPr>
      <w:r>
        <w:rPr>
          <w:rFonts w:ascii="Arial" w:cs="Arial" w:eastAsia="Arial" w:hAnsi="Arial"/>
          <w:sz w:val="18"/>
          <w:szCs w:val="18"/>
          <w:color w:val="auto"/>
        </w:rPr>
        <w:t>Exposure related to any newly issued or increased Letter of Credit shall be allocated among non-Defaulting Lenders in a manner consistent with Section 2.24(d)(i) (and such Defaulting Lender shall not participate therein).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(i) a Bankruptcy Event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reasonably satisfactory to the Swingline Lender or such Issuing Bank, as the case may be, to defease any risk to it in respect of such Lender hereunder.</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on behalf of itself and its Subsidiaries, and each Subsidiary Borrower, solely with respect to itself, severally represent and warrant to the Lenders that:</w:t>
      </w:r>
    </w:p>
    <w:p>
      <w:pPr>
        <w:spacing w:after="0" w:line="170" w:lineRule="exact"/>
        <w:rPr>
          <w:sz w:val="20"/>
          <w:szCs w:val="20"/>
          <w:color w:val="auto"/>
        </w:rPr>
      </w:pPr>
    </w:p>
    <w:p>
      <w:pPr>
        <w:ind w:right="80" w:firstLine="1297"/>
        <w:spacing w:after="0" w:line="26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 Subsidiaries</w:t>
      </w:r>
      <w:r>
        <w:rPr>
          <w:rFonts w:ascii="Arial" w:cs="Arial" w:eastAsia="Arial" w:hAnsi="Arial"/>
          <w:sz w:val="17"/>
          <w:szCs w:val="17"/>
          <w:color w:val="auto"/>
        </w:rPr>
        <w:t xml:space="preserve">. Each of the Loan Parties and the Material Subsidiaries (a) is duly organized or incorporated, as the case may be, validly existing and in good standing (to the extent the concept is applicable in such jurisdiction) under the laws of the jurisdiction of its organization or incorporation (as applicable), (b) has all requisite organizational power and authority to carry on its business as now conducted and (c) is qualified to do business in, and (to the extent the concept is applicable in such jurisdiction) is in good standing in, every jurisdiction where its ownership, lease or operation of properties or the conduct of its business requires such qualification, in any such case of clauses (a) (solely with respect to the good standing status of any such Subsidiary that is not a Loan Party), (b) (solely with respect to the power and authority of any such Subsidiary that is not a Loan Party) and (c), except where the failure to do so could not reasonably be expected to result in a Material Adverse Effect.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hereto identifies each Subsidiary as of the Effective Date, noting whether such Subsidiary is a Material Domestic Subsidiary and/or a Material Subsidiary as of the Effective Date, the jurisdiction of its incorporation or organization, as the case may be, the percentage of issued and outstanding shares of each class of its capital stock or other equity interests owned by the Company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each Subsidiary Borrower and Material Subsidiary are validly issued and outstanding and fully paid and nonassessable and all such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right="20"/>
        <w:spacing w:after="0" w:line="255" w:lineRule="auto"/>
        <w:rPr>
          <w:sz w:val="20"/>
          <w:szCs w:val="20"/>
          <w:color w:val="auto"/>
        </w:rPr>
      </w:pPr>
      <w:r>
        <w:rPr>
          <w:rFonts w:ascii="Arial" w:cs="Arial" w:eastAsia="Arial" w:hAnsi="Arial"/>
          <w:sz w:val="18"/>
          <w:szCs w:val="18"/>
          <w:color w:val="auto"/>
        </w:rPr>
        <w:t xml:space="preserve">and other equity interests indicated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as owned by the Company or another Subsidiary are owned, beneficially and of record, by the Company or any Subsidiary as of the Effective Date free and clear of all Liens, other than Liens permitted pursuant to Section 6.02. Each Subsidiary Borrower organized or incorporated under the laws of a European Union jurisdiction shall cause its centre of main interests (as that term is used in Article 3(1) of the Regulation) to be situated in such jurisdiction (or in any Eligible Foreign Jurisdiction) for the purposes of the Regulation, unless failure to do so could not reasonably be expected to have a material adverse effect on the rights of the Lenders or the Administrative Agent in any enforcement or insolvency proceedings relating to any Loan Document.</w:t>
      </w:r>
    </w:p>
    <w:p>
      <w:pPr>
        <w:spacing w:after="0" w:line="193"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organizational powers and have been duly authorized by all necessary organizational actions and, if required, actions by equity holders of such Loan Party. The Loan Documents to which each Loan Party is a party have been duly executed and delivered by such Loan Party and constitute a legal, valid and binding obligation of such Loan Party, enforceable against such Loan Party in accordance with its terms, subject to (a)(i) applicable bankruptcy, insolvency, examinership, reorganization, moratorium or other laws affecting creditors’ rights generally, (ii) general principles of equity, regardless of whether considered in a proceeding in equity or at law and</w:t>
      </w:r>
    </w:p>
    <w:p>
      <w:pPr>
        <w:spacing w:after="0" w:line="2"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requirements of reasonableness, good faith and fair dealing and (b) solely with respect to any Foreign Subsidiary, (i) the time barring of claims under</w:t>
      </w:r>
    </w:p>
    <w:p>
      <w:pPr>
        <w:spacing w:after="0" w:line="32"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applicable legislation, (ii) defenses of set-off or counterclaim, (iii) other matters which are set out as qualifications or reservations as to matters of general law in any legal opinion in respect of any Loan Document delivered to the Administrative Agent or the Lenders and (iv) the making of registrations, filings, endorsements, notarizations, stampings and/or notifications, if any, of the Loan Documents as described in any legal opinion delivered to the Administrative Agent or the Lenders.</w:t>
      </w:r>
    </w:p>
    <w:p>
      <w:pPr>
        <w:spacing w:after="0" w:line="190"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(b) will not violate in any material respect any applicable material law or regulation or the charter, by-laws, constitution or other organizational documents of any Loan Party or any Material Subsidiary or any material order of any Governmental Authority binding upon any Loan Party or any of the Material Subsidiaries or its assets, (c) will not violate in any material respect or result in a default under any indenture, material agreement or other material instrument binding upon the Company or any of its Material Subsidiaries or its assets, or give rise to a right thereunder to require any payment to be made by the Company or any of its Material Subsidiaries, except, in the case of this clause (c), for any such violations, defaults or rights that could not reasonably be expected to result in a Material Adverse Effect, and (d) will not result in the creation or imposition of any Lien on any asset of the Company or any of its Material Subsidiaries, other than Liens (if any) permitted by Section 6.02(a). There is no works council with jurisdiction over the Transactions as envisaged by any Loan Document to which a Dutch Subsidiary Borrower is a party and there is no obligation for such Dutch Subsidiary Borrower to establish a works council pursuant to the Works Council Act (</w:t>
      </w:r>
      <w:r>
        <w:rPr>
          <w:rFonts w:ascii="Arial" w:cs="Arial" w:eastAsia="Arial" w:hAnsi="Arial"/>
          <w:sz w:val="16"/>
          <w:szCs w:val="16"/>
          <w:i w:val="1"/>
          <w:iCs w:val="1"/>
          <w:color w:val="auto"/>
        </w:rPr>
        <w:t>Wet op de Ondernemingsraden</w:t>
      </w:r>
      <w:r>
        <w:rPr>
          <w:rFonts w:ascii="Arial" w:cs="Arial" w:eastAsia="Arial" w:hAnsi="Arial"/>
          <w:sz w:val="16"/>
          <w:szCs w:val="16"/>
          <w:color w:val="auto"/>
        </w:rPr>
        <w:t>).</w:t>
      </w:r>
    </w:p>
    <w:p>
      <w:pPr>
        <w:spacing w:after="0" w:line="17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 (a) The Company has heretofore furnished to the Lenders its consolidated balance sheet and statements of operations, stockholders equity and cash flows as of and for the fiscal year ended December 31, 2017 reported on by PricewaterhouseCoopers LLP, independent public accountants. Such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left="660" w:right="500" w:firstLine="645"/>
        <w:spacing w:after="0" w:line="308" w:lineRule="auto"/>
        <w:tabs>
          <w:tab w:leader="none" w:pos="196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of the Effective Date and excluding any Disclosed Matters, since December 31, 2017, there has been no material adverse change in the business, results of operations or financial condition of the Company and its Subsidiaries, taken as a whole.</w:t>
      </w:r>
    </w:p>
    <w:p>
      <w:pPr>
        <w:spacing w:after="0" w:line="14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ind w:left="660" w:right="580" w:firstLine="645"/>
        <w:spacing w:after="0" w:line="286" w:lineRule="auto"/>
        <w:tabs>
          <w:tab w:leader="none" w:pos="1954"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for Liens permitted pursuant to Section 6.02, each of the Company and its Subsidiaries has good title to, or (to the knowledge of the Company) valid leasehold interests in, all its real and personal property (other than intellectual property, which is subject to Section 3.05(b)) material to its business, except as could not reasonably be expected to result in a Material Adverse Effect.</w:t>
      </w:r>
    </w:p>
    <w:p>
      <w:pPr>
        <w:spacing w:after="0" w:line="165" w:lineRule="exact"/>
        <w:rPr>
          <w:rFonts w:ascii="Arial" w:cs="Arial" w:eastAsia="Arial" w:hAnsi="Arial"/>
          <w:sz w:val="17"/>
          <w:szCs w:val="17"/>
          <w:color w:val="auto"/>
        </w:rPr>
      </w:pPr>
    </w:p>
    <w:p>
      <w:pPr>
        <w:ind w:left="660" w:right="160" w:firstLine="645"/>
        <w:spacing w:after="0" w:line="279" w:lineRule="auto"/>
        <w:tabs>
          <w:tab w:leader="none" w:pos="1964"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for Disclosed Matters or as could not reasonably be expected to result in a Material Adverse Effect, (i) each of the Company and its Subsidiaries owns or is licensed to use (subject to the knowledge-qualified infringement representation in this Section 3.05(b)) all trademarks, trade names, copyrights, patents and other intellectual property material to its business, and (ii) the use thereof by the Company and its Subsidiaries, to the Company’s knowledge, does not infringe upon the rights of any other Person.</w:t>
      </w:r>
    </w:p>
    <w:p>
      <w:pPr>
        <w:spacing w:after="0" w:line="17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(a) As of the Effective Date and except for Disclosed Matters, there are no actions, suits, proceedings or investigations by or before any arbitrator or Governmental Authority pending against or, to the knowledge of the Company, threatened in writing against or affecting the Company or any of its Subsidiaries (i) that could reasonably be expected to result in a Material Adverse Effect or (ii) that involve this Agreement or the Transactions.</w:t>
      </w:r>
    </w:p>
    <w:p>
      <w:pPr>
        <w:spacing w:after="0" w:line="187" w:lineRule="exact"/>
        <w:rPr>
          <w:sz w:val="20"/>
          <w:szCs w:val="20"/>
          <w:color w:val="auto"/>
        </w:rPr>
      </w:pPr>
    </w:p>
    <w:p>
      <w:pPr>
        <w:ind w:left="660" w:right="40" w:firstLine="645"/>
        <w:spacing w:after="0" w:line="279" w:lineRule="auto"/>
        <w:tabs>
          <w:tab w:leader="none" w:pos="1964"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with respect to (x) Disclosed Matters and (y) other matters that could not reasonably be expected to result in a Material Adverse Effect, the Company and its Subsidiaries (i) are in compliance with all applicable Environmental Laws (which compliance includes possession of and compliance with all permits, licenses or other approvals required under applicable Environmental Laws), (ii) are not subject to any Environmental Liability or (iii) have not received written notice of any claim with respect to any Environmental Liability.</w:t>
      </w:r>
    </w:p>
    <w:p>
      <w:pPr>
        <w:spacing w:after="0" w:line="17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Company and its Subsidiaries is in compliance with all laws, regulations and orders of any Governmental Authority applicable to it or its property, except (i) for Disclosed Matters or (ii) where the failure to do so could not reasonably be expected to result in a Material Adverse Effect. The entry into this Agreement by the Irish Borrowers and the performance by the Irish Borrowers of the transactions contemplated hereby and the obligations incurred hereunder by the Irish Borrowers does not constitute the provision of financial assistance by the Irish Borrowers within the meaning of Section 82 of the Companies Act, 2014 of Ireland. The prohibition contained in Section 239 of the Companies Act, 2014 of Ireland does not apply to this Agreement or the transactions contemplated thereby by reason of the fact that the Irish Borrowers and each other company whose liabilities are hereby guaranteed are members of a group of companies consisting of a holding company and its subsidiaries within the meaning of Sections 7 and 8 of the Companies Act, 2014 of Ireland.</w:t>
      </w:r>
    </w:p>
    <w:p>
      <w:pPr>
        <w:spacing w:after="0" w:line="179" w:lineRule="exact"/>
        <w:rPr>
          <w:sz w:val="20"/>
          <w:szCs w:val="20"/>
          <w:color w:val="auto"/>
        </w:rPr>
      </w:pPr>
    </w:p>
    <w:p>
      <w:pPr>
        <w:ind w:right="780" w:firstLine="1297"/>
        <w:spacing w:after="0" w:line="34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Neither the Company nor any of its Subsidiaries is required to be registered as an “investment company” as defined in the Investment Company Act of 1940 or subject to regulation as an “investment company” thereunder.</w:t>
      </w:r>
    </w:p>
    <w:p>
      <w:pPr>
        <w:spacing w:after="0" w:line="124"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Company and its Subsidiaries has timely filed or caused to be filed all federal income Tax returns and all other material Tax returns and reports required to have been filed by it and has paid, caused to be paid or made a provision for the payment of, all federal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ind w:right="80"/>
        <w:spacing w:after="0" w:line="264" w:lineRule="auto"/>
        <w:rPr>
          <w:sz w:val="20"/>
          <w:szCs w:val="20"/>
          <w:color w:val="auto"/>
        </w:rPr>
      </w:pPr>
      <w:r>
        <w:rPr>
          <w:rFonts w:ascii="Arial" w:cs="Arial" w:eastAsia="Arial" w:hAnsi="Arial"/>
          <w:sz w:val="18"/>
          <w:szCs w:val="18"/>
          <w:color w:val="auto"/>
        </w:rPr>
        <w:t>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81"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4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All written information (including the information set forth in the Information Memorandum) and all information that is formally presented at a general meeting (which may be a telephonic meeting) of the Lenders (in any such case, other than any projections, estimates, forecasts and other forward-looking information and information of a general economic or industry-specific nature) furnished by or on behalf of the Company or any Subsidiary to the Administrative Agent or any Lender pursuant to or in connection with this Agreement or any other Loan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forecasts or projections of financial information with respect to the Company or any Subsidiary so furnished to the Administrative Agent or any Lender pursuant to or in connection with this Agreement or any other Loan Document, the Company represents only that such information was prepared in good faith based upon assumptions believed by the Company to be reasonable at the time prepared (it being understood by the Administrative Agent and the Lenders that any such projections are not to be viewed as facts and are subject to significant uncertainties and contingencies, many of which are beyond the control of the Company or its Subsidiaries, that no assurances can be given that such projections will be realized and that actual results may differ materially from such projections).</w:t>
      </w:r>
    </w:p>
    <w:p>
      <w:pPr>
        <w:spacing w:after="0" w:line="169"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any Loan have been used or will be used, whether directly or indirectly, for any purpose that entails a violation of any of the Regulations of the Board, including Regulations T, U and X.</w:t>
      </w:r>
    </w:p>
    <w:p>
      <w:pPr>
        <w:spacing w:after="0" w:line="14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has occurred and is continuing.</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policies and is implementing procedures reasonably designed to achieve material compliance by the Company, its Subsidiaries and their respective directors, officers, employees and agents with Anti-Corruption Laws and applicable Sanctions, and the Company, its Subsidiaries and, to the knowledge of the Company, their respective directors, officers, employees and agents, are in compliance with Anti-Corruption Laws and applicable Sanctions in all material respects. None of</w:t>
      </w:r>
    </w:p>
    <w:p>
      <w:pPr>
        <w:spacing w:after="0" w:line="2" w:lineRule="exact"/>
        <w:rPr>
          <w:sz w:val="20"/>
          <w:szCs w:val="20"/>
          <w:color w:val="auto"/>
        </w:rPr>
      </w:pPr>
    </w:p>
    <w:p>
      <w:pPr>
        <w:ind w:right="60" w:firstLine="8"/>
        <w:spacing w:after="0" w:line="254"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has violated any Anti-Corruption Law or applicable Sanctions.</w:t>
      </w:r>
    </w:p>
    <w:p>
      <w:pPr>
        <w:spacing w:after="0" w:line="19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No Borrower is an EEA Financial Institution.</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Dutch Fiscal Unity</w:t>
      </w:r>
      <w:r>
        <w:rPr>
          <w:rFonts w:ascii="Arial" w:cs="Arial" w:eastAsia="Arial" w:hAnsi="Arial"/>
          <w:sz w:val="18"/>
          <w:szCs w:val="18"/>
          <w:color w:val="auto"/>
        </w:rPr>
        <w:t>. Any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corporate income tax (</w:t>
      </w:r>
      <w:r>
        <w:rPr>
          <w:rFonts w:ascii="Arial" w:cs="Arial" w:eastAsia="Arial" w:hAnsi="Arial"/>
          <w:sz w:val="18"/>
          <w:szCs w:val="18"/>
          <w:i w:val="1"/>
          <w:iCs w:val="1"/>
          <w:color w:val="auto"/>
        </w:rPr>
        <w:t>vennootschapsbelasting</w:t>
      </w:r>
      <w:r>
        <w:rPr>
          <w:rFonts w:ascii="Arial" w:cs="Arial" w:eastAsia="Arial" w:hAnsi="Arial"/>
          <w:sz w:val="18"/>
          <w:szCs w:val="18"/>
          <w:color w:val="auto"/>
        </w:rPr>
        <w:t>) or Dutch value added tax (</w:t>
      </w:r>
      <w:r>
        <w:rPr>
          <w:rFonts w:ascii="Arial" w:cs="Arial" w:eastAsia="Arial" w:hAnsi="Arial"/>
          <w:sz w:val="18"/>
          <w:szCs w:val="18"/>
          <w:i w:val="1"/>
          <w:iCs w:val="1"/>
          <w:color w:val="auto"/>
        </w:rPr>
        <w:t>omzetbelasting</w:t>
      </w:r>
      <w:r>
        <w:rPr>
          <w:rFonts w:ascii="Arial" w:cs="Arial" w:eastAsia="Arial" w:hAnsi="Arial"/>
          <w:sz w:val="18"/>
          <w:szCs w:val="18"/>
          <w:color w:val="auto"/>
        </w:rPr>
        <w:t>) purposes of which a Dutch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right="380"/>
        <w:spacing w:after="0" w:line="277" w:lineRule="auto"/>
        <w:rPr>
          <w:sz w:val="20"/>
          <w:szCs w:val="20"/>
          <w:color w:val="auto"/>
        </w:rPr>
      </w:pPr>
      <w:r>
        <w:rPr>
          <w:rFonts w:ascii="Arial" w:cs="Arial" w:eastAsia="Arial" w:hAnsi="Arial"/>
          <w:sz w:val="18"/>
          <w:szCs w:val="18"/>
          <w:color w:val="auto"/>
        </w:rPr>
        <w:t>Loan Party is a member, if any, consists of Dutch Loan Parties only. Each of the Dutch Loan Parties is resident for tax purposes only in its jurisdiction of incorporation.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jc w:val="both"/>
        <w:ind w:right="580" w:firstLine="1297"/>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24" w:lineRule="exact"/>
        <w:rPr>
          <w:sz w:val="20"/>
          <w:szCs w:val="20"/>
          <w:color w:val="auto"/>
        </w:rPr>
      </w:pPr>
    </w:p>
    <w:p>
      <w:pPr>
        <w:ind w:left="660" w:right="20" w:firstLine="645"/>
        <w:spacing w:after="0" w:line="257" w:lineRule="auto"/>
        <w:tabs>
          <w:tab w:leader="none" w:pos="19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Administrative Agent (or its counsel) shall have received (i) from each party hereto either (A) a counterpart of this Agreement signed on behalf of such party or (B) written evidence reasonably satisfactory to the Administrative Agent (which may include telecopy or electronic transmission of a signed signature page to this Agreement) that such party has signed a counterpart of this Agreement and (ii) duly executed copies of the Loan Documents and such other certificates, documents, instruments and agreements, in each case, to the extent described in the list of documents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60" w:firstLine="645"/>
        <w:spacing w:after="0" w:line="257" w:lineRule="auto"/>
        <w:tabs>
          <w:tab w:leader="none" w:pos="1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and the Lenders and dated the Effective Date) of Skadden, Arps Slate, Meagher &amp; Flom LLP, special New York counsel for the Company, in form and substance reasonably satisfactory to the Administrative Agent and covering such customary matters relating to the Loan Parties, the Loan Documents or the Transactions as the Administrative Agent shall reasonably request. The Company and the other Borrowers hereby request such counsels to deliver such opinions.</w:t>
      </w:r>
    </w:p>
    <w:p>
      <w:pPr>
        <w:spacing w:after="0" w:line="188" w:lineRule="exact"/>
        <w:rPr>
          <w:rFonts w:ascii="Arial" w:cs="Arial" w:eastAsia="Arial" w:hAnsi="Arial"/>
          <w:sz w:val="18"/>
          <w:szCs w:val="18"/>
          <w:color w:val="auto"/>
        </w:rPr>
      </w:pPr>
    </w:p>
    <w:p>
      <w:pPr>
        <w:ind w:left="660" w:firstLine="645"/>
        <w:spacing w:after="0" w:line="257" w:lineRule="auto"/>
        <w:tabs>
          <w:tab w:leader="none" w:pos="19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such documents and certificates relating to the organization or incorporation, existence and good standing of the initial Loan Parties in their respective jurisdictions of organization or incorporation (as applicable), the authorization of the Transactions and any other legal matters relating to such Loan Parties, the Loan Documents or the Transactions, all in form and substance reasonably satisfactory to the Administrative Agent and its counsel and as further described in the list of documents identified in Section B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20" w:firstLine="645"/>
        <w:spacing w:after="0" w:line="273" w:lineRule="auto"/>
        <w:tabs>
          <w:tab w:leader="none" w:pos="19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dated the Effective Date and signed by a Responsible Officer of the Company, certifying on behalf of the Company (i) that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and correct in all material respects (or, in the case of any representation or warranty qualified by materiality or Material Adverse Effect,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spacing w:after="0" w:line="178" w:lineRule="exact"/>
        <w:rPr>
          <w:rFonts w:ascii="Arial" w:cs="Arial" w:eastAsia="Arial" w:hAnsi="Arial"/>
          <w:sz w:val="17"/>
          <w:szCs w:val="17"/>
          <w:color w:val="auto"/>
        </w:rPr>
      </w:pPr>
    </w:p>
    <w:p>
      <w:pPr>
        <w:ind w:left="660" w:right="580" w:firstLine="645"/>
        <w:spacing w:after="0" w:line="286" w:lineRule="auto"/>
        <w:tabs>
          <w:tab w:leader="none" w:pos="196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due and payable on or prior to the Effective Date, including, to the extent invoiced at least two (2) Business Days prior to the Effective Date, reimbursement or payment of all reasonable and documented out-of-pocket expenses required to be reimbursed or paid by the Company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jc w:val="both"/>
        <w:ind w:left="660" w:right="540" w:firstLine="645"/>
        <w:spacing w:after="0" w:line="312" w:lineRule="auto"/>
        <w:tabs>
          <w:tab w:leader="none" w:pos="196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the credit facility evidenced by the Existing Credit Agreement shall have been terminated and cancelled and any and all indebtedness thereunder shall have been, or substantially concurrently with the Effective Date will be, fully repaid (except to the extent being so repaid with the initial Revolving Loans).</w:t>
      </w:r>
    </w:p>
    <w:p>
      <w:pPr>
        <w:spacing w:after="0" w:line="146" w:lineRule="exact"/>
        <w:rPr>
          <w:rFonts w:ascii="Arial" w:cs="Arial" w:eastAsia="Arial" w:hAnsi="Arial"/>
          <w:sz w:val="16"/>
          <w:szCs w:val="16"/>
          <w:color w:val="auto"/>
        </w:rPr>
      </w:pPr>
    </w:p>
    <w:p>
      <w:pPr>
        <w:ind w:left="660" w:firstLine="645"/>
        <w:spacing w:after="0" w:line="291" w:lineRule="auto"/>
        <w:tabs>
          <w:tab w:leader="none" w:pos="19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The Administrative Agent shall have received, at least three (3) days prior to the Effective Date, all documentation and other information regarding the Company requested in connection with applicable “know your customer” and anti-money laundering rules and regulations, including the Patriot Act, to the extent requested in writing of the Company at least ten (10) days prior to the Effective Date and (ii) to the extent the Company qualifies as a “legal entity customer” under the Beneficial Ownership Regulation, at least three (3) days prior to the Effective Date, any Lender that has requested, in a written notice to the Company at least ten (10) days prior to the Effective Date, a Beneficial Ownership Certification in relation to the Company shall have received such Beneficial Ownership Certification (provided that, upon the execution and delivery by such Lender of its signature page to this Agreement, the condition set forth in this clause (g) shall be deemed to be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(other than a conversion or continuation of any Loans), and of the Issuing Banks to issue, amend, renew or extend any Letter of Credit, is subject to the satisfaction (or waiver of in accordance with Section 9.02) of the following conditions:</w:t>
      </w:r>
    </w:p>
    <w:p>
      <w:pPr>
        <w:spacing w:after="0" w:line="181" w:lineRule="exact"/>
        <w:rPr>
          <w:sz w:val="20"/>
          <w:szCs w:val="20"/>
          <w:color w:val="auto"/>
        </w:rPr>
      </w:pPr>
    </w:p>
    <w:p>
      <w:pPr>
        <w:ind w:left="660" w:right="40" w:firstLine="645"/>
        <w:spacing w:after="0" w:line="273" w:lineRule="auto"/>
        <w:tabs>
          <w:tab w:leader="none" w:pos="195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Borrowers set forth in this Agreement (excluding the representations and warranties set forth in Sections 3.04(b) and 3.06(a))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78" w:lineRule="exact"/>
        <w:rPr>
          <w:rFonts w:ascii="Arial" w:cs="Arial" w:eastAsia="Arial" w:hAnsi="Arial"/>
          <w:sz w:val="17"/>
          <w:szCs w:val="17"/>
          <w:color w:val="auto"/>
        </w:rPr>
      </w:pPr>
    </w:p>
    <w:p>
      <w:pPr>
        <w:ind w:left="660" w:right="280" w:firstLine="645"/>
        <w:spacing w:after="0" w:line="277" w:lineRule="auto"/>
        <w:tabs>
          <w:tab w:leader="none" w:pos="19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Each Borrowing (other than a conversion or continuation of any Loans) and each issuance, amendment, renewal or extension of a Letter of Credit shall be deemed to constitute a representation and warranty by the Borrowers on the date thereof as to the matters specified in paragraphs (a) and (b) of this Section.</w:t>
      </w:r>
    </w:p>
    <w:p>
      <w:pPr>
        <w:spacing w:after="0" w:line="124"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Designation of a Subsidiary Borrower</w:t>
      </w:r>
      <w:r>
        <w:rPr>
          <w:rFonts w:ascii="Arial" w:cs="Arial" w:eastAsia="Arial" w:hAnsi="Arial"/>
          <w:sz w:val="18"/>
          <w:szCs w:val="18"/>
          <w:color w:val="auto"/>
        </w:rPr>
        <w:t>. After the Effective Date, the designation of a Subsidiary Borrower pursuant to Section 2.23 is subject to the condition precedent that the Company or such proposed Subsidiary Borrower shall have furnished or caused to be furnished to the Administrative Agent:</w:t>
      </w:r>
    </w:p>
    <w:p>
      <w:pPr>
        <w:spacing w:after="0" w:line="181" w:lineRule="exact"/>
        <w:rPr>
          <w:sz w:val="20"/>
          <w:szCs w:val="20"/>
          <w:color w:val="auto"/>
        </w:rPr>
      </w:pPr>
    </w:p>
    <w:p>
      <w:pPr>
        <w:ind w:left="660" w:right="220" w:firstLine="645"/>
        <w:spacing w:after="0" w:line="277" w:lineRule="auto"/>
        <w:tabs>
          <w:tab w:leader="none" w:pos="19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Copies, certified by the Secretary or Assistant Secretary (or other appropriate officer, manager or director) of such Subsidiary, of its Board of Directors’ (or other governing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left="660" w:right="80"/>
        <w:spacing w:after="0" w:line="259" w:lineRule="auto"/>
        <w:rPr>
          <w:sz w:val="20"/>
          <w:szCs w:val="20"/>
          <w:color w:val="auto"/>
        </w:rPr>
      </w:pPr>
      <w:r>
        <w:rPr>
          <w:rFonts w:ascii="Arial" w:cs="Arial" w:eastAsia="Arial" w:hAnsi="Arial"/>
          <w:sz w:val="18"/>
          <w:szCs w:val="18"/>
          <w:color w:val="auto"/>
        </w:rPr>
        <w:t>body’s) resolutions (and, to the extent necessary, shareholder resolutions) approving the Borrowing Subsidiary Agreement and any other Loan Documents to which such Subsidiary is becoming a party and such documents and certificates as the Administrative Agent or its counsel may reasonably request relating to the organization or incorporation, existence and good standing of such Subsidiary in its jurisdiction of organization or incorporation (as applicable);</w:t>
      </w:r>
    </w:p>
    <w:p>
      <w:pPr>
        <w:spacing w:after="0" w:line="187" w:lineRule="exact"/>
        <w:rPr>
          <w:sz w:val="20"/>
          <w:szCs w:val="20"/>
          <w:color w:val="auto"/>
        </w:rPr>
      </w:pPr>
    </w:p>
    <w:p>
      <w:pPr>
        <w:ind w:left="660" w:right="40" w:firstLine="645"/>
        <w:spacing w:after="0" w:line="257" w:lineRule="auto"/>
        <w:tabs>
          <w:tab w:leader="none" w:pos="19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incumbency certificate, certified by the Secretary or Assistant Secretary (or other appropriate officer, manager or director) of such Subsidiary, which shall identify by name and title and bear the signature of the officers, managers, directors and other persons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88" w:lineRule="exact"/>
        <w:rPr>
          <w:rFonts w:ascii="Arial" w:cs="Arial" w:eastAsia="Arial" w:hAnsi="Arial"/>
          <w:sz w:val="18"/>
          <w:szCs w:val="18"/>
          <w:color w:val="auto"/>
        </w:rPr>
      </w:pPr>
    </w:p>
    <w:p>
      <w:pPr>
        <w:ind w:left="660" w:firstLine="645"/>
        <w:spacing w:after="0" w:line="257" w:lineRule="auto"/>
        <w:tabs>
          <w:tab w:leader="none" w:pos="19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Opinions of counsel to such Subsidiary, in form and substance reasonably satisfactory to the Administrative Agent and its counsel, with respect to the laws of its jurisdiction of organization or incorporation (as applicable) and such other customary matters as are reasonably requested by counsel to the Administrative Agent (but, in any case, limited to the types of matters covered in the legal opinions delivered pursuant to Section 4.01, in the case of a jurisdiction of a Borrower in respect of which a legal opinion was delivered pursuant to Section 4.01) and addressed to the Administrative Agent and the Lenders; and</w:t>
      </w:r>
    </w:p>
    <w:p>
      <w:pPr>
        <w:spacing w:after="0" w:line="188"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promissory notes requested by any Lender pursuant to Section 2.10(e), and any other instruments and documents reasonably requested by the Administrative Agent.</w:t>
      </w:r>
    </w:p>
    <w:p>
      <w:pPr>
        <w:spacing w:after="0" w:line="170" w:lineRule="exact"/>
        <w:rPr>
          <w:rFonts w:ascii="Arial" w:cs="Arial" w:eastAsia="Arial" w:hAnsi="Arial"/>
          <w:sz w:val="18"/>
          <w:szCs w:val="18"/>
          <w:color w:val="auto"/>
        </w:rPr>
      </w:pPr>
    </w:p>
    <w:p>
      <w:pPr>
        <w:ind w:left="660" w:right="100" w:firstLine="645"/>
        <w:spacing w:after="0" w:line="257" w:lineRule="auto"/>
        <w:tabs>
          <w:tab w:leader="none" w:pos="19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documentation and other information that is reasonably requested by the Administrative Agent or any of the Lenders (acting through the Administrative Agent) in connection with requirements by regulatory authorities under applicable “know-your-customer” and anti-money laundering rules and regulations, including the Patriot Act and the Beneficial Ownership Regulation; provided that any such request shall be made no later than three (3) Business Days after written notice by the Company to the Administrative Agent of such designation pursuant to Section 2.23.</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due and payable hereunder shall have been paid in full (other than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spacing w:after="0" w:line="15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Company will furnish to the Administrative Agent for distribution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11" w:lineRule="exact"/>
        <w:rPr>
          <w:sz w:val="20"/>
          <w:szCs w:val="20"/>
          <w:color w:val="auto"/>
        </w:rPr>
      </w:pPr>
    </w:p>
    <w:p>
      <w:pPr>
        <w:ind w:left="660" w:right="200" w:firstLine="645"/>
        <w:spacing w:after="0" w:line="264" w:lineRule="auto"/>
        <w:tabs>
          <w:tab w:leader="none" w:pos="19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right="140"/>
        <w:spacing w:after="0" w:line="297" w:lineRule="auto"/>
        <w:rPr>
          <w:sz w:val="20"/>
          <w:szCs w:val="20"/>
          <w:color w:val="auto"/>
        </w:rPr>
      </w:pPr>
      <w:r>
        <w:rPr>
          <w:rFonts w:ascii="Arial" w:cs="Arial" w:eastAsia="Arial" w:hAnsi="Arial"/>
          <w:sz w:val="16"/>
          <w:szCs w:val="16"/>
          <w:color w:val="auto"/>
        </w:rPr>
        <w:t>the period covered thereby (except as otherwise expressly noted therein), with such audited balance sheet and related consolidated financial statements reported on by PricewaterhouseCoopers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spacing w:after="0" w:line="158" w:lineRule="exact"/>
        <w:rPr>
          <w:sz w:val="20"/>
          <w:szCs w:val="20"/>
          <w:color w:val="auto"/>
        </w:rPr>
      </w:pPr>
    </w:p>
    <w:p>
      <w:pPr>
        <w:ind w:firstLine="645"/>
        <w:spacing w:after="0" w:line="271" w:lineRule="auto"/>
        <w:tabs>
          <w:tab w:leader="none" w:pos="13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within forty-five (45) days after the end of each of the first three fiscal quarters of each fiscal year of the Company,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Company by a Financial Officer of the Company as presenting fairly in all material respects the financial position of the Company and its consolidated Subsidiaries as of the end of such fiscal quarter and their results of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178" w:lineRule="exact"/>
        <w:rPr>
          <w:rFonts w:ascii="Arial" w:cs="Arial" w:eastAsia="Arial" w:hAnsi="Arial"/>
          <w:sz w:val="17"/>
          <w:szCs w:val="17"/>
          <w:color w:val="auto"/>
        </w:rPr>
      </w:pPr>
    </w:p>
    <w:p>
      <w:pPr>
        <w:ind w:right="40" w:firstLine="645"/>
        <w:spacing w:after="0" w:line="271" w:lineRule="auto"/>
        <w:tabs>
          <w:tab w:leader="none" w:pos="1307"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of a Financial Officer of the Company, delivered on behalf of the Company, (i) certifying as to whether, to the knowledge of such Financial Officer, a Default has occurred and is continuing and, if a Default has occurred that is continuing, specifying the details thereof and any action taken or proposed to be taken with respect thereto, (ii) setting forth reasonably detailed calculations demonstrating compliance with Section 6.07 and (iii)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3.04 and, if any such change has occurred, specifying the effect of such change on such financial statements accompanying such certificate;</w:t>
      </w:r>
    </w:p>
    <w:p>
      <w:pPr>
        <w:spacing w:after="0" w:line="178" w:lineRule="exact"/>
        <w:rPr>
          <w:rFonts w:ascii="Arial" w:cs="Arial" w:eastAsia="Arial" w:hAnsi="Arial"/>
          <w:sz w:val="17"/>
          <w:szCs w:val="17"/>
          <w:color w:val="auto"/>
        </w:rPr>
      </w:pPr>
    </w:p>
    <w:p>
      <w:pPr>
        <w:ind w:right="40" w:firstLine="645"/>
        <w:spacing w:after="0" w:line="312" w:lineRule="auto"/>
        <w:tabs>
          <w:tab w:leader="none" w:pos="13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annual, regular, periodic and special reports, proxy statements and registration statements (i) filed by the Company with the SEC (or any Governmental Authority succeeding to any or all of the functions of the SEC) or with any national securities exchange, or (ii) distributed by the Company to its shareholders generally, as the case may be;</w:t>
      </w:r>
    </w:p>
    <w:p>
      <w:pPr>
        <w:spacing w:after="0" w:line="146" w:lineRule="exact"/>
        <w:rPr>
          <w:rFonts w:ascii="Arial" w:cs="Arial" w:eastAsia="Arial" w:hAnsi="Arial"/>
          <w:sz w:val="16"/>
          <w:szCs w:val="16"/>
          <w:color w:val="auto"/>
        </w:rPr>
      </w:pPr>
    </w:p>
    <w:p>
      <w:pPr>
        <w:ind w:firstLine="645"/>
        <w:spacing w:after="0" w:line="277"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auto"/>
        </w:rPr>
      </w:pPr>
    </w:p>
    <w:p>
      <w:pPr>
        <w:ind w:right="120" w:firstLine="645"/>
        <w:spacing w:after="0" w:line="257" w:lineRule="auto"/>
        <w:tabs>
          <w:tab w:leader="none" w:pos="13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affairs and financial condition of the Company or any Subsidiary, or compliance with the terms of this Agreement, as the Administrative Agent or any Lender (acting through the Administrative Agent)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83" w:name="page84"/>
    <w:bookmarkEnd w:id="83"/>
    <w:p>
      <w:pPr>
        <w:ind w:right="120"/>
        <w:spacing w:after="0" w:line="291" w:lineRule="auto"/>
        <w:rPr>
          <w:sz w:val="20"/>
          <w:szCs w:val="20"/>
          <w:color w:val="auto"/>
        </w:rPr>
      </w:pPr>
      <w:r>
        <w:rPr>
          <w:rFonts w:ascii="Arial" w:cs="Arial" w:eastAsia="Arial" w:hAnsi="Arial"/>
          <w:sz w:val="16"/>
          <w:szCs w:val="16"/>
          <w:color w:val="auto"/>
        </w:rPr>
        <w:t>Documents required to be delivered pursuant to clauses (a), (b) and (d) of this Section 5.01 (A) may be delivered electronically and (B) shall be deemed to have been delivered on the date on which such documents are (i) filed for public availability on the SEC’s Electronic Data Gathering and Retrieval System,</w:t>
      </w:r>
    </w:p>
    <w:p>
      <w:pPr>
        <w:ind w:firstLine="8"/>
        <w:spacing w:after="0" w:line="254"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posted or the Company provides a link thereto on http://www.regeneron.com or https://investor.regeneron.com or at another website identified in a notice from the Company and accessible by the Lenders without charge; or (iii) delivered to the Administrative Agent for posting on, or otherwise posted on the Company’s behalf on, an Internet or intranet website, if any, to which the Administrative Agent has access (whether a commercial, third-party website or whether sponsored by the Administrative Agent).</w:t>
      </w:r>
    </w:p>
    <w:p>
      <w:pPr>
        <w:spacing w:after="0" w:line="19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Company will furnish to the Administrative Agent (for distribution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of the following, promptly after a Responsible Officer of the Company having actual knowledge thereof:</w:t>
      </w:r>
    </w:p>
    <w:p>
      <w:pPr>
        <w:spacing w:after="0" w:line="211" w:lineRule="exact"/>
        <w:rPr>
          <w:sz w:val="20"/>
          <w:szCs w:val="20"/>
          <w:color w:val="auto"/>
        </w:rPr>
      </w:pPr>
    </w:p>
    <w:p>
      <w:pPr>
        <w:ind w:left="1940" w:hanging="635"/>
        <w:spacing w:after="0"/>
        <w:tabs>
          <w:tab w:leader="none" w:pos="1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660" w:right="240" w:firstLine="645"/>
        <w:spacing w:after="0" w:line="308" w:lineRule="auto"/>
        <w:tabs>
          <w:tab w:leader="none" w:pos="1964"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Company or any Subsidiary thereof that could reasonably be expected to result in a Material Adverse Effect;</w:t>
      </w:r>
    </w:p>
    <w:p>
      <w:pPr>
        <w:spacing w:after="0" w:line="146" w:lineRule="exact"/>
        <w:rPr>
          <w:rFonts w:ascii="Arial" w:cs="Arial" w:eastAsia="Arial" w:hAnsi="Arial"/>
          <w:sz w:val="17"/>
          <w:szCs w:val="17"/>
          <w:color w:val="auto"/>
        </w:rPr>
      </w:pPr>
    </w:p>
    <w:p>
      <w:pPr>
        <w:ind w:left="660" w:right="60" w:firstLine="645"/>
        <w:spacing w:after="0" w:line="277" w:lineRule="auto"/>
        <w:tabs>
          <w:tab w:leader="none" w:pos="19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notice delivered under this Section shall be accompanied by a statement of a Responsible Officer of the Company setting forth in reasonable detail the event or development requiring such notice and any action taken or proposed to be taken with respect thereto. Information required to be delivered pursuant to clause (b), (c) and (d) of this Section shall be deemed to have been delivered if such information, or one or more annual, quarterly, current or other reports containing such information, is (i) filed for public availability on the SEC’s Electronic Data Gathering and Retrieval System, (ii) posted or the Company provides a link thereto on http://www.regeneron.com or https://investor.regeneron.com or at another website identified in a notice from the Company and accessible by the Lenders without charge; or (iii) delivered to the Administrative Agent for posting on, or otherwise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8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93" w:lineRule="auto"/>
        <w:tabs>
          <w:tab w:leader="none" w:pos="1954"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Company will, and will cause each other Loan Party and each of the Material Subsidiaries to, do or cause to be done (i) all things necessary to preserve, renew and keep in full force and effect its legal existence and (ii) take, or cause to be taken, all reasonable actions to maintain the rights, qualifications, licenses, permits, privileges, franchises, governmental authorizations and intellectual property rights material to the conduct of the business of the Company and its Subsidiaries taken as a whole, except, in the case of this clause (ii), to the extent failure to do so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5.03 shall not prohibit any Permitted Restructurings, merger, consolidation, disposition, liquidation, dissolution or other transaction permitted under Section 6.03.</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84" w:name="page85"/>
    <w:bookmarkEnd w:id="84"/>
    <w:p>
      <w:pPr>
        <w:ind w:left="660" w:firstLine="645"/>
        <w:spacing w:after="0" w:line="279" w:lineRule="auto"/>
        <w:tabs>
          <w:tab w:leader="none" w:pos="1964" w:val="left"/>
        </w:tabs>
        <w:numPr>
          <w:ilvl w:val="0"/>
          <w:numId w:val="91"/>
        </w:numPr>
        <w:rPr>
          <w:rFonts w:ascii="Arial" w:cs="Arial" w:eastAsia="Arial" w:hAnsi="Arial"/>
          <w:sz w:val="17"/>
          <w:szCs w:val="17"/>
          <w:color w:val="auto"/>
        </w:rPr>
      </w:pPr>
      <w:r>
        <w:rPr>
          <w:rFonts w:ascii="Arial" w:cs="Arial" w:eastAsia="Arial" w:hAnsi="Arial"/>
          <w:sz w:val="17"/>
          <w:szCs w:val="17"/>
          <w:color w:val="auto"/>
        </w:rPr>
        <w:t>Each Subsidiary Borrower organized or incorporated under the laws of a European Union jurisdiction shall cause its centre of main interests (as that term is used in Article 3(1) of the Regulation) to be situated in such jurisdiction (or in any Eligible Foreign Jurisdiction) for the purposes of the Regulation, unless failure to do so could not reasonably be expected to have a material adverse effect on the rights of the Lenders or the Administrative Agent in any enforcement or insolvency proceedings relating to any Loan Document.</w:t>
      </w:r>
    </w:p>
    <w:p>
      <w:pPr>
        <w:spacing w:after="0" w:line="17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and will cause each of its Subsidiaries to, pay its Tax liabilities that, if not paid, could reasonably be expected to result in a Material Adverse Effect before the same shall become delinquent or in default, except where Taxes that are being contested in good faith by appropriate proceedings and for which the Company or such Subsidiary, as applicable, has set aside on its books adequate reserves in accordance with GAAP.</w:t>
      </w:r>
    </w:p>
    <w:p>
      <w:pPr>
        <w:spacing w:after="0" w:line="18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The Company will, and will cause each of its Subsidiaries to, (a) keep and maintain all tangible property material to the conduct of its business in good working order and condition, ordinary wear and tear and casualty excepted and except (i) pursuant to transactions permitted by Section 6.03 or (ii) where the failure to do so could not reasonably be expected to result in a Material Adverse Effect, and (b) maintain, in all material respects, with carriers reasonably believed by the Company to be financially sound and reputable or through reasonable and adequate self-insurance insurance in such amounts and against such risks and such other hazards, as is customarily maintained by companies engaged in the same or similar businesses under similar circumstances.</w:t>
      </w:r>
    </w:p>
    <w:p>
      <w:pPr>
        <w:spacing w:after="0" w:line="193"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The Company will, and will cause each of its Material Subsidiaries to, keep proper books of record and account in which full, true and correct entries in conformity in all material respects with applicable law are made of all material financial dealings and transactions in relation to its business and activities and, subject to Section 5.01(b), in form permitting financial statements conforming with GAAP or IFRS (as applicable) to be derived therefrom. The Company will, and will cause each of its Subsidiaries to, permit any representatives designated by the Administrative Agent to visit and inspect its properties, to examine and make extracts from its books and records and to discuss its affairs, finances and condition with its Financial Officers and, provided that the Company or such Subsidiary is afforded the opportunity to participate in such discussion, its independent accountants, in any such case, at reasonable times during normal business hours and as often as reasonably requested upon reasonable prior written notice to the Company, and subject to reasonable requirements of confidentiality, including requirements imposed by law or by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has occurred and is continuing, the Company shall not be required to reimburse the Administrative Agent or any of its representatives for fees, costs and expenses in connection with the Administrative Agent’s exercise of such rights set forth in this sentence more than one time in any calendar year. The Company acknowledges that, subject to Section 9.12, the Administrative Agent, after exercising its rights of inspection, may prepare and distribute to the Lenders certain reports pertaining to the Company and its Subsidiaries’ assets for internal use by the Administrative Agent and the Lenders in connection with the transactions contemplated hereby. Notwithstanding anything to the contrary in this Section 5.06 or any other provision of any Loan Document, neither the Company nor any of its Subsidiaries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Lender (or any designated representative) is then prohibited by law, rule or regulation or any agreement binding on the Company or any of its Subsidiaries or (iii) is subject to attorney-client or similar privilege or constitutes attorney work-product.</w:t>
      </w:r>
    </w:p>
    <w:p>
      <w:pPr>
        <w:spacing w:after="0" w:line="191"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of its Subsidiaries to, comply with all laws, rules, regulations and orders of any Governmental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ind w:right="260"/>
        <w:spacing w:after="0" w:line="257" w:lineRule="auto"/>
        <w:rPr>
          <w:sz w:val="20"/>
          <w:szCs w:val="20"/>
          <w:color w:val="auto"/>
        </w:rPr>
      </w:pPr>
      <w:r>
        <w:rPr>
          <w:rFonts w:ascii="Arial" w:cs="Arial" w:eastAsia="Arial" w:hAnsi="Arial"/>
          <w:sz w:val="18"/>
          <w:szCs w:val="18"/>
          <w:color w:val="auto"/>
        </w:rPr>
        <w:t>applicable to it or its property (including without limitation Environmental Laws and, in the case of each Irish Borrower, Section 82 of the Companies Act, 2014 of Ireland), except (i) for Disclosed Matters or (ii) where the failure to do so could not reasonably be expected to result in a Material Adverse Effect. The Company will maintain in effect and enforce policies and is implementing and will maintain procedures reasonably designed to achieve material compliance by the Company, its Subsidiaries and their respective directors, officers, employees and agents with Anti-Corruption Laws and applicable Sanctions.</w:t>
      </w:r>
    </w:p>
    <w:p>
      <w:pPr>
        <w:spacing w:after="0" w:line="188" w:lineRule="exact"/>
        <w:rPr>
          <w:sz w:val="20"/>
          <w:szCs w:val="20"/>
          <w:color w:val="auto"/>
        </w:rPr>
      </w:pPr>
    </w:p>
    <w:p>
      <w:pPr>
        <w:ind w:right="100" w:firstLine="1297"/>
        <w:spacing w:after="0" w:line="25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only to finance the working capital needs, and for general corporate or other lawful purposes, of the Company and its Subsidiaries.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procure that its Subsidiaries and its or their respective directors, officers, employees and agents shall not use, the proceeds of any Borrowing or Letter of Credit (i) for payments to any Person in violation of any Anti-Corruption Laws, (ii) for the purpose of funding, financing or facilitating any activities, business or transaction of or with any Sanctioned Person, or in any Sanctioned Country, in each case, except to the extent permissible for a Person required to comply with Sanctions, or (iii) in any manner that would result in the violation of any Sanctions applicable to any party hereto.</w:t>
      </w:r>
    </w:p>
    <w:p>
      <w:pPr>
        <w:spacing w:after="0" w:line="19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Subsidiary Guaranty</w:t>
      </w:r>
      <w:r>
        <w:rPr>
          <w:rFonts w:ascii="Arial" w:cs="Arial" w:eastAsia="Arial" w:hAnsi="Arial"/>
          <w:sz w:val="17"/>
          <w:szCs w:val="17"/>
          <w:color w:val="auto"/>
        </w:rPr>
        <w:t>. Within forty-five (45) days (or such later date as may be agreed upon by the Administrative Agent) after which financial statements have been delivered pursuant to Section 5.01(a) and any Person qualifies as a Material Domestic Subsidiary pursuant to the definition of “Material Subsidiary” in accordance with the calculations in such financial statements, the Company shall provide the Administrative Agent with written notice thereof and shall cause each such Subsidiary to execute and deliver to the Administrative Agent the Subsidiary Guaranty (or a joinder thereto in the form contemplated thereby) pursuant to which such Subsidiary agrees to be bound by the terms and provisions thereof, such Subsidiary Guaranty (or joinder thereto) to be accompanied by requisite organizational resolutions, other organizational or constitutional documentation and legal opinions as may be reasonably requested by the Administrative Agent (with any such opinion so requested to be in form and substance reasonably satisfactory to the Administrative Agent but, in any case, limited to the types of matters covered in the legal opinions delivered pursuant to Section 4.01). Notwithstanding the foregoing no Excluded Subsidiary shall be required to become a Subsidiary Guarantor.</w:t>
      </w:r>
    </w:p>
    <w:p>
      <w:pPr>
        <w:spacing w:after="0" w:line="182"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Dutch Fiscal Unity</w:t>
      </w:r>
      <w:r>
        <w:rPr>
          <w:rFonts w:ascii="Arial" w:cs="Arial" w:eastAsia="Arial" w:hAnsi="Arial"/>
          <w:sz w:val="16"/>
          <w:szCs w:val="16"/>
          <w:color w:val="auto"/>
        </w:rPr>
        <w:t>. Any fiscal unity (</w:t>
      </w:r>
      <w:r>
        <w:rPr>
          <w:rFonts w:ascii="Arial" w:cs="Arial" w:eastAsia="Arial" w:hAnsi="Arial"/>
          <w:sz w:val="16"/>
          <w:szCs w:val="16"/>
          <w:i w:val="1"/>
          <w:iCs w:val="1"/>
          <w:color w:val="auto"/>
        </w:rPr>
        <w:t>fiscale eenheid</w:t>
      </w:r>
      <w:r>
        <w:rPr>
          <w:rFonts w:ascii="Arial" w:cs="Arial" w:eastAsia="Arial" w:hAnsi="Arial"/>
          <w:sz w:val="16"/>
          <w:szCs w:val="16"/>
          <w:color w:val="auto"/>
        </w:rPr>
        <w:t>) for Dutch corporate income tax (</w:t>
      </w:r>
      <w:r>
        <w:rPr>
          <w:rFonts w:ascii="Arial" w:cs="Arial" w:eastAsia="Arial" w:hAnsi="Arial"/>
          <w:sz w:val="16"/>
          <w:szCs w:val="16"/>
          <w:i w:val="1"/>
          <w:iCs w:val="1"/>
          <w:color w:val="auto"/>
        </w:rPr>
        <w:t>vennootschapsbelasting</w:t>
      </w:r>
      <w:r>
        <w:rPr>
          <w:rFonts w:ascii="Arial" w:cs="Arial" w:eastAsia="Arial" w:hAnsi="Arial"/>
          <w:sz w:val="16"/>
          <w:szCs w:val="16"/>
          <w:color w:val="auto"/>
        </w:rPr>
        <w:t>) or Dutch value added tax (</w:t>
      </w:r>
      <w:r>
        <w:rPr>
          <w:rFonts w:ascii="Arial" w:cs="Arial" w:eastAsia="Arial" w:hAnsi="Arial"/>
          <w:sz w:val="16"/>
          <w:szCs w:val="16"/>
          <w:i w:val="1"/>
          <w:iCs w:val="1"/>
          <w:color w:val="auto"/>
        </w:rPr>
        <w:t>omzetbelasting</w:t>
      </w:r>
      <w:r>
        <w:rPr>
          <w:rFonts w:ascii="Arial" w:cs="Arial" w:eastAsia="Arial" w:hAnsi="Arial"/>
          <w:sz w:val="16"/>
          <w:szCs w:val="16"/>
          <w:color w:val="auto"/>
        </w:rPr>
        <w:t>) purposes of which a Dutch Loan Party is a member, if any, shall consist of Dutch Loan Parties only, unless with the prior consent of the Administrative Agent. Each of the Dutch Loan Parties shall be resident for tax purposes only in its jurisdiction of incorporation.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due and payable hereunder have been paid in full (other than Obligations expressly stated to survive such payment and termination) and all Letters of Credit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ind w:left="1300"/>
        <w:spacing w:after="0"/>
        <w:tabs>
          <w:tab w:leader="none" w:pos="26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The Company will not permit any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940" w:hanging="635"/>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Obligations and any Specified Ancillary Obligations;</w:t>
      </w:r>
    </w:p>
    <w:p>
      <w:pPr>
        <w:spacing w:after="0" w:line="225" w:lineRule="exact"/>
        <w:rPr>
          <w:rFonts w:ascii="Arial" w:cs="Arial" w:eastAsia="Arial" w:hAnsi="Arial"/>
          <w:sz w:val="18"/>
          <w:szCs w:val="18"/>
          <w:color w:val="auto"/>
        </w:rPr>
      </w:pPr>
    </w:p>
    <w:p>
      <w:pPr>
        <w:ind w:left="660" w:right="160" w:firstLine="645"/>
        <w:spacing w:after="0" w:line="259"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any Subsidiary to the Company or any other Subsidiary;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Guarantees by any Subsidiary of Indebtedness or other obligations of the Company or any other Subsidiary;</w:t>
      </w:r>
    </w:p>
    <w:p>
      <w:pPr>
        <w:spacing w:after="0" w:line="225" w:lineRule="exact"/>
        <w:rPr>
          <w:rFonts w:ascii="Arial" w:cs="Arial" w:eastAsia="Arial" w:hAnsi="Arial"/>
          <w:sz w:val="18"/>
          <w:szCs w:val="18"/>
          <w:color w:val="auto"/>
        </w:rPr>
      </w:pPr>
    </w:p>
    <w:p>
      <w:pPr>
        <w:ind w:left="660" w:right="100" w:firstLine="645"/>
        <w:spacing w:after="0" w:line="273" w:lineRule="auto"/>
        <w:tabs>
          <w:tab w:leader="none" w:pos="196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initially incurred prior to or within 180 days after such acquisition or the completion of such construction, repair, replacement, lease or improvement and (ii) the aggregate outstanding principal amount of Indebtedness permitted by this clause (e) shall not exceed $75,000,000 at any time outstanding;</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Indebtedness of any Subsidiary as an account party in respect of letters of credit, bank guarantees, letters of guaranty or similar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instruments;</w:t>
      </w:r>
    </w:p>
    <w:p>
      <w:pPr>
        <w:spacing w:after="0" w:line="210" w:lineRule="exact"/>
        <w:rPr>
          <w:rFonts w:ascii="Arial" w:cs="Arial" w:eastAsia="Arial" w:hAnsi="Arial"/>
          <w:sz w:val="16"/>
          <w:szCs w:val="16"/>
          <w:color w:val="auto"/>
        </w:rPr>
      </w:pPr>
    </w:p>
    <w:p>
      <w:pPr>
        <w:ind w:left="660" w:right="540" w:firstLine="645"/>
        <w:spacing w:after="0" w:line="277" w:lineRule="auto"/>
        <w:tabs>
          <w:tab w:leader="none" w:pos="19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1" w:lineRule="exact"/>
        <w:rPr>
          <w:rFonts w:ascii="Arial" w:cs="Arial" w:eastAsia="Arial" w:hAnsi="Arial"/>
          <w:sz w:val="18"/>
          <w:szCs w:val="18"/>
          <w:color w:val="auto"/>
        </w:rPr>
      </w:pPr>
    </w:p>
    <w:p>
      <w:pPr>
        <w:ind w:left="660" w:firstLine="645"/>
        <w:spacing w:after="0" w:line="286" w:lineRule="auto"/>
        <w:tabs>
          <w:tab w:leader="none" w:pos="1964"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left="1980" w:hanging="675"/>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5.04;</w:t>
      </w:r>
    </w:p>
    <w:p>
      <w:pPr>
        <w:spacing w:after="0" w:line="225" w:lineRule="exact"/>
        <w:rPr>
          <w:rFonts w:ascii="Arial" w:cs="Arial" w:eastAsia="Arial" w:hAnsi="Arial"/>
          <w:sz w:val="18"/>
          <w:szCs w:val="18"/>
          <w:color w:val="auto"/>
        </w:rPr>
      </w:pPr>
    </w:p>
    <w:p>
      <w:pPr>
        <w:ind w:left="660" w:firstLine="645"/>
        <w:spacing w:after="0" w:line="308" w:lineRule="auto"/>
        <w:tabs>
          <w:tab w:leader="none" w:pos="1964"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Indebtedness consisting of (i) deferred payments or financing of insurance premiums incurred in the ordinary course of business of any Subsidiary and (ii) take or pay obligations contained in any supply agreement entered into in the ordinary course of business;</w:t>
      </w:r>
    </w:p>
    <w:p>
      <w:pPr>
        <w:spacing w:after="0" w:line="146" w:lineRule="exact"/>
        <w:rPr>
          <w:rFonts w:ascii="Arial" w:cs="Arial" w:eastAsia="Arial" w:hAnsi="Arial"/>
          <w:sz w:val="17"/>
          <w:szCs w:val="17"/>
          <w:color w:val="auto"/>
        </w:rPr>
      </w:pPr>
    </w:p>
    <w:p>
      <w:pPr>
        <w:ind w:left="660" w:right="20" w:firstLine="645"/>
        <w:spacing w:after="0" w:line="342" w:lineRule="auto"/>
        <w:tabs>
          <w:tab w:leader="none" w:pos="1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Indebtedness representing deferred compensation, severance, pension, and health and welfare retirement benefits or the equivalent to current and former employees of the Company or any Subsidiary incurred in the ordinary course of business or existing on the Effective Date;</w:t>
      </w:r>
    </w:p>
    <w:p>
      <w:pPr>
        <w:spacing w:after="0" w:line="123" w:lineRule="exact"/>
        <w:rPr>
          <w:rFonts w:ascii="Arial" w:cs="Arial" w:eastAsia="Arial" w:hAnsi="Arial"/>
          <w:sz w:val="16"/>
          <w:szCs w:val="16"/>
          <w:color w:val="auto"/>
        </w:rPr>
      </w:pPr>
    </w:p>
    <w:p>
      <w:pPr>
        <w:ind w:left="660" w:right="8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ind w:left="660" w:right="80" w:firstLine="645"/>
        <w:spacing w:after="0" w:line="255"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Priority Indebtedness of any Subsidiary; provided that immediately after giving effect to the incurrence of any such Priority Indebtedness in reliance on this clause (q), the sum of (without duplication) (i) the aggregate principal amount of all such Priority Indebtedness outstanding in reliance on this clause (q),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principal amount of Indebtedness and other obligations of the Company and its Subsidiaries secured by Liens in reliance on Section 6.02(s)(ii) or 6.02(s)(iii) shall not exceed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September 30, 2018);</w:t>
      </w:r>
    </w:p>
    <w:p>
      <w:pPr>
        <w:spacing w:after="0" w:line="189" w:lineRule="exact"/>
        <w:rPr>
          <w:rFonts w:ascii="Arial" w:cs="Arial" w:eastAsia="Arial" w:hAnsi="Arial"/>
          <w:sz w:val="18"/>
          <w:szCs w:val="18"/>
          <w:color w:val="auto"/>
        </w:rPr>
      </w:pPr>
    </w:p>
    <w:p>
      <w:pPr>
        <w:jc w:val="both"/>
        <w:ind w:left="660" w:right="80" w:firstLine="645"/>
        <w:spacing w:after="0" w:line="264" w:lineRule="auto"/>
        <w:tabs>
          <w:tab w:leader="none" w:pos="19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unsecured Indebtedness of any Subsidiary so long as at the time of and immediately after giving effect on a pro forma basis to the incurrence of such Indebtedness (i) no Event of Default shall have occurred and be continuing and (ii) the Company shall be in compliance with the financial covenants set forth in Section 6.07;</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$75,000,000; and</w:t>
      </w:r>
    </w:p>
    <w:p>
      <w:pPr>
        <w:spacing w:after="0" w:line="225" w:lineRule="exact"/>
        <w:rPr>
          <w:rFonts w:ascii="Arial" w:cs="Arial" w:eastAsia="Arial" w:hAnsi="Arial"/>
          <w:sz w:val="18"/>
          <w:szCs w:val="18"/>
          <w:color w:val="auto"/>
        </w:rPr>
      </w:pPr>
    </w:p>
    <w:p>
      <w:pPr>
        <w:ind w:left="660" w:right="120" w:firstLine="645"/>
        <w:spacing w:after="0" w:line="302" w:lineRule="auto"/>
        <w:tabs>
          <w:tab w:leader="none" w:pos="1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Indebtedness assumed by any Subsidiary in connection with any Acquisition or other acquisition of any property or assets or Indebtedness of any Person that becomes a Subsidiary after the Effective Date in a transaction not prohibited hereby, and amendments, modifications, extensions, refinancings, renewals and replacements of any such Indebtedness; provided that (i) such Indebtedness is not incurred in contemplation of such acquisition and (ii) the aggregate outstanding principal amount of such Indebtedness does not exceed $200,000,000.</w:t>
      </w:r>
    </w:p>
    <w:p>
      <w:pPr>
        <w:spacing w:after="0" w:line="15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Subsidiary to, create, incur, assume or permit to exist any Lien on any property or asset now owned or hereafter acquired by it except:</w:t>
      </w:r>
    </w:p>
    <w:p>
      <w:pPr>
        <w:spacing w:after="0" w:line="170" w:lineRule="exact"/>
        <w:rPr>
          <w:sz w:val="20"/>
          <w:szCs w:val="20"/>
          <w:color w:val="auto"/>
        </w:rPr>
      </w:pPr>
    </w:p>
    <w:p>
      <w:pPr>
        <w:ind w:left="1940" w:hanging="635"/>
        <w:spacing w:after="0"/>
        <w:tabs>
          <w:tab w:leader="none" w:pos="19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Liens (if any) created pursuant to any Loan Document including with respect to any obligation to provide cash collateral;</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8" w:name="page89"/>
    <w:bookmarkEnd w:id="88"/>
    <w:p>
      <w:pPr>
        <w:ind w:left="4" w:right="40" w:firstLine="645"/>
        <w:spacing w:after="0" w:line="271" w:lineRule="auto"/>
        <w:tabs>
          <w:tab w:leader="none" w:pos="1311"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the Company or any Subsidiary existing on the date hereof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amendments, modifications, extensions, renewals, refinancings and replacements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or asset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 the amount secured or benefited thereby is not increased (other than as not otherwise prohibited by this Agreement) and amendments, modifications, extensions, refinancings, renewals and replacements thereof that do not increase the outstanding principal amount thereof (other than as not otherwise prohibited by this Agreement);</w:t>
      </w:r>
    </w:p>
    <w:p>
      <w:pPr>
        <w:spacing w:after="0" w:line="178" w:lineRule="exact"/>
        <w:rPr>
          <w:rFonts w:ascii="Arial" w:cs="Arial" w:eastAsia="Arial" w:hAnsi="Arial"/>
          <w:sz w:val="17"/>
          <w:szCs w:val="17"/>
          <w:color w:val="auto"/>
        </w:rPr>
      </w:pPr>
    </w:p>
    <w:p>
      <w:pPr>
        <w:ind w:left="4" w:firstLine="645"/>
        <w:spacing w:after="0" w:line="287" w:lineRule="auto"/>
        <w:tabs>
          <w:tab w:leader="none" w:pos="1308"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or existing on any asset of any Person existing at the time such Person is merged into or consolidated with the Company or a Subsidiary and any amendments, modifications, extensions, renewals and replacements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(iii)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Agreement);</w:t>
      </w:r>
    </w:p>
    <w:p>
      <w:pPr>
        <w:spacing w:after="0" w:line="172" w:lineRule="exact"/>
        <w:rPr>
          <w:rFonts w:ascii="Arial" w:cs="Arial" w:eastAsia="Arial" w:hAnsi="Arial"/>
          <w:sz w:val="16"/>
          <w:szCs w:val="16"/>
          <w:color w:val="auto"/>
        </w:rPr>
      </w:pPr>
    </w:p>
    <w:p>
      <w:pPr>
        <w:ind w:left="4" w:right="120" w:firstLine="645"/>
        <w:spacing w:after="0" w:line="285" w:lineRule="auto"/>
        <w:tabs>
          <w:tab w:leader="none" w:pos="1311"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Liens on assets (including capital leases) acquired (including as a replacement), constructed, repaired, leased or improved by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secure Indebtedness or Capital Lease Obligations of the Company or any Subsidiary permitted by clause (e) of Section 6.01 (or, in the case of the Company, that would have been permitted by clause (e) of Section 6.01 had such Indebtedness or Capital Lease Obligations instead been incurred by a Subsidiary) , (ii) such Liens and the Indebtedness secured thereby are initially incurred prior to or within 180 days after such acquisition or lease or the completion of such construction, replacement, repair or improvement and</w:t>
      </w:r>
    </w:p>
    <w:p>
      <w:pPr>
        <w:spacing w:after="0" w:line="2" w:lineRule="exact"/>
        <w:rPr>
          <w:rFonts w:ascii="Arial" w:cs="Arial" w:eastAsia="Arial" w:hAnsi="Arial"/>
          <w:sz w:val="16"/>
          <w:szCs w:val="16"/>
          <w:color w:val="auto"/>
        </w:rPr>
      </w:pPr>
    </w:p>
    <w:p>
      <w:pPr>
        <w:ind w:left="4" w:right="60" w:hanging="4"/>
        <w:spacing w:after="0" w:line="254" w:lineRule="auto"/>
        <w:tabs>
          <w:tab w:leader="none" w:pos="319"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Liens shall not apply to any other property or assets of the Company or any Subsidiary other than improvements thereon, replacements and products thereof, additions and accessions thereto or proceeds thereof and customary security deposits; provided that individual financings of equipment provided by one lender (or a syndicate of lenders) may be cross-collateralized to other financings of equipment provided by such lender (or syndicate);</w:t>
      </w:r>
    </w:p>
    <w:p>
      <w:pPr>
        <w:spacing w:after="0" w:line="189" w:lineRule="exact"/>
        <w:rPr>
          <w:rFonts w:ascii="Arial" w:cs="Arial" w:eastAsia="Arial" w:hAnsi="Arial"/>
          <w:sz w:val="18"/>
          <w:szCs w:val="18"/>
          <w:color w:val="auto"/>
        </w:rPr>
      </w:pPr>
    </w:p>
    <w:p>
      <w:pPr>
        <w:jc w:val="both"/>
        <w:ind w:left="4" w:firstLine="645"/>
        <w:spacing w:after="0" w:line="264" w:lineRule="auto"/>
        <w:tabs>
          <w:tab w:leader="none" w:pos="13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Liens granted by (i) a Subsidiary that is not a Loan Party in favor of the Company or another Subsidiary in respect of Indebtedness or other obligations owed by such Subsidiary to the Company or such other Subsidiary and (ii) a Loan Party in favor of another Loan Party in respect of Indebtedness or other obligations owed by such Loan Party to such other Loan Party;</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89" w:name="page90"/>
    <w:bookmarkEnd w:id="89"/>
    <w:p>
      <w:pPr>
        <w:ind w:left="4" w:right="200" w:firstLine="645"/>
        <w:spacing w:after="0" w:line="277" w:lineRule="auto"/>
        <w:tabs>
          <w:tab w:leader="none" w:pos="1321"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Company or any of its Subsidiaries the ordinary course of business;</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Liens securing the financing of insurance premiums solely to the extent of such premiums;</w:t>
      </w:r>
    </w:p>
    <w:p>
      <w:pPr>
        <w:spacing w:after="0" w:line="225" w:lineRule="exact"/>
        <w:rPr>
          <w:rFonts w:ascii="Arial" w:cs="Arial" w:eastAsia="Arial" w:hAnsi="Arial"/>
          <w:sz w:val="18"/>
          <w:szCs w:val="18"/>
          <w:color w:val="auto"/>
        </w:rPr>
      </w:pPr>
    </w:p>
    <w:p>
      <w:pPr>
        <w:ind w:left="4" w:right="220" w:firstLine="645"/>
        <w:spacing w:after="0" w:line="259" w:lineRule="auto"/>
        <w:tabs>
          <w:tab w:leader="none" w:pos="1322" w:val="left"/>
        </w:tabs>
        <w:numPr>
          <w:ilvl w:val="1"/>
          <w:numId w:val="97"/>
        </w:numPr>
        <w:rPr>
          <w:rFonts w:ascii="Arial" w:cs="Arial" w:eastAsia="Arial" w:hAnsi="Arial"/>
          <w:sz w:val="18"/>
          <w:szCs w:val="18"/>
          <w:color w:val="auto"/>
        </w:rPr>
      </w:pPr>
      <w:r>
        <w:rPr>
          <w:rFonts w:ascii="Arial" w:cs="Arial" w:eastAsia="Arial" w:hAnsi="Arial"/>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6" w:lineRule="exact"/>
        <w:rPr>
          <w:rFonts w:ascii="Arial" w:cs="Arial" w:eastAsia="Arial" w:hAnsi="Arial"/>
          <w:sz w:val="18"/>
          <w:szCs w:val="18"/>
          <w:color w:val="auto"/>
        </w:rPr>
      </w:pPr>
    </w:p>
    <w:p>
      <w:pPr>
        <w:ind w:left="4" w:right="320" w:firstLine="645"/>
        <w:spacing w:after="0" w:line="277" w:lineRule="auto"/>
        <w:tabs>
          <w:tab w:leader="none" w:pos="1308"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4" w:right="220" w:firstLine="645"/>
        <w:spacing w:after="0" w:line="264" w:lineRule="auto"/>
        <w:tabs>
          <w:tab w:leader="none" w:pos="1308"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Liens on any cash earnest money deposits made by the Company or any of its Subsidiaries in connection with an Acquisition or other investment not prohibited hereunder, including, without limitation, in connection with any letter of intent or purchase agreement relating thereto;</w:t>
      </w:r>
    </w:p>
    <w:p>
      <w:pPr>
        <w:spacing w:after="0" w:line="181" w:lineRule="exact"/>
        <w:rPr>
          <w:rFonts w:ascii="Arial" w:cs="Arial" w:eastAsia="Arial" w:hAnsi="Arial"/>
          <w:sz w:val="18"/>
          <w:szCs w:val="18"/>
          <w:color w:val="auto"/>
        </w:rPr>
      </w:pPr>
    </w:p>
    <w:p>
      <w:pPr>
        <w:ind w:left="4" w:right="400" w:firstLine="645"/>
        <w:spacing w:after="0" w:line="277" w:lineRule="auto"/>
        <w:tabs>
          <w:tab w:leader="none" w:pos="1322"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6.03,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97"/>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with the Company or any Subsidiary</w:t>
      </w:r>
    </w:p>
    <w:p>
      <w:pPr>
        <w:spacing w:after="0" w:line="46" w:lineRule="exact"/>
        <w:rPr>
          <w:rFonts w:ascii="Arial" w:cs="Arial" w:eastAsia="Arial" w:hAnsi="Arial"/>
          <w:sz w:val="16"/>
          <w:szCs w:val="16"/>
          <w:color w:val="auto"/>
        </w:rPr>
      </w:pPr>
    </w:p>
    <w:p>
      <w:pPr>
        <w:ind w:left="224" w:hanging="224"/>
        <w:spacing w:after="0"/>
        <w:tabs>
          <w:tab w:leader="none" w:pos="2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ordinary course of business or (ii) not otherwise prohibited hereunder other than in connection with Indebtedness;</w:t>
      </w:r>
    </w:p>
    <w:p>
      <w:pPr>
        <w:spacing w:after="0" w:line="210" w:lineRule="exact"/>
        <w:rPr>
          <w:rFonts w:ascii="Arial" w:cs="Arial" w:eastAsia="Arial" w:hAnsi="Arial"/>
          <w:sz w:val="18"/>
          <w:szCs w:val="18"/>
          <w:color w:val="auto"/>
        </w:rPr>
      </w:pPr>
    </w:p>
    <w:p>
      <w:pPr>
        <w:ind w:left="1304" w:hanging="655"/>
        <w:spacing w:after="0"/>
        <w:tabs>
          <w:tab w:leader="none" w:pos="13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6.03;</w:t>
      </w:r>
    </w:p>
    <w:p>
      <w:pPr>
        <w:spacing w:after="0" w:line="225" w:lineRule="exact"/>
        <w:rPr>
          <w:rFonts w:ascii="Arial" w:cs="Arial" w:eastAsia="Arial" w:hAnsi="Arial"/>
          <w:sz w:val="18"/>
          <w:szCs w:val="18"/>
          <w:color w:val="auto"/>
        </w:rPr>
      </w:pPr>
    </w:p>
    <w:p>
      <w:pPr>
        <w:ind w:left="4" w:right="20" w:firstLine="645"/>
        <w:spacing w:after="0" w:line="277" w:lineRule="auto"/>
        <w:tabs>
          <w:tab w:leader="none" w:pos="13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Company or any Subsidiary;</w:t>
      </w:r>
    </w:p>
    <w:p>
      <w:pPr>
        <w:spacing w:after="0" w:line="170" w:lineRule="exact"/>
        <w:rPr>
          <w:rFonts w:ascii="Arial" w:cs="Arial" w:eastAsia="Arial" w:hAnsi="Arial"/>
          <w:sz w:val="18"/>
          <w:szCs w:val="18"/>
          <w:color w:val="auto"/>
        </w:rPr>
      </w:pPr>
    </w:p>
    <w:p>
      <w:pPr>
        <w:ind w:left="4" w:right="140" w:firstLine="645"/>
        <w:spacing w:after="0" w:line="259" w:lineRule="auto"/>
        <w:tabs>
          <w:tab w:leader="none" w:pos="13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86" w:lineRule="exact"/>
        <w:rPr>
          <w:rFonts w:ascii="Arial" w:cs="Arial" w:eastAsia="Arial" w:hAnsi="Arial"/>
          <w:sz w:val="18"/>
          <w:szCs w:val="18"/>
          <w:color w:val="auto"/>
        </w:rPr>
      </w:pPr>
    </w:p>
    <w:p>
      <w:pPr>
        <w:ind w:left="4" w:firstLine="645"/>
        <w:spacing w:after="0" w:line="277" w:lineRule="auto"/>
        <w:tabs>
          <w:tab w:leader="none" w:pos="13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 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140" w:firstLine="645"/>
        <w:spacing w:after="0" w:line="264" w:lineRule="auto"/>
        <w:tabs>
          <w:tab w:leader="none" w:pos="1318" w:val="left"/>
        </w:tabs>
        <w:numPr>
          <w:ilvl w:val="1"/>
          <w:numId w:val="98"/>
        </w:numPr>
        <w:rPr>
          <w:rFonts w:ascii="Arial" w:cs="Arial" w:eastAsia="Arial" w:hAnsi="Arial"/>
          <w:sz w:val="18"/>
          <w:szCs w:val="18"/>
          <w:color w:val="auto"/>
        </w:rPr>
      </w:pPr>
      <w:r>
        <w:rPr>
          <w:rFonts w:ascii="Arial" w:cs="Arial" w:eastAsia="Arial" w:hAnsi="Arial"/>
          <w:sz w:val="18"/>
          <w:szCs w:val="18"/>
          <w:color w:val="auto"/>
        </w:rPr>
        <w:t>Liens of sellers of goods to any Loan Party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90" w:name="page91"/>
    <w:bookmarkEnd w:id="90"/>
    <w:p>
      <w:pPr>
        <w:ind w:left="660" w:firstLine="645"/>
        <w:spacing w:after="0" w:line="290" w:lineRule="auto"/>
        <w:tabs>
          <w:tab w:leader="none" w:pos="197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Liens securing (i) Indebtedness of any Subsidiary described in clause (a) of the definition of Priority Indebtedness outstanding in reliance on Section 6.01(q), (ii) Priority Indebtedness of the Company and (iii) other obligations (excluding Indebtedness) of the Company or any Subsidiary; provided that immediately after giving effect to the incurrence of any Indebtedness or obligations secured by Liens in reliance on this clause (s), the sum of (without duplication) (x) the aggregate principal amount of all Priority Indebtedness of any Subsidiary outstanding in reliance on Section 6.01(q),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outstanding principal amount of all Indebtedness and other obligations of the Company and its Subsidiaries secured by Liens in reliance on subclause (ii) or (iii) above shall not exceed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September 30, 2018);</w:t>
      </w:r>
    </w:p>
    <w:p>
      <w:pPr>
        <w:spacing w:after="0" w:line="166" w:lineRule="exact"/>
        <w:rPr>
          <w:rFonts w:ascii="Arial" w:cs="Arial" w:eastAsia="Arial" w:hAnsi="Arial"/>
          <w:sz w:val="16"/>
          <w:szCs w:val="16"/>
          <w:color w:val="auto"/>
        </w:rPr>
      </w:pPr>
    </w:p>
    <w:p>
      <w:pPr>
        <w:ind w:left="660" w:right="40" w:firstLine="645"/>
        <w:spacing w:after="0" w:line="342" w:lineRule="auto"/>
        <w:tabs>
          <w:tab w:leader="none" w:pos="1964"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23" w:lineRule="exact"/>
        <w:rPr>
          <w:rFonts w:ascii="Arial" w:cs="Arial" w:eastAsia="Arial" w:hAnsi="Arial"/>
          <w:sz w:val="16"/>
          <w:szCs w:val="16"/>
          <w:color w:val="auto"/>
        </w:rPr>
      </w:pPr>
    </w:p>
    <w:p>
      <w:pPr>
        <w:ind w:left="660" w:right="340" w:firstLine="645"/>
        <w:spacing w:after="0" w:line="264" w:lineRule="auto"/>
        <w:tabs>
          <w:tab w:leader="none" w:pos="1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pledges or deposits to secure Indebtedness of the Company or any Subsidiary as an account party in respect of letters of credit, bank guarantees, letters of guaranty or similar instruments so long as the aggregate principal amount of such Indebtedness so secured does not exceed $50,000,000;</w:t>
      </w:r>
    </w:p>
    <w:p>
      <w:pPr>
        <w:spacing w:after="0" w:line="181" w:lineRule="exact"/>
        <w:rPr>
          <w:rFonts w:ascii="Arial" w:cs="Arial" w:eastAsia="Arial" w:hAnsi="Arial"/>
          <w:sz w:val="18"/>
          <w:szCs w:val="18"/>
          <w:color w:val="auto"/>
        </w:rPr>
      </w:pPr>
    </w:p>
    <w:p>
      <w:pPr>
        <w:ind w:left="660" w:right="640" w:firstLine="645"/>
        <w:spacing w:after="0" w:line="277" w:lineRule="auto"/>
        <w:tabs>
          <w:tab w:leader="none" w:pos="1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auto"/>
        </w:rPr>
      </w:pPr>
    </w:p>
    <w:p>
      <w:pPr>
        <w:ind w:left="660" w:right="480" w:firstLine="645"/>
        <w:spacing w:after="0" w:line="308" w:lineRule="auto"/>
        <w:tabs>
          <w:tab w:leader="none" w:pos="19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Liens on assets of the Company and its Subsidiaries not otherwise permitted under this Section 6.02 so long as the aggregate principal amount of the Indebtedness and other obligations subject to such Liens does not at any time exceed $75,000,000;</w:t>
      </w:r>
    </w:p>
    <w:p>
      <w:pPr>
        <w:spacing w:after="0" w:line="146" w:lineRule="exact"/>
        <w:rPr>
          <w:rFonts w:ascii="Arial" w:cs="Arial" w:eastAsia="Arial" w:hAnsi="Arial"/>
          <w:sz w:val="17"/>
          <w:szCs w:val="17"/>
          <w:color w:val="auto"/>
        </w:rPr>
      </w:pPr>
    </w:p>
    <w:p>
      <w:pPr>
        <w:ind w:left="660" w:right="40" w:firstLine="645"/>
        <w:spacing w:after="0" w:line="312" w:lineRule="auto"/>
        <w:tabs>
          <w:tab w:leader="none" w:pos="1964"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on any rights, title or interest of the Company and its Subsidiaries in the Corporate Campus Facility and any related property described as “Collateral” or “Leased Property” (or a similar defined term) in the Corporate Campus Facility Financing Documents (i) to secure any Corporate Campus Facility Financing Obligations or (ii) that are otherwise permitted by the Corporate Campus Facility Financing Documents; and</w:t>
      </w:r>
    </w:p>
    <w:p>
      <w:pPr>
        <w:spacing w:after="0" w:line="146" w:lineRule="exact"/>
        <w:rPr>
          <w:rFonts w:ascii="Arial" w:cs="Arial" w:eastAsia="Arial" w:hAnsi="Arial"/>
          <w:sz w:val="16"/>
          <w:szCs w:val="16"/>
          <w:color w:val="auto"/>
        </w:rPr>
      </w:pPr>
    </w:p>
    <w:p>
      <w:pPr>
        <w:ind w:left="660" w:right="760" w:firstLine="645"/>
        <w:spacing w:after="0" w:line="277" w:lineRule="auto"/>
        <w:tabs>
          <w:tab w:leader="none" w:pos="1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170"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 and Asset Sales</w:t>
      </w:r>
      <w:r>
        <w:rPr>
          <w:rFonts w:ascii="Arial" w:cs="Arial" w:eastAsia="Arial" w:hAnsi="Arial"/>
          <w:sz w:val="17"/>
          <w:szCs w:val="17"/>
          <w:color w:val="auto"/>
        </w:rPr>
        <w:t>. (a) The Company will not, and will not permit any Subsidiary to,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Company and its Subsidiaries (taken as a whole) (whether now owned or hereafter acquired), or liquidate or dissolve, except that:</w:t>
      </w:r>
    </w:p>
    <w:p>
      <w:pPr>
        <w:spacing w:after="0" w:line="171" w:lineRule="exact"/>
        <w:rPr>
          <w:sz w:val="20"/>
          <w:szCs w:val="20"/>
          <w:color w:val="auto"/>
        </w:rPr>
      </w:pPr>
    </w:p>
    <w:p>
      <w:pPr>
        <w:ind w:left="1300" w:right="80" w:firstLine="653"/>
        <w:spacing w:after="0" w:line="264" w:lineRule="auto"/>
        <w:tabs>
          <w:tab w:leader="none" w:pos="26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Person (other than the Company or any of its Subsidiaries) may merge or consolidate with the Company or any of its Subsidiaries; provided that any such merger or consolidation involving (A) subject to the following clause (B), a Borrower must result in such Borrower as the surviving entity, (B) the Company must result in the Company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left="100" w:right="500"/>
        <w:spacing w:after="0" w:line="277" w:lineRule="auto"/>
        <w:rPr>
          <w:sz w:val="20"/>
          <w:szCs w:val="20"/>
          <w:color w:val="auto"/>
        </w:rPr>
      </w:pPr>
      <w:r>
        <w:rPr>
          <w:rFonts w:ascii="Arial" w:cs="Arial" w:eastAsia="Arial" w:hAnsi="Arial"/>
          <w:sz w:val="18"/>
          <w:szCs w:val="18"/>
          <w:color w:val="auto"/>
        </w:rPr>
        <w:t>the surviving entity and (C) a Subsidiary Guarantor must result in such Subsidiary Guarantor (or an entity that becomes a Subsidiary Guarantor) as the surviving entity;</w:t>
      </w:r>
    </w:p>
    <w:p>
      <w:pPr>
        <w:spacing w:after="0" w:line="170" w:lineRule="exact"/>
        <w:rPr>
          <w:sz w:val="20"/>
          <w:szCs w:val="20"/>
          <w:color w:val="auto"/>
        </w:rPr>
      </w:pPr>
    </w:p>
    <w:p>
      <w:pPr>
        <w:ind w:left="100" w:right="180" w:firstLine="653"/>
        <w:spacing w:after="0" w:line="259" w:lineRule="auto"/>
        <w:tabs>
          <w:tab w:leader="none" w:pos="14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Subsidiary may merge into or consolidate with a Loan Party in a transaction in which the surviving entity is such Loan Party (provided that any such merger involving (A) a Borrower must result in such Borrower as the surviving entity (unless also involving the Company, in which case, subclause (B) shall also apply) and (B) the Company must result in the Company as the surviving entity);</w:t>
      </w:r>
    </w:p>
    <w:p>
      <w:pPr>
        <w:spacing w:after="0" w:line="186" w:lineRule="exact"/>
        <w:rPr>
          <w:rFonts w:ascii="Arial" w:cs="Arial" w:eastAsia="Arial" w:hAnsi="Arial"/>
          <w:sz w:val="18"/>
          <w:szCs w:val="18"/>
          <w:color w:val="auto"/>
        </w:rPr>
      </w:pPr>
    </w:p>
    <w:p>
      <w:pPr>
        <w:ind w:left="100" w:firstLine="653"/>
        <w:spacing w:after="0" w:line="264" w:lineRule="auto"/>
        <w:tabs>
          <w:tab w:leader="none" w:pos="14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Subsidiary that is not a Loan Party may merge into or consolidate with, or sell, transfer, lease or otherwise dispose of any or all of its assets to, another Subsidiary that is not a Loan Party (in connection with a liquidation, winding up or dissolution or otherwise);</w:t>
      </w:r>
    </w:p>
    <w:p>
      <w:pPr>
        <w:spacing w:after="0" w:line="181" w:lineRule="exact"/>
        <w:rPr>
          <w:rFonts w:ascii="Arial" w:cs="Arial" w:eastAsia="Arial" w:hAnsi="Arial"/>
          <w:sz w:val="18"/>
          <w:szCs w:val="18"/>
          <w:color w:val="auto"/>
        </w:rPr>
      </w:pPr>
    </w:p>
    <w:p>
      <w:pPr>
        <w:ind w:left="100" w:right="20" w:firstLine="653"/>
        <w:spacing w:after="0" w:line="277" w:lineRule="auto"/>
        <w:tabs>
          <w:tab w:leader="none" w:pos="14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a Loan Party (in connection with a liquidation, winding up or dissolution or otherwise);</w:t>
      </w:r>
    </w:p>
    <w:p>
      <w:pPr>
        <w:spacing w:after="0" w:line="170" w:lineRule="exact"/>
        <w:rPr>
          <w:rFonts w:ascii="Arial" w:cs="Arial" w:eastAsia="Arial" w:hAnsi="Arial"/>
          <w:sz w:val="18"/>
          <w:szCs w:val="18"/>
          <w:color w:val="auto"/>
        </w:rPr>
      </w:pPr>
    </w:p>
    <w:p>
      <w:pPr>
        <w:ind w:left="100" w:right="20" w:firstLine="653"/>
        <w:spacing w:after="0" w:line="312" w:lineRule="auto"/>
        <w:tabs>
          <w:tab w:leader="none" w:pos="140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Subsidiary that is not a Loan Party may liquidate, wind up or dissolve (A) if the Company determines in good faith that such liquidation, winding up or dissolution is in the best interests of the Company and is not materially disadvantageous to the Lenders or (B) to the extent undertaken in good faith for the purpose of improving the overall tax efficiency of the Company and its Subsidiaries;</w:t>
      </w:r>
    </w:p>
    <w:p>
      <w:pPr>
        <w:spacing w:after="0" w:line="146" w:lineRule="exact"/>
        <w:rPr>
          <w:rFonts w:ascii="Arial" w:cs="Arial" w:eastAsia="Arial" w:hAnsi="Arial"/>
          <w:sz w:val="16"/>
          <w:szCs w:val="16"/>
          <w:color w:val="auto"/>
        </w:rPr>
      </w:pPr>
    </w:p>
    <w:p>
      <w:pPr>
        <w:ind w:left="1420" w:hanging="667"/>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and its Subsidiaries may consummate Permitted Restructurings;</w:t>
      </w:r>
    </w:p>
    <w:p>
      <w:pPr>
        <w:spacing w:after="0" w:line="225" w:lineRule="exact"/>
        <w:rPr>
          <w:rFonts w:ascii="Arial" w:cs="Arial" w:eastAsia="Arial" w:hAnsi="Arial"/>
          <w:sz w:val="18"/>
          <w:szCs w:val="18"/>
          <w:color w:val="auto"/>
        </w:rPr>
      </w:pPr>
    </w:p>
    <w:p>
      <w:pPr>
        <w:ind w:left="100" w:right="440" w:firstLine="653"/>
        <w:spacing w:after="0" w:line="264" w:lineRule="auto"/>
        <w:tabs>
          <w:tab w:leader="none" w:pos="142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and its Subsidiaries may enter into, terminate or modify leases, subleases, licenses and sublicenses of technology and other property (A) in the ordinary course of business or (B) between or among any Loan Parties and any of their Subsidiaries (or any combination thereof);</w:t>
      </w:r>
    </w:p>
    <w:p>
      <w:pPr>
        <w:spacing w:after="0" w:line="181" w:lineRule="exact"/>
        <w:rPr>
          <w:rFonts w:ascii="Arial" w:cs="Arial" w:eastAsia="Arial" w:hAnsi="Arial"/>
          <w:sz w:val="18"/>
          <w:szCs w:val="18"/>
          <w:color w:val="auto"/>
        </w:rPr>
      </w:pPr>
    </w:p>
    <w:p>
      <w:pPr>
        <w:ind w:left="1440" w:hanging="687"/>
        <w:spacing w:after="0"/>
        <w:tabs>
          <w:tab w:leader="none" w:pos="1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and its Subsidiaries may incur Liens permitted under Section 6.02; and</w:t>
      </w:r>
    </w:p>
    <w:p>
      <w:pPr>
        <w:spacing w:after="0" w:line="225" w:lineRule="exact"/>
        <w:rPr>
          <w:rFonts w:ascii="Arial" w:cs="Arial" w:eastAsia="Arial" w:hAnsi="Arial"/>
          <w:sz w:val="18"/>
          <w:szCs w:val="18"/>
          <w:color w:val="auto"/>
        </w:rPr>
      </w:pPr>
    </w:p>
    <w:p>
      <w:pPr>
        <w:ind w:left="100" w:right="120" w:firstLine="653"/>
        <w:spacing w:after="0" w:line="293" w:lineRule="auto"/>
        <w:tabs>
          <w:tab w:leader="none" w:pos="141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Company and its Subsidiaries in the Corporate Campus Facility and the Corporate Campus Facility Purchase Agreement, leases, subleases, assignments and other transfers pursuant to or permitted by the Corporate Campus Facility Financing Documents, including (A) the assignment by the Company of some or all of its rights under the Corporate Campus Facility Purchase Agreement (including the right to take title to the Corporate Campus Facility) to one or more participants party to the Corporate Campus Facility Financing Documents and (B) the assignment or other transfer by the Company to a directly or indirectly wholly-owned subsidiary as an affiliate transferee pursuant to the Corporate Campus Facility Financing Documents.</w:t>
      </w:r>
    </w:p>
    <w:p>
      <w:pPr>
        <w:spacing w:after="0" w:line="165" w:lineRule="exact"/>
        <w:rPr>
          <w:sz w:val="20"/>
          <w:szCs w:val="20"/>
          <w:color w:val="auto"/>
        </w:rPr>
      </w:pPr>
    </w:p>
    <w:p>
      <w:pPr>
        <w:ind w:left="-540" w:right="180" w:firstLine="645"/>
        <w:spacing w:after="0" w:line="312" w:lineRule="auto"/>
        <w:tabs>
          <w:tab w:leader="none" w:pos="7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41" w:right="299" w:bottom="1440" w:gutter="0" w:footer="0" w:header="0"/>
        </w:sectPr>
      </w:pPr>
    </w:p>
    <w:bookmarkStart w:id="92" w:name="page93"/>
    <w:bookmarkEnd w:id="92"/>
    <w:p>
      <w:pPr>
        <w:ind w:firstLine="1297"/>
        <w:spacing w:after="0" w:line="29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Swap Agreements</w:t>
      </w:r>
      <w:r>
        <w:rPr>
          <w:rFonts w:ascii="Arial" w:cs="Arial" w:eastAsia="Arial" w:hAnsi="Arial"/>
          <w:sz w:val="16"/>
          <w:szCs w:val="16"/>
          <w:color w:val="auto"/>
        </w:rPr>
        <w:t>. The Company will not, and will not permit any of its Subsidiaries to, enter into any Swap Agreement, except (a) Swap Agreements entered into in the ordinary course of business or to hedge or mitigate risks to which the Company or any Subsidiary has actual exposure (other than those in respect of Equity Interests of the Company or any of its Subsidiaries),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spacing w:after="0" w:line="158"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Company will not, and will not permit any of its Subsidiaries to, sell, lease or otherwise transfer any property or assets to, or purchase, lease or otherwise acquire any property or assets from, or otherwise engage in any other transactions with, any of its Affiliates, except (a) transactions on terms and conditions not materially less favorable to the Company or such Subsidiary than could be obtained on an arm’s-length basis from a Person that is not an Affiliate for a comparable transaction (considering such transactions and all other related transactions as a whole), (b) transactions between or among the Company and its Subsidiaries (or an entity that becomes a Subsidiary of the Company as a result of such transaction) (or any combination thereof), (c) the payment of customary fees to directors of the Company or any of its Subsidiaries, and customary compensation, reasonable out-of-pocket expense reimbursement and indemnification (including the provision of directors and officers insurance) of, and other employment or consulting agreements and arrangements, employee benefit plans and stock incentive plans paid to, future, present or past directors, officers, managers and employees of the Company or any of its Subsidiaries, (d) transactions undertaken in good faith for the purpose of improving the overall tax efficiency of the Company and its Subsidiaries, (e) loans, advances and other transactions to the extent not prohibited by the terms of this Agreement, including without limitation any Restricted Payment permitted by Section 6.06 and transactions permitted by Section 6.03, (f) issuances of Equity Interests to Affiliates and the registration rights and other customary rights associated therewith, (g) any Collaboration Arrangement or any other license, sublicense, lease or sublease (i) in existence on the Effective Date (together with any amendments, restatements, extensions, replacements or other modifications thereto that are not materially adverse to the interests of the Lenders in their capacities as such), (ii) in the ordinary course of business or</w:t>
      </w:r>
    </w:p>
    <w:p>
      <w:pPr>
        <w:spacing w:after="0" w:line="2" w:lineRule="exact"/>
        <w:rPr>
          <w:sz w:val="20"/>
          <w:szCs w:val="20"/>
          <w:color w:val="auto"/>
        </w:rPr>
      </w:pPr>
    </w:p>
    <w:p>
      <w:pPr>
        <w:ind w:firstLine="8"/>
        <w:spacing w:after="0" w:line="285" w:lineRule="auto"/>
        <w:tabs>
          <w:tab w:leader="none" w:pos="3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substantially consistent with past practices, (h) transactions with Affiliates that are Disclosed Matters, (i) transactions pursuant to agreements in effect on the Effective Date (together with any amendments, restatements, extensions, replacements or other modifications thereto that are not materially adverse to the interests of the Lenders in their capacities as such), (j) transactions with joint ventures for the purchase or sale of property or other assets and services entered into in the ordinary course of business and investments in joint ventures, (k) transactions approved by (i) a majority of Disinterested Directors of the Company or of the applicable Subsidiary in good faith or (ii) a committee of the board of directors (or other governing body) of such Person that is comprised of Disinterested Directors (or such committee otherwise approves such transactions by action of Disinterested Directors), (l) any transaction or series of related transactions with respect to which the aggregate consideration paid, or fair market value of property Disposed of, by the Company and its Subsidiaries is less than $2,000,000 for any such individual transaction or series of related transactions, (m) with respect to the Corporate Campus Facility, subleases and assignments permitted by the Corporate Campus Facility Financing Documents, (n) any transaction in respect of which the Company delivers to the Administrative Agent (for delivery to the Lenders) a letter addressed to the Board of Directors of the Company (or the board of directors or other relevant governing body of the relevant Subsidiary) from an accounting, appraisal or investment banking firm that is in the good faith determination of the Company qualified to render such letter, which letter states that such transaction is on terms that are no less favorable to the Company or the relevant Subsidiary, as applicable, than would be obtained on an arm’s-length basis from a Person that is not an Affiliate for a comparable transaction, and (o) any transaction with an Affiliate where the only consideration paid consists of Equity Interests of the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3" w:name="page94"/>
    <w:bookmarkEnd w:id="93"/>
    <w:p>
      <w:pPr>
        <w:ind w:firstLine="1297"/>
        <w:spacing w:after="0" w:line="282"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The Company will not, and will not permit any of its Subsidiaries to, make, directly or indirectly, any Restricted Payment, except (a) the Company may pay dividends or make other Restricted Payments with respect to its Equity Interests payable solely in additional Equity Interests, (b) the Company may purchase, redeem or otherwise acquire Equity Interests upon the exercise of stock options or warrants if such Equity Interests represent a portion of the exercise price of such options or warrants or with the proceeds received from the substantially concurrent issue of new Equity Interests, (c) the Company may make cash payments (i) on securities convertible into or exchangeable for Equity Interests in the Company in accordance with their terms or (ii) in lieu of the issuance of fractional Equity Interests in connection with any dividend, split or combination thereof or the exercise of warrants, options or other securities convertible into or exchangeable for Equity Interests in the Company, (d) 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Company or a Subsidiary), (ii) make other Restricted Payments to any Loan Party (either directly or indirectly through one or more Subsidiaries that are not Loan Parties) and (iii) make any Restricted Payments that the Company would have otherwise been permitted to make pursuant to this Section 6.06, (e) the Company may make Restricted Payments (i) for the repurchase, retirement or other acquisition or retirement for value of Equity Interests of the Company from any future, present or former employee, officer, director, manager or consultant of the Company or any Subsidiary upon the death, disability, retirement or termination of employment of any such Person or (ii) pursuant to and in accordance with any agreement (including any employment agreement), stock option or stock ownership plans, incentive plans or other benefit plans, in each case for future, present or former directors, officers, managers, employees or consultants of the Company and its Subsidiaries (including, without limitation, in respect of tax withholding or other similar tax obligation related to the foregoing), (f) the Company and its Subsidiaries may make any other Restricted Payment so long as no Event of Default has occurred and is continuing at the time such Restricted Payment is made or would arise immediately after giving effect (on a pro forma basis) thereto and the aggregate amount of all such Restricted Payments pursuant to this clause (f) during any fiscal year of the Company does not exceed $100,000,000;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3.00 to 1.00, and</w:t>
      </w:r>
    </w:p>
    <w:p>
      <w:pPr>
        <w:spacing w:after="0" w:line="12" w:lineRule="exact"/>
        <w:rPr>
          <w:sz w:val="20"/>
          <w:szCs w:val="20"/>
          <w:color w:val="auto"/>
        </w:rPr>
      </w:pPr>
    </w:p>
    <w:p>
      <w:pPr>
        <w:ind w:right="240" w:firstLine="8"/>
        <w:spacing w:after="0" w:line="277" w:lineRule="auto"/>
        <w:tabs>
          <w:tab w:leader="none" w:pos="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may pay any dividend or distribution or make any irrevocable Restricted Payment within 60 days after the date of declaration of such dividend or distribution or giving irrevocable notice with respect to such Restricted Payment, as the case may be, if at the date of declaration or notice such Restricted Payment would have complied with the provisions of this Agreement (including the other provisions of this Section 6.06).</w:t>
      </w:r>
    </w:p>
    <w:p>
      <w:pPr>
        <w:spacing w:after="0" w:line="17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90" w:lineRule="auto"/>
        <w:tabs>
          <w:tab w:leader="none" w:pos="195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Maximum Total Leverage Ratio</w:t>
      </w:r>
      <w:r>
        <w:rPr>
          <w:rFonts w:ascii="Arial" w:cs="Arial" w:eastAsia="Arial" w:hAnsi="Arial"/>
          <w:sz w:val="16"/>
          <w:szCs w:val="16"/>
          <w:color w:val="auto"/>
        </w:rPr>
        <w:t>. The Company will not permit the ratio (the “</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determined as of the end of each of its fiscal quarters ending on and after December 31, 2018, of (i) Consolidated Total Indebtedness to (ii) Consolidated EBITDA for the period of four (4) consecutive fiscal quarters ending with the end of such fiscal quarter, all calculated for the Company and its Subsidiaries on a consolidated basis, to be greater than 3.50 to 1.00. Notwithstanding the foregoing, the Company shall be permitted (such permission, the “</w:t>
      </w:r>
      <w:r>
        <w:rPr>
          <w:rFonts w:ascii="Arial" w:cs="Arial" w:eastAsia="Arial" w:hAnsi="Arial"/>
          <w:sz w:val="16"/>
          <w:szCs w:val="16"/>
          <w:u w:val="single" w:color="auto"/>
          <w:color w:val="auto"/>
        </w:rPr>
        <w:t>Acquisition Holiday</w:t>
      </w:r>
      <w:r>
        <w:rPr>
          <w:rFonts w:ascii="Arial" w:cs="Arial" w:eastAsia="Arial" w:hAnsi="Arial"/>
          <w:sz w:val="16"/>
          <w:szCs w:val="16"/>
          <w:color w:val="auto"/>
        </w:rPr>
        <w:t>”) on no more than two (2) occasions during the term of this Agreement to allow the maximum Total Leverage Ratio under this Section 6.07(a)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Company is in compliance on a pro forma basis with the maximum Total Leverage Ratio of 4.00 to 1.00 on the closing date of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ind w:left="4" w:right="40"/>
        <w:spacing w:after="0" w:line="257" w:lineRule="auto"/>
        <w:rPr>
          <w:sz w:val="20"/>
          <w:szCs w:val="20"/>
          <w:color w:val="auto"/>
        </w:rPr>
      </w:pPr>
      <w:r>
        <w:rPr>
          <w:rFonts w:ascii="Arial" w:cs="Arial" w:eastAsia="Arial" w:hAnsi="Arial"/>
          <w:sz w:val="18"/>
          <w:szCs w:val="18"/>
          <w:color w:val="auto"/>
        </w:rPr>
        <w:t xml:space="preserve">Acquisition immediately after giving effect to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Company shall provide notice in writing to the Administrative Agent of such increase and a transaction description of such Acquisition (regarding the name of the person or summary description of the assets being acquired and the approximate purchase price), (y) the Company may not elect a new Acquisition Holiday for at least two (2) fiscal quarters following the end of an Acquisition Holiday and (z) at the end of such period of four consecutive fiscal quarters, the maximum Total Leverage Ratio permitted under this Section 6.07(a) shall revert to 3.50 to 1.00.</w:t>
      </w:r>
    </w:p>
    <w:p>
      <w:pPr>
        <w:spacing w:after="0" w:line="188" w:lineRule="exact"/>
        <w:rPr>
          <w:sz w:val="20"/>
          <w:szCs w:val="20"/>
          <w:color w:val="auto"/>
        </w:rPr>
      </w:pPr>
    </w:p>
    <w:p>
      <w:pPr>
        <w:ind w:left="4" w:right="160" w:firstLine="645"/>
        <w:spacing w:after="0" w:line="291" w:lineRule="auto"/>
        <w:tabs>
          <w:tab w:leader="none" w:pos="1308"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Minimum Interest Coverage Ratio</w:t>
      </w:r>
      <w:r>
        <w:rPr>
          <w:rFonts w:ascii="Arial" w:cs="Arial" w:eastAsia="Arial" w:hAnsi="Arial"/>
          <w:sz w:val="16"/>
          <w:szCs w:val="16"/>
          <w:color w:val="auto"/>
        </w:rPr>
        <w:t>. The Company will not permit the ratio, determined as of the end of each of its fiscal quarters ending on and after December 31, 2018, of (i) Consolidated EBITDA to (ii) Consolidated Interest Expense, in each case for the period of four</w:t>
      </w:r>
    </w:p>
    <w:p>
      <w:pPr>
        <w:ind w:left="4" w:right="40" w:hanging="4"/>
        <w:spacing w:after="0" w:line="261"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Company and its Subsidiaries on a consolidated basis, to be less than 2.50 to 1.00.</w:t>
      </w:r>
    </w:p>
    <w:p>
      <w:pPr>
        <w:spacing w:after="0" w:line="184" w:lineRule="exact"/>
        <w:rPr>
          <w:sz w:val="20"/>
          <w:szCs w:val="20"/>
          <w:color w:val="auto"/>
        </w:rPr>
      </w:pPr>
    </w:p>
    <w:p>
      <w:pPr>
        <w:jc w:val="center"/>
        <w:ind w:right="616"/>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ind w:left="4" w:firstLine="645"/>
        <w:spacing w:after="0" w:line="264" w:lineRule="auto"/>
        <w:tabs>
          <w:tab w:leader="none" w:pos="12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Borrower shall fail to pay any principal of any Loan or any reimbursement obligation in respect of any LC Disbursement owed by such Borrower or the Company shall fail to make a payment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in each case when and as the same shall become due and payable, whether at the due date thereof or at a date fixed for prepayment thereof or otherwise;</w:t>
      </w:r>
    </w:p>
    <w:p>
      <w:pPr>
        <w:spacing w:after="0" w:line="181" w:lineRule="exact"/>
        <w:rPr>
          <w:rFonts w:ascii="Arial" w:cs="Arial" w:eastAsia="Arial" w:hAnsi="Arial"/>
          <w:sz w:val="18"/>
          <w:szCs w:val="18"/>
          <w:color w:val="auto"/>
        </w:rPr>
      </w:pPr>
    </w:p>
    <w:p>
      <w:pPr>
        <w:jc w:val="both"/>
        <w:ind w:left="4" w:right="240" w:firstLine="645"/>
        <w:spacing w:after="0" w:line="286" w:lineRule="auto"/>
        <w:tabs>
          <w:tab w:leader="none" w:pos="130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Borrower shall fail to pay any interest on any Loan of such Borrower or any fee or any other amount (other than an amount referred to in clause (a) of this Article) payable by such Borrower under this Agreement or any other Loan Document, when and as the same shall become due and payable, and such failure shall continue unremedied for a period of five (5) Business Days;</w:t>
      </w:r>
    </w:p>
    <w:p>
      <w:pPr>
        <w:spacing w:after="0" w:line="165" w:lineRule="exact"/>
        <w:rPr>
          <w:rFonts w:ascii="Arial" w:cs="Arial" w:eastAsia="Arial" w:hAnsi="Arial"/>
          <w:sz w:val="17"/>
          <w:szCs w:val="17"/>
          <w:color w:val="auto"/>
        </w:rPr>
      </w:pPr>
    </w:p>
    <w:p>
      <w:pPr>
        <w:ind w:left="4" w:right="40" w:firstLine="645"/>
        <w:spacing w:after="0" w:line="259" w:lineRule="auto"/>
        <w:tabs>
          <w:tab w:leader="none" w:pos="13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Borrower or any other Loan Party in or in connection with any Loan Document or in any report, certificate, financial statement or other document furnished pursuant to or in connection with this Agreement or any other Loan Document (including any amendment or modification thereof or waiver thereunder) shall prove to have been incorrect in any material respect when made or deemed made;</w:t>
      </w:r>
    </w:p>
    <w:p>
      <w:pPr>
        <w:spacing w:after="0" w:line="186" w:lineRule="exact"/>
        <w:rPr>
          <w:rFonts w:ascii="Arial" w:cs="Arial" w:eastAsia="Arial" w:hAnsi="Arial"/>
          <w:sz w:val="18"/>
          <w:szCs w:val="18"/>
          <w:color w:val="auto"/>
        </w:rPr>
      </w:pPr>
    </w:p>
    <w:p>
      <w:pPr>
        <w:ind w:left="4" w:right="280" w:firstLine="645"/>
        <w:spacing w:after="0" w:line="342" w:lineRule="auto"/>
        <w:tabs>
          <w:tab w:leader="none" w:pos="130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any Borrower shall fail to observe or perform any covenant, condition or agreement applicable to it (or its Subsidiaries, to the extent applicable) contained in Section 5.02(a), 5.03 (solely with respect to any Borrower’s existence), 5.08 or 5.09,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right="20" w:firstLine="645"/>
        <w:spacing w:after="0" w:line="259" w:lineRule="auto"/>
        <w:tabs>
          <w:tab w:leader="none" w:pos="13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Borrower or any Subsidiary Guarantor, as applicable, shall fail to observe or perform any covenant, condition or agreement applicable to it contained in this Agreement (other than those specified in clause (a), (b) or (d) of this Article) or any other Loan Document, and such failure shall continue unremedied for a period of thirty (30) days after notice thereof from the Administrative Agent or the Required Lenders to the Company;</w:t>
      </w:r>
    </w:p>
    <w:p>
      <w:pPr>
        <w:spacing w:after="0" w:line="186" w:lineRule="exact"/>
        <w:rPr>
          <w:rFonts w:ascii="Arial" w:cs="Arial" w:eastAsia="Arial" w:hAnsi="Arial"/>
          <w:sz w:val="18"/>
          <w:szCs w:val="18"/>
          <w:color w:val="auto"/>
        </w:rPr>
      </w:pPr>
    </w:p>
    <w:p>
      <w:pPr>
        <w:ind w:left="4" w:right="620" w:firstLine="645"/>
        <w:spacing w:after="0" w:line="277" w:lineRule="auto"/>
        <w:tabs>
          <w:tab w:leader="none" w:pos="13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Borrower or any Material Subsidiary shall fail to make any payment (whether of principal or interest and regardless of amount) in respect of any Material Indebtedness of such</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95" w:name="page96"/>
    <w:bookmarkEnd w:id="95"/>
    <w:p>
      <w:pPr>
        <w:ind w:right="80"/>
        <w:spacing w:after="0" w:line="277" w:lineRule="auto"/>
        <w:rPr>
          <w:sz w:val="20"/>
          <w:szCs w:val="20"/>
          <w:color w:val="auto"/>
        </w:rPr>
      </w:pPr>
      <w:r>
        <w:rPr>
          <w:rFonts w:ascii="Arial" w:cs="Arial" w:eastAsia="Arial" w:hAnsi="Arial"/>
          <w:sz w:val="18"/>
          <w:szCs w:val="18"/>
          <w:color w:val="auto"/>
        </w:rPr>
        <w:t>Borrower or Material Subsidiary, as applicable, when and as the same shall become due and payable, which is not cured within any applicable grace period therefor;</w:t>
      </w:r>
    </w:p>
    <w:p>
      <w:pPr>
        <w:spacing w:after="0" w:line="170" w:lineRule="exact"/>
        <w:rPr>
          <w:sz w:val="20"/>
          <w:szCs w:val="20"/>
          <w:color w:val="auto"/>
        </w:rPr>
      </w:pPr>
    </w:p>
    <w:p>
      <w:pPr>
        <w:ind w:firstLine="645"/>
        <w:spacing w:after="0" w:line="285" w:lineRule="auto"/>
        <w:tabs>
          <w:tab w:leader="none" w:pos="131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or replacement thereof not otherwise prohibited by this Agreement,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177" w:lineRule="exact"/>
        <w:rPr>
          <w:rFonts w:ascii="Arial" w:cs="Arial" w:eastAsia="Arial" w:hAnsi="Arial"/>
          <w:sz w:val="16"/>
          <w:szCs w:val="16"/>
          <w:color w:val="auto"/>
        </w:rPr>
      </w:pPr>
    </w:p>
    <w:p>
      <w:pPr>
        <w:ind w:right="60" w:firstLine="645"/>
        <w:spacing w:after="0" w:line="291" w:lineRule="auto"/>
        <w:tabs>
          <w:tab w:leader="none" w:pos="13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(1) an involuntary proceeding shall be commenced or an involuntary petition shall be filed seeking (i) liquidation, examinership, reorganization or other relief in respect of any Loan Party or any Material Subsidiary or its debts, or of a substantial part of its assets, under any federal, state or foreign bankruptcy, insolvency, examinership, receivership or similar law now or hereafter in effect or (ii) the appointment of a receiver, trustee, custodian, examiner, sequestrator, conservator or similar official for any Loan Party or any Material Subsidiary or for a substantial part of its assets, and, in any such case, except to the extent it relates to proceedings or petitions in the Netherlands, such proceeding or petition shall continue undismissed, undischarged or unstayed for sixty (60) days or an order or decree approving or ordering any of the foregoing shall be entered or (2) a Luxembourg Insolvency Event shall occur in respect of any Luxembourg Borrower;</w:t>
      </w:r>
    </w:p>
    <w:p>
      <w:pPr>
        <w:spacing w:after="0" w:line="167" w:lineRule="exact"/>
        <w:rPr>
          <w:rFonts w:ascii="Arial" w:cs="Arial" w:eastAsia="Arial" w:hAnsi="Arial"/>
          <w:sz w:val="16"/>
          <w:szCs w:val="16"/>
          <w:color w:val="auto"/>
        </w:rPr>
      </w:pPr>
    </w:p>
    <w:p>
      <w:pPr>
        <w:ind w:right="20" w:firstLine="645"/>
        <w:spacing w:after="0" w:line="255" w:lineRule="auto"/>
        <w:tabs>
          <w:tab w:leader="none" w:pos="13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examiner,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96" w:name="page97"/>
    <w:bookmarkEnd w:id="96"/>
    <w:p>
      <w:pPr>
        <w:ind w:left="1960" w:hanging="655"/>
        <w:spacing w:after="0"/>
        <w:tabs>
          <w:tab w:leader="none" w:pos="19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Loan Party or any Material Subsidiary shall become unable, admit in writing its inability or fail generally to pay its debts as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they become due;</w:t>
      </w:r>
    </w:p>
    <w:p>
      <w:pPr>
        <w:spacing w:after="0" w:line="210" w:lineRule="exact"/>
        <w:rPr>
          <w:rFonts w:ascii="Arial" w:cs="Arial" w:eastAsia="Arial" w:hAnsi="Arial"/>
          <w:sz w:val="17"/>
          <w:szCs w:val="17"/>
          <w:color w:val="auto"/>
        </w:rPr>
      </w:pPr>
    </w:p>
    <w:p>
      <w:pPr>
        <w:ind w:left="660" w:right="120" w:firstLine="645"/>
        <w:spacing w:after="0" w:line="255" w:lineRule="auto"/>
        <w:tabs>
          <w:tab w:leader="none" w:pos="1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$100,000,000 (to the extent not paid, fully bonded or covered by an unaffiliated insurer that has not denied coverage) shall be rendered against any Loan Party,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effectively stayed;</w:t>
      </w:r>
    </w:p>
    <w:p>
      <w:pPr>
        <w:spacing w:after="0" w:line="193" w:lineRule="exact"/>
        <w:rPr>
          <w:rFonts w:ascii="Arial" w:cs="Arial" w:eastAsia="Arial" w:hAnsi="Arial"/>
          <w:sz w:val="18"/>
          <w:szCs w:val="18"/>
          <w:color w:val="auto"/>
        </w:rPr>
      </w:pPr>
    </w:p>
    <w:p>
      <w:pPr>
        <w:ind w:left="660" w:right="140" w:firstLine="645"/>
        <w:spacing w:after="0" w:line="277" w:lineRule="auto"/>
        <w:tabs>
          <w:tab w:leader="none" w:pos="19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left="660" w:right="20" w:firstLine="645"/>
        <w:spacing w:after="0" w:line="273" w:lineRule="auto"/>
        <w:tabs>
          <w:tab w:leader="none" w:pos="196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in satisfaction in full in cash of the Obligations then due and payable);</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then, and in every such event (other than an event with respect to any Borrower described in clause (h) or (i) of this Article), and at any time thereafter during the continuance of such event, the Administrative Agent may with the consent of the Required Lenders, and shall at the request of the Required Lenders, by notice to the Company,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Section 2.06(j); and in case of any event with respect to the Company described in clause (h) or (i) of this Article,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and in the case of any event with respect to any Subsidiary Borrower described in clause (h) or (i) of this Article, (x) the eligibility of such Subsidiary Borrower to borrow shall thereupon terminate and (ii) the Loans of such Subsidiary Borrower, together with accrued interest thereon and all fees and other Obligations of such Subsidiary Borrower accrued hereunder and under the other Loan Documents, shall automatically become due and payable, without presentment, demand, protest or other notice of any kind, all of which are hereby waived by the Company and such Subsidiary Borrower. Upon the occurrence and during the continuance of an Event of Default, the Administrative Agent may, and at the request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Required Lenders shall, exercise any rights and remedies provided to the Administrative Agent under the Loan Documents or at law or equity.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5" w:lineRule="exact"/>
        <w:rPr>
          <w:sz w:val="20"/>
          <w:szCs w:val="20"/>
          <w:color w:val="auto"/>
        </w:rPr>
      </w:pPr>
    </w:p>
    <w:p>
      <w:pPr>
        <w:ind w:left="660" w:right="240" w:firstLine="645"/>
        <w:spacing w:after="0" w:line="259" w:lineRule="auto"/>
        <w:tabs>
          <w:tab w:leader="none" w:pos="19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86" w:lineRule="exact"/>
        <w:rPr>
          <w:rFonts w:ascii="Arial" w:cs="Arial" w:eastAsia="Arial" w:hAnsi="Arial"/>
          <w:sz w:val="18"/>
          <w:szCs w:val="18"/>
          <w:color w:val="auto"/>
        </w:rPr>
      </w:pPr>
    </w:p>
    <w:p>
      <w:pPr>
        <w:jc w:val="both"/>
        <w:ind w:left="660" w:right="120" w:firstLine="645"/>
        <w:spacing w:after="0" w:line="259"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86" w:lineRule="exact"/>
        <w:rPr>
          <w:rFonts w:ascii="Arial" w:cs="Arial" w:eastAsia="Arial" w:hAnsi="Arial"/>
          <w:sz w:val="18"/>
          <w:szCs w:val="18"/>
          <w:color w:val="auto"/>
        </w:rPr>
      </w:pPr>
    </w:p>
    <w:p>
      <w:pPr>
        <w:ind w:left="660" w:firstLine="645"/>
        <w:spacing w:after="0" w:line="253" w:lineRule="auto"/>
        <w:tabs>
          <w:tab w:leader="none" w:pos="196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have any duties or obligations except those expressly set forth in the Loan Documents. Without limiting the generality of the foregoing, the Administrative Agent shall not be subject to any fiduciary or other implied duties, regardless of whether a Default has occurred and is continuing. The Administrative Agent shall be deemed not to have knowledge of any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in any Loan Document, other than to confirm receipt of items expressly required to be delivered to the Administrative Agent.</w:t>
      </w:r>
    </w:p>
    <w:p>
      <w:pPr>
        <w:spacing w:after="0" w:line="194" w:lineRule="exact"/>
        <w:rPr>
          <w:rFonts w:ascii="Arial" w:cs="Arial" w:eastAsia="Arial" w:hAnsi="Arial"/>
          <w:sz w:val="18"/>
          <w:szCs w:val="18"/>
          <w:color w:val="auto"/>
        </w:rPr>
      </w:pPr>
    </w:p>
    <w:p>
      <w:pPr>
        <w:ind w:left="660" w:right="80" w:firstLine="645"/>
        <w:spacing w:after="0" w:line="255"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93" w:lineRule="exact"/>
        <w:rPr>
          <w:rFonts w:ascii="Arial" w:cs="Arial" w:eastAsia="Arial" w:hAnsi="Arial"/>
          <w:sz w:val="18"/>
          <w:szCs w:val="18"/>
          <w:color w:val="auto"/>
        </w:rPr>
      </w:pPr>
    </w:p>
    <w:p>
      <w:pPr>
        <w:ind w:left="660" w:right="260" w:firstLine="645"/>
        <w:spacing w:after="0" w:line="259" w:lineRule="auto"/>
        <w:tabs>
          <w:tab w:leader="none" w:pos="196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8" w:name="page99"/>
    <w:bookmarkEnd w:id="98"/>
    <w:p>
      <w:pPr>
        <w:ind w:right="160"/>
        <w:spacing w:after="0" w:line="277" w:lineRule="auto"/>
        <w:rPr>
          <w:sz w:val="20"/>
          <w:szCs w:val="20"/>
          <w:color w:val="auto"/>
        </w:rPr>
      </w:pPr>
      <w:r>
        <w:rPr>
          <w:rFonts w:ascii="Arial" w:cs="Arial" w:eastAsia="Arial" w:hAnsi="Arial"/>
          <w:sz w:val="18"/>
          <w:szCs w:val="18"/>
          <w:color w:val="auto"/>
        </w:rPr>
        <w:t>Administrative Agent and any such sub-agent, and shall apply to their respective activities in connection with the syndication of the credit facilities provided for herein as well as activities as Administrative Agent.</w:t>
      </w:r>
    </w:p>
    <w:p>
      <w:pPr>
        <w:spacing w:after="0" w:line="170" w:lineRule="exact"/>
        <w:rPr>
          <w:sz w:val="20"/>
          <w:szCs w:val="20"/>
          <w:color w:val="auto"/>
        </w:rPr>
      </w:pPr>
    </w:p>
    <w:p>
      <w:pPr>
        <w:ind w:right="60" w:firstLine="645"/>
        <w:spacing w:after="0" w:line="286" w:lineRule="auto"/>
        <w:tabs>
          <w:tab w:leader="none" w:pos="130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Subject to the appointment and acceptance of a successor Administrative Agent as provided in this paragraph, the Administrative Agent may resign at any time by notifying the Lenders, the Issuing Banks and the Company. Upon any such resignation, the Required Lenders shall have the right (with the consent of the Company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if an Event of Default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74" w:lineRule="exact"/>
        <w:rPr>
          <w:rFonts w:ascii="Arial" w:cs="Arial" w:eastAsia="Arial" w:hAnsi="Arial"/>
          <w:sz w:val="16"/>
          <w:szCs w:val="16"/>
          <w:color w:val="auto"/>
        </w:rPr>
      </w:pPr>
    </w:p>
    <w:p>
      <w:pPr>
        <w:ind w:right="100" w:firstLine="645"/>
        <w:spacing w:after="0" w:line="269" w:lineRule="auto"/>
        <w:tabs>
          <w:tab w:leader="none" w:pos="131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Lender acknowledges and agrees that the extensions of credit made hereunder are commercial loans and letters of credit and not investments in a business enterprise or securities. Each Lender further confirms that it is engaged in making, acquiring or holding commercial loans in the ordinary course of its business and has, independently and without reliance upon the Administrative Agent, any arranger of the credit facilities evidenced by this Agreement or any other Lender and their respective Related Parties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of the credit facilities evidenced by this Agreement or any amendment thereof or any other Lender and their respective Related Parties and based on such documents and information (which may contain material, non-public information within the meaning of the United States securities laws concerning the Company, the other Loan Parties and their respective Related Parties and their respective securities)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79" w:lineRule="exact"/>
        <w:rPr>
          <w:rFonts w:ascii="Arial" w:cs="Arial" w:eastAsia="Arial" w:hAnsi="Arial"/>
          <w:sz w:val="17"/>
          <w:szCs w:val="17"/>
          <w:color w:val="auto"/>
        </w:rPr>
      </w:pPr>
    </w:p>
    <w:p>
      <w:pPr>
        <w:ind w:firstLine="645"/>
        <w:spacing w:after="0" w:line="257"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None of the Lenders or their Affiliates, if any, identified in this Agreement as a Joint Bookrunner, Co-Syndication Agent or Co-Documentation Agent shall have any right, power, obligation, liability, responsibility or duty under this Agreement other than, in the case of Lenders, those applicable to all Lenders as such (or applicable to Lenders of the same Class of Loans). Without limiting the foregoing, none of the Joint Bookrunners or such Lenders shall have or be deemed to have a fiduciary relationship with any Lender. Each Lender hereby makes the same acknowledgments with respect to the relevant Lenders and their Affiliates in their respective</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99" w:name="page100"/>
    <w:bookmarkEnd w:id="99"/>
    <w:p>
      <w:pPr>
        <w:ind w:right="140"/>
        <w:spacing w:after="0" w:line="277" w:lineRule="auto"/>
        <w:rPr>
          <w:sz w:val="20"/>
          <w:szCs w:val="20"/>
          <w:color w:val="auto"/>
        </w:rPr>
      </w:pPr>
      <w:r>
        <w:rPr>
          <w:rFonts w:ascii="Arial" w:cs="Arial" w:eastAsia="Arial" w:hAnsi="Arial"/>
          <w:sz w:val="18"/>
          <w:szCs w:val="18"/>
          <w:color w:val="auto"/>
        </w:rPr>
        <w:t>capacities as Joint Bookrunners, Co-Syndication Agents or Co-Documentation Agents, as applicable, as it makes with respect to the Administrative Agent in the preceding paragraph.</w:t>
      </w:r>
    </w:p>
    <w:p>
      <w:pPr>
        <w:spacing w:after="0" w:line="170" w:lineRule="exact"/>
        <w:rPr>
          <w:sz w:val="20"/>
          <w:szCs w:val="20"/>
          <w:color w:val="auto"/>
        </w:rPr>
      </w:pPr>
    </w:p>
    <w:p>
      <w:pPr>
        <w:jc w:val="both"/>
        <w:ind w:right="60" w:firstLine="645"/>
        <w:spacing w:after="0" w:line="259" w:lineRule="auto"/>
        <w:tabs>
          <w:tab w:leader="none" w:pos="13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6" w:lineRule="exact"/>
        <w:rPr>
          <w:rFonts w:ascii="Arial" w:cs="Arial" w:eastAsia="Arial" w:hAnsi="Arial"/>
          <w:sz w:val="18"/>
          <w:szCs w:val="18"/>
          <w:color w:val="auto"/>
        </w:rPr>
      </w:pPr>
    </w:p>
    <w:p>
      <w:pPr>
        <w:ind w:firstLine="645"/>
        <w:spacing w:after="0" w:line="267" w:lineRule="auto"/>
        <w:tabs>
          <w:tab w:leader="none" w:pos="13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(including Section 9.12),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1" w:lineRule="exact"/>
        <w:rPr>
          <w:rFonts w:ascii="Arial" w:cs="Arial" w:eastAsia="Arial" w:hAnsi="Arial"/>
          <w:sz w:val="17"/>
          <w:szCs w:val="17"/>
          <w:color w:val="auto"/>
        </w:rPr>
      </w:pPr>
    </w:p>
    <w:p>
      <w:pPr>
        <w:ind w:right="20" w:firstLine="645"/>
        <w:spacing w:after="0" w:line="270" w:lineRule="auto"/>
        <w:tabs>
          <w:tab w:leader="none" w:pos="13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sufficiency of this Agreement or any other Loan Document or for any failure of any Borrower to perform its obligations hereunder or thereunder.</w:t>
      </w:r>
    </w:p>
    <w:p>
      <w:pPr>
        <w:spacing w:after="0" w:line="23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Posting of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9" w:lineRule="auto"/>
        <w:tabs>
          <w:tab w:leader="none" w:pos="12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8"/>
          <w:szCs w:val="18"/>
          <w:u w:val="single" w:color="auto"/>
          <w:color w:val="auto"/>
        </w:rPr>
        <w:t>Approved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Electronic Platform</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645"/>
        <w:spacing w:after="0" w:line="290" w:lineRule="auto"/>
        <w:tabs>
          <w:tab w:leader="none" w:pos="130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the Issuing Banks and the Borrowers hereby approve distribution of the Communications through the Approved Electronic Platform and understands and assumes the risks of such distribution.</w:t>
      </w:r>
    </w:p>
    <w:p>
      <w:pPr>
        <w:spacing w:after="0" w:line="166" w:lineRule="exact"/>
        <w:rPr>
          <w:rFonts w:ascii="Arial" w:cs="Arial" w:eastAsia="Arial" w:hAnsi="Arial"/>
          <w:sz w:val="16"/>
          <w:szCs w:val="16"/>
          <w:color w:val="auto"/>
        </w:rPr>
      </w:pPr>
    </w:p>
    <w:p>
      <w:pPr>
        <w:ind w:right="20" w:firstLine="645"/>
        <w:spacing w:after="0" w:line="252" w:lineRule="auto"/>
        <w:tabs>
          <w:tab w:leader="none" w:pos="13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BOOKRUNNER, ANY CO-SYNDICATION AGENT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xml:space="preserve">”) HAVE ANY LIABILITY TO ANY BORROWER, ANY LENDER, ANY ISSUING BANK OR ANY OTHER 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COMMUNICATION OR ANY OTHER DISSEMINATION OR DISCLOSURE OF ANY INFORMATION (AS DEFINED IN SECTION 9.12) TO ANY LENDERS, PROSPECTIVE LENDERS, PARTICIPANTS OR PROSPECTIVE PARTICIPANTS OR, TO THE EXTENT</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01" w:name="page102"/>
    <w:bookmarkEnd w:id="101"/>
    <w:p>
      <w:pPr>
        <w:ind w:right="40"/>
        <w:spacing w:after="0" w:line="255" w:lineRule="auto"/>
        <w:rPr>
          <w:sz w:val="20"/>
          <w:szCs w:val="20"/>
          <w:color w:val="auto"/>
        </w:rPr>
      </w:pPr>
      <w:r>
        <w:rPr>
          <w:rFonts w:ascii="Arial" w:cs="Arial" w:eastAsia="Arial" w:hAnsi="Arial"/>
          <w:sz w:val="18"/>
          <w:szCs w:val="18"/>
          <w:color w:val="auto"/>
        </w:rPr>
        <w:t>SUCH DISCLOSURE IS OTHERWISE PERMITTED BY SECTION 9.12, TO ANY OTHER PERSON THROUGH THE APPROVED ELECTRONIC PLATFORM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w:t>
      </w:r>
    </w:p>
    <w:p>
      <w:pPr>
        <w:spacing w:after="0" w:line="193" w:lineRule="exact"/>
        <w:rPr>
          <w:sz w:val="20"/>
          <w:szCs w:val="20"/>
          <w:color w:val="auto"/>
        </w:rPr>
      </w:pPr>
    </w:p>
    <w:p>
      <w:pPr>
        <w:ind w:firstLine="645"/>
        <w:spacing w:after="0" w:line="276" w:lineRule="auto"/>
        <w:tabs>
          <w:tab w:leader="none" w:pos="13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172" w:lineRule="exact"/>
        <w:rPr>
          <w:rFonts w:ascii="Arial" w:cs="Arial" w:eastAsia="Arial" w:hAnsi="Arial"/>
          <w:sz w:val="17"/>
          <w:szCs w:val="17"/>
          <w:color w:val="auto"/>
        </w:rPr>
      </w:pPr>
    </w:p>
    <w:p>
      <w:pPr>
        <w:jc w:val="both"/>
        <w:ind w:right="640" w:firstLine="645"/>
        <w:spacing w:after="0" w:line="264" w:lineRule="auto"/>
        <w:tabs>
          <w:tab w:leader="none" w:pos="13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the Lenders,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Arial" w:cs="Arial" w:eastAsia="Arial" w:hAnsi="Arial"/>
          <w:sz w:val="18"/>
          <w:szCs w:val="18"/>
          <w:color w:val="auto"/>
        </w:rPr>
      </w:pPr>
    </w:p>
    <w:p>
      <w:pPr>
        <w:ind w:right="220" w:firstLine="645"/>
        <w:spacing w:after="0" w:line="277" w:lineRule="auto"/>
        <w:tabs>
          <w:tab w:leader="none" w:pos="13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0"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right="120" w:firstLine="645"/>
        <w:spacing w:after="0" w:line="259" w:lineRule="auto"/>
        <w:tabs>
          <w:tab w:leader="none" w:pos="12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Bookrunners and their respective Affiliates, and not, for the avoidance of doubt, to or for the benefit of the Borrowers, that at least one of the following is and will be true:</w:t>
      </w:r>
    </w:p>
    <w:p>
      <w:pPr>
        <w:spacing w:after="0" w:line="186" w:lineRule="exact"/>
        <w:rPr>
          <w:rFonts w:ascii="Arial" w:cs="Arial" w:eastAsia="Arial" w:hAnsi="Arial"/>
          <w:sz w:val="18"/>
          <w:szCs w:val="18"/>
          <w:color w:val="auto"/>
        </w:rPr>
      </w:pPr>
    </w:p>
    <w:p>
      <w:pPr>
        <w:ind w:left="640" w:right="20" w:firstLine="653"/>
        <w:spacing w:after="0" w:line="277" w:lineRule="auto"/>
        <w:tabs>
          <w:tab w:leader="none" w:pos="195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ind w:left="640" w:right="200" w:firstLine="653"/>
        <w:spacing w:after="0" w:line="293" w:lineRule="auto"/>
        <w:tabs>
          <w:tab w:leader="none" w:pos="196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02" w:name="page103"/>
    <w:bookmarkEnd w:id="102"/>
    <w:p>
      <w:pPr>
        <w:ind w:left="1300" w:right="20" w:firstLine="653"/>
        <w:spacing w:after="0" w:line="272" w:lineRule="auto"/>
        <w:tabs>
          <w:tab w:leader="none" w:pos="2637" w:val="left"/>
        </w:tabs>
        <w:numPr>
          <w:ilvl w:val="2"/>
          <w:numId w:val="117"/>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rFonts w:ascii="Arial" w:cs="Arial" w:eastAsia="Arial" w:hAnsi="Arial"/>
          <w:sz w:val="17"/>
          <w:szCs w:val="17"/>
          <w:color w:val="auto"/>
        </w:rPr>
      </w:pPr>
    </w:p>
    <w:p>
      <w:pPr>
        <w:ind w:left="1300" w:right="240" w:firstLine="653"/>
        <w:spacing w:after="0" w:line="277" w:lineRule="auto"/>
        <w:tabs>
          <w:tab w:leader="none" w:pos="261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660" w:right="160" w:firstLine="645"/>
        <w:spacing w:after="0" w:line="291" w:lineRule="auto"/>
        <w:tabs>
          <w:tab w:leader="none" w:pos="196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left="660" w:hanging="4"/>
        <w:spacing w:after="0" w:line="252" w:lineRule="auto"/>
        <w:tabs>
          <w:tab w:leader="none" w:pos="9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 Joint Bookrunners or any of their respective Affiliates, and not, for the avoidance of doubt, to or for the benefit of the Borrowers, that none of the Administrative Agent, or the Joint Bookrunners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94" w:lineRule="exact"/>
        <w:rPr>
          <w:rFonts w:ascii="Arial" w:cs="Arial" w:eastAsia="Arial" w:hAnsi="Arial"/>
          <w:sz w:val="18"/>
          <w:szCs w:val="18"/>
          <w:color w:val="auto"/>
        </w:rPr>
      </w:pPr>
    </w:p>
    <w:p>
      <w:pPr>
        <w:ind w:left="660" w:right="40" w:firstLine="645"/>
        <w:spacing w:after="0" w:line="270" w:lineRule="auto"/>
        <w:tabs>
          <w:tab w:leader="none" w:pos="196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Administrative Agent and each Joint Bookrunner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3" w:name="page104"/>
    <w:bookmarkEnd w:id="103"/>
    <w:p>
      <w:pPr>
        <w:ind w:left="1420" w:hanging="667"/>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any Loan Party, to it:</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Leonard Brooks, Vice President, Treasurer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Telecopy No. (914) 847-1555</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Telephone No. (914) 847-7320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leonard.brooks@regeneron.com</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with a copy (in the case of a notice of an actual or potential Default, Event of Default, non-compliance with this</w:t>
      </w:r>
    </w:p>
    <w:p>
      <w:pPr>
        <w:spacing w:after="0" w:line="3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Agreement or any other similar matter) to:</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Joseph J. LaRosa, Senior Vice President, General Counsel and Secretary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Telecopy No. (914) 789-5061</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joseph.larosa@regeneron.com</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Sarah M. Ward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Telecopy No. (917) 777-2126</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Telephone No. (212) 735-2126</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sarah.ward@skadden.com</w:t>
      </w:r>
    </w:p>
    <w:p>
      <w:pPr>
        <w:spacing w:after="0" w:line="211" w:lineRule="exact"/>
        <w:rPr>
          <w:sz w:val="20"/>
          <w:szCs w:val="20"/>
          <w:color w:val="auto"/>
        </w:rPr>
      </w:pPr>
    </w:p>
    <w:p>
      <w:pPr>
        <w:ind w:left="100" w:firstLine="653"/>
        <w:spacing w:after="0" w:line="291" w:lineRule="auto"/>
        <w:tabs>
          <w:tab w:leader="none" w:pos="142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to the Administrative Agent, (A) in the case of Borrowings denominated in Dollars (other than Designated Loans), to JPMorgan Chase Bank, N.A., 10 South Dearborn Street, Floor L2, Chicago, Illinois 60603, Attention of Yuvette Owens (Telecopy</w:t>
      </w:r>
    </w:p>
    <w:p>
      <w:pPr>
        <w:ind w:left="100" w:right="160"/>
        <w:spacing w:after="0" w:line="279" w:lineRule="auto"/>
        <w:rPr>
          <w:rFonts w:ascii="Arial" w:cs="Arial" w:eastAsia="Arial" w:hAnsi="Arial"/>
          <w:sz w:val="16"/>
          <w:szCs w:val="16"/>
          <w:color w:val="auto"/>
        </w:rPr>
      </w:pPr>
      <w:r>
        <w:rPr>
          <w:rFonts w:ascii="Arial" w:cs="Arial" w:eastAsia="Arial" w:hAnsi="Arial"/>
          <w:sz w:val="17"/>
          <w:szCs w:val="17"/>
          <w:color w:val="auto"/>
        </w:rPr>
        <w:t>No. (888) 292-9533; E-mail: jpm.agency.servicing.4@jpmorgan.com) and (B) in the case of Borrowings denominated in Foreign Currencies and Designated Loans, to J.P. Morgan Europe Limited, 25 Bank Street, Canary Wharf, London E14 5JP, Attention of The Manager, Loan &amp; Agency Services (Telecopy No. 44 207 777 2360), and in each case with a copy to JPMorgan Chase Bank, N.A., 270 Park Avenue, 43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New York, New York 10017, Attention of Kelly Milton (Telecopy No. (315) 272-4222);</w:t>
      </w:r>
    </w:p>
    <w:p>
      <w:pPr>
        <w:spacing w:after="0" w:line="90" w:lineRule="exact"/>
        <w:rPr>
          <w:rFonts w:ascii="Arial" w:cs="Arial" w:eastAsia="Arial" w:hAnsi="Arial"/>
          <w:sz w:val="16"/>
          <w:szCs w:val="16"/>
          <w:color w:val="auto"/>
        </w:rPr>
      </w:pPr>
    </w:p>
    <w:p>
      <w:pPr>
        <w:ind w:left="100" w:right="300" w:firstLine="653"/>
        <w:spacing w:after="0" w:line="264" w:lineRule="auto"/>
        <w:tabs>
          <w:tab w:leader="none" w:pos="143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to JPMorgan Chase Bank, N.A. in its capacity as an Issuing Bank, to it at JPMorgan Chase Bank, N.A., 10 South Dearborn Street, Floor L2, Chicago, Illinois 60603 (Telecopy No. (312) 356-2608; E-mail: Chicago.LC.agency.closing.team@jpmorgan.com);</w:t>
      </w:r>
    </w:p>
    <w:p>
      <w:pPr>
        <w:spacing w:after="0" w:line="181" w:lineRule="exact"/>
        <w:rPr>
          <w:rFonts w:ascii="Arial" w:cs="Arial" w:eastAsia="Arial" w:hAnsi="Arial"/>
          <w:sz w:val="18"/>
          <w:szCs w:val="18"/>
          <w:color w:val="auto"/>
        </w:rPr>
      </w:pPr>
    </w:p>
    <w:p>
      <w:pPr>
        <w:ind w:left="100" w:right="100" w:firstLine="653"/>
        <w:spacing w:after="0" w:line="308" w:lineRule="auto"/>
        <w:tabs>
          <w:tab w:leader="none" w:pos="141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to the Swingline Lender, to it at JPMorgan Chase Bank, N.A., 10 South Dearborn Street, Floor L2, Chicago, Illinois 60603, Attention of Yuvette Owens (Telecopy No. (888) 292-9533; E-mail: jpm.agency.servicing.4@jpmorgan.com); and</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20"/>
          </w:cols>
          <w:pgMar w:left="1440" w:top="341" w:right="439" w:bottom="1440" w:gutter="0" w:footer="0" w:header="0"/>
        </w:sectPr>
      </w:pPr>
    </w:p>
    <w:bookmarkStart w:id="104" w:name="page105"/>
    <w:bookmarkEnd w:id="104"/>
    <w:p>
      <w:pPr>
        <w:ind w:left="2600" w:hanging="647"/>
        <w:spacing w:after="0"/>
        <w:tabs>
          <w:tab w:leader="none" w:pos="2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telecopy number) set forth in its Administrative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Questionnaire.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7" w:lineRule="exact"/>
        <w:rPr>
          <w:sz w:val="20"/>
          <w:szCs w:val="20"/>
          <w:color w:val="auto"/>
        </w:rPr>
      </w:pPr>
    </w:p>
    <w:p>
      <w:pPr>
        <w:ind w:left="660" w:right="120" w:firstLine="645"/>
        <w:spacing w:after="0" w:line="276" w:lineRule="auto"/>
        <w:tabs>
          <w:tab w:leader="none" w:pos="195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Lenders and the Issuing Banks hereunder may be delivered or furnished by using Approved Electronic Platforms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2" w:lineRule="exact"/>
        <w:rPr>
          <w:rFonts w:ascii="Arial" w:cs="Arial" w:eastAsia="Arial" w:hAnsi="Arial"/>
          <w:sz w:val="17"/>
          <w:szCs w:val="17"/>
          <w:color w:val="auto"/>
        </w:rPr>
      </w:pPr>
    </w:p>
    <w:p>
      <w:pPr>
        <w:ind w:left="660" w:right="40" w:firstLine="645"/>
        <w:spacing w:after="0" w:line="272" w:lineRule="auto"/>
        <w:tabs>
          <w:tab w:leader="none" w:pos="196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7" w:lineRule="exact"/>
        <w:rPr>
          <w:rFonts w:ascii="Arial" w:cs="Arial" w:eastAsia="Arial" w:hAnsi="Arial"/>
          <w:sz w:val="17"/>
          <w:szCs w:val="17"/>
          <w:color w:val="auto"/>
        </w:rPr>
      </w:pPr>
    </w:p>
    <w:p>
      <w:pPr>
        <w:ind w:left="660" w:right="400" w:firstLine="645"/>
        <w:spacing w:after="0" w:line="277"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other parties hereto (or, in the case of a Lender, by notice to the Company and the Administrative Agent).</w:t>
      </w:r>
    </w:p>
    <w:p>
      <w:pPr>
        <w:spacing w:after="0" w:line="170" w:lineRule="exact"/>
        <w:rPr>
          <w:sz w:val="20"/>
          <w:szCs w:val="20"/>
          <w:color w:val="auto"/>
        </w:rPr>
      </w:pPr>
    </w:p>
    <w:p>
      <w:pPr>
        <w:ind w:left="660" w:right="60" w:firstLine="645"/>
        <w:spacing w:after="0" w:line="285" w:lineRule="auto"/>
        <w:tabs>
          <w:tab w:leader="none" w:pos="196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Each Lender agrees that notice to it (as provided in the next sentence) (a “</w:t>
      </w:r>
      <w:r>
        <w:rPr>
          <w:rFonts w:ascii="Arial" w:cs="Arial" w:eastAsia="Arial" w:hAnsi="Arial"/>
          <w:sz w:val="16"/>
          <w:szCs w:val="16"/>
          <w:u w:val="single" w:color="auto"/>
          <w:color w:val="auto"/>
        </w:rPr>
        <w:t>Notice</w:t>
      </w:r>
      <w:r>
        <w:rPr>
          <w:rFonts w:ascii="Arial" w:cs="Arial" w:eastAsia="Arial" w:hAnsi="Arial"/>
          <w:sz w:val="16"/>
          <w:szCs w:val="16"/>
          <w:color w:val="auto"/>
        </w:rPr>
        <w:t>”) specifying that any Communications have been posted to the Approved Electronic Platform shall constitute effective delivery of such information, documents or other materials to such Lender for purposes of this Agreement. Each Lender agrees (i) to notify the Administrative Agent in writing of such Lender’s e-mail address to which a Notice may be sent by electronic transmission (including by electronic communication) on or before the date such Lender becomes a party to this Agreement (and from time to time thereafter to ensure that the Administrative Agent has on record an effective e-mail address for such Lender) and</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any Notice may be sent to such e-mail address.</w:t>
      </w:r>
    </w:p>
    <w:p>
      <w:pPr>
        <w:spacing w:after="0" w:line="211"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ind w:right="60"/>
        <w:spacing w:after="0" w:line="302" w:lineRule="auto"/>
        <w:rPr>
          <w:sz w:val="20"/>
          <w:szCs w:val="20"/>
          <w:color w:val="auto"/>
        </w:rPr>
      </w:pPr>
      <w:r>
        <w:rPr>
          <w:rFonts w:ascii="Arial" w:cs="Arial" w:eastAsia="Arial" w:hAnsi="Arial"/>
          <w:sz w:val="16"/>
          <w:szCs w:val="16"/>
          <w:color w:val="auto"/>
        </w:rPr>
        <w:t>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54" w:lineRule="exact"/>
        <w:rPr>
          <w:sz w:val="20"/>
          <w:szCs w:val="20"/>
          <w:color w:val="auto"/>
        </w:rPr>
      </w:pPr>
    </w:p>
    <w:p>
      <w:pPr>
        <w:ind w:left="660" w:right="160" w:firstLine="645"/>
        <w:spacing w:after="0" w:line="286" w:lineRule="auto"/>
        <w:tabs>
          <w:tab w:leader="none" w:pos="196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 increase in the Commitments or an Incremental Term Loan Amendment, in Section 2.21 with respect to an extension of the Maturity Date or as provided in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w:t>
      </w:r>
    </w:p>
    <w:p>
      <w:pPr>
        <w:spacing w:after="0" w:line="1" w:lineRule="exact"/>
        <w:rPr>
          <w:rFonts w:ascii="Arial" w:cs="Arial" w:eastAsia="Arial" w:hAnsi="Arial"/>
          <w:sz w:val="16"/>
          <w:szCs w:val="16"/>
          <w:color w:val="auto"/>
        </w:rPr>
      </w:pPr>
    </w:p>
    <w:p>
      <w:pPr>
        <w:ind w:left="660" w:right="40" w:hanging="4"/>
        <w:spacing w:after="0" w:line="281" w:lineRule="auto"/>
        <w:tabs>
          <w:tab w:leader="none" w:pos="87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increase the amount of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(provided that (x) any amendment or modification of the financial covenants in this Agreement (or defined terms used in the financial covenants in this Agreement) or pursuant to the terms of Section 2.14(c) shall not constitute a reduction in the rate of interest or fees for purposes of this clause (ii) even if the effect of such amendment or modification would be to reduce the rate of interest on any Loan or any LC Disbursement or to reduce any fee payable hereunder and (y) only the consent of the Required Lenders shall be necessary to amend the provisions of Section 2.13(c) or to waive any obligation of any Borrower to pay interest or any other amount at the interest rate prescribed in such Section),</w:t>
      </w:r>
    </w:p>
    <w:p>
      <w:pPr>
        <w:spacing w:after="0" w:line="4" w:lineRule="exact"/>
        <w:rPr>
          <w:rFonts w:ascii="Arial" w:cs="Arial" w:eastAsia="Arial" w:hAnsi="Arial"/>
          <w:sz w:val="16"/>
          <w:szCs w:val="16"/>
          <w:color w:val="auto"/>
        </w:rPr>
      </w:pPr>
    </w:p>
    <w:p>
      <w:pPr>
        <w:ind w:left="660" w:hanging="4"/>
        <w:spacing w:after="0" w:line="281" w:lineRule="auto"/>
        <w:tabs>
          <w:tab w:leader="none" w:pos="97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postpone the scheduled date of payment of the principal amount of any Loan or LC Disbursement , or any interest thereon, or any fees payable hereunder, or reduce the amount of, waive or excuse any such payment, or postpone the scheduled date of expiration of any Commitment, without the written consent of each Lender directly affected thereby (other than (x) any reduction of the amount of, or any extension of the payment date for, the mandatory prepayments required under Section 2.11, in each case which shall only require the approval of the Required Lenders and (y) with respect to the matters set forth in clauses (ii)(x) and (ii)(y) above), (iv) change Section 2.09(c) or Section 2.18(b) or (c) in a manner that would alter the ratable reduction of Commitments or the pro rata sharing of payments required thereby, without the written consent of each Lender, (v) change the payment waterfall provisions of Section 2.24(b)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(vii) release the Company from its obligations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without the written consent of each Lender or</w:t>
      </w:r>
    </w:p>
    <w:p>
      <w:pPr>
        <w:spacing w:after="0" w:line="8" w:lineRule="exact"/>
        <w:rPr>
          <w:rFonts w:ascii="Arial" w:cs="Arial" w:eastAsia="Arial" w:hAnsi="Arial"/>
          <w:sz w:val="16"/>
          <w:szCs w:val="16"/>
          <w:color w:val="auto"/>
        </w:rPr>
      </w:pPr>
    </w:p>
    <w:p>
      <w:pPr>
        <w:ind w:left="660" w:right="80" w:hanging="4"/>
        <w:spacing w:after="0" w:line="281" w:lineRule="auto"/>
        <w:tabs>
          <w:tab w:leader="none" w:pos="10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Subsidiary Guarantors from their obligations under the Subsidiary Guaranty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w:t>
      </w:r>
    </w:p>
    <w:p>
      <w:pPr>
        <w:spacing w:after="0" w:line="4" w:lineRule="exact"/>
        <w:rPr>
          <w:rFonts w:ascii="Arial" w:cs="Arial" w:eastAsia="Arial" w:hAnsi="Arial"/>
          <w:sz w:val="16"/>
          <w:szCs w:val="16"/>
          <w:color w:val="auto"/>
        </w:rPr>
      </w:pPr>
    </w:p>
    <w:p>
      <w:pPr>
        <w:ind w:left="920" w:hanging="264"/>
        <w:spacing w:after="0"/>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 (iii) of the first proviso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ind w:left="4"/>
        <w:spacing w:after="0"/>
        <w:rPr>
          <w:sz w:val="20"/>
          <w:szCs w:val="20"/>
          <w:color w:val="auto"/>
        </w:rPr>
      </w:pPr>
      <w:r>
        <w:rPr>
          <w:rFonts w:ascii="Arial" w:cs="Arial" w:eastAsia="Arial" w:hAnsi="Arial"/>
          <w:sz w:val="17"/>
          <w:szCs w:val="17"/>
          <w:color w:val="auto"/>
        </w:rPr>
        <w:t>of this paragraph and then only in the event such Defaulting Lender shall be directly affected by such amendment, waiver or other modification.</w:t>
      </w:r>
    </w:p>
    <w:p>
      <w:pPr>
        <w:spacing w:after="0" w:line="237" w:lineRule="exact"/>
        <w:rPr>
          <w:sz w:val="20"/>
          <w:szCs w:val="20"/>
          <w:color w:val="auto"/>
        </w:rPr>
      </w:pPr>
    </w:p>
    <w:p>
      <w:pPr>
        <w:ind w:left="4" w:firstLine="645"/>
        <w:spacing w:after="0" w:line="270" w:lineRule="auto"/>
        <w:tabs>
          <w:tab w:leader="none" w:pos="13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(i) in connection with new or increases to the Commitments and/or Incremental Term Loans in accordance with Section 2.20 or (ii) in connection with any extension in accordance with Section 2.21 shall, in any such case, require solely only the consent of the parties prescribed by such Section and shall not require the consent of the Required Lenders).</w:t>
      </w:r>
    </w:p>
    <w:p>
      <w:pPr>
        <w:spacing w:after="0" w:line="181" w:lineRule="exact"/>
        <w:rPr>
          <w:rFonts w:ascii="Arial" w:cs="Arial" w:eastAsia="Arial" w:hAnsi="Arial"/>
          <w:sz w:val="17"/>
          <w:szCs w:val="17"/>
          <w:color w:val="auto"/>
        </w:rPr>
      </w:pPr>
    </w:p>
    <w:p>
      <w:pPr>
        <w:ind w:left="4" w:right="60" w:firstLine="645"/>
        <w:spacing w:after="0" w:line="284" w:lineRule="auto"/>
        <w:tabs>
          <w:tab w:leader="none" w:pos="130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Company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w:t>
      </w:r>
    </w:p>
    <w:p>
      <w:pPr>
        <w:spacing w:after="0" w:line="1" w:lineRule="exact"/>
        <w:rPr>
          <w:rFonts w:ascii="Arial" w:cs="Arial" w:eastAsia="Arial" w:hAnsi="Arial"/>
          <w:sz w:val="16"/>
          <w:szCs w:val="16"/>
          <w:color w:val="auto"/>
        </w:rPr>
      </w:pPr>
    </w:p>
    <w:p>
      <w:pPr>
        <w:ind w:left="4" w:right="40" w:hanging="4"/>
        <w:spacing w:after="0" w:line="286" w:lineRule="auto"/>
        <w:tabs>
          <w:tab w:leader="none" w:pos="25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66" w:lineRule="exact"/>
        <w:rPr>
          <w:rFonts w:ascii="Arial" w:cs="Arial" w:eastAsia="Arial" w:hAnsi="Arial"/>
          <w:sz w:val="16"/>
          <w:szCs w:val="16"/>
          <w:color w:val="auto"/>
        </w:rPr>
      </w:pPr>
    </w:p>
    <w:p>
      <w:pPr>
        <w:ind w:left="4" w:right="220" w:firstLine="645"/>
        <w:spacing w:after="0" w:line="264" w:lineRule="auto"/>
        <w:tabs>
          <w:tab w:leader="none" w:pos="131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Administrative Agent may, with the consent of the Company only, amend, modify or supplement this Agreement or any of the other Loan Documents (i) to cure any ambiguity, omission, mistake, defect or inconsistency or correct any typographical error or other manifest error in any Loan Document, (ii) to comply with</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07" w:name="page108"/>
    <w:bookmarkEnd w:id="107"/>
    <w:p>
      <w:pPr>
        <w:ind w:left="660" w:right="140"/>
        <w:spacing w:after="0" w:line="279" w:lineRule="auto"/>
        <w:rPr>
          <w:sz w:val="20"/>
          <w:szCs w:val="20"/>
          <w:color w:val="auto"/>
        </w:rPr>
      </w:pPr>
      <w:r>
        <w:rPr>
          <w:rFonts w:ascii="Arial" w:cs="Arial" w:eastAsia="Arial" w:hAnsi="Arial"/>
          <w:sz w:val="17"/>
          <w:szCs w:val="17"/>
          <w:color w:val="auto"/>
        </w:rPr>
        <w:t>local law or advice of local counsel in any Eligible Foreign Jurisdiction or (iii) to amend any administrative provision relating to borrowing mechanics, notice requirements, the method of determining interest or other rates or any similar agency or administrative matter with respect to any Foreign Subsidiary Borrower, in each case in a manner not adverse to any Lender (subject to the consent of the Issuing Banks and/or the Swingline Lender to the extent any such changes relate to Letters of Credit or Swingline Loans, respectively).</w:t>
      </w:r>
    </w:p>
    <w:p>
      <w:pPr>
        <w:spacing w:after="0" w:line="17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Company shall pay (i) all reasonable and documented out-of-pocket expenses incurred by the Administrative Agent and its Affiliates (which shall be limited, in the case of legal fees and expenses, to the reasonable and documented fees, disbursements and other charges of a single firm as primary counsel, along with such specialist counsel as may reasonably be required by the Administrative Agent, and, to the extent reasonably necessary, a single firm of local counsel in each applicable jurisdiction, for the Administrative Agent)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fees, disbursements and other charges of a single firm as primary counsel, along with such specialist counsel as may reasonably be required by the Administrative Agent, and a single firm of local counsel in each applicable jurisdiction as may reasonably be required by the Administrative Agent, for the Administrative Agent, and not more than a single firm of outside counsel, and a single firm of local counsel in each applicable jurisdiction as may reasonably be required, for all of the other Lenders and, in the event of an actual or reasonably perceived conflict of interest (as reasonably determined by the Administrative Agent or applicable Lender and such person informs the Company of such conflict), one additional firm of counsel for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spacing w:after="0" w:line="173" w:lineRule="exact"/>
        <w:rPr>
          <w:sz w:val="20"/>
          <w:szCs w:val="20"/>
          <w:color w:val="auto"/>
        </w:rPr>
      </w:pPr>
    </w:p>
    <w:p>
      <w:pPr>
        <w:ind w:left="660" w:firstLine="645"/>
        <w:spacing w:after="0" w:line="269" w:lineRule="auto"/>
        <w:tabs>
          <w:tab w:leader="none" w:pos="196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shall indemnify the Administrative Agent, each Joint Bookrunner,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reasonable and documented out-of-pocket costs and expenses (which shall be limited, in the case of legal fees and expenses, to the reasonable and documented out-of-pocket fees, charges and disbursements of (x) a single firm as primary counsel, along with such specialist counsel as may reasonably be required by the Administrative Agent, and, to the extent reasonably necessary, a single firm of local counsel in each applicable jurisdiction for the Administrative Agent and its Related Parties, and (y) not more than a single firm of outside counsel, and a single firm of local counsel in each applicable jurisdiction as may reasonably be required, for all of the other Indemnitees and, in the event of an actual or reasonably perceived conflict of interest (as reasonably determined by the applicable Indemnitee and such Indemnitee informs the Company of such conflict), one additional firm of counsel to each group of similarly affected Indemnitees),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ind w:right="20"/>
        <w:spacing w:after="0" w:line="285" w:lineRule="auto"/>
        <w:rPr>
          <w:sz w:val="20"/>
          <w:szCs w:val="20"/>
          <w:color w:val="auto"/>
        </w:rPr>
      </w:pPr>
      <w:r>
        <w:rPr>
          <w:rFonts w:ascii="Arial" w:cs="Arial" w:eastAsia="Arial" w:hAnsi="Arial"/>
          <w:sz w:val="16"/>
          <w:szCs w:val="16"/>
          <w:color w:val="auto"/>
        </w:rPr>
        <w:t xml:space="preserve">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the willful misconduct or gross negligence of such Indemnitee or any of its Controlled Related Parties, (ii) a breach in bad faith by such Indemnitee of any of its material obligations under the applicable Loan Documents pursuant to a claim or counterclaim initiated by any Loan Party or (iii) any dispute solely among Indemnitees (not arising as a result of any act or omission by the Company or any of its Subsidiaries or Affiliates) other than claims against any Credit Party in its capacity as, or in fulfilling its role as, the Administrative Agent, an Issuing Bank, the Swingline Lender, a lead arranger, bookrunner, agent or any similar role under or in connection with this Agreement. As used in this Section 9.03, a “</w:t>
      </w:r>
      <w:r>
        <w:rPr>
          <w:rFonts w:ascii="Arial" w:cs="Arial" w:eastAsia="Arial" w:hAnsi="Arial"/>
          <w:sz w:val="16"/>
          <w:szCs w:val="16"/>
          <w:u w:val="single" w:color="auto"/>
          <w:color w:val="auto"/>
        </w:rPr>
        <w:t>Controlled Related Party</w:t>
      </w:r>
      <w:r>
        <w:rPr>
          <w:rFonts w:ascii="Arial" w:cs="Arial" w:eastAsia="Arial" w:hAnsi="Arial"/>
          <w:sz w:val="16"/>
          <w:szCs w:val="16"/>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reference to a Controlling Person, Controlled Affiliate, director, officer or employee in this sentence pertains to a Controlling Person, Controlled Affiliate, director, officer or employee involved in the structuring, arrangement, negotiation or syndication of the credit facility evidenced by this Agreement. This Section 9.03(b) shall not apply with respect to Taxes other than any Taxes that represent losses, claims or damages arising from any non-Tax claim.</w:t>
      </w:r>
    </w:p>
    <w:p>
      <w:pPr>
        <w:spacing w:after="0" w:line="384" w:lineRule="exact"/>
        <w:rPr>
          <w:sz w:val="20"/>
          <w:szCs w:val="20"/>
          <w:color w:val="auto"/>
        </w:rPr>
      </w:pPr>
    </w:p>
    <w:p>
      <w:pPr>
        <w:ind w:right="80" w:firstLine="645"/>
        <w:spacing w:after="0" w:line="255"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To the extent that the Company fails to pay any amount required to be paid by it to the Administrative Agent, any Issuing Bank or the Swingline Lender under paragraph (a) or (b) of this Section, each Lender severally agrees to pay to the Administrative Agent, such Issuing Bank 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89" w:lineRule="exact"/>
        <w:rPr>
          <w:rFonts w:ascii="Arial" w:cs="Arial" w:eastAsia="Arial" w:hAnsi="Arial"/>
          <w:sz w:val="18"/>
          <w:szCs w:val="18"/>
          <w:color w:val="auto"/>
        </w:rPr>
      </w:pPr>
    </w:p>
    <w:p>
      <w:pPr>
        <w:ind w:firstLine="645"/>
        <w:spacing w:after="0" w:line="255" w:lineRule="auto"/>
        <w:tabs>
          <w:tab w:leader="none" w:pos="130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permitted by applicable law, and subject to the proviso set forth in Section 8.02(c), no Borrower shall assert, and each Borrower hereby waives, any claim against any Indemnitee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Controlled Related Parties. To the extent permitted by applicable law, no Indemnitee shall assert against any Loan Party or its Related Parties and no</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09" w:name="page110"/>
    <w:bookmarkEnd w:id="109"/>
    <w:p>
      <w:pPr>
        <w:ind w:left="660" w:right="60"/>
        <w:spacing w:after="0" w:line="257" w:lineRule="auto"/>
        <w:rPr>
          <w:sz w:val="20"/>
          <w:szCs w:val="20"/>
          <w:color w:val="auto"/>
        </w:rPr>
      </w:pPr>
      <w:r>
        <w:rPr>
          <w:rFonts w:ascii="Arial" w:cs="Arial" w:eastAsia="Arial" w:hAnsi="Arial"/>
          <w:sz w:val="18"/>
          <w:szCs w:val="18"/>
          <w:color w:val="auto"/>
        </w:rPr>
        <w:t xml:space="preserve">Loan Party shall assert against any Indemnitee, and each Indemnitee and Loan Party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in this sentence shall limit the Company’s indemnity obligations to the extent set forth in Section 9.03(b).</w:t>
      </w:r>
    </w:p>
    <w:p>
      <w:pPr>
        <w:spacing w:after="0" w:line="188" w:lineRule="exact"/>
        <w:rPr>
          <w:sz w:val="20"/>
          <w:szCs w:val="20"/>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fifteen (15) days after written demand therefor.</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66" w:lineRule="exact"/>
        <w:rPr>
          <w:sz w:val="20"/>
          <w:szCs w:val="20"/>
          <w:color w:val="auto"/>
        </w:rPr>
      </w:pPr>
    </w:p>
    <w:p>
      <w:pPr>
        <w:ind w:left="660" w:right="100" w:firstLine="645"/>
        <w:spacing w:after="0" w:line="286" w:lineRule="auto"/>
        <w:tabs>
          <w:tab w:leader="none" w:pos="196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65" w:lineRule="exact"/>
        <w:rPr>
          <w:rFonts w:ascii="Arial" w:cs="Arial" w:eastAsia="Arial" w:hAnsi="Arial"/>
          <w:sz w:val="17"/>
          <w:szCs w:val="17"/>
          <w:color w:val="auto"/>
        </w:rPr>
      </w:pPr>
    </w:p>
    <w:p>
      <w:pPr>
        <w:ind w:left="1960" w:right="20" w:firstLine="641"/>
        <w:spacing w:after="0" w:line="257" w:lineRule="auto"/>
        <w:tabs>
          <w:tab w:leader="none" w:pos="327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the Company (provided that the Company shall be deemed to have consented to any such assignment unless it shall object thereto by written notice to the Administrative Agent within ten (10) Business Days after having received written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under clause (a), (b), (h), (i) or (j)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has occurred and is continuing, any other assignee;</w:t>
      </w:r>
    </w:p>
    <w:p>
      <w:pPr>
        <w:spacing w:after="0" w:line="188" w:lineRule="exact"/>
        <w:rPr>
          <w:rFonts w:ascii="Arial" w:cs="Arial" w:eastAsia="Arial" w:hAnsi="Arial"/>
          <w:sz w:val="18"/>
          <w:szCs w:val="18"/>
          <w:color w:val="auto"/>
        </w:rPr>
      </w:pPr>
    </w:p>
    <w:p>
      <w:pPr>
        <w:ind w:left="3260" w:hanging="659"/>
        <w:spacing w:after="0"/>
        <w:tabs>
          <w:tab w:leader="none" w:pos="32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each Issuing Bank; and</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960" w:right="320" w:firstLine="641"/>
        <w:spacing w:after="0" w:line="259" w:lineRule="auto"/>
        <w:tabs>
          <w:tab w:leader="none" w:pos="327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0" w:name="page111"/>
    <w:bookmarkEnd w:id="110"/>
    <w:p>
      <w:pPr>
        <w:ind w:left="1960" w:right="100"/>
        <w:spacing w:after="0" w:line="312" w:lineRule="auto"/>
        <w:rPr>
          <w:sz w:val="20"/>
          <w:szCs w:val="20"/>
          <w:color w:val="auto"/>
        </w:rPr>
      </w:pPr>
      <w:r>
        <w:rPr>
          <w:rFonts w:ascii="Arial" w:cs="Arial" w:eastAsia="Arial" w:hAnsi="Arial"/>
          <w:sz w:val="16"/>
          <w:szCs w:val="16"/>
          <w:color w:val="auto"/>
        </w:rPr>
        <w:t xml:space="preserve">assignment is delivered to the Administrative Agent) shall not be less than $5,000,000 and increments of $1,000,000 in excess thereof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Company shall be required if an Event of Default under clause (a), (b), (h), (i) or (j)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 and is continuing;</w:t>
      </w:r>
    </w:p>
    <w:p>
      <w:pPr>
        <w:spacing w:after="0" w:line="147" w:lineRule="exact"/>
        <w:rPr>
          <w:sz w:val="20"/>
          <w:szCs w:val="20"/>
          <w:color w:val="auto"/>
        </w:rPr>
      </w:pPr>
    </w:p>
    <w:p>
      <w:pPr>
        <w:ind w:left="1960" w:right="400" w:firstLine="641"/>
        <w:spacing w:after="0" w:line="312" w:lineRule="auto"/>
        <w:tabs>
          <w:tab w:leader="none" w:pos="32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46" w:lineRule="exact"/>
        <w:rPr>
          <w:rFonts w:ascii="Arial" w:cs="Arial" w:eastAsia="Arial" w:hAnsi="Arial"/>
          <w:sz w:val="16"/>
          <w:szCs w:val="16"/>
          <w:color w:val="auto"/>
        </w:rPr>
      </w:pPr>
    </w:p>
    <w:p>
      <w:pPr>
        <w:ind w:left="1960" w:firstLine="641"/>
        <w:spacing w:after="0" w:line="257" w:lineRule="auto"/>
        <w:tabs>
          <w:tab w:leader="none" w:pos="326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spacing w:after="0" w:line="188" w:lineRule="exact"/>
        <w:rPr>
          <w:rFonts w:ascii="Arial" w:cs="Arial" w:eastAsia="Arial" w:hAnsi="Arial"/>
          <w:sz w:val="18"/>
          <w:szCs w:val="18"/>
          <w:color w:val="auto"/>
        </w:rPr>
      </w:pPr>
    </w:p>
    <w:p>
      <w:pPr>
        <w:ind w:left="1960" w:right="100" w:firstLine="641"/>
        <w:spacing w:after="0" w:line="276" w:lineRule="auto"/>
        <w:tabs>
          <w:tab w:leader="none" w:pos="327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respective Related Parties and their respective securities) will be made available and who may receive such information in accordance with the assignee’s compliance procedures and applicable laws, including federal and state securities laws; and</w:t>
      </w:r>
    </w:p>
    <w:p>
      <w:pPr>
        <w:spacing w:after="0" w:line="172" w:lineRule="exact"/>
        <w:rPr>
          <w:rFonts w:ascii="Arial" w:cs="Arial" w:eastAsia="Arial" w:hAnsi="Arial"/>
          <w:sz w:val="17"/>
          <w:szCs w:val="17"/>
          <w:color w:val="auto"/>
        </w:rPr>
      </w:pPr>
    </w:p>
    <w:p>
      <w:pPr>
        <w:ind w:left="1960" w:right="640" w:firstLine="641"/>
        <w:spacing w:after="0" w:line="342" w:lineRule="auto"/>
        <w:tabs>
          <w:tab w:leader="none" w:pos="327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assignment to any Person of Commitments or Loans with respect to a Dutch Borrower shall only be permitted if the person to whom the Commitments or Loans are assigned is a Dutch Non-Public Lender at all times.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24" w:lineRule="exact"/>
        <w:rPr>
          <w:sz w:val="20"/>
          <w:szCs w:val="20"/>
          <w:color w:val="auto"/>
        </w:rPr>
      </w:pPr>
    </w:p>
    <w:p>
      <w:pPr>
        <w:jc w:val="both"/>
        <w:ind w:left="1300" w:right="240" w:firstLine="653"/>
        <w:spacing w:after="0" w:line="259" w:lineRule="auto"/>
        <w:tabs>
          <w:tab w:leader="none" w:pos="26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acceptance and recording thereof by the Administrative Agent pursuant to paragraph (b)(iv) of this Section, from and after the effective date specified in each Assignment and Assumption the assignee thereunder shall be a party hereto and, to the extent of the interest assigned by such Assignment and Assumption, have the rights and obligations (including, without limitation, the obligation to timely deliver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1" w:name="page112"/>
    <w:bookmarkEnd w:id="111"/>
    <w:p>
      <w:pPr>
        <w:ind w:left="644" w:right="80"/>
        <w:spacing w:after="0" w:line="290" w:lineRule="auto"/>
        <w:rPr>
          <w:sz w:val="20"/>
          <w:szCs w:val="20"/>
          <w:color w:val="auto"/>
        </w:rPr>
      </w:pPr>
      <w:r>
        <w:rPr>
          <w:rFonts w:ascii="Arial" w:cs="Arial" w:eastAsia="Arial" w:hAnsi="Arial"/>
          <w:sz w:val="16"/>
          <w:szCs w:val="16"/>
          <w:color w:val="auto"/>
        </w:rPr>
        <w:t xml:space="preserve">documentation described in Section 2.17(f))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66" w:lineRule="exact"/>
        <w:rPr>
          <w:sz w:val="20"/>
          <w:szCs w:val="20"/>
          <w:color w:val="auto"/>
        </w:rPr>
      </w:pPr>
    </w:p>
    <w:p>
      <w:pPr>
        <w:ind w:left="644" w:right="80" w:firstLine="653"/>
        <w:spacing w:after="0" w:line="254" w:lineRule="auto"/>
        <w:tabs>
          <w:tab w:leader="none" w:pos="195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92" w:lineRule="exact"/>
        <w:rPr>
          <w:rFonts w:ascii="Arial" w:cs="Arial" w:eastAsia="Arial" w:hAnsi="Arial"/>
          <w:sz w:val="18"/>
          <w:szCs w:val="18"/>
          <w:color w:val="auto"/>
        </w:rPr>
      </w:pPr>
    </w:p>
    <w:p>
      <w:pPr>
        <w:ind w:left="1944" w:hanging="647"/>
        <w:spacing w:after="0"/>
        <w:tabs>
          <w:tab w:leader="none" w:pos="19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Upon its receipt of (x) a duly completed Assignment and Assumption executed by an assigning Lender and an assignee or</w:t>
      </w:r>
    </w:p>
    <w:p>
      <w:pPr>
        <w:spacing w:after="0" w:line="46" w:lineRule="exact"/>
        <w:rPr>
          <w:rFonts w:ascii="Arial" w:cs="Arial" w:eastAsia="Arial" w:hAnsi="Arial"/>
          <w:sz w:val="16"/>
          <w:szCs w:val="16"/>
          <w:color w:val="auto"/>
        </w:rPr>
      </w:pPr>
    </w:p>
    <w:p>
      <w:pPr>
        <w:ind w:left="644" w:firstLine="5"/>
        <w:spacing w:after="0" w:line="287" w:lineRule="auto"/>
        <w:tabs>
          <w:tab w:leader="none" w:pos="89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6" w:lineRule="exact"/>
        <w:rPr>
          <w:sz w:val="20"/>
          <w:szCs w:val="20"/>
          <w:color w:val="auto"/>
        </w:rPr>
      </w:pPr>
    </w:p>
    <w:p>
      <w:pPr>
        <w:ind w:left="4" w:right="40" w:firstLine="645"/>
        <w:spacing w:after="0" w:line="288" w:lineRule="auto"/>
        <w:tabs>
          <w:tab w:leader="none" w:pos="131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any Borrower, the Administrative Agent, the Issuing Banks or the Swingline Lender,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 w:right="320" w:hanging="4"/>
        <w:spacing w:after="0" w:line="261" w:lineRule="auto"/>
        <w:tabs>
          <w:tab w:leader="none" w:pos="29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Lender’s obligations under this Agreement shall remain unchanged; (B) such Lender shall remain solely responsible to the other parties hereto for the performance of such obligations; and (C) the Borrowers, the Administrative</w:t>
      </w:r>
    </w:p>
    <w:p>
      <w:pPr>
        <w:spacing w:after="0" w:line="1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12" w:name="page113"/>
    <w:bookmarkEnd w:id="112"/>
    <w:p>
      <w:pPr>
        <w:ind w:left="660" w:right="60"/>
        <w:spacing w:after="0" w:line="283" w:lineRule="auto"/>
        <w:rPr>
          <w:sz w:val="20"/>
          <w:szCs w:val="20"/>
          <w:color w:val="auto"/>
        </w:rPr>
      </w:pPr>
      <w:r>
        <w:rPr>
          <w:rFonts w:ascii="Arial" w:cs="Arial" w:eastAsia="Arial" w:hAnsi="Arial"/>
          <w:sz w:val="16"/>
          <w:szCs w:val="16"/>
          <w:color w:val="auto"/>
        </w:rPr>
        <w:t>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w:t>
      </w:r>
    </w:p>
    <w:p>
      <w:pPr>
        <w:spacing w:after="0" w:line="7" w:lineRule="exact"/>
        <w:rPr>
          <w:sz w:val="20"/>
          <w:szCs w:val="20"/>
          <w:color w:val="auto"/>
        </w:rPr>
      </w:pPr>
    </w:p>
    <w:p>
      <w:pPr>
        <w:ind w:left="660" w:hanging="4"/>
        <w:spacing w:after="0" w:line="281" w:lineRule="auto"/>
        <w:tabs>
          <w:tab w:leader="none" w:pos="9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shall not be entitled to receive any greater payment under Sections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w:t>
      </w:r>
    </w:p>
    <w:p>
      <w:pPr>
        <w:spacing w:after="0" w:line="6" w:lineRule="exact"/>
        <w:rPr>
          <w:rFonts w:ascii="Arial" w:cs="Arial" w:eastAsia="Arial" w:hAnsi="Arial"/>
          <w:sz w:val="16"/>
          <w:szCs w:val="16"/>
          <w:color w:val="auto"/>
        </w:rPr>
      </w:pPr>
    </w:p>
    <w:p>
      <w:pPr>
        <w:ind w:left="660" w:right="20"/>
        <w:spacing w:after="0" w:line="273" w:lineRule="auto"/>
        <w:rPr>
          <w:rFonts w:ascii="Arial" w:cs="Arial" w:eastAsia="Arial" w:hAnsi="Arial"/>
          <w:sz w:val="16"/>
          <w:szCs w:val="16"/>
          <w:color w:val="auto"/>
        </w:rPr>
      </w:pPr>
      <w:r>
        <w:rPr>
          <w:rFonts w:ascii="Arial" w:cs="Arial" w:eastAsia="Arial" w:hAnsi="Arial"/>
          <w:sz w:val="17"/>
          <w:szCs w:val="17"/>
          <w:color w:val="auto"/>
        </w:rPr>
        <w:t>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rFonts w:ascii="Arial" w:cs="Arial" w:eastAsia="Arial" w:hAnsi="Arial"/>
          <w:sz w:val="16"/>
          <w:szCs w:val="16"/>
          <w:color w:val="auto"/>
        </w:rPr>
      </w:pPr>
    </w:p>
    <w:p>
      <w:pPr>
        <w:ind w:left="660" w:right="80" w:firstLine="645"/>
        <w:spacing w:after="0" w:line="257" w:lineRule="auto"/>
        <w:tabs>
          <w:tab w:leader="none" w:pos="196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such Lender from any of its obligations hereunder or substitute any such pledgee or assignee for such Lender as a party hereto.</w:t>
      </w:r>
    </w:p>
    <w:p>
      <w:pPr>
        <w:spacing w:after="0" w:line="188" w:lineRule="exact"/>
        <w:rPr>
          <w:sz w:val="20"/>
          <w:szCs w:val="20"/>
          <w:color w:val="auto"/>
        </w:rPr>
      </w:pPr>
    </w:p>
    <w:p>
      <w:pPr>
        <w:ind w:right="260" w:firstLine="1297"/>
        <w:spacing w:after="0" w:line="276"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8"/>
          <w:szCs w:val="18"/>
          <w:color w:val="auto"/>
        </w:rPr>
        <w:t>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(unless such Letter of Credit has been cash collateralized or backstopped pursuant to arrangements reasonably satisfactory to the Administrative Agent)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 Electronic Execution</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its prior written consent (not to be unreasonably withheld, conditioned or delayed).</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Subject to Section 2.23(b) and any limitations expressly agreed to by any Lender or its Affiliate, as applicable, pursuant to any Banking Services Agreement or Swap Agreement to which such Lender or Affiliate is a party,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Loan Party against any of and all of the Obligations then due and owing by such Loan Party held by such Lender, irrespective of whether or not such Lender shall have made any demand under the Loan Documents. The rights of each Lender under this Section are in addition to other rights and remedies (including other rights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4" w:name="page115"/>
    <w:bookmarkEnd w:id="114"/>
    <w:p>
      <w:pPr>
        <w:ind w:right="140"/>
        <w:spacing w:after="0" w:line="308" w:lineRule="auto"/>
        <w:rPr>
          <w:sz w:val="20"/>
          <w:szCs w:val="20"/>
          <w:color w:val="auto"/>
        </w:rPr>
      </w:pPr>
      <w:r>
        <w:rPr>
          <w:rFonts w:ascii="Arial" w:cs="Arial" w:eastAsia="Arial" w:hAnsi="Arial"/>
          <w:sz w:val="17"/>
          <w:szCs w:val="17"/>
          <w:color w:val="auto"/>
        </w:rPr>
        <w:t xml:space="preserve">of setoff) which such Lender may have. Each Lender and each Issuing Bank agrees to notify the Company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4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AND THE RIGHTS AND OBLIGATIONS OF THE PARTIES HEREUNDER SHALL BE CONSTRUED AND ENFORCED IN ACCORDANCE WITH AND GOVERNED BY THE LAWS OF THE STATE OF NEW YORK.</w:t>
      </w:r>
    </w:p>
    <w:p>
      <w:pPr>
        <w:spacing w:after="0" w:line="181" w:lineRule="exact"/>
        <w:rPr>
          <w:sz w:val="20"/>
          <w:szCs w:val="20"/>
          <w:color w:val="auto"/>
        </w:rPr>
      </w:pPr>
    </w:p>
    <w:p>
      <w:pPr>
        <w:ind w:left="660" w:right="100" w:firstLine="645"/>
        <w:spacing w:after="0" w:line="259" w:lineRule="auto"/>
        <w:tabs>
          <w:tab w:leader="none" w:pos="19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auto"/>
        </w:rPr>
      </w:pPr>
    </w:p>
    <w:p>
      <w:pPr>
        <w:ind w:left="660" w:firstLine="645"/>
        <w:spacing w:after="0" w:line="269" w:lineRule="auto"/>
        <w:tabs>
          <w:tab w:leader="none" w:pos="196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2" w:lineRule="exact"/>
        <w:rPr>
          <w:rFonts w:ascii="Arial" w:cs="Arial" w:eastAsia="Arial" w:hAnsi="Arial"/>
          <w:sz w:val="17"/>
          <w:szCs w:val="17"/>
          <w:color w:val="auto"/>
        </w:rPr>
      </w:pPr>
    </w:p>
    <w:p>
      <w:pPr>
        <w:ind w:left="660" w:right="180" w:firstLine="645"/>
        <w:spacing w:after="0" w:line="302" w:lineRule="auto"/>
        <w:tabs>
          <w:tab w:leader="none" w:pos="19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54" w:lineRule="exact"/>
        <w:rPr>
          <w:rFonts w:ascii="Arial" w:cs="Arial" w:eastAsia="Arial" w:hAnsi="Arial"/>
          <w:sz w:val="16"/>
          <w:szCs w:val="16"/>
          <w:color w:val="auto"/>
        </w:rPr>
      </w:pPr>
    </w:p>
    <w:p>
      <w:pPr>
        <w:ind w:left="660" w:right="20" w:firstLine="645"/>
        <w:spacing w:after="0" w:line="271" w:lineRule="auto"/>
        <w:tabs>
          <w:tab w:leader="none" w:pos="196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Each Subsidiary Borrower irrevocably designates and appoints the Company, as its authorized agent, to accept and acknowledge on its behalf, service of any and all process which may be served in any suit, action or proceeding of the nature referred to in Section 9.09(c) in any federal or New York State court sitting in New York City. The Company hereby represents, warrants and confirms that the Company has agreed to accept such appointment (and any similar appointment by a Subsidiary Guarantor).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ind w:left="660"/>
        <w:spacing w:after="0" w:line="286" w:lineRule="auto"/>
        <w:rPr>
          <w:sz w:val="20"/>
          <w:szCs w:val="20"/>
          <w:color w:val="auto"/>
        </w:rPr>
      </w:pPr>
      <w:r>
        <w:rPr>
          <w:rFonts w:ascii="Arial" w:cs="Arial" w:eastAsia="Arial" w:hAnsi="Arial"/>
          <w:sz w:val="16"/>
          <w:szCs w:val="16"/>
          <w:color w:val="auto"/>
        </w:rPr>
        <w:t xml:space="preserve">pursuant to Section 2.23. Each Subsidiary Borrower hereby consents to process being served in any suit, action or proceeding of the nature referred to in Section 9.09(c) in any federal or New York State court sitting in New York City by service of process upon the Company as provided in this Section 9.09(e);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and possible, notice of said service upon such agent shall be mailed by registered or certified air mail, postage prepaid, return receipt requested, to the Company and (if applicable to) such Subsidiary Borrower at its address set forth in the Borrowing Subsidiary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has or hereafter may acquire any immunity from jurisdiction of any court or from any legal process (whether from service or notice, attachment prior to judgment, attachment in aid of execution of a judgment, execution or otherwise), each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71"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b w:val="1"/>
          <w:bCs w:val="1"/>
          <w:color w:val="auto"/>
        </w:rPr>
        <w:t xml:space="preserve">SECTION 9.10.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r>
        <w:rPr>
          <w:rFonts w:ascii="Arial" w:cs="Arial" w:eastAsia="Arial" w:hAnsi="Arial"/>
          <w:sz w:val="18"/>
          <w:szCs w:val="18"/>
          <w:color w:val="auto"/>
        </w:rPr>
        <w:t>.</w:t>
      </w:r>
    </w:p>
    <w:p>
      <w:pPr>
        <w:spacing w:after="0" w:line="189"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provided that the disclosing Administrative Agent, Issuing Bank or Lender, as applicable, shall be responsible for compliance by such Persons with the provisions of this Section 9.12,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(provided that the Administrative Agent, such Issuing Bank or such Lender, as applicable, agrees that it will, to the extent practicable and other than with respect to any audit or examination conducted by bank accountants or any governmental bank regulatory authority exercising examination or regulatory authority, notify the Company promptly thereof, unless such notification is prohibited by law, rule or regulation),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6" w:name="page117"/>
    <w:bookmarkEnd w:id="116"/>
    <w:p>
      <w:pPr>
        <w:ind w:firstLine="8"/>
        <w:spacing w:after="0" w:line="285" w:lineRule="auto"/>
        <w:tabs>
          <w:tab w:leader="none" w:pos="2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party (or its managers, administrators, trustees, partners, directors, officers, employees, agents, advisors and other representatives) to any swap or derivative or similar transaction to which the Administrative Agent, any Issuing Bank or any Lender is a party and under which payments are to be made by reference to a Borrower and its obligations, this Agreement or payments hereunder,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prior written consent of the Company or (i) to the extent such Information (1) becomes publicly available other than as a result of a breach of this Section or (2) becomes available to the Administrative Agent, any Issuing Bank or any Lender on a nonconfidential basis from a source other than any Loan Party or any of their respective Related Parties.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or on behalf of any Loan Party or any of their respective Related Parties relating to any Loan Party or Subsidiary or its business or securities, other than any such information that is available to the Administrative Agent, any Issuing Bank or any Lender on a nonconfidential basis prior to disclosure by or on behalf of any Loan Party or any of their respective Related Parties and other than customary information regarding the closing date, size, type, purpose of and parties to the facilities under this Agreement of the type that is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EACH OF THE ADMINISTRATIVE AGENT, EACH ISSUING BANK AND EACH LENDER ACKNOWLEDGES THAT INFORMATION AS DEFINED IN THE IMMEDIATELY PRECEDING PARAGRAPH FURNISHED TO IT PURSUANT TO OR IN CONNECTION WITH THIS AGREEMENT OR ANY OTHER LOAN DOCUMENT MAY INCLUDE MATERIAL NON-PUBLIC INFORMATION CONCERNING THE COMPANY, THE OTHER LOAN PARTIES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OR ON BEHALF OF ANY LOAN PARTY OR THE ADMINISTRATIVE AGENT PURSUANT TO, IN CONNECTION WITH OR OTHERWISE IN THE COURSE OF ADMINISTERING THIS AGREEMENT OR ANY OTHER LOAN DOCUMENT WILL BE SYNDICATE-LEVEL INFORMATION, WHICH MAY CONTAIN MATERIAL NON-PUBLIC INFORMATION ABOUT THE COMPANY, THE OTHER LOAN PARTIES AND THEIR RESPECTIVE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7" w:name="page118"/>
    <w:bookmarkEnd w:id="117"/>
    <w:p>
      <w:pPr>
        <w:ind w:right="180" w:firstLine="1297"/>
        <w:spacing w:after="0" w:line="25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u w:val="single" w:color="auto"/>
          <w:color w:val="auto"/>
        </w:rPr>
        <w:t>Releases of Subsidiary Guarantors</w:t>
      </w:r>
      <w:r>
        <w:rPr>
          <w:rFonts w:ascii="Arial" w:cs="Arial" w:eastAsia="Arial" w:hAnsi="Arial"/>
          <w:sz w:val="15"/>
          <w:szCs w:val="15"/>
          <w:color w:val="auto"/>
        </w:rPr>
        <w:t>.</w:t>
      </w:r>
    </w:p>
    <w:p>
      <w:pPr>
        <w:spacing w:after="0" w:line="225" w:lineRule="exact"/>
        <w:rPr>
          <w:sz w:val="20"/>
          <w:szCs w:val="20"/>
          <w:color w:val="auto"/>
        </w:rPr>
      </w:pPr>
    </w:p>
    <w:p>
      <w:pPr>
        <w:jc w:val="both"/>
        <w:ind w:left="660" w:firstLine="645"/>
        <w:spacing w:after="0" w:line="288" w:lineRule="auto"/>
        <w:tabs>
          <w:tab w:leader="none" w:pos="195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w:t>
      </w:r>
    </w:p>
    <w:p>
      <w:pPr>
        <w:ind w:left="660" w:right="60"/>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any termination or release pursuant to this Section (including pursuant to clause (b) or (c) below),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except with respect to any customary further assurances that are expressly agreed to in writing by the Administrative Agent.</w:t>
      </w:r>
    </w:p>
    <w:p>
      <w:pPr>
        <w:spacing w:after="0" w:line="191" w:lineRule="exact"/>
        <w:rPr>
          <w:rFonts w:ascii="Arial" w:cs="Arial" w:eastAsia="Arial" w:hAnsi="Arial"/>
          <w:sz w:val="16"/>
          <w:szCs w:val="16"/>
          <w:color w:val="auto"/>
        </w:rPr>
      </w:pPr>
    </w:p>
    <w:p>
      <w:pPr>
        <w:ind w:left="660" w:firstLine="645"/>
        <w:spacing w:after="0" w:line="279" w:lineRule="auto"/>
        <w:tabs>
          <w:tab w:leader="none" w:pos="196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Further, the Administrative Agent may (and is hereby irrevocably authorized by each Lender to), upon the request of the Company, release any Subsidiary Guarantor from its obligations under the Subsidiary Guaranty if (i) such Subsidiary Guarantor is no longer a Material Domestic Subsidiary, becomes an Excluded Subsidiary or is otherwise not required pursuant to this terms of this Agreement to provide a Subsidiary Guaranty or (ii) such release is approved, authorized or ratified by the requisite Lenders pursuant to Section 9.02.</w:t>
      </w:r>
    </w:p>
    <w:p>
      <w:pPr>
        <w:spacing w:after="0" w:line="171" w:lineRule="exact"/>
        <w:rPr>
          <w:rFonts w:ascii="Arial" w:cs="Arial" w:eastAsia="Arial" w:hAnsi="Arial"/>
          <w:sz w:val="17"/>
          <w:szCs w:val="17"/>
          <w:color w:val="auto"/>
        </w:rPr>
      </w:pPr>
    </w:p>
    <w:p>
      <w:pPr>
        <w:ind w:left="660" w:right="20" w:firstLine="645"/>
        <w:spacing w:after="0" w:line="290" w:lineRule="auto"/>
        <w:tabs>
          <w:tab w:leader="none" w:pos="196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At such time as the principal and interest on the Loans, all LC Disbursements, the fees, expenses and other amounts payable under the Loan Documents and the other Obligations (other Obligations expressly stated to survive such payment and termination and excluding, for the avoidance of doubt, any Specified Ancillary Obligations or other obligations under any Swap Agreement or any Banking Services Agreement) then due and payable shall have been paid in full in cash, the Commitments shall have been terminated and no Letters of Credit shall be outstanding (or any outstanding Letters of Credit shall have been cash collateralized or backstopped pursuant to arrangements reasonably satisfactory to the Administrative Agent) (the foregoing, collectively, the “</w:t>
      </w:r>
      <w:r>
        <w:rPr>
          <w:rFonts w:ascii="Arial" w:cs="Arial" w:eastAsia="Arial" w:hAnsi="Arial"/>
          <w:sz w:val="16"/>
          <w:szCs w:val="16"/>
          <w:u w:val="single" w:color="auto"/>
          <w:color w:val="auto"/>
        </w:rPr>
        <w:t>Final Release Conditions</w:t>
      </w:r>
      <w:r>
        <w:rPr>
          <w:rFonts w:ascii="Arial" w:cs="Arial" w:eastAsia="Arial" w:hAnsi="Arial"/>
          <w:sz w:val="16"/>
          <w:szCs w:val="16"/>
          <w:color w:val="auto"/>
        </w:rPr>
        <w:t>”), the Subsidiary Guaranty and the Company’s Guarantee pursuant to Article X and all obligations (other than those expressly stated to survive such termination) of each Subsidiary Guarantor and the Company thereunder shall automatically terminate, all without delivery of any instrument or performance of any act by any Person.</w:t>
      </w:r>
    </w:p>
    <w:p>
      <w:pPr>
        <w:spacing w:after="0" w:line="166" w:lineRule="exact"/>
        <w:rPr>
          <w:rFonts w:ascii="Arial" w:cs="Arial" w:eastAsia="Arial" w:hAnsi="Arial"/>
          <w:sz w:val="16"/>
          <w:szCs w:val="16"/>
          <w:color w:val="auto"/>
        </w:rPr>
      </w:pPr>
    </w:p>
    <w:p>
      <w:pPr>
        <w:ind w:left="660" w:right="40" w:firstLine="645"/>
        <w:spacing w:after="0" w:line="277" w:lineRule="auto"/>
        <w:tabs>
          <w:tab w:leader="none" w:pos="1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Lenders will confirm in writing the Administrative Agent’s authority to release any particular Subsidiary Guaranty pursuant hereto.</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8" w:name="page119"/>
    <w:bookmarkEnd w:id="118"/>
    <w:p>
      <w:pPr>
        <w:jc w:val="both"/>
        <w:ind w:right="240"/>
        <w:spacing w:after="0" w:line="259" w:lineRule="auto"/>
        <w:rPr>
          <w:sz w:val="20"/>
          <w:szCs w:val="20"/>
          <w:color w:val="auto"/>
        </w:rPr>
      </w:pPr>
      <w:r>
        <w:rPr>
          <w:rFonts w:ascii="Arial" w:cs="Arial" w:eastAsia="Arial" w:hAnsi="Arial"/>
          <w:sz w:val="18"/>
          <w:szCs w:val="18"/>
          <w:color w:val="auto"/>
        </w:rPr>
        <w:t>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225" w:lineRule="exact"/>
        <w:rPr>
          <w:sz w:val="20"/>
          <w:szCs w:val="20"/>
          <w:color w:val="auto"/>
        </w:rPr>
      </w:pPr>
    </w:p>
    <w:p>
      <w:pPr>
        <w:ind w:left="660" w:firstLine="645"/>
        <w:spacing w:after="0" w:line="269" w:lineRule="auto"/>
        <w:tabs>
          <w:tab w:leader="none" w:pos="195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Borrower acknowledges and agrees, and acknowledges its Subsidiaries’ understanding, that no Credit Party will have any obligations in connection with the Loan Documents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in connection with the transactions contemplated hereby.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to the extent it deems appropriate concerning such matters and shall be responsible for making its own independent investigation and appraisal of the transactions contemplated herein or in the other Loan Documents, and the Credit Parties shall have no responsibility or liability to any Borrower with respect to such matters other than as specifically and expressly set forth in any Loan Document.</w:t>
      </w:r>
    </w:p>
    <w:p>
      <w:pPr>
        <w:spacing w:after="0" w:line="182" w:lineRule="exact"/>
        <w:rPr>
          <w:rFonts w:ascii="Arial" w:cs="Arial" w:eastAsia="Arial" w:hAnsi="Arial"/>
          <w:sz w:val="17"/>
          <w:szCs w:val="17"/>
          <w:color w:val="auto"/>
        </w:rPr>
      </w:pPr>
    </w:p>
    <w:p>
      <w:pPr>
        <w:ind w:left="660" w:right="40" w:firstLine="645"/>
        <w:spacing w:after="0" w:line="254" w:lineRule="auto"/>
        <w:tabs>
          <w:tab w:leader="none" w:pos="19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Borrower further acknowledges and agrees, and acknowledges its Subsidiaries’ understanding, that each Credit Party, together with its Affiliates, is or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2" w:lineRule="exact"/>
        <w:rPr>
          <w:rFonts w:ascii="Arial" w:cs="Arial" w:eastAsia="Arial" w:hAnsi="Arial"/>
          <w:sz w:val="18"/>
          <w:szCs w:val="18"/>
          <w:color w:val="auto"/>
        </w:rPr>
      </w:pPr>
    </w:p>
    <w:p>
      <w:pPr>
        <w:ind w:left="660" w:firstLine="645"/>
        <w:spacing w:after="0" w:line="254" w:lineRule="auto"/>
        <w:tabs>
          <w:tab w:leader="none" w:pos="19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Loan Party by virtue of the transactions contemplated by the Loan Documents or its other relationships with any Loan Party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ind w:right="140" w:firstLine="1297"/>
        <w:spacing w:after="0" w:line="259"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Attorney Representation</w:t>
      </w:r>
      <w:r>
        <w:rPr>
          <w:rFonts w:ascii="Arial" w:cs="Arial" w:eastAsia="Arial" w:hAnsi="Arial"/>
          <w:sz w:val="18"/>
          <w:szCs w:val="18"/>
          <w:color w:val="auto"/>
        </w:rPr>
        <w:t>. If a Dutch Borrower is represented by an attorney in connection with the signing and/or execution of this Agreement and/or any other Loan Document it is hereby expressly acknowledged and accepted by the parties to this Agreement and/or any other Loan Document that the existence and extent of the attorney’s authority and the effects of the attorney’s exercise or purported exercise of his or her authority shall be governed by the laws of the Netherlands.</w:t>
      </w:r>
    </w:p>
    <w:p>
      <w:pPr>
        <w:spacing w:after="0" w:line="187"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Swap Obligations and Banking Services Obligations</w:t>
      </w:r>
      <w:r>
        <w:rPr>
          <w:rFonts w:ascii="Arial" w:cs="Arial" w:eastAsia="Arial" w:hAnsi="Arial"/>
          <w:sz w:val="17"/>
          <w:szCs w:val="17"/>
          <w:color w:val="auto"/>
        </w:rPr>
        <w:t>. No Lender or any of its Affiliates that obtains the benefits of Article X or any Subsidiary Guaranty by virtue of the provisions hereof or of such Subsidiary Guaranty to Guarantee any Specified Ancillary Obligations owed to such Lender or any of its Affiliates shall have any right to notice of any action or to consent to, direct or object to any action hereunder or under any other Loan Document or otherwise (including the release or impairment of any Subsidiary Guaranty or the Company’s Guarantee set forth in Article X) other than in its capacity as a Lender and, in such case, only to the extent expressly provided in the Loan Documents.</w:t>
      </w:r>
    </w:p>
    <w:p>
      <w:pPr>
        <w:spacing w:after="0" w:line="173"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680" w:firstLine="1305"/>
        <w:spacing w:after="0" w:line="277" w:lineRule="auto"/>
        <w:tabs>
          <w:tab w:leader="none" w:pos="19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200" w:firstLine="1293"/>
        <w:spacing w:after="0" w:line="312" w:lineRule="auto"/>
        <w:tabs>
          <w:tab w:leader="none" w:pos="263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Arial" w:cs="Arial" w:eastAsia="Arial" w:hAnsi="Arial"/>
          <w:sz w:val="16"/>
          <w:szCs w:val="16"/>
          <w:color w:val="auto"/>
        </w:rPr>
      </w:pPr>
    </w:p>
    <w:p>
      <w:pPr>
        <w:ind w:left="660" w:right="160" w:firstLine="1293"/>
        <w:spacing w:after="0" w:line="277" w:lineRule="auto"/>
        <w:tabs>
          <w:tab w:leader="none" w:pos="26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Company Guarantee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order to induce the Lenders to extend credit to the Borrowers hereunder and for other good and valuable consideration (the receipt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sufficiency of which are hereby acknowledged), the Company hereby absolutely and irrevocably and unconditionally guarantees, as a primary obligor and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merely as a surety, the payment when and as due of the Obligations of the Subsidiary Borrowers and the Specified Ancillary Obligations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Company further agrees that the due and punctual payment of such Guaranteed Obligations may be extended or renewed,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whole or in part, without notice to or further assent from it, and that it will remain bound upon its guarantee under this Article X notwithstanding any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extension or renewal of any such Guaranteed Obligation.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ind w:right="60"/>
        <w:spacing w:after="0" w:line="272" w:lineRule="auto"/>
        <w:rPr>
          <w:sz w:val="20"/>
          <w:szCs w:val="20"/>
          <w:color w:val="auto"/>
        </w:rPr>
      </w:pPr>
      <w:r>
        <w:rPr>
          <w:rFonts w:ascii="Arial" w:cs="Arial" w:eastAsia="Arial" w:hAnsi="Arial"/>
          <w:sz w:val="17"/>
          <w:szCs w:val="17"/>
          <w:color w:val="auto"/>
        </w:rPr>
        <w:t xml:space="preserve">Company hereby irrevocably and unconditionally agrees that if any obligation guaranteed by it is or becomes unenforceable, invalid or illegal, it will, as an independent and primary obligation, indemnify the Administrative Agent, the Issuing Banks and the Lenders immediately on demand against any out-of-pocket and documented cost, loss or liability they incur as a result of any Subsidiary or any of its Affiliates not paying any amount which would, but for such unenforceability, invalidity or illegality, have been payable by the Company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on the date when it would have been due (but so that the amount payable by the Company under this indemnity will not exceed the amount which it would have had to pay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if the amount claimed had been recoverable on the basis of a guarantee). Notwithstanding anything to the contrary in this Article X, the Company shall not have been deemed to have guaranteed any of its own Obligations or its own Specified Ancillary Obligations.</w:t>
      </w:r>
    </w:p>
    <w:p>
      <w:pPr>
        <w:spacing w:after="0" w:line="178"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The Company waives presentment to, demand of payment from and protest to any Subsidiary of any of the Guaranteed Obligations, and also waives notice of acceptance of its obligations and notice of protest for nonpayment. The obligations of the Company under this Article X shall not be affected by (a) the failure of the Administrative Agent, any Issuing Bank or any Lender to assert any claim or demand or to enforce any right or remedy against any Subsidiary under the provisions of this Agreement, any other Loan Document or otherwise; (b) any extension or renewal of any of the Guaranteed Obligations; (c) any rescission, waiver, amendment or modification of, or release from, any of the terms or provisions of this Agreement, or any other Loan Document; (d) any default, failure or delay, willful or otherwise, in the performance of any of the Guaranteed Obligations; (e) the failure of the Administrative Agent to take any steps to perfect and maintain any security interest in, or to preserve any rights to, any security or collateral for the Guaranteed Obligations, if any; (f) any change in the corporate, partnership or other existence, structure or ownership of any Subsidiary or any other guarantor of any of the Guaranteed Obligations;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or any other guarantor of any of the Guaranteed Obligations, for any reason related to this Agreement, any other Loan Document, any Swap Agreement, any Banking Services Agreement, or any provision of applicable law, decree, order or regulation of any jurisdiction purporting to prohibit the payment by such Subsidiary or any other guarantor of the Guaranteed Obligations, of any of the Guaranteed Obligations or otherwise affecting any term of any of the Guaranteed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Company further agrees that its agreement under this Article X constitutes a guarantee of payment when due (whether or not any bankruptcy, examinership or similar proceeding shall have stayed the accrual or collection of any of the Guaranteed Obligations or operated as a discharge thereof) and not merely of collection, and waives any right to require that any resort be had by the Administrative Agent, any Issuing Bank or any Lender (or any of its Affiliates) to any balance of any deposit account or credit on the books of the Administrative Agent, any Issuing Bank or any Lender in favor of any Subsidiary or any other Person.</w:t>
      </w:r>
    </w:p>
    <w:p>
      <w:pPr>
        <w:spacing w:after="0" w:line="188"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The obligations of the Company under this Article X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in any such case, other than payment in full in cash of such Guaranteed Obligations or satisfaction otherwise of the Final Release Conditions.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1" w:name="page122"/>
    <w:bookmarkEnd w:id="121"/>
    <w:p>
      <w:pPr>
        <w:ind w:right="100" w:firstLine="1297"/>
        <w:spacing w:after="0" w:line="257" w:lineRule="auto"/>
        <w:rPr>
          <w:sz w:val="20"/>
          <w:szCs w:val="20"/>
          <w:color w:val="auto"/>
        </w:rPr>
      </w:pPr>
      <w:r>
        <w:rPr>
          <w:rFonts w:ascii="Arial" w:cs="Arial" w:eastAsia="Arial" w:hAnsi="Arial"/>
          <w:sz w:val="18"/>
          <w:szCs w:val="18"/>
          <w:color w:val="auto"/>
        </w:rPr>
        <w:t>The Company further agrees that its obligations under this Article X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the Administrative Agent, any Issuing Bank or any Lender upon the insolvency, bankruptcy, examinership or reorganization of any Subsidiary or otherwise.</w:t>
      </w:r>
    </w:p>
    <w:p>
      <w:pPr>
        <w:spacing w:after="0" w:line="188" w:lineRule="exact"/>
        <w:rPr>
          <w:sz w:val="20"/>
          <w:szCs w:val="20"/>
          <w:color w:val="auto"/>
        </w:rPr>
      </w:pPr>
    </w:p>
    <w:p>
      <w:pPr>
        <w:ind w:right="20" w:firstLine="1297"/>
        <w:spacing w:after="0" w:line="283" w:lineRule="auto"/>
        <w:rPr>
          <w:sz w:val="20"/>
          <w:szCs w:val="20"/>
          <w:color w:val="auto"/>
        </w:rPr>
      </w:pPr>
      <w:r>
        <w:rPr>
          <w:rFonts w:ascii="Arial" w:cs="Arial" w:eastAsia="Arial" w:hAnsi="Arial"/>
          <w:sz w:val="16"/>
          <w:szCs w:val="16"/>
          <w:color w:val="auto"/>
        </w:rPr>
        <w:t>In furtherance of the foregoing and not in limitation of any other right which the Administrative Agent, any Issuing Bank or any Lender may have at law or in equity against the Company by virtue of this Article X, upon the failure of any Subsidiary to pay any Guaranteed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such Issuing Bank or such Lender (or any of such Lender’s Affiliates) in cash an amount equal to the unpaid principal amount of the Guaranteed Obligations then due, together with accrued and unpaid interest thereon. The Company further agrees that if payment in respect of any Guaranteed Obligation shall be due in a currency other than Dollars and/or at a place of payment other than New York, Chicago or any other Eurocurrency Payment Office and if, by reason of any Change in Law, disruption of currency or foreign exchange markets, war or civil disturbance or other event, payment of such Guaranteed Obligation in such currency or at such place of payment shall be impossible or, in the reasonable judgment of the Administrative Agent, any Issuing Bank or any Lender, disadvantageous to the Administrative Agent, such Issuing Bank or such Lender in any material respect, then, at the election of the Administrative Agent or such Lender, the Company shall make payment of such Guaranteed Obligation in Dollars (based upon the Dollar Amount of such Guaranteed Obligation on the date of payment) and/or in New York, Chicago or such other Eurocurrency Payment Office as is designated by the Administrative Agent or such Lender and, as a separate and independent obligation, shall indemnify the Administrative Agent, such Issuing Bank and such Lender, as applicable, against any losses or reasonable out-of-pocket expenses that it shall sustain as a result of such alternative payment (subject to any applicable limitations set forth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9.03).</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Upon payment by the Company of any sums as provided above, all rights of the Company against any Subsidiary arising as a result thereof by way of right of subrogation or otherwise shall in all respects be subordinated and junior in right of payment to the prior indefeasible payment in full in cash of all the Guaranteed Obligations owed by such Subsidiary to the Administrative Agent, the Issuing Banks and the Lenders.</w:t>
      </w:r>
    </w:p>
    <w:p>
      <w:pPr>
        <w:spacing w:after="0" w:line="166"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The Company hereby absolutely, unconditionally and irrevocably undertakes to provide such funds or other support as may be needed from time to time by each Subsidiary Guarantor to honor all of its obligations under the Subsidiary Guaranty in respect of Specified Swap Obligations (provided, however, that the Company shall only be liable under this paragraph for the maximum amount of such liability that can be hereby incurred without rendering its obligations under this paragraph or otherwise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voidable under applicable law relating to fraudulent conveyance or fraudulent transfer, and not for any greater amount). The Company intends that this paragraph constitute, and this paragraph shall be deemed to constitute, a “keepwell, support, or other agreement” for the benefit of each Subsidiary Guarantor for all purposes of Section 1a(18)(A)(v)(II) of the Commodity Exchange Act.</w:t>
      </w:r>
    </w:p>
    <w:p>
      <w:pPr>
        <w:spacing w:after="0" w:line="16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Nothing shall discharge or satisfy the liability of the Company under this Article X except the full performance and payment in cash of the Guaranteed Obligations or satisfaction otherwise of the Final Release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ind w:right="16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or other authorized signatories as of the day and year first above written.</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Leonard N. Brooks</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Leonard N. Brooks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 Treasurer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Leonard N. Brooks</w:t>
      </w:r>
    </w:p>
    <w:p>
      <w:pPr>
        <w:spacing w:after="0" w:line="23" w:lineRule="exact"/>
        <w:rPr>
          <w:sz w:val="20"/>
          <w:szCs w:val="20"/>
          <w:color w:val="auto"/>
        </w:rPr>
      </w:pPr>
    </w:p>
    <w:p>
      <w:pPr>
        <w:ind w:left="6300"/>
        <w:spacing w:after="0"/>
        <w:tabs>
          <w:tab w:leader="none" w:pos="7040" w:val="left"/>
        </w:tabs>
        <w:rPr>
          <w:sz w:val="20"/>
          <w:szCs w:val="20"/>
          <w:color w:val="auto"/>
        </w:rPr>
      </w:pPr>
      <w:r>
        <w:rPr>
          <w:rFonts w:ascii="Arial" w:cs="Arial" w:eastAsia="Arial" w:hAnsi="Arial"/>
          <w:sz w:val="18"/>
          <w:szCs w:val="18"/>
          <w:color w:val="auto"/>
        </w:rPr>
        <w:t>Name:</w:t>
        <w:tab/>
        <w:t>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Marion McCourt</w:t>
      </w:r>
    </w:p>
    <w:p>
      <w:pPr>
        <w:spacing w:after="0" w:line="23" w:lineRule="exact"/>
        <w:rPr>
          <w:sz w:val="20"/>
          <w:szCs w:val="20"/>
          <w:color w:val="auto"/>
        </w:rPr>
      </w:pPr>
    </w:p>
    <w:p>
      <w:pPr>
        <w:ind w:left="6300"/>
        <w:spacing w:after="0"/>
        <w:tabs>
          <w:tab w:leader="none" w:pos="7040" w:val="left"/>
        </w:tabs>
        <w:rPr>
          <w:sz w:val="20"/>
          <w:szCs w:val="20"/>
          <w:color w:val="auto"/>
        </w:rPr>
      </w:pPr>
      <w:r>
        <w:rPr>
          <w:rFonts w:ascii="Arial" w:cs="Arial" w:eastAsia="Arial" w:hAnsi="Arial"/>
          <w:sz w:val="18"/>
          <w:szCs w:val="18"/>
          <w:color w:val="auto"/>
        </w:rPr>
        <w:t>Name:</w:t>
        <w:tab/>
        <w:t>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ind w:left="4620"/>
        <w:spacing w:after="0"/>
        <w:rPr>
          <w:sz w:val="20"/>
          <w:szCs w:val="20"/>
          <w:color w:val="auto"/>
        </w:rPr>
      </w:pPr>
      <w:r>
        <w:rPr>
          <w:rFonts w:ascii="Arial" w:cs="Arial" w:eastAsia="Arial" w:hAnsi="Arial"/>
          <w:sz w:val="18"/>
          <w:szCs w:val="18"/>
          <w:color w:val="auto"/>
        </w:rPr>
        <w:t>JPMORGAN CHASE BANK, N.A., individually as a Lender, as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Swingline Lender, as an Issuing Bank and as Administrative Agent</w:t>
      </w:r>
    </w:p>
    <w:p>
      <w:pPr>
        <w:spacing w:after="0" w:line="211"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Alicia Schreibstein</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Alicia Schreibstein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4620" w:right="240"/>
        <w:spacing w:after="0" w:line="277" w:lineRule="auto"/>
        <w:rPr>
          <w:sz w:val="20"/>
          <w:szCs w:val="20"/>
          <w:color w:val="auto"/>
        </w:rPr>
      </w:pPr>
      <w:r>
        <w:rPr>
          <w:rFonts w:ascii="Arial" w:cs="Arial" w:eastAsia="Arial" w:hAnsi="Arial"/>
          <w:sz w:val="18"/>
          <w:szCs w:val="18"/>
          <w:color w:val="auto"/>
        </w:rPr>
        <w:t>BANK OF AMERICA, N.A., individually as a Lender, as an Issuing Bank and as a Co-Syndication Agent</w:t>
      </w:r>
    </w:p>
    <w:p>
      <w:pPr>
        <w:spacing w:after="0" w:line="170"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Yinghua Zhang</w:t>
      </w:r>
    </w:p>
    <w:p>
      <w:pPr>
        <w:spacing w:after="0" w:line="2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Name:</w:t>
        <w:tab/>
        <w:t>Yinghua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right="260"/>
        <w:spacing w:after="0" w:line="277" w:lineRule="auto"/>
        <w:rPr>
          <w:sz w:val="20"/>
          <w:szCs w:val="20"/>
          <w:color w:val="auto"/>
        </w:rPr>
      </w:pPr>
      <w:r>
        <w:rPr>
          <w:rFonts w:ascii="Arial" w:cs="Arial" w:eastAsia="Arial" w:hAnsi="Arial"/>
          <w:sz w:val="18"/>
          <w:szCs w:val="18"/>
          <w:color w:val="auto"/>
        </w:rPr>
        <w:t>U.S. BANK NATIONAL ASSOCIATION, individually as a Lender, as an Issuing Bank and as a Co-Syndication Agent</w:t>
      </w:r>
    </w:p>
    <w:p>
      <w:pPr>
        <w:spacing w:after="0" w:line="170"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Ryan M. Black</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Ryan M. Black</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620" w:right="420"/>
        <w:spacing w:after="0" w:line="277" w:lineRule="auto"/>
        <w:rPr>
          <w:sz w:val="20"/>
          <w:szCs w:val="20"/>
          <w:color w:val="auto"/>
        </w:rPr>
      </w:pPr>
      <w:r>
        <w:rPr>
          <w:rFonts w:ascii="Arial" w:cs="Arial" w:eastAsia="Arial" w:hAnsi="Arial"/>
          <w:sz w:val="18"/>
          <w:szCs w:val="18"/>
          <w:color w:val="auto"/>
        </w:rPr>
        <w:t>CITIBANK, N.A., individually as a Lender and as a Co-Documentation Agent</w:t>
      </w:r>
    </w:p>
    <w:p>
      <w:pPr>
        <w:spacing w:after="0" w:line="170"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Marni McManus</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Marni McManus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24" w:name="page125"/>
    <w:bookmarkEnd w:id="124"/>
    <w:p>
      <w:pPr>
        <w:ind w:left="4620" w:right="80"/>
        <w:spacing w:after="0" w:line="277" w:lineRule="auto"/>
        <w:rPr>
          <w:sz w:val="20"/>
          <w:szCs w:val="20"/>
          <w:color w:val="auto"/>
        </w:rPr>
      </w:pPr>
      <w:r>
        <w:rPr>
          <w:rFonts w:ascii="Arial" w:cs="Arial" w:eastAsia="Arial" w:hAnsi="Arial"/>
          <w:sz w:val="18"/>
          <w:szCs w:val="18"/>
          <w:color w:val="auto"/>
        </w:rPr>
        <w:t>FIFTH THIRD BANK, individually as a Lender and as a Co-Documentation Agent</w:t>
      </w:r>
    </w:p>
    <w:p>
      <w:pPr>
        <w:spacing w:after="0" w:line="170"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Vera B. McEvoy</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Vera B. McEvoy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Director II</w:t>
            </w:r>
          </w:p>
        </w:tc>
      </w:tr>
    </w:tbl>
    <w:p>
      <w:pPr>
        <w:spacing w:after="0" w:line="202" w:lineRule="exact"/>
        <w:rPr>
          <w:sz w:val="20"/>
          <w:szCs w:val="20"/>
          <w:color w:val="auto"/>
        </w:rPr>
      </w:pPr>
    </w:p>
    <w:p>
      <w:pPr>
        <w:ind w:left="4620" w:right="180"/>
        <w:spacing w:after="0" w:line="277" w:lineRule="auto"/>
        <w:rPr>
          <w:sz w:val="20"/>
          <w:szCs w:val="20"/>
          <w:color w:val="auto"/>
        </w:rPr>
      </w:pPr>
      <w:r>
        <w:rPr>
          <w:rFonts w:ascii="Arial" w:cs="Arial" w:eastAsia="Arial" w:hAnsi="Arial"/>
          <w:sz w:val="18"/>
          <w:szCs w:val="18"/>
          <w:color w:val="auto"/>
        </w:rPr>
        <w:t>MUFG BANK, LTD., individually as a Lender and as a Co-Documentation Agent</w:t>
      </w:r>
    </w:p>
    <w:p>
      <w:pPr>
        <w:spacing w:after="0" w:line="170"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Jack Lonker</w:t>
      </w:r>
    </w:p>
    <w:p>
      <w:pPr>
        <w:spacing w:after="0" w:line="2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Name:</w:t>
        <w:tab/>
        <w:t>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BARCLAYS BANK PLC, individually as a Lender and as a Co-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Documentation Agent</w:t>
      </w:r>
    </w:p>
    <w:p>
      <w:pPr>
        <w:spacing w:after="0" w:line="211"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Ronnie Glenn</w:t>
      </w:r>
    </w:p>
    <w:p>
      <w:pPr>
        <w:spacing w:after="0" w:line="2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Name:</w:t>
        <w:tab/>
        <w:t>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GOLDMAN SACHS BANK USA, as a Lender</w:t>
      </w:r>
    </w:p>
    <w:p>
      <w:pPr>
        <w:spacing w:after="0" w:line="225"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Annie Carr</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Annie Carr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25" w:name="page126"/>
    <w:bookmarkEnd w:id="125"/>
    <w:p>
      <w:pPr>
        <w:ind w:left="4620"/>
        <w:spacing w:after="0"/>
        <w:rPr>
          <w:sz w:val="20"/>
          <w:szCs w:val="20"/>
          <w:color w:val="auto"/>
        </w:rPr>
      </w:pPr>
      <w:r>
        <w:rPr>
          <w:rFonts w:ascii="Arial" w:cs="Arial" w:eastAsia="Arial" w:hAnsi="Arial"/>
          <w:sz w:val="18"/>
          <w:szCs w:val="18"/>
          <w:color w:val="auto"/>
        </w:rPr>
        <w:t>THE NORTHERN TRUST COMPANY, as a Lender</w:t>
      </w:r>
    </w:p>
    <w:p>
      <w:pPr>
        <w:spacing w:after="0" w:line="225"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Eric Siebert</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Eric Siebert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4620" w:right="140"/>
        <w:spacing w:after="0" w:line="277" w:lineRule="auto"/>
        <w:rPr>
          <w:sz w:val="20"/>
          <w:szCs w:val="20"/>
          <w:color w:val="auto"/>
        </w:rPr>
      </w:pPr>
      <w:r>
        <w:rPr>
          <w:rFonts w:ascii="Arial" w:cs="Arial" w:eastAsia="Arial" w:hAnsi="Arial"/>
          <w:sz w:val="18"/>
          <w:szCs w:val="18"/>
          <w:color w:val="auto"/>
        </w:rPr>
        <w:t>THE GOVERNOR AND COMPANY OF THE BANK OF IRELAND, as a Lender</w:t>
      </w:r>
    </w:p>
    <w:p>
      <w:pPr>
        <w:spacing w:after="0" w:line="170"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Hughes</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Keith Hughes</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Authorised Signatory</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Schmitt</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Frank Schmitt</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Authorised Signatory</w:t>
            </w:r>
          </w:p>
        </w:tc>
      </w:tr>
    </w:tbl>
    <w:p>
      <w:pPr>
        <w:spacing w:after="0" w:line="2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PNC BANK, NATIONAL ASSOCIATION, as a Lender</w:t>
      </w:r>
    </w:p>
    <w:p>
      <w:pPr>
        <w:spacing w:after="0" w:line="225"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Steven A. Eberhardt</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Steven A. Eberhardt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CITIZENS BANK, N.A., as a Lender</w:t>
      </w:r>
    </w:p>
    <w:p>
      <w:pPr>
        <w:spacing w:after="0" w:line="225" w:lineRule="exact"/>
        <w:rPr>
          <w:sz w:val="20"/>
          <w:szCs w:val="20"/>
          <w:color w:val="auto"/>
        </w:rPr>
      </w:pPr>
    </w:p>
    <w:p>
      <w:pPr>
        <w:ind w:left="4620"/>
        <w:spacing w:after="0"/>
        <w:tabs>
          <w:tab w:leader="none" w:pos="5080" w:val="left"/>
        </w:tabs>
        <w:rPr>
          <w:sz w:val="20"/>
          <w:szCs w:val="20"/>
          <w:color w:val="auto"/>
        </w:rPr>
      </w:pPr>
      <w:r>
        <w:rPr>
          <w:rFonts w:ascii="Arial" w:cs="Arial" w:eastAsia="Arial" w:hAnsi="Arial"/>
          <w:sz w:val="18"/>
          <w:szCs w:val="18"/>
          <w:color w:val="auto"/>
        </w:rPr>
        <w:t>By</w:t>
        <w:tab/>
        <w:t>/s/ Prasanna Manyem</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Prasanna Manyem</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8740" w:type="dxa"/>
            <w:vAlign w:val="bottom"/>
          </w:tcPr>
          <w:p>
            <w:pPr>
              <w:ind w:left="5060"/>
              <w:spacing w:after="0"/>
              <w:rPr>
                <w:sz w:val="20"/>
                <w:szCs w:val="20"/>
                <w:color w:val="auto"/>
              </w:rPr>
            </w:pPr>
            <w:r>
              <w:rPr>
                <w:rFonts w:ascii="Arial" w:cs="Arial" w:eastAsia="Arial" w:hAnsi="Arial"/>
                <w:sz w:val="18"/>
                <w:szCs w:val="18"/>
                <w:color w:val="auto"/>
              </w:rPr>
              <w:t>SCHEDULE 2.01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740" w:type="dxa"/>
            <w:vAlign w:val="bottom"/>
          </w:tcPr>
          <w:p>
            <w:pPr>
              <w:ind w:left="5040"/>
              <w:spacing w:after="0"/>
              <w:rPr>
                <w:sz w:val="20"/>
                <w:szCs w:val="20"/>
                <w:color w:val="auto"/>
              </w:rPr>
            </w:pPr>
            <w:r>
              <w:rPr>
                <w:rFonts w:ascii="Arial" w:cs="Arial" w:eastAsia="Arial" w:hAnsi="Arial"/>
                <w:sz w:val="18"/>
                <w:szCs w:val="18"/>
                <w:color w:val="auto"/>
              </w:rPr>
              <w:t>COMMITMENTS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74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COMMITMENT</w:t>
            </w:r>
          </w:p>
        </w:tc>
        <w:tc>
          <w:tcPr>
            <w:tcW w:w="40" w:type="dxa"/>
            <w:vAlign w:val="bottom"/>
          </w:tcPr>
          <w:p>
            <w:pPr>
              <w:spacing w:after="0"/>
              <w:rPr>
                <w:sz w:val="24"/>
                <w:szCs w:val="24"/>
                <w:color w:val="auto"/>
              </w:rPr>
            </w:pPr>
          </w:p>
        </w:tc>
      </w:tr>
      <w:tr>
        <w:trPr>
          <w:trHeight w:val="210"/>
        </w:trPr>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BANK OF AMERICA, N.A.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CITIBANK, N.A.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MUFG BANK, LTD.</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GOLDMAN SACHS BANK USA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THE GOVERNOR AND COMPANY OF THE BANK OF IRELAND</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CITIZENS BANK, N.A.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COMMITMENT</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750,000,000</w:t>
            </w:r>
          </w:p>
        </w:tc>
        <w:tc>
          <w:tcPr>
            <w:tcW w:w="40" w:type="dxa"/>
            <w:vAlign w:val="bottom"/>
          </w:tcPr>
          <w:p>
            <w:pPr>
              <w:spacing w:after="0"/>
              <w:rPr>
                <w:sz w:val="18"/>
                <w:szCs w:val="18"/>
                <w:color w:val="auto"/>
              </w:rPr>
            </w:pPr>
          </w:p>
        </w:tc>
      </w:tr>
      <w:tr>
        <w:trPr>
          <w:trHeight w:val="348"/>
        </w:trPr>
        <w:tc>
          <w:tcPr>
            <w:tcW w:w="8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SCHEDULE 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Jurisdiction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300" w:type="dxa"/>
            <w:vAlign w:val="bottom"/>
          </w:tcPr>
          <w:p>
            <w:pPr>
              <w:spacing w:after="0"/>
              <w:rPr>
                <w:sz w:val="12"/>
                <w:szCs w:val="12"/>
                <w:color w:val="auto"/>
              </w:rPr>
            </w:pPr>
          </w:p>
        </w:tc>
        <w:tc>
          <w:tcPr>
            <w:tcW w:w="28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20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Organization</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Regeneron</w:t>
            </w:r>
          </w:p>
        </w:tc>
        <w:tc>
          <w:tcPr>
            <w:tcW w:w="30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Regeneron Genetics Center LLC</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w:t>
            </w:r>
          </w:p>
        </w:tc>
        <w:tc>
          <w:tcPr>
            <w:tcW w:w="3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Delaware</w:t>
            </w: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 Inc.</w:t>
            </w:r>
          </w:p>
        </w:tc>
        <w:tc>
          <w:tcPr>
            <w:tcW w:w="300" w:type="dxa"/>
            <w:vAlign w:val="bottom"/>
            <w:shd w:val="clear" w:color="auto" w:fill="CCEEFF"/>
          </w:tcPr>
          <w:p>
            <w:pPr>
              <w:spacing w:after="0"/>
              <w:rPr>
                <w:sz w:val="20"/>
                <w:szCs w:val="20"/>
                <w:color w:val="auto"/>
              </w:rPr>
            </w:pPr>
          </w:p>
        </w:tc>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Regeneron Healthcare Solutions, Inc.</w:t>
            </w:r>
          </w:p>
        </w:tc>
        <w:tc>
          <w:tcPr>
            <w:tcW w:w="30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20"/>
                <w:szCs w:val="20"/>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gridSpan w:val="2"/>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Regeneron Assurance, Inc.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Loop Road Holdings LLC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Rockwood Road Holdings LLC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Old Saw Mill Holdings LLC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OSMR LLC</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OSMR LLC</w:t>
            </w: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2"/>
              </w:rPr>
              <w:t>Regeneron International Holdings LLC</w:t>
            </w:r>
          </w:p>
        </w:tc>
        <w:tc>
          <w:tcPr>
            <w:tcW w:w="3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No.</w:t>
            </w:r>
          </w:p>
        </w:tc>
        <w:tc>
          <w:tcPr>
            <w:tcW w:w="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2060" w:type="dxa"/>
            <w:vAlign w:val="bottom"/>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Regeneron International</w:t>
            </w:r>
          </w:p>
        </w:tc>
        <w:tc>
          <w:tcPr>
            <w:tcW w:w="31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Regeneron International Limited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Ireland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Holdings LLC</w:t>
            </w:r>
          </w:p>
        </w:tc>
        <w:tc>
          <w:tcPr>
            <w:tcW w:w="3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OSMR LLC; Regeneron</w:t>
            </w:r>
          </w:p>
        </w:tc>
        <w:tc>
          <w:tcPr>
            <w:tcW w:w="31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OSMR Holdings</w:t>
            </w:r>
          </w:p>
        </w:tc>
        <w:tc>
          <w:tcPr>
            <w:tcW w:w="3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No.</w:t>
            </w:r>
          </w:p>
        </w:tc>
        <w:tc>
          <w:tcPr>
            <w:tcW w:w="30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Bermuda</w:t>
            </w: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19.81% (OSMR LLC)(1);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International Limited</w:t>
            </w: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80.19% (Regeneron</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International Limited)(2)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OSMR Holdings</w:t>
            </w: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OSMR International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Regeneron Ireland Holdings Unlimited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Ireland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Company</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OSMR International</w:t>
            </w:r>
          </w:p>
        </w:tc>
        <w:tc>
          <w:tcPr>
            <w:tcW w:w="3140" w:type="dxa"/>
            <w:vAlign w:val="bottom"/>
            <w:gridSpan w:val="2"/>
          </w:tcPr>
          <w:p>
            <w:pPr>
              <w:ind w:left="300"/>
              <w:spacing w:after="0"/>
              <w:rPr>
                <w:sz w:val="20"/>
                <w:szCs w:val="20"/>
                <w:color w:val="auto"/>
              </w:rPr>
            </w:pPr>
            <w:r>
              <w:rPr>
                <w:rFonts w:ascii="Arial" w:cs="Arial" w:eastAsia="Arial" w:hAnsi="Arial"/>
                <w:sz w:val="18"/>
                <w:szCs w:val="18"/>
                <w:color w:val="auto"/>
              </w:rPr>
              <w:t>Regeneron Atlantic Holdings</w:t>
            </w:r>
          </w:p>
        </w:tc>
        <w:tc>
          <w:tcPr>
            <w:tcW w:w="3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No.</w:t>
            </w:r>
          </w:p>
        </w:tc>
        <w:tc>
          <w:tcPr>
            <w:tcW w:w="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060" w:type="dxa"/>
            <w:vAlign w:val="bottom"/>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Regeneron Ireland Holdings</w:t>
            </w:r>
          </w:p>
        </w:tc>
        <w:tc>
          <w:tcPr>
            <w:tcW w:w="31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Regeneron Ireland Unlimited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w:t>
            </w:r>
          </w:p>
        </w:tc>
        <w:tc>
          <w:tcPr>
            <w:tcW w:w="3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Ireland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Unlimited Company</w:t>
            </w: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Company</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Regeneron Ireland Unlimited</w:t>
            </w:r>
          </w:p>
        </w:tc>
        <w:tc>
          <w:tcPr>
            <w:tcW w:w="314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6"/>
              </w:rPr>
              <w:t>Regeneron Capital International B.V.</w:t>
            </w:r>
          </w:p>
        </w:tc>
        <w:tc>
          <w:tcPr>
            <w:tcW w:w="3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No.</w:t>
            </w:r>
          </w:p>
        </w:tc>
        <w:tc>
          <w:tcPr>
            <w:tcW w:w="30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Netherlands</w:t>
            </w: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Company</w:t>
            </w: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OSMR LLC owns 10,000 shares of OSMR Holdings.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Regeneron International Limited owns 40,471 shares of OSMR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Material</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Jurisdiction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300" w:type="dxa"/>
            <w:vAlign w:val="bottom"/>
          </w:tcPr>
          <w:p>
            <w:pPr>
              <w:spacing w:after="0"/>
              <w:rPr>
                <w:sz w:val="12"/>
                <w:szCs w:val="12"/>
                <w:color w:val="auto"/>
              </w:rPr>
            </w:pPr>
          </w:p>
        </w:tc>
        <w:tc>
          <w:tcPr>
            <w:tcW w:w="31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Subsidiary</w:t>
            </w:r>
          </w:p>
        </w:tc>
        <w:tc>
          <w:tcPr>
            <w:tcW w:w="1420" w:type="dxa"/>
            <w:vAlign w:val="bottom"/>
            <w:gridSpan w:val="2"/>
            <w:vMerge w:val="continue"/>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20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Organization</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Regeneron Spain, S.L.U.</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Spain</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Regeneron Belgium BVBA</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99.99%(3)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Regeneron UK Limited</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 0.01% held by Regeneron Spain, S.L.U. (1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29" w:name="page130"/>
    <w:bookmarkEnd w:id="129"/>
    <w:p>
      <w:pPr>
        <w:jc w:val="center"/>
        <w:ind w:right="-1200"/>
        <w:spacing w:after="0"/>
        <w:rPr>
          <w:sz w:val="20"/>
          <w:szCs w:val="20"/>
          <w:color w:val="auto"/>
        </w:rPr>
      </w:pPr>
      <w:r>
        <w:rPr>
          <w:rFonts w:ascii="Arial" w:cs="Arial" w:eastAsia="Arial" w:hAnsi="Arial"/>
          <w:sz w:val="18"/>
          <w:szCs w:val="18"/>
          <w:color w:val="auto"/>
        </w:rPr>
        <w:t>SCHEDULE 6.01</w:t>
      </w:r>
    </w:p>
    <w:p>
      <w:pPr>
        <w:spacing w:after="0" w:line="225"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EXISTING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0" w:name="page131"/>
    <w:bookmarkEnd w:id="130"/>
    <w:p>
      <w:pPr>
        <w:ind w:left="5060"/>
        <w:spacing w:after="0"/>
        <w:rPr>
          <w:sz w:val="20"/>
          <w:szCs w:val="20"/>
          <w:color w:val="auto"/>
        </w:rPr>
      </w:pPr>
      <w:r>
        <w:rPr>
          <w:rFonts w:ascii="Arial" w:cs="Arial" w:eastAsia="Arial" w:hAnsi="Arial"/>
          <w:sz w:val="17"/>
          <w:szCs w:val="17"/>
          <w:color w:val="auto"/>
        </w:rPr>
        <w:t>SCHEDULE 6.02</w:t>
      </w:r>
    </w:p>
    <w:p>
      <w:pPr>
        <w:spacing w:after="0" w:line="237"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EXISTING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58"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500" w:hanging="492"/>
        <w:spacing w:after="0"/>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Assignee:</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[and is an Affiliate/Approved Fund of [identify Lender](1)]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2180" w:type="dxa"/>
            <w:vAlign w:val="bottom"/>
          </w:tcPr>
          <w:p>
            <w:pPr>
              <w:ind w:left="240"/>
              <w:spacing w:after="0"/>
              <w:rPr>
                <w:sz w:val="20"/>
                <w:szCs w:val="20"/>
                <w:color w:val="auto"/>
              </w:rPr>
            </w:pPr>
            <w:r>
              <w:rPr>
                <w:rFonts w:ascii="Arial" w:cs="Arial" w:eastAsia="Arial" w:hAnsi="Arial"/>
                <w:sz w:val="18"/>
                <w:szCs w:val="18"/>
                <w:color w:val="auto"/>
              </w:rPr>
              <w:t>Borrowers:</w:t>
            </w: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Regeneron Pharmaceuticals, Inc. and certain Subsidiary Borrowers</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2180" w:type="dxa"/>
            <w:vAlign w:val="bottom"/>
          </w:tcPr>
          <w:p>
            <w:pPr>
              <w:ind w:left="240"/>
              <w:spacing w:after="0"/>
              <w:rPr>
                <w:sz w:val="20"/>
                <w:szCs w:val="20"/>
                <w:color w:val="auto"/>
              </w:rPr>
            </w:pPr>
            <w:r>
              <w:rPr>
                <w:rFonts w:ascii="Arial" w:cs="Arial" w:eastAsia="Arial" w:hAnsi="Arial"/>
                <w:sz w:val="18"/>
                <w:szCs w:val="18"/>
                <w:color w:val="auto"/>
              </w:rPr>
              <w:t>Administrative Agent:</w:t>
            </w: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2180" w:type="dxa"/>
            <w:vAlign w:val="bottom"/>
          </w:tcPr>
          <w:p>
            <w:pPr>
              <w:ind w:left="240"/>
              <w:spacing w:after="0"/>
              <w:rPr>
                <w:sz w:val="20"/>
                <w:szCs w:val="20"/>
                <w:color w:val="auto"/>
              </w:rPr>
            </w:pPr>
            <w:r>
              <w:rPr>
                <w:rFonts w:ascii="Arial" w:cs="Arial" w:eastAsia="Arial" w:hAnsi="Arial"/>
                <w:sz w:val="18"/>
                <w:szCs w:val="18"/>
                <w:color w:val="auto"/>
              </w:rPr>
              <w:t>Credit Agreement:</w:t>
            </w: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w w:val="97"/>
              </w:rPr>
              <w:t>The Credit Agreement dated as of December 14, 2018 among Regeneron Pharmaceuticals, Inc., the Subsidiary</w:t>
            </w:r>
          </w:p>
        </w:tc>
      </w:tr>
      <w:tr>
        <w:trPr>
          <w:trHeight w:val="216"/>
        </w:trPr>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Borrowers from time to time parties thereto, the Lenders parties thereto, JPMorgan Chase Bank, N.A., as</w:t>
            </w:r>
          </w:p>
        </w:tc>
      </w:tr>
      <w:tr>
        <w:trPr>
          <w:trHeight w:val="230"/>
        </w:trPr>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Administrative Agent, and the other agents parties thereto</w:t>
            </w:r>
          </w:p>
        </w:tc>
      </w:tr>
      <w:tr>
        <w:trPr>
          <w:trHeight w:val="324"/>
        </w:trPr>
        <w:tc>
          <w:tcPr>
            <w:tcW w:w="2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580" w:type="dxa"/>
            <w:vAlign w:val="bottom"/>
          </w:tcPr>
          <w:p>
            <w:pPr>
              <w:spacing w:after="0"/>
              <w:rPr>
                <w:sz w:val="24"/>
                <w:szCs w:val="24"/>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2180" w:type="dxa"/>
            <w:vAlign w:val="bottom"/>
          </w:tcPr>
          <w:p>
            <w:pPr>
              <w:ind w:left="40"/>
              <w:spacing w:after="0"/>
              <w:rPr>
                <w:sz w:val="20"/>
                <w:szCs w:val="20"/>
                <w:color w:val="auto"/>
              </w:rPr>
            </w:pPr>
            <w:r>
              <w:rPr>
                <w:rFonts w:ascii="Arial" w:cs="Arial" w:eastAsia="Arial" w:hAnsi="Arial"/>
                <w:sz w:val="18"/>
                <w:szCs w:val="18"/>
                <w:color w:val="auto"/>
              </w:rPr>
              <w:t>Select as applicable.</w:t>
            </w:r>
          </w:p>
        </w:tc>
        <w:tc>
          <w:tcPr>
            <w:tcW w:w="440" w:type="dxa"/>
            <w:vAlign w:val="bottom"/>
          </w:tcPr>
          <w:p>
            <w:pPr>
              <w:spacing w:after="0"/>
              <w:rPr>
                <w:sz w:val="24"/>
                <w:szCs w:val="24"/>
                <w:color w:val="auto"/>
              </w:rPr>
            </w:pPr>
          </w:p>
        </w:tc>
        <w:tc>
          <w:tcPr>
            <w:tcW w:w="8580" w:type="dxa"/>
            <w:vAlign w:val="bottom"/>
          </w:tcPr>
          <w:p>
            <w:pPr>
              <w:spacing w:after="0"/>
              <w:rPr>
                <w:sz w:val="24"/>
                <w:szCs w:val="24"/>
                <w:color w:val="auto"/>
              </w:rPr>
            </w:pPr>
          </w:p>
        </w:tc>
      </w:tr>
      <w:tr>
        <w:trPr>
          <w:trHeight w:val="348"/>
        </w:trPr>
        <w:tc>
          <w:tcPr>
            <w:tcW w:w="2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2" w:name="page133"/>
    <w:bookmarkEnd w:id="132"/>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b w:val="1"/>
                <w:bCs w:val="1"/>
                <w:color w:val="auto"/>
              </w:rPr>
              <w:t>Aggregate Amount of</w:t>
            </w: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 Commitment/Loans</w:t>
            </w:r>
          </w:p>
        </w:tc>
        <w:tc>
          <w:tcPr>
            <w:tcW w:w="3560" w:type="dxa"/>
            <w:vAlign w:val="bottom"/>
            <w:gridSpan w:val="2"/>
            <w:vMerge w:val="restart"/>
          </w:tcPr>
          <w:p>
            <w:pPr>
              <w:jc w:val="right"/>
              <w:ind w:right="1070"/>
              <w:spacing w:after="0"/>
              <w:rPr>
                <w:sz w:val="20"/>
                <w:szCs w:val="20"/>
                <w:color w:val="auto"/>
              </w:rPr>
            </w:pPr>
            <w:r>
              <w:rPr>
                <w:rFonts w:ascii="Arial" w:cs="Arial" w:eastAsia="Arial" w:hAnsi="Arial"/>
                <w:sz w:val="14"/>
                <w:szCs w:val="14"/>
                <w:b w:val="1"/>
                <w:bCs w:val="1"/>
                <w:color w:val="auto"/>
              </w:rPr>
              <w:t>Percentage Assigned of</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Commitment/Loans for all</w:t>
            </w: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b w:val="1"/>
                <w:bCs w:val="1"/>
                <w:color w:val="auto"/>
              </w:rPr>
              <w:t>Lenders</w:t>
            </w: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Assigned</w:t>
            </w:r>
          </w:p>
        </w:tc>
        <w:tc>
          <w:tcPr>
            <w:tcW w:w="356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rPr>
              <w:t>Commitment/Loans(2)</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324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w:t>
            </w:r>
          </w:p>
        </w:tc>
        <w:tc>
          <w:tcPr>
            <w:tcW w:w="5780" w:type="dxa"/>
            <w:vAlign w:val="bottom"/>
            <w:gridSpan w:val="3"/>
          </w:tcPr>
          <w:p>
            <w:pPr>
              <w:jc w:val="right"/>
              <w:ind w:right="32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80" w:type="dxa"/>
            <w:vAlign w:val="bottom"/>
            <w:gridSpan w:val="3"/>
            <w:shd w:val="clear" w:color="auto" w:fill="CCEEFF"/>
          </w:tcPr>
          <w:p>
            <w:pPr>
              <w:jc w:val="right"/>
              <w:ind w:right="32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Effective Date:</w:t>
            </w:r>
          </w:p>
        </w:tc>
        <w:tc>
          <w:tcPr>
            <w:tcW w:w="9620" w:type="dxa"/>
            <w:vAlign w:val="bottom"/>
            <w:gridSpan w:val="6"/>
          </w:tcPr>
          <w:p>
            <w:pPr>
              <w:jc w:val="right"/>
              <w:ind w:right="770"/>
              <w:spacing w:after="0"/>
              <w:rPr>
                <w:sz w:val="20"/>
                <w:szCs w:val="20"/>
                <w:color w:val="auto"/>
              </w:rPr>
            </w:pPr>
            <w:r>
              <w:rPr>
                <w:rFonts w:ascii="Arial" w:cs="Arial" w:eastAsia="Arial" w:hAnsi="Arial"/>
                <w:sz w:val="18"/>
                <w:szCs w:val="18"/>
                <w:color w:val="auto"/>
                <w:w w:val="99"/>
              </w:rPr>
              <w:t>, 20  [TO BE INSERTED BY ADMINISTRATIVE AGENT AND WHICH SHALL BE THE EFFECTIVE DATE OF</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respective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 an Issuing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(2) Set forth, so at least 9 decimals, as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88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(3) To be added only if the consent of the Company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960" w:hanging="655"/>
        <w:spacing w:after="0"/>
        <w:tabs>
          <w:tab w:leader="none" w:pos="19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67" w:lineRule="exact"/>
        <w:rPr>
          <w:sz w:val="20"/>
          <w:szCs w:val="20"/>
          <w:color w:val="auto"/>
        </w:rPr>
      </w:pPr>
    </w:p>
    <w:p>
      <w:pPr>
        <w:ind w:right="40" w:firstLine="1297"/>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of the credit facilities evidenced by the Credit Agreement or any other Lender and their respective Related Parties, and (v) attached to the Assignment and Assumption is any documentation required to be delivered by it pursuant to the terms of the Credit Agreement, duly completed and executed by the Assignee; and (b) agrees that</w:t>
      </w:r>
    </w:p>
    <w:p>
      <w:pPr>
        <w:spacing w:after="0" w:line="6" w:lineRule="exact"/>
        <w:rPr>
          <w:sz w:val="20"/>
          <w:szCs w:val="20"/>
          <w:color w:val="auto"/>
        </w:rPr>
      </w:pPr>
    </w:p>
    <w:p>
      <w:pPr>
        <w:ind w:right="140" w:firstLine="8"/>
        <w:spacing w:after="0" w:line="273" w:lineRule="auto"/>
        <w:tabs>
          <w:tab w:leader="none" w:pos="2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it will, independently and without reliance on the Administrative Agent, any arranger of the credit facilities evidenced by the Credit Agreement, the Assignor or any other Lender and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6" w:lineRule="exact"/>
        <w:rPr>
          <w:rFonts w:ascii="Arial" w:cs="Arial" w:eastAsia="Arial" w:hAnsi="Arial"/>
          <w:sz w:val="17"/>
          <w:szCs w:val="17"/>
          <w:color w:val="auto"/>
        </w:rPr>
      </w:pPr>
    </w:p>
    <w:p>
      <w:pPr>
        <w:jc w:val="both"/>
        <w:ind w:right="20" w:firstLine="1305"/>
        <w:spacing w:after="0" w:line="264" w:lineRule="auto"/>
        <w:tabs>
          <w:tab w:leader="none" w:pos="1945"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right="280" w:firstLine="1305"/>
        <w:spacing w:after="0" w:line="286" w:lineRule="auto"/>
        <w:tabs>
          <w:tab w:leader="none" w:pos="1945"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jc w:val="both"/>
        <w:spacing w:after="0" w:line="270" w:lineRule="auto"/>
        <w:rPr>
          <w:sz w:val="20"/>
          <w:szCs w:val="20"/>
          <w:color w:val="auto"/>
        </w:rPr>
      </w:pPr>
      <w:r>
        <w:rPr>
          <w:rFonts w:ascii="Arial" w:cs="Arial" w:eastAsia="Arial" w:hAnsi="Arial"/>
          <w:sz w:val="18"/>
          <w:szCs w:val="18"/>
          <w:color w:val="auto"/>
        </w:rPr>
        <w:t xml:space="preserve">by Electronic Signature or delivery </w:t>
      </w:r>
      <w:r>
        <w:rPr>
          <w:rFonts w:ascii="Arial" w:cs="Arial" w:eastAsia="Arial" w:hAnsi="Arial"/>
          <w:sz w:val="17"/>
          <w:szCs w:val="17"/>
          <w:color w:val="auto"/>
        </w:rPr>
        <w:t>of an executed counterpart of a signature page of this Assignment and Assumption by any Approved Electronic Platform</w:t>
      </w:r>
      <w:r>
        <w:rPr>
          <w:rFonts w:ascii="Arial" w:cs="Arial" w:eastAsia="Arial" w:hAnsi="Arial"/>
          <w:sz w:val="18"/>
          <w:szCs w:val="18"/>
          <w:color w:val="auto"/>
        </w:rPr>
        <w:t xml:space="preserve"> </w:t>
      </w:r>
      <w:r>
        <w:rPr>
          <w:rFonts w:ascii="Arial" w:cs="Arial" w:eastAsia="Arial" w:hAnsi="Arial"/>
          <w:sz w:val="17"/>
          <w:szCs w:val="17"/>
          <w:color w:val="auto"/>
        </w:rPr>
        <w:t>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41" w:right="51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INCREASING LENDER SUPPLEMENT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INCREASING LENDER SUPPLEMENT, dated , 20 (this “</w:t>
      </w:r>
      <w:r>
        <w:rPr>
          <w:rFonts w:ascii="Arial" w:cs="Arial" w:eastAsia="Arial" w:hAnsi="Arial"/>
          <w:sz w:val="18"/>
          <w:szCs w:val="18"/>
          <w:u w:val="single" w:color="auto"/>
          <w:color w:val="auto"/>
        </w:rPr>
        <w:t>Supplement</w:t>
      </w:r>
      <w:r>
        <w:rPr>
          <w:rFonts w:ascii="Arial" w:cs="Arial" w:eastAsia="Arial" w:hAnsi="Arial"/>
          <w:sz w:val="18"/>
          <w:szCs w:val="18"/>
          <w:color w:val="auto"/>
        </w:rPr>
        <w:t>”), by and among each of the signatories hereto,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100" w:firstLine="1297"/>
        <w:spacing w:after="0" w:line="286"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of the Credit Agreement, the Company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spacing w:after="0" w:line="166"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WHEREAS, the Company has given notice to the Administrative Agent of its intention to [increase the Aggregate Commitment] [and] [enter into a tranche of Incremental Term Loans] pursuant to such </w:t>
      </w:r>
      <w:r>
        <w:rPr>
          <w:rFonts w:ascii="Arial" w:cs="Arial" w:eastAsia="Arial" w:hAnsi="Arial"/>
          <w:sz w:val="18"/>
          <w:szCs w:val="18"/>
          <w:u w:val="single" w:color="auto"/>
          <w:color w:val="auto"/>
        </w:rPr>
        <w:t>Section 2.20</w:t>
      </w:r>
      <w:r>
        <w:rPr>
          <w:rFonts w:ascii="Arial" w:cs="Arial" w:eastAsia="Arial" w:hAnsi="Arial"/>
          <w:sz w:val="18"/>
          <w:szCs w:val="18"/>
          <w:color w:val="auto"/>
        </w:rPr>
        <w:t>; and</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Credit Agreement, the undersigned Increasing Lender now desires to [increase the amount of its Commitment] [and] [participate in a tranche of Incremental Term Loans] under the Credit Agreement by executing and delivering to the Company and the Administrative Agent this Supplement;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57" w:lineRule="exact"/>
        <w:rPr>
          <w:sz w:val="20"/>
          <w:szCs w:val="20"/>
          <w:color w:val="auto"/>
        </w:rPr>
      </w:pPr>
    </w:p>
    <w:p>
      <w:pPr>
        <w:ind w:left="1960" w:hanging="655"/>
        <w:spacing w:after="0"/>
        <w:tabs>
          <w:tab w:leader="none" w:pos="19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undersigned Increasing Lender agrees, subject to the terms and conditions of the Credit Agreement, that on the date of this</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Supplement it shall [have its Commitment increased by $[ ], thereby making the aggregate amount of its total Commitments equal to $[ ]] [and] [participate in a tranche of Incremental Term Loans with a commitment amount equal to $[ ] with respect thereto].</w:t>
      </w:r>
    </w:p>
    <w:p>
      <w:pPr>
        <w:spacing w:after="0" w:line="170"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hereby represents and warrants that no Default or Event of Default has occurred and is continuing on and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11"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right="120" w:firstLine="1305"/>
        <w:spacing w:after="0" w:line="308" w:lineRule="auto"/>
        <w:tabs>
          <w:tab w:leader="none" w:pos="194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7" w:name="page138"/>
    <w:bookmarkEnd w:id="137"/>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INCREASING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AUGMENTING LENDER SUPPLEMENT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AUGMENTING LENDER SUPPLEMENT, dated , 20 (this “</w:t>
      </w:r>
      <w:r>
        <w:rPr>
          <w:rFonts w:ascii="Arial" w:cs="Arial" w:eastAsia="Arial" w:hAnsi="Arial"/>
          <w:sz w:val="18"/>
          <w:szCs w:val="18"/>
          <w:u w:val="single" w:color="auto"/>
          <w:color w:val="auto"/>
        </w:rPr>
        <w:t>Supplement</w:t>
      </w:r>
      <w:r>
        <w:rPr>
          <w:rFonts w:ascii="Arial" w:cs="Arial" w:eastAsia="Arial" w:hAnsi="Arial"/>
          <w:sz w:val="18"/>
          <w:szCs w:val="18"/>
          <w:color w:val="auto"/>
        </w:rPr>
        <w:t>”), by and among each of the signatories hereto,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WHEREAS, the Credit Agreement provides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thereof that any bank, financial institution or other entity may [extend Commitments] [and] [participate in tranches of Incremental Term Loans] under the Credit Agreement subject to the approval of the Company and the Administrative Agent, by executing and delivering to the Company and the Administrative Agent a supplement to the Credit Agreement in substantially the form of this Supplement;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undersigned Augmenting Lender was not an original party to the Credit Agreement but now desires to become a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ind w:right="120" w:firstLine="1305"/>
        <w:spacing w:after="0" w:line="291" w:lineRule="auto"/>
        <w:tabs>
          <w:tab w:leader="none" w:pos="152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w:t>
      </w:r>
    </w:p>
    <w:p>
      <w:pPr>
        <w:spacing w:after="0"/>
        <w:tabs>
          <w:tab w:leader="none" w:pos="2800" w:val="left"/>
          <w:tab w:leader="none" w:pos="8240" w:val="left"/>
        </w:tabs>
        <w:rPr>
          <w:sz w:val="20"/>
          <w:szCs w:val="20"/>
          <w:color w:val="auto"/>
        </w:rPr>
      </w:pPr>
      <w:r>
        <w:rPr>
          <w:rFonts w:ascii="Arial" w:cs="Arial" w:eastAsia="Arial" w:hAnsi="Arial"/>
          <w:sz w:val="18"/>
          <w:szCs w:val="18"/>
          <w:color w:val="auto"/>
        </w:rPr>
        <w:t>respect to Revolving Loans of $[</w:t>
      </w:r>
      <w:r>
        <w:rPr>
          <w:sz w:val="20"/>
          <w:szCs w:val="20"/>
          <w:color w:val="auto"/>
        </w:rPr>
        <w:tab/>
      </w:r>
      <w:r>
        <w:rPr>
          <w:rFonts w:ascii="Arial" w:cs="Arial" w:eastAsia="Arial" w:hAnsi="Arial"/>
          <w:sz w:val="18"/>
          <w:szCs w:val="18"/>
          <w:color w:val="auto"/>
        </w:rPr>
        <w:t>]] [and] [a commitment with respect to Incremental Term Loans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1305"/>
        <w:spacing w:after="0" w:line="270" w:lineRule="auto"/>
        <w:tabs>
          <w:tab w:leader="none" w:pos="152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The undersigned Augmenting Lender (a) represents and warrants that it is legally authorized to enter into this Supplement; (b) confirms that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77" w:lineRule="exact"/>
        <w:rPr>
          <w:rFonts w:ascii="Arial" w:cs="Arial" w:eastAsia="Arial" w:hAnsi="Arial"/>
          <w:sz w:val="17"/>
          <w:szCs w:val="17"/>
          <w:color w:val="auto"/>
        </w:rPr>
      </w:pPr>
    </w:p>
    <w:p>
      <w:pPr>
        <w:ind w:left="1520" w:hanging="215"/>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w:t>
      </w:r>
    </w:p>
    <w:p>
      <w:pPr>
        <w:spacing w:after="0" w:line="225" w:lineRule="exact"/>
        <w:rPr>
          <w:sz w:val="20"/>
          <w:szCs w:val="20"/>
          <w:color w:val="auto"/>
        </w:rPr>
      </w:pPr>
    </w:p>
    <w:p>
      <w:pPr>
        <w:ind w:left="2500" w:hanging="547"/>
        <w:spacing w:after="0"/>
        <w:tabs>
          <w:tab w:leader="none" w:pos="25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9" w:name="page140"/>
    <w:bookmarkEnd w:id="139"/>
    <w:p>
      <w:pPr>
        <w:ind w:left="1300"/>
        <w:spacing w:after="0"/>
        <w:rPr>
          <w:sz w:val="20"/>
          <w:szCs w:val="20"/>
          <w:color w:val="auto"/>
        </w:rPr>
      </w:pPr>
      <w:r>
        <w:rPr>
          <w:rFonts w:ascii="Arial" w:cs="Arial" w:eastAsia="Arial" w:hAnsi="Arial"/>
          <w:sz w:val="16"/>
          <w:szCs w:val="16"/>
          <w:color w:val="auto"/>
        </w:rPr>
        <w:t>4. The Company hereby represents and warrants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520" w:hanging="215"/>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1305"/>
        <w:spacing w:after="0" w:line="308" w:lineRule="auto"/>
        <w:tabs>
          <w:tab w:leader="none" w:pos="152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40" w:name="page141"/>
    <w:bookmarkEnd w:id="140"/>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AUGMENTING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41" w:name="page142"/>
    <w:bookmarkEnd w:id="141"/>
    <w:p>
      <w:pPr>
        <w:jc w:val="center"/>
        <w:ind w:right="-191"/>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LIST OF CLOSING DOCUMENTS</w:t>
      </w:r>
    </w:p>
    <w:p>
      <w:pPr>
        <w:spacing w:after="0" w:line="221"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CERTAIN SUBSIDIARY BORROWERS</w:t>
      </w:r>
    </w:p>
    <w:p>
      <w:pPr>
        <w:spacing w:after="0" w:line="20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December 14, 2018</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LIST OF CLOSING DOCUMENTS(1)</w:t>
      </w:r>
    </w:p>
    <w:p>
      <w:pPr>
        <w:spacing w:after="0" w:line="221" w:lineRule="exact"/>
        <w:rPr>
          <w:sz w:val="20"/>
          <w:szCs w:val="20"/>
          <w:color w:val="auto"/>
        </w:rPr>
      </w:pPr>
    </w:p>
    <w:p>
      <w:pPr>
        <w:ind w:left="5172" w:hanging="664"/>
        <w:spacing w:after="0"/>
        <w:tabs>
          <w:tab w:leader="none" w:pos="5172" w:val="left"/>
        </w:tabs>
        <w:numPr>
          <w:ilvl w:val="1"/>
          <w:numId w:val="161"/>
        </w:numPr>
        <w:rPr>
          <w:rFonts w:ascii="Arial" w:cs="Arial" w:eastAsia="Arial" w:hAnsi="Arial"/>
          <w:sz w:val="18"/>
          <w:szCs w:val="18"/>
          <w:color w:val="auto"/>
        </w:rPr>
      </w:pPr>
      <w:r>
        <w:rPr>
          <w:rFonts w:ascii="Arial" w:cs="Arial" w:eastAsia="Arial" w:hAnsi="Arial"/>
          <w:sz w:val="18"/>
          <w:szCs w:val="18"/>
          <w:b w:val="1"/>
          <w:bCs w:val="1"/>
          <w:color w:val="auto"/>
        </w:rPr>
        <w:t>LOAN DOCUMENTS</w:t>
      </w:r>
    </w:p>
    <w:p>
      <w:pPr>
        <w:spacing w:after="0" w:line="229" w:lineRule="exact"/>
        <w:rPr>
          <w:rFonts w:ascii="Arial" w:cs="Arial" w:eastAsia="Arial" w:hAnsi="Arial"/>
          <w:sz w:val="18"/>
          <w:szCs w:val="18"/>
          <w:color w:val="auto"/>
        </w:rPr>
      </w:pPr>
    </w:p>
    <w:p>
      <w:pPr>
        <w:ind w:left="332" w:hanging="332"/>
        <w:spacing w:after="0" w:line="302" w:lineRule="auto"/>
        <w:tabs>
          <w:tab w:leader="none" w:pos="33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Credit Agreement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Subsidiary Borrowers from time to time parties thereto (collectively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institutions from time to time parties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and JPMorgan Chase Bank, N.A., in its capacity as Administrative Agent for itself and the other Lenders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evidencing a revolving credit facility to the Borrowers from the Lenders in an initial aggregate principal amount of $750,000,000.</w:t>
      </w:r>
    </w:p>
    <w:p>
      <w:pPr>
        <w:spacing w:after="0" w:line="154" w:lineRule="exact"/>
        <w:rPr>
          <w:sz w:val="20"/>
          <w:szCs w:val="20"/>
          <w:color w:val="auto"/>
        </w:rPr>
      </w:pPr>
    </w:p>
    <w:tbl>
      <w:tblPr>
        <w:tblLayout w:type="fixed"/>
        <w:tblInd w:w="512"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40" w:type="dxa"/>
            <w:vAlign w:val="bottom"/>
          </w:tcPr>
          <w:p>
            <w:pPr>
              <w:ind w:left="2260"/>
              <w:spacing w:after="0"/>
              <w:rPr>
                <w:sz w:val="20"/>
                <w:szCs w:val="20"/>
                <w:color w:val="auto"/>
              </w:rPr>
            </w:pPr>
            <w:r>
              <w:rPr>
                <w:rFonts w:ascii="Arial" w:cs="Arial" w:eastAsia="Arial" w:hAnsi="Arial"/>
                <w:sz w:val="18"/>
                <w:szCs w:val="18"/>
                <w:color w:val="auto"/>
              </w:rPr>
              <w:t>SCHEDULES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Schedule 2.01</w:t>
            </w: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5740" w:type="dxa"/>
            <w:vAlign w:val="bottom"/>
          </w:tcPr>
          <w:p>
            <w:pPr>
              <w:ind w:left="120"/>
              <w:spacing w:after="0"/>
              <w:rPr>
                <w:sz w:val="20"/>
                <w:szCs w:val="20"/>
                <w:color w:val="auto"/>
              </w:rPr>
            </w:pPr>
            <w:r>
              <w:rPr>
                <w:rFonts w:ascii="Arial" w:cs="Arial" w:eastAsia="Arial" w:hAnsi="Arial"/>
                <w:sz w:val="18"/>
                <w:szCs w:val="18"/>
                <w:color w:val="auto"/>
              </w:rPr>
              <w:t>Commitments</w:t>
            </w:r>
          </w:p>
        </w:tc>
      </w:tr>
      <w:tr>
        <w:trPr>
          <w:trHeight w:val="216"/>
        </w:trPr>
        <w:tc>
          <w:tcPr>
            <w:tcW w:w="1580" w:type="dxa"/>
            <w:vAlign w:val="bottom"/>
          </w:tcPr>
          <w:p>
            <w:pPr>
              <w:spacing w:after="0"/>
              <w:rPr>
                <w:sz w:val="20"/>
                <w:szCs w:val="20"/>
                <w:color w:val="auto"/>
              </w:rPr>
            </w:pPr>
            <w:r>
              <w:rPr>
                <w:rFonts w:ascii="Arial" w:cs="Arial" w:eastAsia="Arial" w:hAnsi="Arial"/>
                <w:sz w:val="18"/>
                <w:szCs w:val="18"/>
                <w:b w:val="1"/>
                <w:bCs w:val="1"/>
                <w:i w:val="1"/>
                <w:iCs w:val="1"/>
                <w:color w:val="auto"/>
              </w:rPr>
              <w:t>Schedule 3.01</w:t>
            </w:r>
          </w:p>
        </w:tc>
        <w:tc>
          <w:tcPr>
            <w:tcW w:w="84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w:t>
            </w:r>
          </w:p>
        </w:tc>
        <w:tc>
          <w:tcPr>
            <w:tcW w:w="5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Subsidiaries</w:t>
            </w:r>
          </w:p>
        </w:tc>
      </w:tr>
      <w:tr>
        <w:trPr>
          <w:trHeight w:val="216"/>
        </w:trPr>
        <w:tc>
          <w:tcPr>
            <w:tcW w:w="1580" w:type="dxa"/>
            <w:vAlign w:val="bottom"/>
          </w:tcPr>
          <w:p>
            <w:pPr>
              <w:spacing w:after="0"/>
              <w:rPr>
                <w:sz w:val="20"/>
                <w:szCs w:val="20"/>
                <w:color w:val="auto"/>
              </w:rPr>
            </w:pPr>
            <w:r>
              <w:rPr>
                <w:rFonts w:ascii="Arial" w:cs="Arial" w:eastAsia="Arial" w:hAnsi="Arial"/>
                <w:sz w:val="18"/>
                <w:szCs w:val="18"/>
                <w:b w:val="1"/>
                <w:bCs w:val="1"/>
                <w:i w:val="1"/>
                <w:iCs w:val="1"/>
                <w:color w:val="auto"/>
              </w:rPr>
              <w:t>Schedule 6.01</w:t>
            </w:r>
          </w:p>
        </w:tc>
        <w:tc>
          <w:tcPr>
            <w:tcW w:w="84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w:t>
            </w:r>
          </w:p>
        </w:tc>
        <w:tc>
          <w:tcPr>
            <w:tcW w:w="5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Existing Indebtedness</w:t>
            </w:r>
          </w:p>
        </w:tc>
      </w:tr>
      <w:tr>
        <w:trPr>
          <w:trHeight w:val="230"/>
        </w:trPr>
        <w:tc>
          <w:tcPr>
            <w:tcW w:w="1580" w:type="dxa"/>
            <w:vAlign w:val="bottom"/>
          </w:tcPr>
          <w:p>
            <w:pPr>
              <w:spacing w:after="0"/>
              <w:rPr>
                <w:sz w:val="20"/>
                <w:szCs w:val="20"/>
                <w:color w:val="auto"/>
              </w:rPr>
            </w:pPr>
            <w:r>
              <w:rPr>
                <w:rFonts w:ascii="Arial" w:cs="Arial" w:eastAsia="Arial" w:hAnsi="Arial"/>
                <w:sz w:val="18"/>
                <w:szCs w:val="18"/>
                <w:b w:val="1"/>
                <w:bCs w:val="1"/>
                <w:i w:val="1"/>
                <w:iCs w:val="1"/>
                <w:color w:val="auto"/>
              </w:rPr>
              <w:t>Schedule 6.02</w:t>
            </w:r>
          </w:p>
        </w:tc>
        <w:tc>
          <w:tcPr>
            <w:tcW w:w="84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w:t>
            </w:r>
          </w:p>
        </w:tc>
        <w:tc>
          <w:tcPr>
            <w:tcW w:w="5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Existing Liens</w:t>
            </w:r>
          </w:p>
        </w:tc>
      </w:tr>
      <w:tr>
        <w:trPr>
          <w:trHeight w:val="432"/>
        </w:trPr>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ind w:left="2360"/>
              <w:spacing w:after="0"/>
              <w:rPr>
                <w:sz w:val="20"/>
                <w:szCs w:val="20"/>
                <w:color w:val="auto"/>
              </w:rPr>
            </w:pPr>
            <w:r>
              <w:rPr>
                <w:rFonts w:ascii="Arial" w:cs="Arial" w:eastAsia="Arial" w:hAnsi="Arial"/>
                <w:sz w:val="18"/>
                <w:szCs w:val="18"/>
                <w:color w:val="auto"/>
              </w:rPr>
              <w:t>EXHIBITS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Exhibit A</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B</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Increasing Lender Supplement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C</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Augmenting Lender Supplement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D</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List of Closing Documents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E-1</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Borrowing Subsidiary Agreement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E-2</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Borrowing Subsidiary Termination</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F</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Subsidiary Guaranty</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G-1</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w w:val="97"/>
              </w:rPr>
              <w:t>—   Form of U.S. Tax Certificate (Foreign Lenders That Are Not Partnerships)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G-2</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w w:val="93"/>
              </w:rPr>
              <w:t>—   Form of U.S. Tax Certificate (Foreign Participants That Are Not Partnerships)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G-3</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w w:val="98"/>
              </w:rPr>
              <w:t>—   Form of U.S. Tax Certificate (Foreign Participants That Are Partnerships)</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Exhibit G-4</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U.S. Tax Certificate (Foreign Lenders That Are Partnerships)</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Exhibit H-1</w:t>
            </w:r>
          </w:p>
        </w:tc>
        <w:tc>
          <w:tcPr>
            <w:tcW w:w="6580" w:type="dxa"/>
            <w:vAlign w:val="bottom"/>
            <w:gridSpan w:val="2"/>
          </w:tcPr>
          <w:p>
            <w:pPr>
              <w:ind w:left="540"/>
              <w:spacing w:after="0"/>
              <w:rPr>
                <w:sz w:val="20"/>
                <w:szCs w:val="20"/>
                <w:color w:val="auto"/>
              </w:rPr>
            </w:pPr>
            <w:r>
              <w:rPr>
                <w:rFonts w:ascii="Arial" w:cs="Arial" w:eastAsia="Arial" w:hAnsi="Arial"/>
                <w:sz w:val="18"/>
                <w:szCs w:val="18"/>
                <w:color w:val="auto"/>
              </w:rPr>
              <w:t>—   Form of Borrowing Request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 w:right="120" w:firstLine="8"/>
        <w:spacing w:after="0" w:line="277" w:lineRule="auto"/>
        <w:tabs>
          <w:tab w:leader="none" w:pos="2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Each capitalized term used herein and not defined herein shall have the meaning assigned to such term in the above-defined Credit Agreement. Items appearing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and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shall be prepared and/or provided by the Company and/or Company’s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12"/>
          </w:cols>
          <w:pgMar w:left="248" w:top="341" w:right="439" w:bottom="1440" w:gutter="0" w:footer="0" w:header="0"/>
        </w:sectPr>
      </w:pPr>
    </w:p>
    <w:bookmarkStart w:id="142" w:name="page143"/>
    <w:bookmarkEnd w:id="142"/>
    <w:p>
      <w:pPr>
        <w:ind w:left="512"/>
        <w:spacing w:after="0"/>
        <w:rPr>
          <w:sz w:val="20"/>
          <w:szCs w:val="20"/>
          <w:color w:val="auto"/>
        </w:rPr>
      </w:pPr>
      <w:r>
        <w:rPr>
          <w:rFonts w:ascii="Arial" w:cs="Arial" w:eastAsia="Arial" w:hAnsi="Arial"/>
          <w:sz w:val="17"/>
          <w:szCs w:val="17"/>
          <w:color w:val="auto"/>
        </w:rPr>
        <w:t>Exhibit H-2</w:t>
      </w:r>
    </w:p>
    <w:p>
      <w:pPr>
        <w:spacing w:after="0" w:line="3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Exhibit I</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Arial" w:cs="Arial" w:eastAsia="Arial" w:hAnsi="Arial"/>
          <w:sz w:val="16"/>
          <w:szCs w:val="16"/>
          <w:color w:val="auto"/>
        </w:rPr>
        <w:t>—</w:t>
        <w:tab/>
        <w:t>Form of Interest Election Request</w:t>
      </w:r>
    </w:p>
    <w:p>
      <w:pPr>
        <w:spacing w:after="0" w:line="4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w:t>
        <w:tab/>
        <w:t>Form of Note</w:t>
      </w:r>
    </w:p>
    <w:p>
      <w:pPr>
        <w:spacing w:after="0" w:line="200" w:lineRule="exact"/>
        <w:rPr>
          <w:sz w:val="20"/>
          <w:szCs w:val="20"/>
          <w:color w:val="auto"/>
        </w:rPr>
      </w:pPr>
    </w:p>
    <w:p>
      <w:pPr>
        <w:sectPr>
          <w:pgSz w:w="11900" w:h="16838" w:orient="portrait"/>
          <w:cols w:equalWidth="0" w:num="2">
            <w:col w:w="1912" w:space="720"/>
            <w:col w:w="8760"/>
          </w:cols>
          <w:pgMar w:left="248" w:top="341" w:right="259" w:bottom="1440" w:gutter="0" w:footer="0" w:header="0"/>
        </w:sectPr>
      </w:pPr>
    </w:p>
    <w:p>
      <w:pPr>
        <w:spacing w:after="0" w:line="11" w:lineRule="exact"/>
        <w:rPr>
          <w:sz w:val="20"/>
          <w:szCs w:val="20"/>
          <w:color w:val="auto"/>
        </w:rPr>
      </w:pPr>
    </w:p>
    <w:p>
      <w:pPr>
        <w:ind w:left="332" w:hanging="332"/>
        <w:spacing w:after="0"/>
        <w:tabs>
          <w:tab w:leader="none" w:pos="33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Notes executed by the Borrowers in favor of each of the Lenders, if any, which has requested a note pursuant to Section 2.10(e) of the Credit Agreement.</w:t>
      </w:r>
    </w:p>
    <w:p>
      <w:pPr>
        <w:spacing w:after="0" w:line="244" w:lineRule="exact"/>
        <w:rPr>
          <w:rFonts w:ascii="Arial" w:cs="Arial" w:eastAsia="Arial" w:hAnsi="Arial"/>
          <w:sz w:val="16"/>
          <w:szCs w:val="16"/>
          <w:color w:val="auto"/>
        </w:rPr>
      </w:pPr>
    </w:p>
    <w:p>
      <w:pPr>
        <w:ind w:left="4212"/>
        <w:spacing w:after="0"/>
        <w:rPr>
          <w:rFonts w:ascii="Arial" w:cs="Arial" w:eastAsia="Arial" w:hAnsi="Arial"/>
          <w:sz w:val="16"/>
          <w:szCs w:val="16"/>
          <w:color w:val="auto"/>
        </w:rPr>
      </w:pPr>
      <w:r>
        <w:rPr>
          <w:rFonts w:ascii="Arial" w:cs="Arial" w:eastAsia="Arial" w:hAnsi="Arial"/>
          <w:sz w:val="18"/>
          <w:szCs w:val="18"/>
          <w:color w:val="auto"/>
        </w:rPr>
        <w:t>B.</w:t>
      </w:r>
      <w:r>
        <w:rPr>
          <w:rFonts w:ascii="Arial" w:cs="Arial" w:eastAsia="Arial" w:hAnsi="Arial"/>
          <w:sz w:val="17"/>
          <w:szCs w:val="17"/>
          <w:b w:val="1"/>
          <w:bCs w:val="1"/>
          <w:color w:val="auto"/>
        </w:rPr>
        <w:t>CORPORATE DOCUMENTS</w:t>
      </w:r>
    </w:p>
    <w:p>
      <w:pPr>
        <w:spacing w:after="0" w:line="229" w:lineRule="exact"/>
        <w:rPr>
          <w:rFonts w:ascii="Arial" w:cs="Arial" w:eastAsia="Arial" w:hAnsi="Arial"/>
          <w:sz w:val="16"/>
          <w:szCs w:val="16"/>
          <w:color w:val="auto"/>
        </w:rPr>
      </w:pPr>
    </w:p>
    <w:p>
      <w:pPr>
        <w:ind w:left="332" w:right="100" w:hanging="332"/>
        <w:spacing w:after="0" w:line="290" w:lineRule="auto"/>
        <w:tabs>
          <w:tab w:leader="none" w:pos="332" w:val="left"/>
        </w:tabs>
        <w:numPr>
          <w:ilvl w:val="0"/>
          <w:numId w:val="164"/>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analogous governmental entity) of the jurisdiction of its organization or incorporation (as applicable), since the date of the certification thereof by such governmental entity, (ii) the By-Laws or other applicable organizational or constitutional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such Loan Party authorized to sign the Loan Documents to which it is a party, and, in the case of a Borrower, authorized to request a Borrowing or the issuance of a Letter of Credit under the Credit Agreement.</w:t>
      </w:r>
    </w:p>
    <w:p>
      <w:pPr>
        <w:spacing w:after="0" w:line="166" w:lineRule="exact"/>
        <w:rPr>
          <w:rFonts w:ascii="Arial" w:cs="Arial" w:eastAsia="Arial" w:hAnsi="Arial"/>
          <w:sz w:val="16"/>
          <w:szCs w:val="16"/>
          <w:color w:val="auto"/>
        </w:rPr>
      </w:pPr>
    </w:p>
    <w:p>
      <w:pPr>
        <w:ind w:left="332" w:right="520" w:hanging="332"/>
        <w:spacing w:after="0" w:line="277" w:lineRule="auto"/>
        <w:tabs>
          <w:tab w:leader="none" w:pos="332"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Good Standing Certificate (or analogous documentation if applicable) for each Loan Party from the Secretary of State of the jurisdiction of its organization or incorporation.</w:t>
      </w:r>
    </w:p>
    <w:p>
      <w:pPr>
        <w:spacing w:after="0" w:line="166" w:lineRule="exact"/>
        <w:rPr>
          <w:rFonts w:ascii="Arial" w:cs="Arial" w:eastAsia="Arial" w:hAnsi="Arial"/>
          <w:sz w:val="18"/>
          <w:szCs w:val="18"/>
          <w:color w:val="auto"/>
        </w:rPr>
      </w:pPr>
    </w:p>
    <w:p>
      <w:pPr>
        <w:ind w:left="4932"/>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b w:val="1"/>
          <w:bCs w:val="1"/>
          <w:color w:val="auto"/>
        </w:rPr>
        <w:t>OPINIONS</w:t>
      </w:r>
    </w:p>
    <w:p>
      <w:pPr>
        <w:spacing w:after="0" w:line="229" w:lineRule="exact"/>
        <w:rPr>
          <w:rFonts w:ascii="Arial" w:cs="Arial" w:eastAsia="Arial" w:hAnsi="Arial"/>
          <w:sz w:val="18"/>
          <w:szCs w:val="18"/>
          <w:color w:val="auto"/>
        </w:rPr>
      </w:pPr>
    </w:p>
    <w:p>
      <w:pPr>
        <w:ind w:left="332" w:hanging="332"/>
        <w:spacing w:after="0"/>
        <w:tabs>
          <w:tab w:leader="none" w:pos="332"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Opinion of Skadden, Arps, Slate, Meagher &amp; Flom LLP.</w:t>
      </w:r>
    </w:p>
    <w:p>
      <w:pPr>
        <w:spacing w:after="0" w:line="221" w:lineRule="exact"/>
        <w:rPr>
          <w:rFonts w:ascii="Arial" w:cs="Arial" w:eastAsia="Arial" w:hAnsi="Arial"/>
          <w:sz w:val="18"/>
          <w:szCs w:val="18"/>
          <w:color w:val="auto"/>
        </w:rPr>
      </w:pPr>
    </w:p>
    <w:p>
      <w:pPr>
        <w:ind w:left="3252"/>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8"/>
          <w:szCs w:val="18"/>
          <w:b w:val="1"/>
          <w:bCs w:val="1"/>
          <w:color w:val="auto"/>
        </w:rPr>
        <w:t>CLOSING CERTIFICATES AND MISCELLANEOUS</w:t>
      </w:r>
    </w:p>
    <w:p>
      <w:pPr>
        <w:spacing w:after="0" w:line="229" w:lineRule="exact"/>
        <w:rPr>
          <w:rFonts w:ascii="Arial" w:cs="Arial" w:eastAsia="Arial" w:hAnsi="Arial"/>
          <w:sz w:val="18"/>
          <w:szCs w:val="18"/>
          <w:color w:val="auto"/>
        </w:rPr>
      </w:pPr>
    </w:p>
    <w:p>
      <w:pPr>
        <w:ind w:left="332" w:hanging="332"/>
        <w:spacing w:after="0" w:line="273" w:lineRule="auto"/>
        <w:tabs>
          <w:tab w:leader="none" w:pos="332" w:val="left"/>
        </w:tabs>
        <w:numPr>
          <w:ilvl w:val="0"/>
          <w:numId w:val="1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Certificate signed by a Responsible Officer of the Company certifying on behalf of the Company the following: (i) that the representations and warranties contained in </w:t>
      </w:r>
      <w:r>
        <w:rPr>
          <w:rFonts w:ascii="Arial" w:cs="Arial" w:eastAsia="Arial" w:hAnsi="Arial"/>
          <w:sz w:val="17"/>
          <w:szCs w:val="17"/>
          <w:b w:val="1"/>
          <w:bCs w:val="1"/>
          <w:i w:val="1"/>
          <w:iCs w:val="1"/>
          <w:u w:val="single" w:color="auto"/>
          <w:color w:val="auto"/>
        </w:rPr>
        <w:t>Article III</w:t>
      </w:r>
      <w:r>
        <w:rPr>
          <w:rFonts w:ascii="Arial" w:cs="Arial" w:eastAsia="Arial" w:hAnsi="Arial"/>
          <w:sz w:val="17"/>
          <w:szCs w:val="17"/>
          <w:b w:val="1"/>
          <w:bCs w:val="1"/>
          <w:i w:val="1"/>
          <w:iCs w:val="1"/>
          <w:color w:val="auto"/>
        </w:rPr>
        <w:t xml:space="preserve"> of the Credit Agreement are true and correct in all material respects (or, in the case of any representation or warranty qualified by materiality or Material Adverse Effect, in all respects) as of the Effective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then continuing.</w:t>
      </w:r>
    </w:p>
    <w:p>
      <w:pPr>
        <w:spacing w:after="0" w:line="178" w:lineRule="exact"/>
        <w:rPr>
          <w:rFonts w:ascii="Arial" w:cs="Arial" w:eastAsia="Arial" w:hAnsi="Arial"/>
          <w:sz w:val="17"/>
          <w:szCs w:val="17"/>
          <w:color w:val="auto"/>
        </w:rPr>
      </w:pPr>
    </w:p>
    <w:p>
      <w:pPr>
        <w:ind w:left="652" w:hanging="652"/>
        <w:spacing w:after="0"/>
        <w:tabs>
          <w:tab w:leader="none" w:pos="652"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notice of termination and prepayment in respect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type w:val="continuous"/>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t>EXHIBIT E-1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BORROWING SUBSIDIARY AGREEMENT</w:t>
      </w:r>
    </w:p>
    <w:p>
      <w:pPr>
        <w:spacing w:after="0" w:line="225" w:lineRule="exact"/>
        <w:rPr>
          <w:sz w:val="20"/>
          <w:szCs w:val="20"/>
          <w:color w:val="auto"/>
        </w:rPr>
      </w:pPr>
    </w:p>
    <w:p>
      <w:pPr>
        <w:ind w:left="1300"/>
        <w:spacing w:after="0"/>
        <w:tabs>
          <w:tab w:leader="none" w:pos="5820" w:val="left"/>
        </w:tabs>
        <w:rPr>
          <w:sz w:val="20"/>
          <w:szCs w:val="20"/>
          <w:color w:val="auto"/>
        </w:rPr>
      </w:pPr>
      <w:r>
        <w:rPr>
          <w:rFonts w:ascii="Arial" w:cs="Arial" w:eastAsia="Arial" w:hAnsi="Arial"/>
          <w:sz w:val="18"/>
          <w:szCs w:val="18"/>
          <w:color w:val="auto"/>
        </w:rPr>
        <w:t>BORROWING SUBSIDIARY AGREEMENT dated as of [</w:t>
      </w:r>
      <w:r>
        <w:rPr>
          <w:sz w:val="20"/>
          <w:szCs w:val="20"/>
          <w:color w:val="auto"/>
        </w:rPr>
        <w:tab/>
      </w:r>
      <w:r>
        <w:rPr>
          <w:rFonts w:ascii="Arial" w:cs="Arial" w:eastAsia="Arial" w:hAnsi="Arial"/>
          <w:sz w:val="16"/>
          <w:szCs w:val="16"/>
          <w:color w:val="auto"/>
        </w:rPr>
        <w:t>], among Regeneron Pharmaceuticals, Inc., a New York corporation (the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[Name of Subsidiary Borrower], a [ ] (the “</w:t>
      </w:r>
      <w:r>
        <w:rPr>
          <w:rFonts w:ascii="Arial" w:cs="Arial" w:eastAsia="Arial" w:hAnsi="Arial"/>
          <w:sz w:val="18"/>
          <w:szCs w:val="18"/>
          <w:u w:val="single" w:color="auto"/>
          <w:color w:val="auto"/>
        </w:rPr>
        <w:t>New Borrowing Subsidiary</w:t>
      </w:r>
      <w:r>
        <w:rPr>
          <w:rFonts w:ascii="Arial" w:cs="Arial" w:eastAsia="Arial" w:hAnsi="Arial"/>
          <w:sz w:val="18"/>
          <w:szCs w:val="18"/>
          <w:color w:val="auto"/>
        </w:rPr>
        <w:t>”),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ind w:right="20" w:firstLine="1297"/>
        <w:spacing w:after="0" w:line="283" w:lineRule="auto"/>
        <w:rPr>
          <w:sz w:val="20"/>
          <w:szCs w:val="20"/>
          <w:color w:val="auto"/>
        </w:rPr>
      </w:pPr>
      <w:r>
        <w:rPr>
          <w:rFonts w:ascii="Arial" w:cs="Arial" w:eastAsia="Arial" w:hAnsi="Arial"/>
          <w:sz w:val="16"/>
          <w:szCs w:val="16"/>
          <w:color w:val="auto"/>
        </w:rPr>
        <w:t>Reference is hereby made to the Credit Agreement dated as of December 14, 2018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Subsidiary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Subsidiary Borrowers (collectively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xml:space="preserve">”), and the Company and the New Borrowing Subsidiary desire that the New Borrowing Subsidiary become a Subsidiary Borrower. In addition, the New Borrowing Subsidiary hereby authorizes the Company to act on its behalf as and to the extent provided for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the Credit Agreement. Notwithstanding the preceding sentence, the New Borrowing Subsidiary hereby designates the following officers or other authorized signatories as being authorized to, among other things, request Borrowings under the Credit Agreement on behalf of the New Subsidiary Borrower and sign this Borrowing Subsidiary Agreement and the other Loan</w:t>
      </w:r>
    </w:p>
    <w:p>
      <w:pPr>
        <w:spacing w:after="0" w:line="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Documents to which the New Borrowing Subsidiary is, or may from time to time become, a party: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Each of the Company and the New Borrowing Subsidiary represents and warrants that the representations and warranties of the Company in the Credit Agreement relating to the New Borrowing Subsidiary and this Agreement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[The Company and the New Borrowing Subsidiary further represent and warrant that the execution, delivery and performance by the New Borrowing Subsidiary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of England and Wales (as amended).]</w:t>
      </w:r>
    </w:p>
    <w:p>
      <w:pPr>
        <w:spacing w:after="0" w:line="1" w:lineRule="exact"/>
        <w:rPr>
          <w:sz w:val="20"/>
          <w:szCs w:val="20"/>
          <w:color w:val="auto"/>
        </w:rPr>
      </w:pPr>
    </w:p>
    <w:p>
      <w:pPr>
        <w:ind w:right="40" w:firstLine="8"/>
        <w:spacing w:after="0" w:line="253"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[INSERT OTHER PROVISIONS REASONABLY REQUESTED BY ADMINISTRATIVE AGENT OR ITS COUNSELS] The Company agrees that the Guarantee of the Company contained in the Credit Agreement will apply to the Obligations of the New Borrowing Subsidiary. Upon execution of this Agreement by each of the Company, the New Borrowing Subsidiary and the Administrative Agent, the New Borrowing Subsidiary shall be a party to the Credit Agreement and shall constitute a “Subsidiary Borrower” for all purposes thereof, and the New Borrowing Subsidiary hereby agrees to be bound by all provisions of the Credit Agreement.</w:t>
      </w:r>
    </w:p>
    <w:p>
      <w:pPr>
        <w:spacing w:after="0" w:line="19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[If a Dutch Subsidiary Borrower is represented by an attorney in connection with the signing and/or execution of the Credit Agreement and/or any other Loan Document it is hereby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 To be included only if a New Borrowing Subsidiary will be a Borrower organized under the laws of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4" w:name="page145"/>
    <w:bookmarkEnd w:id="144"/>
    <w:p>
      <w:pPr>
        <w:spacing w:after="0" w:line="308" w:lineRule="auto"/>
        <w:rPr>
          <w:sz w:val="20"/>
          <w:szCs w:val="20"/>
          <w:color w:val="auto"/>
        </w:rPr>
      </w:pPr>
      <w:r>
        <w:rPr>
          <w:rFonts w:ascii="Arial" w:cs="Arial" w:eastAsia="Arial" w:hAnsi="Arial"/>
          <w:sz w:val="17"/>
          <w:szCs w:val="17"/>
          <w:color w:val="auto"/>
        </w:rPr>
        <w:t>acknowledged and accepted by the parties to the Credit Agreement and/or any other Loan Document that the existence and extent of the attorney’s authority and the effects of the attorney’s exercise or purported exercise of his or her authority shall be governed by the laws of The Netherlands.]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45" w:name="page146"/>
    <w:bookmarkEnd w:id="14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authorized officers or other authorized signatories as of the date first appearing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BORROWING SUBSIDIARY]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 as Administrative Agent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240" w:top="341" w:right="97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EXHIBIT E-2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BORROWING SUBSIDIARY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 undersigned,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refers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and JPMorgan Chase Bank, N.A., as Administrative Agent. Capitalized terms used and not otherwise defined herein shall have the meanings assigned to such terms in the Credit Agreement.</w:t>
      </w:r>
    </w:p>
    <w:p>
      <w:pPr>
        <w:spacing w:after="0" w:line="187" w:lineRule="exact"/>
        <w:rPr>
          <w:sz w:val="20"/>
          <w:szCs w:val="20"/>
          <w:color w:val="auto"/>
        </w:rPr>
      </w:pPr>
    </w:p>
    <w:p>
      <w:pPr>
        <w:ind w:right="80" w:firstLine="1297"/>
        <w:spacing w:after="0" w:line="253" w:lineRule="auto"/>
        <w:rPr>
          <w:sz w:val="20"/>
          <w:szCs w:val="20"/>
          <w:color w:val="auto"/>
        </w:rPr>
      </w:pPr>
      <w:r>
        <w:rPr>
          <w:rFonts w:ascii="Arial" w:cs="Arial" w:eastAsia="Arial" w:hAnsi="Arial"/>
          <w:sz w:val="18"/>
          <w:szCs w:val="18"/>
          <w:color w:val="auto"/>
        </w:rPr>
        <w:t>The Company hereby terminates the status of [ ] (the “</w:t>
      </w:r>
      <w:r>
        <w:rPr>
          <w:rFonts w:ascii="Arial" w:cs="Arial" w:eastAsia="Arial" w:hAnsi="Arial"/>
          <w:sz w:val="18"/>
          <w:szCs w:val="18"/>
          <w:u w:val="single" w:color="auto"/>
          <w:color w:val="auto"/>
        </w:rPr>
        <w:t>Terminated Borrowing Subsidiary</w:t>
      </w:r>
      <w:r>
        <w:rPr>
          <w:rFonts w:ascii="Arial" w:cs="Arial" w:eastAsia="Arial" w:hAnsi="Arial"/>
          <w:sz w:val="18"/>
          <w:szCs w:val="18"/>
          <w:color w:val="auto"/>
        </w:rPr>
        <w:t xml:space="preserve">”) as a Subsidiary Borrower under the Credit Agreement. [The Company represents and warrants that no Loans made to the Terminated Borrowing Subsidiary are outstanding as of the date hereof and that all amounts payable by the Terminated Borrowing Subsidiary in respect of interest and/or fees (and, to the extent notified by the Administrative Agent or any Lender, any other amounts payable under the Credit Agreement) pursuant to the Credit Agreement have been paid in full on or prior to the date hereof.] [The Company acknowledges that the Terminated Borrowing Subsidiary shall continue to be a Borrower until such time as all Loans made to the Terminated Borrowing Subsidiary shall have been prepaid and all amounts payable by the Terminated Borrowing Subsidiary in respect of interest and/or fees (and, to the extent notified by the Administrative Agent or any Lender, any other amounts payable under the Credit Agreement) pursuant to the Credit Agreement shall have been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Terminated Borrowing Subsidiary shall not have the right to make further Borrowings under the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7" w:name="page148"/>
    <w:bookmarkEnd w:id="147"/>
    <w:p>
      <w:pPr>
        <w:ind w:left="1300"/>
        <w:spacing w:after="0"/>
        <w:rPr>
          <w:sz w:val="20"/>
          <w:szCs w:val="20"/>
          <w:color w:val="auto"/>
        </w:rPr>
      </w:pPr>
      <w:r>
        <w:rPr>
          <w:rFonts w:ascii="Arial" w:cs="Arial" w:eastAsia="Arial" w:hAnsi="Arial"/>
          <w:sz w:val="18"/>
          <w:szCs w:val="18"/>
          <w:color w:val="auto"/>
        </w:rPr>
        <w:t>This instrument shall be construed in accordance with and governed by the laws of the State of New York.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Copy to:</w:t>
            </w:r>
          </w:p>
        </w:tc>
        <w:tc>
          <w:tcPr>
            <w:tcW w:w="10660" w:type="dxa"/>
            <w:vAlign w:val="bottom"/>
          </w:tcPr>
          <w:p>
            <w:pPr>
              <w:ind w:left="160"/>
              <w:spacing w:after="0"/>
              <w:rPr>
                <w:sz w:val="20"/>
                <w:szCs w:val="20"/>
                <w:color w:val="auto"/>
              </w:rPr>
            </w:pPr>
            <w:r>
              <w:rPr>
                <w:rFonts w:ascii="Arial" w:cs="Arial" w:eastAsia="Arial" w:hAnsi="Arial"/>
                <w:sz w:val="18"/>
                <w:szCs w:val="18"/>
                <w:color w:val="auto"/>
              </w:rPr>
              <w:t>JPMorgan Chase Bank, N.A.</w:t>
            </w:r>
          </w:p>
        </w:tc>
      </w:tr>
      <w:tr>
        <w:trPr>
          <w:trHeight w:val="216"/>
        </w:trPr>
        <w:tc>
          <w:tcPr>
            <w:tcW w:w="80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10 South Dearborn Street</w:t>
            </w:r>
          </w:p>
        </w:tc>
      </w:tr>
      <w:tr>
        <w:trPr>
          <w:trHeight w:val="230"/>
        </w:trPr>
        <w:tc>
          <w:tcPr>
            <w:tcW w:w="80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Chicago, Illinois 60603</w:t>
            </w:r>
          </w:p>
        </w:tc>
      </w:tr>
      <w:tr>
        <w:trPr>
          <w:trHeight w:val="348"/>
        </w:trPr>
        <w:tc>
          <w:tcPr>
            <w:tcW w:w="800" w:type="dxa"/>
            <w:vAlign w:val="bottom"/>
            <w:tcBorders>
              <w:bottom w:val="single" w:sz="8" w:color="808080"/>
            </w:tcBorders>
          </w:tcPr>
          <w:p>
            <w:pPr>
              <w:spacing w:after="0"/>
              <w:rPr>
                <w:sz w:val="24"/>
                <w:szCs w:val="24"/>
                <w:color w:val="auto"/>
              </w:rPr>
            </w:pPr>
          </w:p>
        </w:tc>
        <w:tc>
          <w:tcPr>
            <w:tcW w:w="10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1112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EXHIBIT F</w:t>
            </w:r>
          </w:p>
        </w:tc>
        <w:tc>
          <w:tcPr>
            <w:tcW w:w="200" w:type="dxa"/>
            <w:vAlign w:val="bottom"/>
          </w:tcPr>
          <w:p>
            <w:pPr>
              <w:spacing w:after="0"/>
              <w:rPr>
                <w:sz w:val="20"/>
                <w:szCs w:val="20"/>
                <w:color w:val="auto"/>
              </w:rPr>
            </w:pPr>
          </w:p>
        </w:tc>
      </w:tr>
      <w:tr>
        <w:trPr>
          <w:trHeight w:val="432"/>
        </w:trPr>
        <w:tc>
          <w:tcPr>
            <w:tcW w:w="11120" w:type="dxa"/>
            <w:vAlign w:val="bottom"/>
            <w:gridSpan w:val="3"/>
          </w:tcPr>
          <w:p>
            <w:pPr>
              <w:jc w:val="center"/>
              <w:ind w:left="210"/>
              <w:spacing w:after="0"/>
              <w:rPr>
                <w:sz w:val="20"/>
                <w:szCs w:val="20"/>
                <w:color w:val="auto"/>
              </w:rPr>
            </w:pPr>
            <w:r>
              <w:rPr>
                <w:rFonts w:ascii="Arial" w:cs="Arial" w:eastAsia="Arial" w:hAnsi="Arial"/>
                <w:sz w:val="18"/>
                <w:szCs w:val="18"/>
                <w:color w:val="auto"/>
                <w:w w:val="96"/>
              </w:rPr>
              <w:t>[FORM OF]</w:t>
            </w:r>
          </w:p>
        </w:tc>
        <w:tc>
          <w:tcPr>
            <w:tcW w:w="200" w:type="dxa"/>
            <w:vAlign w:val="bottom"/>
          </w:tcPr>
          <w:p>
            <w:pPr>
              <w:spacing w:after="0"/>
              <w:rPr>
                <w:sz w:val="24"/>
                <w:szCs w:val="24"/>
                <w:color w:val="auto"/>
              </w:rPr>
            </w:pPr>
          </w:p>
        </w:tc>
      </w:tr>
      <w:tr>
        <w:trPr>
          <w:trHeight w:val="432"/>
        </w:trPr>
        <w:tc>
          <w:tcPr>
            <w:tcW w:w="11120" w:type="dxa"/>
            <w:vAlign w:val="bottom"/>
            <w:gridSpan w:val="3"/>
          </w:tcPr>
          <w:p>
            <w:pPr>
              <w:jc w:val="center"/>
              <w:ind w:left="230"/>
              <w:spacing w:after="0"/>
              <w:rPr>
                <w:sz w:val="20"/>
                <w:szCs w:val="20"/>
                <w:color w:val="auto"/>
              </w:rPr>
            </w:pPr>
            <w:r>
              <w:rPr>
                <w:rFonts w:ascii="Arial" w:cs="Arial" w:eastAsia="Arial" w:hAnsi="Arial"/>
                <w:sz w:val="18"/>
                <w:szCs w:val="18"/>
                <w:color w:val="auto"/>
                <w:w w:val="99"/>
              </w:rPr>
              <w:t>SUBSIDIARY GUARANTY</w:t>
            </w:r>
          </w:p>
        </w:tc>
        <w:tc>
          <w:tcPr>
            <w:tcW w:w="200" w:type="dxa"/>
            <w:vAlign w:val="bottom"/>
          </w:tcPr>
          <w:p>
            <w:pPr>
              <w:spacing w:after="0"/>
              <w:rPr>
                <w:sz w:val="24"/>
                <w:szCs w:val="24"/>
                <w:color w:val="auto"/>
              </w:rPr>
            </w:pPr>
          </w:p>
        </w:tc>
      </w:tr>
      <w:tr>
        <w:trPr>
          <w:trHeight w:val="432"/>
        </w:trPr>
        <w:tc>
          <w:tcPr>
            <w:tcW w:w="11120" w:type="dxa"/>
            <w:vAlign w:val="bottom"/>
            <w:gridSpan w:val="3"/>
          </w:tcPr>
          <w:p>
            <w:pPr>
              <w:jc w:val="center"/>
              <w:ind w:left="210"/>
              <w:spacing w:after="0"/>
              <w:rPr>
                <w:sz w:val="20"/>
                <w:szCs w:val="20"/>
                <w:color w:val="auto"/>
              </w:rPr>
            </w:pPr>
            <w:r>
              <w:rPr>
                <w:rFonts w:ascii="Arial" w:cs="Arial" w:eastAsia="Arial" w:hAnsi="Arial"/>
                <w:sz w:val="18"/>
                <w:szCs w:val="18"/>
                <w:color w:val="auto"/>
              </w:rPr>
              <w:t>GUARANTY</w:t>
            </w:r>
          </w:p>
        </w:tc>
        <w:tc>
          <w:tcPr>
            <w:tcW w:w="200" w:type="dxa"/>
            <w:vAlign w:val="bottom"/>
          </w:tcPr>
          <w:p>
            <w:pPr>
              <w:spacing w:after="0"/>
              <w:rPr>
                <w:sz w:val="24"/>
                <w:szCs w:val="24"/>
                <w:color w:val="auto"/>
              </w:rPr>
            </w:pPr>
          </w:p>
        </w:tc>
      </w:tr>
      <w:tr>
        <w:trPr>
          <w:trHeight w:val="392"/>
        </w:trPr>
        <w:tc>
          <w:tcPr>
            <w:tcW w:w="11120" w:type="dxa"/>
            <w:vAlign w:val="bottom"/>
            <w:gridSpan w:val="3"/>
          </w:tcPr>
          <w:p>
            <w:pPr>
              <w:ind w:left="1300"/>
              <w:spacing w:after="0"/>
              <w:rPr>
                <w:sz w:val="20"/>
                <w:szCs w:val="20"/>
                <w:color w:val="auto"/>
              </w:rPr>
            </w:pPr>
            <w:r>
              <w:rPr>
                <w:rFonts w:ascii="Arial" w:cs="Arial" w:eastAsia="Arial" w:hAnsi="Arial"/>
                <w:sz w:val="18"/>
                <w:szCs w:val="18"/>
                <w:color w:val="auto"/>
                <w:w w:val="95"/>
              </w:rPr>
              <w:t>THIS GUARANTY (as amended, restated, supplemented or otherwise modified from time to time, this “Guaranty”) is made as of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1120" w:type="dxa"/>
            <w:vAlign w:val="bottom"/>
            <w:gridSpan w:val="3"/>
          </w:tcPr>
          <w:p>
            <w:pPr>
              <w:spacing w:after="0"/>
              <w:rPr>
                <w:sz w:val="20"/>
                <w:szCs w:val="20"/>
                <w:color w:val="auto"/>
              </w:rPr>
            </w:pPr>
            <w:r>
              <w:rPr>
                <w:rFonts w:ascii="Arial" w:cs="Arial" w:eastAsia="Arial" w:hAnsi="Arial"/>
                <w:sz w:val="18"/>
                <w:szCs w:val="18"/>
                <w:color w:val="auto"/>
                <w:w w:val="91"/>
              </w:rPr>
              <w:t>by and among each of the undersigned (the “Initial Guarantors” and along with any additional Subsidiaries of the Company which become parties to this</w:t>
            </w:r>
          </w:p>
        </w:tc>
        <w:tc>
          <w:tcPr>
            <w:tcW w:w="200" w:type="dxa"/>
            <w:vAlign w:val="bottom"/>
          </w:tcPr>
          <w:p>
            <w:pPr>
              <w:spacing w:after="0"/>
              <w:rPr>
                <w:sz w:val="20"/>
                <w:szCs w:val="20"/>
                <w:color w:val="auto"/>
              </w:rPr>
            </w:pPr>
          </w:p>
        </w:tc>
      </w:tr>
    </w:tbl>
    <w:p>
      <w:pPr>
        <w:jc w:val="both"/>
        <w:ind w:right="40"/>
        <w:spacing w:after="0" w:line="261" w:lineRule="auto"/>
        <w:rPr>
          <w:sz w:val="20"/>
          <w:szCs w:val="20"/>
          <w:color w:val="auto"/>
        </w:rPr>
      </w:pPr>
      <w:r>
        <w:rPr>
          <w:rFonts w:ascii="Arial" w:cs="Arial" w:eastAsia="Arial" w:hAnsi="Arial"/>
          <w:sz w:val="18"/>
          <w:szCs w:val="18"/>
          <w:color w:val="auto"/>
        </w:rPr>
        <w:t>Guaranty by executing a supplement hereto in the form attached as Annex I,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Guaranteed Obligations (as defined below), under the Credit Agreement referred to below.</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WHEREAS,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Subsidiary Borrowers parties thereto (the “</w:t>
      </w:r>
      <w:r>
        <w:rPr>
          <w:rFonts w:ascii="Arial" w:cs="Arial" w:eastAsia="Arial" w:hAnsi="Arial"/>
          <w:sz w:val="16"/>
          <w:szCs w:val="16"/>
          <w:u w:val="single" w:color="auto"/>
          <w:color w:val="auto"/>
        </w:rPr>
        <w:t>Subsidiary Borrowers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institutions from time to time parties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have entered into a certain Credit Agreement dated as of December 14, 2018 (as the same may be amended, modified, supplemented and/or restated, and as in effect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providing, subject to the terms and conditions thereof, for extensions of credit and other financial accommodations to be made by the Lenders to the Borrowers;</w:t>
      </w:r>
    </w:p>
    <w:p>
      <w:pPr>
        <w:spacing w:after="0" w:line="158"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it is a condition precedent to the extensions of credit by the Lenders under the Credit Agreement that each of the Guarantors (constituting all of the Subsidiaries of the Company required to execute this Guaranty pursuant to Section 5.09 of the Credit Agreement) execute and deliver this Guaranty, whereby each of the Guarantors shall guarantee the payment when due of all Obligations; and</w:t>
      </w:r>
    </w:p>
    <w:p>
      <w:pPr>
        <w:spacing w:after="0" w:line="181"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WHEREAS, in consideration of the direct and indirect financial and other support that the Borrowers have provided, and such direct and indirect financial and other support as the Borrowers may in the future provide, to the Guarantors, and in order to induce the Lenders and the Administrative Agent to enter into the Credit Agreement, each of the Guarantors is willing to guarantee the Obligations of the Borrowers;</w:t>
      </w:r>
    </w:p>
    <w:p>
      <w:pPr>
        <w:spacing w:after="0" w:line="166"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NOW, THEREFORE, in consideration of the foregoing premises and other good and valuable consideration, the receipt and sufficiency of which are hereby acknowledged, the parties hereto agree as follows: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Terms defined in the Credit Agreement and not otherwise defined herein have, as used herein, the respective meanings provided for therein.</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Each of the Guarantors represents and warrants (which representations and warranties shall be deemed to have been renewed at the time of the making, conversion or continuation of any Loan or issuance, amendment, renewal or extension of any Letter of Credit to the extent required by Section 4.02 of the Credit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9" w:name="page150"/>
    <w:bookmarkEnd w:id="149"/>
    <w:p>
      <w:pPr>
        <w:ind w:left="660" w:right="100" w:firstLine="645"/>
        <w:spacing w:after="0" w:line="255" w:lineRule="auto"/>
        <w:tabs>
          <w:tab w:leader="none" w:pos="197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(i) is duly organized or incorporated, as the case may 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case of clause (iii), except where the failure to do so could not reasonably be expected to result in a Material Adverse Effect.</w:t>
      </w:r>
    </w:p>
    <w:p>
      <w:pPr>
        <w:spacing w:after="0" w:line="193" w:lineRule="exact"/>
        <w:rPr>
          <w:rFonts w:ascii="Arial" w:cs="Arial" w:eastAsia="Arial" w:hAnsi="Arial"/>
          <w:sz w:val="18"/>
          <w:szCs w:val="18"/>
          <w:color w:val="auto"/>
        </w:rPr>
      </w:pPr>
    </w:p>
    <w:p>
      <w:pPr>
        <w:ind w:left="660" w:right="160" w:firstLine="645"/>
        <w:spacing w:after="0" w:line="255" w:lineRule="auto"/>
        <w:tabs>
          <w:tab w:leader="none" w:pos="196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(to the extent applicable) has the requisite organizational power and authority and legal right to execute and deliver this Guaranty and to perform its obligations hereunder. The execution and delivery by each Guarantor of this Guaranty and the performance by each of its obligations hereunder have been duly authorized by all necessary organizational actions and, if required, actions by equity holders of such Guarantor, and this Guaranty constitutes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89" w:lineRule="exact"/>
        <w:rPr>
          <w:rFonts w:ascii="Arial" w:cs="Arial" w:eastAsia="Arial" w:hAnsi="Arial"/>
          <w:sz w:val="18"/>
          <w:szCs w:val="18"/>
          <w:color w:val="auto"/>
        </w:rPr>
      </w:pPr>
    </w:p>
    <w:p>
      <w:pPr>
        <w:ind w:left="660" w:firstLine="645"/>
        <w:spacing w:after="0" w:line="268" w:lineRule="auto"/>
        <w:tabs>
          <w:tab w:leader="none" w:pos="196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Neither the execution and delivery by it of this Guaranty, nor the consummation by it of the transactions herein contemplated, nor compliance by it with the provisions hereof will (i) violate in any material respect any applicable material law or regulation or the charter, by-laws, constitution or other organizational documents of any Loan Party or any Material Subsidiary or any material order of any Governmental Authority binding upon any Loan Party or any of the Material Subsidiaries or its assets, (ii) violate in any material respect or result in a default under any indenture, material agreement or other material instrument binding upon the Company or any of its Material Subsidiaries or its assets, or give rise to a right thereunder to require any payment to be made by the Company or any of its Material Subsidiaries, except, in the case of this clause (ii), for any such violations, defaults or rights that could not reasonably be expected to result in a Material Adverse Effect, or (iii) result in the creation or imposition of any Lien on any asset of the Company or any of its Material Subsidiaries, other than Liens (if any) permitted by Section 6.02(a) of the Credit Agreement. No order, consent, adjudication, approval, license, authorization, or validation of, or filing, recording or registration with, or exemption by, or other action in respect of any governmental or public body or authority, or any subdivision thereof is required to be obtained by it in connection with the execution, delivery and performance by it of, or the legality, validity, binding effect or enforceability against it of, this Guaranty, in any such case, except such as are not material or have been, or will be by the time required, obtained or made and are, or will be by the time required, in full force and effect.</w:t>
      </w:r>
    </w:p>
    <w:p>
      <w:pPr>
        <w:spacing w:after="0" w:line="188"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In addition to the foregoing, until the Commitments under the Credit Agreement have expired or been terminated and the principal of and interest on each Loan and all fees due and payable thereunder have been paid in full (other than Guaranteed Obligations expressly stated to survive such payment and termination) and all Letters of Credit have expired or terminated, in each case, without any pending draw (or shall have been cash collateralized or backstopped pursuant to arrangements reasonably satisfactory to the Administrative Agent), and all LC Disbursements shall have been reimbursed, each of the Guarantors covenants that it will, and, if necessary, will enable each of the Borrowers to, fully comply with those covenants and agreements of such Borrower applicable to such Guarantor set forth in the Credit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ind w:firstLine="1297"/>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The Guaranty</w:t>
      </w:r>
      <w:r>
        <w:rPr>
          <w:rFonts w:ascii="Arial" w:cs="Arial" w:eastAsia="Arial" w:hAnsi="Arial"/>
          <w:sz w:val="17"/>
          <w:szCs w:val="17"/>
          <w:color w:val="auto"/>
        </w:rPr>
        <w:t>. Each of the Guarantors hereby unconditionally guarantees, jointly with the other Guarantors and severally, the full and punctual payment and performance when due (whether at stated maturity, upon acceleration or otherwise) of the Obligations, including, without limitation, (i) the principal of and interest on each Loan made to any Borrower pursuant to the Credit Agreement, (ii) any obligations of any Borrower to reimburse LC Disbursements (“</w:t>
      </w:r>
      <w:r>
        <w:rPr>
          <w:rFonts w:ascii="Arial" w:cs="Arial" w:eastAsia="Arial" w:hAnsi="Arial"/>
          <w:sz w:val="17"/>
          <w:szCs w:val="17"/>
          <w:u w:val="single" w:color="auto"/>
          <w:color w:val="auto"/>
        </w:rPr>
        <w:t>Reimbursement Obligations</w:t>
      </w:r>
      <w:r>
        <w:rPr>
          <w:rFonts w:ascii="Arial" w:cs="Arial" w:eastAsia="Arial" w:hAnsi="Arial"/>
          <w:sz w:val="17"/>
          <w:szCs w:val="17"/>
          <w:color w:val="auto"/>
        </w:rPr>
        <w:t>”), (iii) all obligations of any Borrower owing to any Lender or any affiliate of any Lender under any Swap Agreement or Banking Services Agreement, (iv) all other amounts payable by any Borrower or any of its Subsidiaries under the Credit Agreement, any Swap Agreement, any Banking Services Agreement and the other Loan Documents and (v) the punctual and faithful performance, keeping, observance, and fulfillment by any Borrower of all of the agreements, conditions, covenants, and obligations of such Borrower contained in the Loan Documents (all of the foregoing being referred to collectively as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(provided, however, that the definition of “Guaranteed Obligations” shall not create or include any guarantee by any Guarantor of any Excluded Swap Obligations of such Guarantor for purposes of determining any obligations of any Guarantor) and the holders from time to time of the Guaranteed Obligations being referred to collectively as the “</w:t>
      </w:r>
      <w:r>
        <w:rPr>
          <w:rFonts w:ascii="Arial" w:cs="Arial" w:eastAsia="Arial" w:hAnsi="Arial"/>
          <w:sz w:val="17"/>
          <w:szCs w:val="17"/>
          <w:u w:val="single" w:color="auto"/>
          <w:color w:val="auto"/>
        </w:rPr>
        <w:t>Holders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Upon (x) the failure by any Borrower or any of its Affiliates, as applicable, to pay punctually any such amount or perform such obligation, and (y) such failure continuing beyond any applicable grace or notice and cure period, each of the Guarantors agrees that it shall forthwith on demand pay such amount or perform such obligation at the place and in the manner specified in the Credit Agreement, any Swap Agreement, any Banking Services Agreement or the relevant Loan Document, as the case may be. Each of the Guarantors hereby agrees that this Guaranty is an absolute, irrevocable and unconditional guaranty of payment and is not a guaranty of collection.</w:t>
      </w:r>
    </w:p>
    <w:p>
      <w:pPr>
        <w:spacing w:after="0" w:line="183"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Each of the Guarantors hereby irrevocably and unconditionally agrees, jointly and severally with the other Guarantors, that if any obligation guaranteed by it is or becomes unenforceable, invalid or illegal, it will, as an independent and primary obligation, indemnify the Holders of Guaranteed Obligations immediately on demand against any cost, loss or liability they incur as a result of the Company or any of its Affiliates not paying any amount which would, but for such unenforceability, invalidity or illegality, have been payable by such Guarantor under this Guaranty on the date when it would have been due (but so that the amount payable by each Guarantor under this indemnity will not exceed the amount which it would have had to pay under this Guaranty if the amount claimed had been recoverable on the basis of a guaranty).</w:t>
      </w:r>
    </w:p>
    <w:p>
      <w:pPr>
        <w:spacing w:after="0" w:line="17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Guaranty Unconditional</w:t>
      </w:r>
      <w:r>
        <w:rPr>
          <w:rFonts w:ascii="Arial" w:cs="Arial" w:eastAsia="Arial" w:hAnsi="Arial"/>
          <w:sz w:val="18"/>
          <w:szCs w:val="18"/>
          <w:color w:val="auto"/>
        </w:rPr>
        <w:t>. The obligations of each of the Guarantors hereunder shall be unconditional and absolute and, without limiting the generality of the foregoing, shall not be released, discharged or otherwise affected by:</w:t>
      </w:r>
    </w:p>
    <w:p>
      <w:pPr>
        <w:spacing w:after="0" w:line="170" w:lineRule="exact"/>
        <w:rPr>
          <w:sz w:val="20"/>
          <w:szCs w:val="20"/>
          <w:color w:val="auto"/>
        </w:rPr>
      </w:pPr>
    </w:p>
    <w:p>
      <w:pPr>
        <w:ind w:left="660" w:right="60" w:firstLine="645"/>
        <w:spacing w:after="0" w:line="257" w:lineRule="auto"/>
        <w:tabs>
          <w:tab w:leader="none" w:pos="197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188" w:lineRule="exact"/>
        <w:rPr>
          <w:rFonts w:ascii="Arial" w:cs="Arial" w:eastAsia="Arial" w:hAnsi="Arial"/>
          <w:sz w:val="18"/>
          <w:szCs w:val="18"/>
          <w:color w:val="auto"/>
        </w:rPr>
      </w:pPr>
    </w:p>
    <w:p>
      <w:pPr>
        <w:ind w:left="660" w:right="80" w:firstLine="645"/>
        <w:spacing w:after="0" w:line="264" w:lineRule="auto"/>
        <w:tabs>
          <w:tab w:leader="none" w:pos="19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Credit Agreement, any Swap Agreement, any Banking Services Agreement or any other Loan Document, including, without limitation, any such amendment which may increase the amount of, or the interest rates applicable to, any of the Obligations guaranteed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1" w:name="page152"/>
    <w:bookmarkEnd w:id="151"/>
    <w:p>
      <w:pPr>
        <w:jc w:val="both"/>
        <w:ind w:left="-540" w:right="460" w:firstLine="645"/>
        <w:spacing w:after="0" w:line="259" w:lineRule="auto"/>
        <w:tabs>
          <w:tab w:leader="none" w:pos="76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86" w:lineRule="exact"/>
        <w:rPr>
          <w:rFonts w:ascii="Arial" w:cs="Arial" w:eastAsia="Arial" w:hAnsi="Arial"/>
          <w:sz w:val="18"/>
          <w:szCs w:val="18"/>
          <w:color w:val="auto"/>
        </w:rPr>
      </w:pPr>
    </w:p>
    <w:p>
      <w:pPr>
        <w:jc w:val="both"/>
        <w:ind w:left="-540" w:right="100" w:firstLine="645"/>
        <w:spacing w:after="0" w:line="259" w:lineRule="auto"/>
        <w:tabs>
          <w:tab w:leader="none" w:pos="77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change in the corporate, partnership or other existence, structure or ownership of any Borrower or any other guarantor of any of the Guaranteed Obligations, or any insolvency, bankruptcy, examinership, reorganization or other similar proceeding affecting such Borrower or any other guarantor of the Guaranteed Obligations, or any of their respective assets or any resulting release or discharge of any obligation of such Borrower or any other guarantor of any of the Guaranteed Obligations;</w:t>
      </w:r>
    </w:p>
    <w:p>
      <w:pPr>
        <w:spacing w:after="0" w:line="186" w:lineRule="exact"/>
        <w:rPr>
          <w:rFonts w:ascii="Arial" w:cs="Arial" w:eastAsia="Arial" w:hAnsi="Arial"/>
          <w:sz w:val="18"/>
          <w:szCs w:val="18"/>
          <w:color w:val="auto"/>
        </w:rPr>
      </w:pPr>
    </w:p>
    <w:p>
      <w:pPr>
        <w:ind w:left="-540" w:right="160" w:firstLine="645"/>
        <w:spacing w:after="0" w:line="259" w:lineRule="auto"/>
        <w:tabs>
          <w:tab w:leader="none" w:pos="7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the Guarantors may have at any time against any Borrower, any other guarantor of any of the Guaranteed Obligations, the Administrative Agent, any Holder of Guaranteed Obligations or any other Person, whether in connection herewith or in connection with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86" w:lineRule="exact"/>
        <w:rPr>
          <w:rFonts w:ascii="Arial" w:cs="Arial" w:eastAsia="Arial" w:hAnsi="Arial"/>
          <w:sz w:val="18"/>
          <w:szCs w:val="18"/>
          <w:color w:val="auto"/>
        </w:rPr>
      </w:pPr>
    </w:p>
    <w:p>
      <w:pPr>
        <w:ind w:left="-540" w:firstLine="645"/>
        <w:spacing w:after="0" w:line="273" w:lineRule="auto"/>
        <w:tabs>
          <w:tab w:leader="none" w:pos="77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or any other guarantor of any of the Guaranteed Obligations, for any reason related to the Credit Agreement, any Swap Agreement, any Banking Services Agreement, any other Loan Document, or any provision of applicable law decree, order or regulation of any jurisdiction purporting to prohibit the payment by such Borrower or any other guarantor of the Guaranteed Obligations, of any of the Guaranteed Obligations or otherwise affecting any term of any of the Guaranteed Obligations;</w:t>
      </w:r>
    </w:p>
    <w:p>
      <w:pPr>
        <w:spacing w:after="0" w:line="178" w:lineRule="exact"/>
        <w:rPr>
          <w:rFonts w:ascii="Arial" w:cs="Arial" w:eastAsia="Arial" w:hAnsi="Arial"/>
          <w:sz w:val="17"/>
          <w:szCs w:val="17"/>
          <w:color w:val="auto"/>
        </w:rPr>
      </w:pPr>
    </w:p>
    <w:p>
      <w:pPr>
        <w:ind w:left="-540" w:right="140" w:firstLine="645"/>
        <w:spacing w:after="0" w:line="277" w:lineRule="auto"/>
        <w:tabs>
          <w:tab w:leader="none" w:pos="77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failure of the Administrative Agent to take any steps to perfect and maintain any security interest in, or to preserve any rights to, any security or collateral for the Guaranteed Obligations, if any;</w:t>
      </w:r>
    </w:p>
    <w:p>
      <w:pPr>
        <w:spacing w:after="0" w:line="170" w:lineRule="exact"/>
        <w:rPr>
          <w:rFonts w:ascii="Arial" w:cs="Arial" w:eastAsia="Arial" w:hAnsi="Arial"/>
          <w:sz w:val="18"/>
          <w:szCs w:val="18"/>
          <w:color w:val="auto"/>
        </w:rPr>
      </w:pPr>
    </w:p>
    <w:p>
      <w:pPr>
        <w:jc w:val="both"/>
        <w:ind w:left="-540" w:right="320" w:firstLine="645"/>
        <w:spacing w:after="0" w:line="264" w:lineRule="auto"/>
        <w:tabs>
          <w:tab w:leader="none" w:pos="76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election by, or on behalf of, any one or more of the Holders of Guaranteed Obligations, in any proceeding instituted under Chapter 11 of Title 11 of the United States Code (11 U.S.C. 101 et seq.)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of the application of Section 1111(b)(2) of the Bankruptcy Code;</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borrowing or grant of a security interest by any Borrower, as debtor-in-possession, under Section 364 of the Bankruptcy Code;</w:t>
      </w:r>
    </w:p>
    <w:p>
      <w:pPr>
        <w:spacing w:after="0" w:line="248" w:lineRule="exact"/>
        <w:rPr>
          <w:rFonts w:ascii="Arial" w:cs="Arial" w:eastAsia="Arial" w:hAnsi="Arial"/>
          <w:sz w:val="16"/>
          <w:szCs w:val="16"/>
          <w:color w:val="auto"/>
        </w:rPr>
      </w:pPr>
    </w:p>
    <w:p>
      <w:pPr>
        <w:ind w:left="-540" w:right="400" w:firstLine="645"/>
        <w:spacing w:after="0" w:line="277" w:lineRule="auto"/>
        <w:tabs>
          <w:tab w:leader="none" w:pos="7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disallowance, under Section 502 of the Bankruptcy Code, of all or any portion of the claims of the Holders of Guaranteed Obligations or the Administrative Agent for repayment of all or any part of the Guaranteed Obligations;</w:t>
      </w:r>
    </w:p>
    <w:p>
      <w:pPr>
        <w:spacing w:after="0" w:line="170" w:lineRule="exact"/>
        <w:rPr>
          <w:rFonts w:ascii="Arial" w:cs="Arial" w:eastAsia="Arial" w:hAnsi="Arial"/>
          <w:sz w:val="18"/>
          <w:szCs w:val="18"/>
          <w:color w:val="auto"/>
        </w:rPr>
      </w:pPr>
    </w:p>
    <w:p>
      <w:pPr>
        <w:ind w:left="780" w:hanging="675"/>
        <w:spacing w:after="0"/>
        <w:tabs>
          <w:tab w:leader="none" w:pos="7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failure of any other guarantor to sign or become party to this Guaranty or any amendment, change, or reaffirmation hereof; or</w:t>
      </w:r>
    </w:p>
    <w:p>
      <w:pPr>
        <w:spacing w:after="0" w:line="248" w:lineRule="exact"/>
        <w:rPr>
          <w:rFonts w:ascii="Arial" w:cs="Arial" w:eastAsia="Arial" w:hAnsi="Arial"/>
          <w:sz w:val="16"/>
          <w:szCs w:val="16"/>
          <w:color w:val="auto"/>
        </w:rPr>
      </w:pPr>
    </w:p>
    <w:p>
      <w:pPr>
        <w:ind w:left="-540" w:right="380" w:firstLine="645"/>
        <w:spacing w:after="0" w:line="277" w:lineRule="auto"/>
        <w:tabs>
          <w:tab w:leader="none" w:pos="7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any Borrower, any other guarantor of the Guaranteed Obligations, the Administrative Agent, any Holder of Guaranteed</w:t>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Exhibit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52" w:name="page153"/>
    <w:bookmarkEnd w:id="152"/>
    <w:p>
      <w:pPr>
        <w:ind w:left="660" w:right="400"/>
        <w:spacing w:after="0" w:line="277" w:lineRule="auto"/>
        <w:rPr>
          <w:sz w:val="20"/>
          <w:szCs w:val="20"/>
          <w:color w:val="auto"/>
        </w:rPr>
      </w:pPr>
      <w:r>
        <w:rPr>
          <w:rFonts w:ascii="Arial" w:cs="Arial" w:eastAsia="Arial" w:hAnsi="Arial"/>
          <w:sz w:val="18"/>
          <w:szCs w:val="18"/>
          <w:color w:val="auto"/>
        </w:rPr>
        <w:t>Obligations or any other Person or any other circumstance whatsoever which might, but for the provisions of this Section 4, constitute a legal or equitable discharge of any Guarantor’s obligations hereunder except as provided in Section 5.</w:t>
      </w:r>
    </w:p>
    <w:p>
      <w:pPr>
        <w:spacing w:after="0" w:line="170"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Continuing Guarantee; Discharge Only Upon Payment In Full; Reinstatement In Certain Circumstances</w:t>
      </w:r>
      <w:r>
        <w:rPr>
          <w:rFonts w:ascii="Arial" w:cs="Arial" w:eastAsia="Arial" w:hAnsi="Arial"/>
          <w:sz w:val="17"/>
          <w:szCs w:val="17"/>
          <w:color w:val="auto"/>
        </w:rPr>
        <w:t>. Each of the Guarantors’ obligations hereunder shall constitute a continuing and irrevocable guarantee of all Guaranteed Obligations now or hereafter existing and shall remain in full force and effect until all Guaranteed Obligations shall have been paid in full in cash and the Commitments and all Letters of Credit issued under the Credit Agreement shall have terminated or expired, or satisfaction otherwise of the Final Release Conditions. If at any time any payment of the principal of or interest on any Loan, any Reimbursement Obligation or any other amount payable by any 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examinership or reorganization of any Borrower or otherwise,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w:t>
      </w:r>
    </w:p>
    <w:p>
      <w:pPr>
        <w:spacing w:after="0" w:line="18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General Waivers; Additional Waivers</w:t>
      </w:r>
      <w:r>
        <w:rPr>
          <w:rFonts w:ascii="Arial" w:cs="Arial" w:eastAsia="Arial" w:hAnsi="Arial"/>
          <w:sz w:val="16"/>
          <w:szCs w:val="16"/>
          <w:color w:val="auto"/>
        </w:rPr>
        <w:t>.</w:t>
      </w:r>
    </w:p>
    <w:p>
      <w:pPr>
        <w:spacing w:after="0" w:line="225" w:lineRule="exact"/>
        <w:rPr>
          <w:sz w:val="20"/>
          <w:szCs w:val="20"/>
          <w:color w:val="auto"/>
        </w:rPr>
      </w:pPr>
    </w:p>
    <w:p>
      <w:pPr>
        <w:ind w:left="660" w:right="200" w:firstLine="645"/>
        <w:spacing w:after="0" w:line="259" w:lineRule="auto"/>
        <w:tabs>
          <w:tab w:leader="none" w:pos="197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General Waivers</w:t>
      </w:r>
      <w:r>
        <w:rPr>
          <w:rFonts w:ascii="Arial" w:cs="Arial" w:eastAsia="Arial" w:hAnsi="Arial"/>
          <w:sz w:val="18"/>
          <w:szCs w:val="18"/>
          <w:color w:val="auto"/>
        </w:rPr>
        <w:t>. Each of the Guarantors irrevocably waives acceptance hereof, presentment, demand or action on delinquency, protest, the benefit of any statutes of limitations and, to the fullest extent permitted by law, any notice not provided for herein, as well as any requirement that at any time any action be taken by any Person against any Borrower, any other guarantor of the Guaranteed Obligations, or any other Person.</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 Notwithstanding anything herein to the contrary, each of the Guarantors hereby absolutely, unconditionally, knowingly, and expressly waives:</w:t>
      </w:r>
    </w:p>
    <w:p>
      <w:pPr>
        <w:spacing w:after="0" w:line="170" w:lineRule="exact"/>
        <w:rPr>
          <w:sz w:val="20"/>
          <w:szCs w:val="20"/>
          <w:color w:val="auto"/>
        </w:rPr>
      </w:pPr>
    </w:p>
    <w:p>
      <w:pPr>
        <w:ind w:left="1980" w:hanging="675"/>
        <w:spacing w:after="0"/>
        <w:tabs>
          <w:tab w:leader="none" w:pos="1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right it may have to revoke this Guaranty as to future indebtedness or notice of acceptance hereof;</w:t>
      </w:r>
    </w:p>
    <w:p>
      <w:pPr>
        <w:spacing w:after="0" w:line="225" w:lineRule="exact"/>
        <w:rPr>
          <w:rFonts w:ascii="Arial" w:cs="Arial" w:eastAsia="Arial" w:hAnsi="Arial"/>
          <w:sz w:val="18"/>
          <w:szCs w:val="18"/>
          <w:color w:val="auto"/>
        </w:rPr>
      </w:pPr>
    </w:p>
    <w:p>
      <w:pPr>
        <w:ind w:left="660" w:firstLine="645"/>
        <w:spacing w:after="0" w:line="291" w:lineRule="auto"/>
        <w:tabs>
          <w:tab w:leader="none" w:pos="198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notice of acceptance hereof; (b) notice of any loans or other financial accommodations made or extended under the Loan Documents or the creation or existence of any Guaranteed Obligations; (c) notice of the amount of the Guaranteed Obligations, subject, however, to each Guarantor’s right to make inquiry of Administrative Agent and Holders of Guaranteed Obligations to ascertain the amount of the Guaranteed Obligations at any reasonable time; (d) notice of any adverse change in the financial condition of any Borrower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3" w:name="page154"/>
    <w:bookmarkEnd w:id="153"/>
    <w:p>
      <w:pPr>
        <w:ind w:left="-540" w:right="20" w:firstLine="645"/>
        <w:spacing w:after="0" w:line="276" w:lineRule="auto"/>
        <w:tabs>
          <w:tab w:leader="none" w:pos="79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its right, if any, to require the Administrative Agent and the other Holders of Guaranteed Obligations to institute suit against, or to exhaust any rights and remedies which the Administrative Agent and the other Holders of Guaranteed Obligations has or may have against, the other Guarantors or any third party; and each Guarantor further waives any defense arising by reason of any disability or other defense (other than the defense that the Guaranteed Obligations shall have been fully and finally performed and indefeasibly paid) of the other Guarantors or by reason of the cessation from any cause whatsoever of the liability of the other Guarantors in respect thereof;</w:t>
      </w:r>
    </w:p>
    <w:p>
      <w:pPr>
        <w:spacing w:after="0" w:line="172" w:lineRule="exact"/>
        <w:rPr>
          <w:rFonts w:ascii="Arial" w:cs="Arial" w:eastAsia="Arial" w:hAnsi="Arial"/>
          <w:sz w:val="17"/>
          <w:szCs w:val="17"/>
          <w:color w:val="auto"/>
        </w:rPr>
      </w:pPr>
    </w:p>
    <w:p>
      <w:pPr>
        <w:ind w:left="-540" w:firstLine="645"/>
        <w:spacing w:after="0" w:line="286" w:lineRule="auto"/>
        <w:tabs>
          <w:tab w:leader="none" w:pos="7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any rights to assert against the Administrative Agent and the other Holders of Guaranteed Obligations any defense (legal or equitable), set-off, counterclaim, or claim which such Guarantor may now or at any time hereafter have against the other Guarantors or any other party liable to the Administrative Agent and the other Holders of Guaranteed Obligations;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Guaranteed Obligations’ rights or remedies against the other Guarantors; the alteration by the Administrative Agent and the other Holders of Guaranteed Obligations of the Guaranteed Obligations; any discharge of the other Guarantors’ obligations to the Administrative Agent and the other Holders of Guaranteed Obligations by operation of law as a result of the Administrative Agent’s and the other Holders of Guaranteed Obligations’ intervention or omission; or the acceptance by the Administrative Agent and the other Holders of Guaranteed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74" w:lineRule="exact"/>
        <w:rPr>
          <w:rFonts w:ascii="Arial" w:cs="Arial" w:eastAsia="Arial" w:hAnsi="Arial"/>
          <w:sz w:val="16"/>
          <w:szCs w:val="16"/>
          <w:color w:val="auto"/>
        </w:rPr>
      </w:pPr>
    </w:p>
    <w:p>
      <w:pPr>
        <w:ind w:left="-540" w:right="300" w:firstLine="645"/>
        <w:spacing w:after="0" w:line="259" w:lineRule="auto"/>
        <w:tabs>
          <w:tab w:leader="none" w:pos="76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defense arising by reason of or deriving from (a) any claim or defense based upon an election of remedies by the Administrative Agent and the other Holders of Guaranteed Obligations; or (b) any election by the Administrative Agent and the other Holders of Guaranteed Obligations under Section 1111(b) of Title 11 of the United States Code entitled “Bankruptcy”, as now and hereafter in effect (or any successor statute), to limit the amount of, or any collateral securing, its claim against the Guarantors.</w:t>
      </w:r>
    </w:p>
    <w:p>
      <w:pPr>
        <w:spacing w:after="0" w:line="187"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Subordination of Subrogation; Subordination of Intercompany Indebtedness</w:t>
      </w:r>
      <w:r>
        <w:rPr>
          <w:rFonts w:ascii="Arial" w:cs="Arial" w:eastAsia="Arial" w:hAnsi="Arial"/>
          <w:sz w:val="16"/>
          <w:szCs w:val="16"/>
          <w:color w:val="auto"/>
        </w:rPr>
        <w:t>.</w:t>
      </w:r>
    </w:p>
    <w:p>
      <w:pPr>
        <w:spacing w:after="0" w:line="225" w:lineRule="exact"/>
        <w:rPr>
          <w:sz w:val="20"/>
          <w:szCs w:val="20"/>
          <w:color w:val="auto"/>
        </w:rPr>
      </w:pPr>
    </w:p>
    <w:p>
      <w:pPr>
        <w:ind w:left="-540" w:right="140" w:firstLine="645"/>
        <w:spacing w:after="0" w:line="271" w:lineRule="auto"/>
        <w:tabs>
          <w:tab w:leader="none" w:pos="77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Subordination of Subrogation</w:t>
      </w:r>
      <w:r>
        <w:rPr>
          <w:rFonts w:ascii="Arial" w:cs="Arial" w:eastAsia="Arial" w:hAnsi="Arial"/>
          <w:sz w:val="17"/>
          <w:szCs w:val="17"/>
          <w:color w:val="auto"/>
        </w:rPr>
        <w:t>. Until the Guaranteed Obligations have been fully and finally performed and indefeasibly paid in full in cash, or satisfaction otherwise of the Final Release Conditions, the Guarantors (i) shall have no right of subrogation with respect to such Guaranteed Obligations, (ii) waive any right to enforce any remedy which the Holders of Guaranteed Obligations, the Issuing Banks or the Administrative Agent now have or may hereafter have against any Borrower, any endorser or any guarantor of all or any part of the Guaranteed Obligations or any other Person, and (iii) waive any benefit of, and any right to participate in, any security or collateral given to the Holders of Guaranteed Obligations, the Issuing Banks and the Administrative Agent to secure the payment or performance of all or any part of the Guaranteed Obligations or any other liability of any Borrower to the Holders of Guaranteed Obligations or the Issuing Banks. Should any Guarantor have the right, notwithstanding the foregoing, to exercise its</w:t>
      </w:r>
    </w:p>
    <w:p>
      <w:pPr>
        <w:spacing w:after="0" w:line="17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Exhibit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154" w:name="page155"/>
    <w:bookmarkEnd w:id="154"/>
    <w:p>
      <w:pPr>
        <w:ind w:right="20"/>
        <w:spacing w:after="0" w:line="272" w:lineRule="auto"/>
        <w:rPr>
          <w:sz w:val="20"/>
          <w:szCs w:val="20"/>
          <w:color w:val="auto"/>
        </w:rPr>
      </w:pPr>
      <w:r>
        <w:rPr>
          <w:rFonts w:ascii="Arial" w:cs="Arial" w:eastAsia="Arial" w:hAnsi="Arial"/>
          <w:sz w:val="17"/>
          <w:szCs w:val="17"/>
          <w:color w:val="auto"/>
        </w:rPr>
        <w:t>subrogation rights, each Guarantor hereby expressly and irrevocably (A) subordinates any and all rights at law or in equity to subrogation, reimbursement, exoneration, contribution, indemnification or set off that such Guarantor may have to the indefeasible payment in full in cash of the Guaranteed Obligations and (B) waives any and all defenses available to a surety, guarantor or accommodation co-obligor until the Guaranteed Obligations are indefeasibly paid in full in cash. Each Guarantor acknowledges and agrees that this subordination is intended to benefit the Administrative Agent and the other Holders of Guaranteed Obligations and shall not limit or otherwise affect such Guarantor’s liability hereunder or the enforceability of this Guaranty, and that the Administrative Agent, the other Holders of Guaranteed Obligations and their respective successors and assigns are intended third party beneficiaries of the waivers and agreements set forth in this Section 7(A).</w:t>
      </w:r>
    </w:p>
    <w:p>
      <w:pPr>
        <w:spacing w:after="0" w:line="178" w:lineRule="exact"/>
        <w:rPr>
          <w:sz w:val="20"/>
          <w:szCs w:val="20"/>
          <w:color w:val="auto"/>
        </w:rPr>
      </w:pPr>
    </w:p>
    <w:p>
      <w:pPr>
        <w:ind w:firstLine="645"/>
        <w:spacing w:after="0" w:line="284" w:lineRule="auto"/>
        <w:tabs>
          <w:tab w:leader="none" w:pos="130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 Each Guarantor agrees that any and all claims of such Guarantor against any Borrower or any other Guarantor hereunder (each an “</w:t>
      </w:r>
      <w:r>
        <w:rPr>
          <w:rFonts w:ascii="Arial" w:cs="Arial" w:eastAsia="Arial" w:hAnsi="Arial"/>
          <w:sz w:val="16"/>
          <w:szCs w:val="16"/>
          <w:u w:val="single" w:color="auto"/>
          <w:color w:val="auto"/>
        </w:rPr>
        <w:t>Obligor</w:t>
      </w:r>
      <w:r>
        <w:rPr>
          <w:rFonts w:ascii="Arial" w:cs="Arial" w:eastAsia="Arial" w:hAnsi="Arial"/>
          <w:sz w:val="16"/>
          <w:szCs w:val="16"/>
          <w:color w:val="auto"/>
        </w:rPr>
        <w:t xml:space="preserve">”)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long as no Event of Default has occurred and is continuing, such Guarantor may receive payments of principal and interest from any Obligor with respect to Intercompany Indebtedness.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Guaranteed Obligations and the Administrative Agent in those assets. No Guarantor shall have any right to possession of any such asset or to foreclose upon any such asset, whether by judicial action or otherwise, unless and until all of the Guaranteed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6"/>
          <w:szCs w:val="16"/>
          <w:u w:val="single" w:color="auto"/>
          <w:color w:val="auto"/>
        </w:rPr>
        <w:t>Insolvency Event</w:t>
      </w:r>
      <w:r>
        <w:rPr>
          <w:rFonts w:ascii="Arial" w:cs="Arial" w:eastAsia="Arial" w:hAnsi="Arial"/>
          <w:sz w:val="16"/>
          <w:szCs w:val="16"/>
          <w:color w:val="auto"/>
        </w:rPr>
        <w:t>”), any payment or distribution of any kind or character, either in cash, securities or other property, which shall be payable or deliverable upon or with respect to any indebtedness of any Obligor to any Guarantor (“</w:t>
      </w:r>
      <w:r>
        <w:rPr>
          <w:rFonts w:ascii="Arial" w:cs="Arial" w:eastAsia="Arial" w:hAnsi="Arial"/>
          <w:sz w:val="16"/>
          <w:szCs w:val="16"/>
          <w:u w:val="single" w:color="auto"/>
          <w:color w:val="auto"/>
        </w:rPr>
        <w:t>Intercompany Indebtedness</w:t>
      </w:r>
      <w:r>
        <w:rPr>
          <w:rFonts w:ascii="Arial" w:cs="Arial" w:eastAsia="Arial" w:hAnsi="Arial"/>
          <w:sz w:val="16"/>
          <w:szCs w:val="16"/>
          <w:color w:val="auto"/>
        </w:rPr>
        <w:t>”) shall be paid or delivered directly to the Administrative Agent for application on any of the Guaranteed Obligations, due or to become due, until such Guaranteed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and the termination of all financing arrangements pursuant to any Loan Document among any Borrower and the Holders of Guaranteed Obligations, such Guarantor shall receive and hold the same in trust, as trustee, for the benefit of the Holders of Guaranteed Obligations and shall forthwith deliver the same to the Administrative Agent, for the benefit of the Holders of Guaranteed Obligations, in precisely the form received (except for the endorsement or assignment of the Guarantor where necessary), for application to any of the Guaranteed Obligations, due or not due, and, until so delivered, the same shall be held in trust by the Guarantor as the property of the Holders of Guaranteed Obligations.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contingent indemnity obligations) have been paid in full (in</w:t>
      </w:r>
    </w:p>
    <w:p>
      <w:pPr>
        <w:spacing w:after="0" w:line="17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Exhibit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55" w:name="page156"/>
    <w:bookmarkEnd w:id="155"/>
    <w:p>
      <w:pPr>
        <w:ind w:left="660" w:right="80"/>
        <w:spacing w:after="0" w:line="264" w:lineRule="auto"/>
        <w:rPr>
          <w:sz w:val="20"/>
          <w:szCs w:val="20"/>
          <w:color w:val="auto"/>
        </w:rPr>
      </w:pPr>
      <w:r>
        <w:rPr>
          <w:rFonts w:ascii="Arial" w:cs="Arial" w:eastAsia="Arial" w:hAnsi="Arial"/>
          <w:sz w:val="18"/>
          <w:szCs w:val="18"/>
          <w:color w:val="auto"/>
        </w:rPr>
        <w:t>cash) and satisfied and all financing arrangements pursuant to any Loan Document among any Borrower and the Holders of Guaranteed Obligations have been terminated or satisfaction otherwise of the Final Release Conditions, no Guarantor will assign or transfer to any Person (other than the Administrative Agent) any claim any such Guarantor has or may have against any Obligor.</w:t>
      </w:r>
    </w:p>
    <w:p>
      <w:pPr>
        <w:spacing w:after="0" w:line="18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Contribution with Respect to Guaranteed Obligations</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70" w:lineRule="auto"/>
        <w:tabs>
          <w:tab w:leader="none" w:pos="197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the extent that any Guarantor shall make a payment under this Guaranty (a “</w:t>
      </w:r>
      <w:r>
        <w:rPr>
          <w:rFonts w:ascii="Arial" w:cs="Arial" w:eastAsia="Arial" w:hAnsi="Arial"/>
          <w:sz w:val="17"/>
          <w:szCs w:val="17"/>
          <w:u w:val="single" w:color="auto"/>
          <w:color w:val="auto"/>
        </w:rPr>
        <w:t>Guarantor Payment</w:t>
      </w:r>
      <w:r>
        <w:rPr>
          <w:rFonts w:ascii="Arial" w:cs="Arial" w:eastAsia="Arial" w:hAnsi="Arial"/>
          <w:sz w:val="17"/>
          <w:szCs w:val="17"/>
          <w:color w:val="auto"/>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Guaranteed Obligations and termination of the Credit Agreement, the Swap Agreements and the Banking Services Agreements,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81" w:lineRule="exact"/>
        <w:rPr>
          <w:rFonts w:ascii="Arial" w:cs="Arial" w:eastAsia="Arial" w:hAnsi="Arial"/>
          <w:sz w:val="17"/>
          <w:szCs w:val="17"/>
          <w:color w:val="auto"/>
        </w:rPr>
      </w:pPr>
    </w:p>
    <w:p>
      <w:pPr>
        <w:ind w:left="660" w:firstLine="645"/>
        <w:spacing w:after="0" w:line="257" w:lineRule="auto"/>
        <w:tabs>
          <w:tab w:leader="none" w:pos="19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88"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Section 8 is intended only to define the relative rights of the Guarantors, and nothing set forth in this Section 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left="660" w:right="680" w:firstLine="645"/>
        <w:spacing w:after="0" w:line="277" w:lineRule="auto"/>
        <w:tabs>
          <w:tab w:leader="none" w:pos="19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left="660" w:right="380" w:firstLine="645"/>
        <w:spacing w:after="0" w:line="264" w:lineRule="auto"/>
        <w:tabs>
          <w:tab w:leader="none" w:pos="19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8 shall be exercisable upon the full and indefeasible payment of the Guaranteed Obligations in cash and the termination of the Credit Agreement or satisfaction otherwise of the Final Release Conditions.</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Limitation of Guaranty</w:t>
      </w:r>
      <w:r>
        <w:rPr>
          <w:rFonts w:ascii="Arial" w:cs="Arial" w:eastAsia="Arial" w:hAnsi="Arial"/>
          <w:sz w:val="18"/>
          <w:szCs w:val="18"/>
          <w:color w:val="auto"/>
        </w:rPr>
        <w:t>. Notwithstanding any other provision of this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6" w:name="page157"/>
    <w:bookmarkEnd w:id="156"/>
    <w:p>
      <w:pPr>
        <w:ind w:firstLine="1297"/>
        <w:spacing w:after="0" w:line="30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Stay of Acceleration</w:t>
      </w:r>
      <w:r>
        <w:rPr>
          <w:rFonts w:ascii="Arial" w:cs="Arial" w:eastAsia="Arial" w:hAnsi="Arial"/>
          <w:sz w:val="16"/>
          <w:szCs w:val="16"/>
          <w:color w:val="auto"/>
        </w:rPr>
        <w:t>. If acceleration of the time for payment of any amount payable by any Borrower under the Credit Agreement, any Swap Agreement, any Banking Services Agreement or any other Loan Document is stayed upon the insolvency, bankruptcy or reorganization of such Borrower,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w:t>
      </w:r>
    </w:p>
    <w:p>
      <w:pPr>
        <w:spacing w:after="0" w:line="154" w:lineRule="exact"/>
        <w:rPr>
          <w:sz w:val="20"/>
          <w:szCs w:val="20"/>
          <w:color w:val="auto"/>
        </w:rPr>
      </w:pPr>
    </w:p>
    <w:p>
      <w:pPr>
        <w:jc w:val="both"/>
        <w:ind w:right="140" w:firstLine="1297"/>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given in the manner prescribed in Article IX of the Credit Agreement with respect to the Administrative Agent at its notice address therein and with respect to any Guarantor, in care of the Company at the address of the Company set forth in the Credit Agreement or such other address or telecopy number as such party may hereafter specify for such purpose by notice to the Administrative Agent in accordance with the provisions of such Article IX.</w:t>
      </w:r>
    </w:p>
    <w:p>
      <w:pPr>
        <w:spacing w:after="0" w:line="171"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or delay by the Administrative Agent or any other Holder of Guaranteed Obligations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18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Guaranty is for the benefit of the Administrative Agent and the other Holders of Guaranteed Obligations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17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Changes in Writing</w:t>
      </w:r>
      <w:r>
        <w:rPr>
          <w:rFonts w:ascii="Arial" w:cs="Arial" w:eastAsia="Arial" w:hAnsi="Arial"/>
          <w:sz w:val="18"/>
          <w:szCs w:val="18"/>
          <w:color w:val="auto"/>
        </w:rPr>
        <w:t>. Other than in connection with the addition of additional Subsidiaries, which become parties hereto by executing a supplement hereto in the form attached as Annex I, neither this Guaranty nor any provision hereof may be changed, waived, discharged or terminated orally, but only in writing signed by each of the Guarantors and the Administrative Agent.</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SHALL BE CONSTRUED IN ACCORDANCE WITH AND GOVERNED BY THE LAW OF THE STATE OF NEW YORK.</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CONSENT TO JURISDICTION; SERVICE OF PROCESS; JURY TRIAL; IMMUNITY</w:t>
      </w:r>
      <w:r>
        <w:rPr>
          <w:rFonts w:ascii="Arial" w:cs="Arial" w:eastAsia="Arial" w:hAnsi="Arial"/>
          <w:sz w:val="17"/>
          <w:szCs w:val="17"/>
          <w:color w:val="auto"/>
        </w:rPr>
        <w:t>.</w:t>
      </w:r>
    </w:p>
    <w:p>
      <w:pPr>
        <w:spacing w:after="0" w:line="225" w:lineRule="exact"/>
        <w:rPr>
          <w:sz w:val="20"/>
          <w:szCs w:val="20"/>
          <w:color w:val="auto"/>
        </w:rPr>
      </w:pPr>
    </w:p>
    <w:p>
      <w:pPr>
        <w:ind w:left="660" w:right="80" w:firstLine="645"/>
        <w:spacing w:after="0" w:line="273" w:lineRule="auto"/>
        <w:tabs>
          <w:tab w:leader="none" w:pos="197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CONSENT TO JURISDICTION. EACH GUARANTOR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GUARANTY, OR FOR RECOGNITION OR ENFORCEMENT OF ANY JUDGMENT, AND EACH OF THE PARTIES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ind w:right="80"/>
        <w:spacing w:after="0" w:line="270" w:lineRule="auto"/>
        <w:rPr>
          <w:sz w:val="20"/>
          <w:szCs w:val="20"/>
          <w:color w:val="auto"/>
        </w:rPr>
      </w:pPr>
      <w:r>
        <w:rPr>
          <w:rFonts w:ascii="Arial" w:cs="Arial" w:eastAsia="Arial" w:hAnsi="Arial"/>
          <w:sz w:val="17"/>
          <w:szCs w:val="17"/>
          <w:color w:val="auto"/>
        </w:rPr>
        <w:t>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ANY ISSUING BANK OR ANY LENDER MAY OTHERWISE HAVE TO BRING ANY ACTION OR PROCEEDING RELATING TO THIS GUARANTY OR ANY OTHER LOAN DOCUMENT AGAINST ANY LOAN PARTY OR ITS PROPERTIES IN THE COURTS OF ANY JURISDICTION.</w:t>
      </w:r>
    </w:p>
    <w:p>
      <w:pPr>
        <w:spacing w:after="0" w:line="182" w:lineRule="exact"/>
        <w:rPr>
          <w:sz w:val="20"/>
          <w:szCs w:val="20"/>
          <w:color w:val="auto"/>
        </w:rPr>
      </w:pPr>
    </w:p>
    <w:p>
      <w:pPr>
        <w:ind w:firstLine="645"/>
        <w:spacing w:after="0" w:line="267" w:lineRule="auto"/>
        <w:tabs>
          <w:tab w:leader="none" w:pos="130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EACH GUARANTOR IRREVOCABLY DESIGNATES AND APPOINTS THE COMPANY, AS ITS AUTHORIZED AGENT, TO ACCEPT AND ACKNOWLEDGE ON ITS BEHALF, SERVICE OF ANY AND ALL PROCESS WHICH MAY BE SERVED IN ANY SUIT, ACTION OR PROCEEDING OF THE NATURE REFERRED TO IN CLAUSE (A) ABOVE. SAID DESIGNATION AND APPOINTMENT SHALL BE IRREVOCABLE BY EACH SUCH FOREIGN GUARANTOR UNTIL ALL GUARANTEED OBLIGATIONS PAYABLE BY SUCH FOREIGN GUARANTOR HEREUNDER AND UNDER THE OTHER LOAN DOCUMENTS SHALL HAVE BEEN PAID IN FULL IN ACCORDANCE WITH THE PROVISIONS HEREOF AND THEREOF. EACH FOREIGN GUARANTOR HEREBY CONSENTS TO PROCESS BEING SERVED IN ANY SUIT, ACTION OR PROCEEDING OF THE NATURE REFERRED TO IN CLAUSE (A) ABOVE BY SERVICE OF PROCESS UPON THE COMPANY AS PROVIDED IN THIS CLAUSE (B);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LAWFUL AND POSSIBLE, NOTICE OF SAID SERVICE UPON SUCH AGENT SHALL BE MAILED BY REGISTERED OR CERTIFIED AIR MAIL, POSTAGE PREPAID, RETURN RECEIPT REQUESTED, TO THE COMPANY OR TO ANY OTHER ADDRESS OF WHICH SUCH FOREIGN GUARANTOR SHALL HAVE GIVEN WRITTEN NOTICE TO THE ADMINISTRATIVE AGENT (WITH A COPY THEREOF TO THE COMPANY). EACH FOREIGN GUARANTOR IRREVOCABLY WAIVES, TO THE FULLEST EXTENT PERMITTED BY LAW, ALL CLAIM OF ERROR BY REASON OF ANY SUCH SERVICE IN SUCH MANNER AND AGREES THAT SUCH SERVICE SHALL BE DEEMED IN EVERY RESPECT EFFECTIVE SERVICE OF PROCESS UPON SUCH FOREIGN GUARANTOR IN ANY SUCH SUIT, ACTION OR PROCEEDING AND SHALL, TO THE FULLEST EXTENT PERMITTED BY LAW, BE TAKEN AND HELD TO BE VALID AND PERSONAL SERVICE UPON AND PERSONAL DELIVERY TO SUCH FOREIGN GUARANTOR. NOTHING HEREIN WILL AFFECT THE RIGHT OF ANY PARTY HERETO TO SERVE PROCESS IN ANY OTHER MANNER PERMITTED BY LAW.</w:t>
      </w:r>
    </w:p>
    <w:p>
      <w:pPr>
        <w:spacing w:after="0" w:line="192" w:lineRule="exact"/>
        <w:rPr>
          <w:rFonts w:ascii="Arial" w:cs="Arial" w:eastAsia="Arial" w:hAnsi="Arial"/>
          <w:sz w:val="17"/>
          <w:szCs w:val="17"/>
          <w:color w:val="auto"/>
        </w:rPr>
      </w:pPr>
    </w:p>
    <w:p>
      <w:pPr>
        <w:ind w:firstLine="645"/>
        <w:spacing w:after="0" w:line="257" w:lineRule="auto"/>
        <w:tabs>
          <w:tab w:leader="none" w:pos="13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WAIVER OF JURY TRIAL. EACH GUARANTOR HEREBY WAIVES TRIAL BY JURY IN ANY JUDICIAL PROCEEDING INVOLVING, DIRECTLY OR INDIRECTLY, ANY MATTER (WHETHER SOUNDING IN TORT, CONTRACT OR OTHERWISE) IN ANY WAY ARISING OUT OF, RELATED TO, OR CONNECTED WITH THIS GUARANTY OR ANY OTHER LOAN DOCUMENT OR THE RELATIONSHIP ESTABLISHED THEREUNDER AND FURTHER WAIVES ANY RIGHT TO INTERPOSE ANY COUNTERCLAIM RELATED TO THIS GUARANTY OR THE TRANSACTIONS CONTEMPLATED HEREBY IN SUCH ACTION.</w:t>
      </w:r>
    </w:p>
    <w:p>
      <w:pPr>
        <w:spacing w:after="0" w:line="18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Exhibit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58" w:name="page159"/>
    <w:bookmarkEnd w:id="158"/>
    <w:p>
      <w:pPr>
        <w:ind w:left="660" w:right="260" w:firstLine="645"/>
        <w:spacing w:after="0" w:line="279" w:lineRule="auto"/>
        <w:tabs>
          <w:tab w:leader="none" w:pos="197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THE EXTENT THAT ANY GUARANTOR HAS OR HEREAFTER MAY ACQUIRE ANY IMMUNITY FROM JURISDICTION OF ANY COURT OR FROM ANY LEGAL PROCESS (WHETHER FROM SERVICE OR NOTICE, ATTACHMENT PRIOR TO JUDGMENT, ATTACHMENT IN AID OF EXECUTION OF A JUDGMENT, EXECUTION OR OTHERWISE), EACH GUARANTOR HEREBY IRREVOCABLY WAIVES SUCH IMMUNITY IN RESPECT OF ITS OBLIGATIONS UNDER THIS GUARANTY.</w:t>
      </w:r>
    </w:p>
    <w:p>
      <w:pPr>
        <w:spacing w:after="0" w:line="171"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16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u w:val="single" w:color="auto"/>
          <w:color w:val="auto"/>
        </w:rPr>
        <w:t>Taxes, Expenses of Enforcement, etc.</w:t>
      </w:r>
    </w:p>
    <w:p>
      <w:pPr>
        <w:spacing w:after="0" w:line="225" w:lineRule="exact"/>
        <w:rPr>
          <w:sz w:val="20"/>
          <w:szCs w:val="20"/>
          <w:color w:val="auto"/>
        </w:rPr>
      </w:pPr>
    </w:p>
    <w:p>
      <w:pPr>
        <w:ind w:left="660" w:firstLine="645"/>
        <w:spacing w:after="0" w:line="257" w:lineRule="auto"/>
        <w:tabs>
          <w:tab w:leader="none" w:pos="197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Any obligation of the Loan Parties under Section 2.17 of the Credit Agreement to pay any additional amounts to, or indemnify, any Lender or Issuing Bank for any Taxes that are required to be withheld or deducted from payments made to any Lender or Issuing Bank or to pay for, or indemnify any Lender or Issuing Bank for, any Other Taxes (and obligations of any Lender or Issuing Bank to provide tax documentation under Section 2.17(f) of the Credit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and without duplication, to each Guarantor (and Lender or Issuing Bank) with respect to this Guaranty and payments made hereunder.</w:t>
      </w:r>
    </w:p>
    <w:p>
      <w:pPr>
        <w:spacing w:after="0" w:line="188" w:lineRule="exact"/>
        <w:rPr>
          <w:rFonts w:ascii="Arial" w:cs="Arial" w:eastAsia="Arial" w:hAnsi="Arial"/>
          <w:sz w:val="18"/>
          <w:szCs w:val="18"/>
          <w:color w:val="auto"/>
        </w:rPr>
      </w:pPr>
    </w:p>
    <w:p>
      <w:pPr>
        <w:ind w:left="660" w:right="80" w:firstLine="645"/>
        <w:spacing w:after="0" w:line="257" w:lineRule="auto"/>
        <w:tabs>
          <w:tab w:leader="none" w:pos="196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Expenses of Enforcement, Etc.</w:t>
      </w:r>
      <w:r>
        <w:rPr>
          <w:rFonts w:ascii="Arial" w:cs="Arial" w:eastAsia="Arial" w:hAnsi="Arial"/>
          <w:sz w:val="18"/>
          <w:szCs w:val="18"/>
          <w:color w:val="auto"/>
        </w:rPr>
        <w:t xml:space="preserve"> The Guarantors agree to reimburse the Administrative Agent and the other Holders of Guaranteed Obligations for any reasonable and documented costs and out-of-pocket expenses (including reasonable and documented attorneys’ fees, but subject to the limitations set forth in Section 9.03 of the Credit Agreement) paid or incurred by the Administrative Agent or any other Holder of Guaranteed Obligations in connection with the collection and enforcement of amounts due under the Loan Documents, including without limitation this Guaranty.</w:t>
      </w:r>
    </w:p>
    <w:p>
      <w:pPr>
        <w:spacing w:after="0" w:line="188"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Setoff</w:t>
      </w:r>
      <w:r>
        <w:rPr>
          <w:rFonts w:ascii="Arial" w:cs="Arial" w:eastAsia="Arial" w:hAnsi="Arial"/>
          <w:sz w:val="17"/>
          <w:szCs w:val="17"/>
          <w:color w:val="auto"/>
        </w:rPr>
        <w:t>. Subject to Section 2.23(b) of the Credit Agreement and any limitations expressly agreed to by any Holder of Guaranteed Obligations or its Affiliate, as applicable, pursuant to any Banking Services Agreement or Swap Agreement to which such Holder of Guaranteed Obligations or Affiliate is a party, at any time after all or any part of the Guaranteed Obligations have become due and payable (by acceleration or otherwise), if an Event of Default shall have occurred and be continuing, each Holder of Guaranteed Obligations (including the Administrative Agent) and its Affiliates may, regardless of the acceptance of any security or collateral for the payment hereof, set off and apply any and all deposits (general or special, time or demand, provisional or final and in whatever currency denominated) at any time held and other obligations at any time owing by such Holder of Guaranteed Obligations or Affiliate to or for the credit or the account of any Guarantor against any of and all of the Guaranteed Obligations then due and owing by such Guarantor held by such Holder of Guaranteed Obligations, irrespective of whether or not such Holder of Guaranteed Obligations shall have made any demand under the Loan Documents. The rights of each Holder of Guaranteed Obligations under this Section are in addition to other rights and remedies (including other rights of setoff) which such Holder of Guaranteed Obligations may have. Each Holder of Guaranteed Obligations agrees to notify the Company and the Administrative Agent promptly after any such setoff and application; provided that the failure to give such notice shall not affect the validity of such setoff and application.</w:t>
      </w:r>
    </w:p>
    <w:p>
      <w:pPr>
        <w:spacing w:after="0" w:line="180"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Each Guarantor hereby assumes responsibility for keeping itself informed of the financial condition of each of the Borrowers and any and all endorsers and/or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9" w:name="page160"/>
    <w:bookmarkEnd w:id="159"/>
    <w:p>
      <w:pPr>
        <w:ind w:right="20"/>
        <w:spacing w:after="0" w:line="290" w:lineRule="auto"/>
        <w:rPr>
          <w:sz w:val="20"/>
          <w:szCs w:val="20"/>
          <w:color w:val="auto"/>
        </w:rPr>
      </w:pPr>
      <w:r>
        <w:rPr>
          <w:rFonts w:ascii="Arial" w:cs="Arial" w:eastAsia="Arial" w:hAnsi="Arial"/>
          <w:sz w:val="16"/>
          <w:szCs w:val="16"/>
          <w:color w:val="auto"/>
        </w:rPr>
        <w:t>other Guarantors of all or any part of the Guaranteed Obligations, and of all other circumstances bearing upon the risk of nonpayment of the Guaranteed Obligations, or any part thereof, that diligent inquiry would reveal, and each Guarantor hereby agrees that none of the Holders of Guaranteed Obligations (including the Administrative Agent) shall have any duty to advise such Guarantor of information known to any of them regarding such condition or any such circumstances. In the event any Holder of Guaranteed Obligations (including the Administrative Agent), in its sole discretion, undertakes at any time or from time to time to provide any such information to a Guarantor, such Holder of Guaranteed Obligations (including the Administrative Agent) shall be under no obligation (i) to undertake any investigation not a part of its regular business routine, (ii) to disclose any information which such Holder of Guaranteed Obligations (including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166"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66"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Merger</w:t>
      </w:r>
      <w:r>
        <w:rPr>
          <w:rFonts w:ascii="Arial" w:cs="Arial" w:eastAsia="Arial" w:hAnsi="Arial"/>
          <w:sz w:val="18"/>
          <w:szCs w:val="18"/>
          <w:color w:val="auto"/>
        </w:rPr>
        <w:t>. This Guaranty represents the final agreement of each of the Guarantors with respect to the matters contained herein and may not be contradicted by evidence of prior or contemporaneous agreements, or subsequent oral agreements, between the Guarantor and any Holder of Guaranteed Obligations (including the Administrative Agent).</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Guaranty are for convenience of reference only and shall not govern the interpretation of any provision of this Guaranty.</w:t>
      </w:r>
    </w:p>
    <w:p>
      <w:pPr>
        <w:spacing w:after="0" w:line="170" w:lineRule="exact"/>
        <w:rPr>
          <w:sz w:val="20"/>
          <w:szCs w:val="20"/>
          <w:color w:val="auto"/>
        </w:rPr>
      </w:pPr>
    </w:p>
    <w:p>
      <w:pPr>
        <w:ind w:right="60" w:firstLine="1297"/>
        <w:spacing w:after="0" w:line="28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any Guarantor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Guarantor in respect of any sum due hereunder shall, notwithstanding any judgment in a currency other than the specified currency, be discharged only to the extent that on the Business Day following receipt by any Holder of Guaranteed Obligations (including the Administrative Agent), as the case may be, of any sum adjudged to be so due in such other currency such Holder of Guaranteed Obligations (including the Administrative Agent), as the case may be, may in accordance with normal, reasonable banking procedures purchase the specified currency with such other currency. If the amount of the specified currency so purchased is less than the sum originally due to such Holder of Guaranteed Obligations (including the Administrative Agent), as the case may be, in the specified currency, each Guarantor agrees, to the fullest extent that it may effectively do so, as a separate obligation and notwithstanding any such judgment, to indemnify such Holder of Guaranteed Obligations (including the Administrative Agent), as the case may be, against such loss, and if the amount of the specified currency so purchased exceeds</w:t>
      </w:r>
    </w:p>
    <w:p>
      <w:pPr>
        <w:spacing w:after="0" w:line="4"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sum originally due to any Holder of Guaranteed Obligations (including the Administrative Agent), as the case may be, in the specified currency and</w:t>
      </w:r>
    </w:p>
    <w:p>
      <w:pPr>
        <w:spacing w:after="0" w:line="32"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amounts shared with other Holders of Guaranteed Obligations as a result of allocations of such excess as a disproportionate payment to such other Holder of Guaranteed Obligations under Section 2.18 of the Credit Agreement, such Holder of Guaranteed Obligations (including the Administrative Agent), as the case may be, agrees, by accepting the benefits hereof, to remit such excess to such Guarantor.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0" w:name="page161"/>
    <w:bookmarkEnd w:id="160"/>
    <w:p>
      <w:pPr>
        <w:ind w:firstLine="1297"/>
        <w:spacing w:after="0" w:line="26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Guaranty in respect of Specified Swap Obligations (provided, however, that each Qualified ECP Guarantor shall only be liable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deemed to constitute, a “keepwell, support, or other agreement” for the benefit of each other Guarantor for all purposes of Section 1a(18)(A)(v)(II) of the Commodity Exchange Act. As used herein, “</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180"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Guaranty</w:t>
      </w:r>
      <w:r>
        <w:rPr>
          <w:rFonts w:ascii="Arial" w:cs="Arial" w:eastAsia="Arial" w:hAnsi="Arial"/>
          <w:sz w:val="18"/>
          <w:szCs w:val="18"/>
          <w:color w:val="auto"/>
        </w:rPr>
        <w:t>. The obligations of any Guarantor under this Guaranty shall automatically terminate in accordance with Section 9.14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ind w:firstLine="648"/>
        <w:spacing w:after="0" w:line="277" w:lineRule="auto"/>
        <w:rPr>
          <w:sz w:val="20"/>
          <w:szCs w:val="20"/>
          <w:color w:val="auto"/>
        </w:rPr>
      </w:pPr>
      <w:r>
        <w:rPr>
          <w:rFonts w:ascii="Arial" w:cs="Arial" w:eastAsia="Arial" w:hAnsi="Arial"/>
          <w:sz w:val="18"/>
          <w:szCs w:val="18"/>
          <w:color w:val="auto"/>
        </w:rPr>
        <w:t>IN WITNESS WHEREOF, each of the Initial Guarantors has caused this Guaranty to be duly executed by its authorized officer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341" w:right="5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4039"/>
        <w:spacing w:after="0"/>
        <w:rPr>
          <w:sz w:val="20"/>
          <w:szCs w:val="20"/>
          <w:color w:val="auto"/>
        </w:rPr>
      </w:pPr>
      <w:r>
        <w:rPr>
          <w:rFonts w:ascii="Arial" w:cs="Arial" w:eastAsia="Arial" w:hAnsi="Arial"/>
          <w:sz w:val="18"/>
          <w:szCs w:val="18"/>
          <w:color w:val="auto"/>
        </w:rPr>
        <w:t>Exhibit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63" w:name="page164"/>
    <w:bookmarkEnd w:id="163"/>
    <w:p>
      <w:pPr>
        <w:jc w:val="center"/>
        <w:ind w:right="-79"/>
        <w:spacing w:after="0"/>
        <w:rPr>
          <w:sz w:val="20"/>
          <w:szCs w:val="20"/>
          <w:color w:val="auto"/>
        </w:rPr>
      </w:pPr>
      <w:r>
        <w:rPr>
          <w:rFonts w:ascii="Arial" w:cs="Arial" w:eastAsia="Arial" w:hAnsi="Arial"/>
          <w:sz w:val="18"/>
          <w:szCs w:val="18"/>
          <w:color w:val="auto"/>
        </w:rPr>
        <w:t>ANNEX I TO GUARANTY</w:t>
      </w:r>
    </w:p>
    <w:p>
      <w:pPr>
        <w:spacing w:after="0" w:line="22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Reference is hereby made to the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made as of [ ], by and among [GUARANTORS TO COME]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Guarantors</w:t>
      </w:r>
      <w:r>
        <w:rPr>
          <w:rFonts w:ascii="Arial" w:cs="Arial" w:eastAsia="Arial" w:hAnsi="Arial"/>
          <w:sz w:val="16"/>
          <w:szCs w:val="16"/>
          <w:color w:val="auto"/>
        </w:rPr>
        <w:t>” and along with any additional Subsidiaries of the Company, which become parties thereto and together with the undersigned,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the Administrative Agent, for the ratable benefit of the Holders of Guaranteed Obligations, under the Credit Agreement. Capitalized terms used herein and not defined herein shall have the meanings given to them in the Guaranty. By its execution below, the undersigned [NAME OF NEW GUARANTOR], a [corporation] [partnership] [limited liability company] (the “</w:t>
      </w:r>
      <w:r>
        <w:rPr>
          <w:rFonts w:ascii="Arial" w:cs="Arial" w:eastAsia="Arial" w:hAnsi="Arial"/>
          <w:sz w:val="16"/>
          <w:szCs w:val="16"/>
          <w:u w:val="single" w:color="auto"/>
          <w:color w:val="auto"/>
        </w:rPr>
        <w:t>New Guarantor</w:t>
      </w:r>
      <w:r>
        <w:rPr>
          <w:rFonts w:ascii="Arial" w:cs="Arial" w:eastAsia="Arial" w:hAnsi="Arial"/>
          <w:sz w:val="16"/>
          <w:szCs w:val="16"/>
          <w:color w:val="auto"/>
        </w:rPr>
        <w:t>”),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9" w:lineRule="exact"/>
        <w:rPr>
          <w:sz w:val="20"/>
          <w:szCs w:val="20"/>
          <w:color w:val="auto"/>
        </w:rPr>
      </w:pPr>
    </w:p>
    <w:p>
      <w:pPr>
        <w:ind w:left="1300"/>
        <w:spacing w:after="0"/>
        <w:tabs>
          <w:tab w:leader="none" w:pos="10600" w:val="left"/>
        </w:tabs>
        <w:rPr>
          <w:sz w:val="20"/>
          <w:szCs w:val="20"/>
          <w:color w:val="auto"/>
        </w:rPr>
      </w:pPr>
      <w:r>
        <w:rPr>
          <w:rFonts w:ascii="Arial" w:cs="Arial" w:eastAsia="Arial" w:hAnsi="Arial"/>
          <w:sz w:val="18"/>
          <w:szCs w:val="18"/>
          <w:color w:val="auto"/>
        </w:rPr>
        <w:t>IN WITNESS WHEREOF, New Guarantor has executed and delivered this Annex I counterpart to the Guaranty as of this</w:t>
      </w:r>
      <w:r>
        <w:rPr>
          <w:sz w:val="20"/>
          <w:szCs w:val="20"/>
          <w:color w:val="auto"/>
        </w:rPr>
        <w:tab/>
      </w:r>
      <w:r>
        <w:rPr>
          <w:rFonts w:ascii="Arial" w:cs="Arial" w:eastAsia="Arial" w:hAnsi="Arial"/>
          <w:sz w:val="16"/>
          <w:szCs w:val="16"/>
          <w:color w:val="auto"/>
        </w:rPr>
        <w:t>day of</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20  .</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GUARANTOR]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t>EXHIBIT G-2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7"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color w:val="auto"/>
        </w:rPr>
        <w:t>EXHIBIT G-3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3"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color w:val="auto"/>
        </w:rPr>
        <w:t>EXHIBIT G-4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December 14,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31388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color w:val="auto"/>
        </w:rPr>
        <w:t>EXHIBIT H-1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REQUEST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Floor L2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Facsimile: [</w:t>
      </w:r>
      <w:r>
        <w:rPr>
          <w:sz w:val="20"/>
          <w:szCs w:val="20"/>
          <w:color w:val="auto"/>
        </w:rPr>
        <w:tab/>
      </w:r>
      <w:r>
        <w:rPr>
          <w:rFonts w:ascii="Arial" w:cs="Arial" w:eastAsia="Arial" w:hAnsi="Arial"/>
          <w:sz w:val="17"/>
          <w:szCs w:val="17"/>
          <w:color w:val="auto"/>
        </w:rPr>
        <w:t>]](9)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 43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Facsimile: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Regeneron Pharmaceuticals,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Reference is hereby made to the Credit Agreement dated as of December 14, 2018 (as the same may be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Subsidiary Borrowers from time to time party thereto, the Lenders from time to time party thereto and JPMorgan Chase Bank, N.A., as administrative agent (in such capacity,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Capitalized terms used but not defined herein shall have the meanings assigned to such terms in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THE FOLLOWING FOR A REVOLVING LOAN REQUESTED UNDER SECTION 2.03:]</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[undersigned Subsidiary Borrower and the] Company hereby give[s] you notice pursuant to Section 2.03 of the Credit Agreement that a Borrowing is being requested under the Credit Agreement, and in that connection the following information is being provided with respect to such Borrowing requested hereby:</w:t>
      </w:r>
    </w:p>
    <w:p>
      <w:pPr>
        <w:spacing w:after="0" w:line="181"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Name of Borrower: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Aggregate principal amount of Borrowing:(10)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Date of Borrowing (which shall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20" w:firstLine="8"/>
        <w:spacing w:after="0" w:line="258" w:lineRule="auto"/>
        <w:tabs>
          <w:tab w:leader="none" w:pos="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request is in respect of Revolving Loans in a Foreign Currency or a Designated Loan, please replace this address with the London address from Section 9.01(a)(ii).</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 less than applicable amounts specified in Section 2.02(c).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9" w:name="page170"/>
    <w:bookmarkEnd w:id="169"/>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Type of Borrowing (ABR(11) or Eurocurrency):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Interest Period and the last day thereof (if a Eurocurrency Borrowing):(12)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Agreed Currency:</w:t>
      </w:r>
    </w:p>
    <w:p>
      <w:pPr>
        <w:spacing w:after="0" w:line="225"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Location and number of the applicable Borrower’s account or any other account reasonably acceptable to the Administrative Agent to which proceeds of Borrowing are to be disbursed:</w:t>
      </w:r>
    </w:p>
    <w:p>
      <w:pPr>
        <w:spacing w:after="0" w:line="3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undersigned hereby represents and warrants that the conditions to credit extensions specified in Section 4.02 of the Credit Agreement are satisfied as of the date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THE FOLLOWING FOR A SWINGLINE LOAN REQUESTED UNDER SECTION 2.05:]</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[undersigned Subsidiary Borrower and the] Company hereby give[s] you notice pursuant to Section 2.05 of the Credit Agreement that a Swingline Loan in Dollars is being requested under the Credit Agreement, and in that connection the following information is being provided with respect to such Borrowing requested hereby:</w:t>
      </w:r>
    </w:p>
    <w:p>
      <w:pPr>
        <w:spacing w:after="0" w:line="181"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Name of Borrower: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Aggregate principal amount of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Date of Borrowing (which shall be a Business Day):</w:t>
      </w:r>
    </w:p>
    <w:p>
      <w:pPr>
        <w:spacing w:after="0" w:line="225"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Location and number of the applicable Borrower’s account or any other account reasonably acceptable to the Administrative Agent to which proceeds of Borrowing are to be disbursed:</w:t>
      </w:r>
    </w:p>
    <w:p>
      <w:pPr>
        <w:spacing w:after="0" w:line="38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Delivery of an executed signature page to this Borrowing Request by telecopy, e-mailed .pdf or any other electronic means that reproduces an image of the actual executed signature page shall be effective as delivery of a manually executed signature page to this Borrowing Request.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hereby represents and warrants that the conditions to credit extensions specified in Section 4.02 of the Credit Agreement are satisfied as of the date 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ABR should not be selected for a Designated Loan (a Revolving Loan denominated in Dollars to a Designated Foreign Subsidiary Borrower).</w:t>
      </w:r>
    </w:p>
    <w:p>
      <w:pPr>
        <w:spacing w:after="0" w:line="34" w:lineRule="exact"/>
        <w:rPr>
          <w:rFonts w:ascii="Arial" w:cs="Arial" w:eastAsia="Arial" w:hAnsi="Arial"/>
          <w:sz w:val="17"/>
          <w:szCs w:val="17"/>
          <w:color w:val="auto"/>
        </w:rPr>
      </w:pPr>
    </w:p>
    <w:p>
      <w:pPr>
        <w:ind w:left="400" w:hanging="392"/>
        <w:spacing w:after="0"/>
        <w:tabs>
          <w:tab w:leader="none" w:pos="4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Which must comply with the definition of “Interest Period” and end not later than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0" w:name="page171"/>
    <w:bookmarkEnd w:id="170"/>
    <w:p>
      <w:pPr>
        <w:ind w:firstLine="648"/>
        <w:spacing w:after="0" w:line="277" w:lineRule="auto"/>
        <w:rPr>
          <w:sz w:val="20"/>
          <w:szCs w:val="20"/>
          <w:color w:val="auto"/>
        </w:rPr>
      </w:pPr>
      <w:r>
        <w:rPr>
          <w:rFonts w:ascii="Arial" w:cs="Arial" w:eastAsia="Arial" w:hAnsi="Arial"/>
          <w:sz w:val="18"/>
          <w:szCs w:val="18"/>
          <w:color w:val="auto"/>
        </w:rPr>
        <w:t>IN WITNESS WHEREOF, the undersigned has caused this Borrowing Request to be duly executed by an authorized officer or other authorized signatory as of the date first appearing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INC.][SUBSIDIARY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 Additional signature of the Company to be included if Borrowing Request is made by a Subsidiary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color w:val="auto"/>
        </w:rPr>
        <w:t>EXHIBIT H-2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INTEREST ELECTION REQUEST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Floor L2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Attention: [</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6"/>
              </w:rPr>
              <w:t>Facsimile: ([</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 [ ]-[</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Regeneron Pharmaceuticals,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Reference is hereby made to the Credit Agreement dated as of December 14, 2018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but not defined herein shall have the meanings assigned to such terms in the Credit Agreement. The undersigned Borrower hereby gives you notice pursuant to Section 2.08 of the Credit Agreement that it requests to [convert][continue] an existing Borrowing under the Credit Agreement, and in that connection the undersigned Borrower specifies the following information with respect to such [conversion][continuation] requested hereby:</w:t>
      </w:r>
    </w:p>
    <w:p>
      <w:pPr>
        <w:spacing w:after="0" w:line="189"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List Borrower, date, Type, principal amount, Agreed Currency and Interest Period (if applicable) of existing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Aggregate principal amount of resulting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Effective date of interest election (which shall be a Business Day):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Type of Borrowing (ABR or Eurocurrency):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Interest Period and the last day thereof (if a Eurocurrency Borrowing):(2)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Agreed Currency:</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Delivery of an executed signature page to this Interest Election Request by telecopy, e-mailed .pdf or any other electronic means that reproduces an image of the actual executed signature page shall be effective as delivery of a manually executed signature page to this Interest Election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right="620" w:firstLine="8"/>
        <w:spacing w:after="0" w:line="258" w:lineRule="auto"/>
        <w:tabs>
          <w:tab w:leader="none" w:pos="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request is in respect of Revolving Loans in a Foreign Currency or a Designated Loan, please replace this address with the London address from Section 9.01(a)(ii).</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Which must comply with the definition of “Interest Period” and end not later than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73" w:name="page174"/>
    <w:bookmarkEnd w:id="173"/>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the 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[SUBSIDIARY BORROWER,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NOTE</w:t>
      </w:r>
    </w:p>
    <w:p>
      <w:pPr>
        <w:sectPr>
          <w:pgSz w:w="11900" w:h="16838" w:orient="portrait"/>
          <w:cols w:equalWidth="0" w:num="1">
            <w:col w:w="11420"/>
          </w:cols>
          <w:pgMar w:left="240" w:top="342" w:right="239" w:bottom="1440" w:gutter="0" w:footer="0" w:header="0"/>
        </w:sectPr>
      </w:pPr>
    </w:p>
    <w:p>
      <w:pPr>
        <w:spacing w:after="0" w:line="222" w:lineRule="exact"/>
        <w:rPr>
          <w:sz w:val="20"/>
          <w:szCs w:val="20"/>
          <w:color w:val="auto"/>
        </w:rPr>
      </w:pPr>
    </w:p>
    <w:p>
      <w:pPr>
        <w:ind w:left="10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222" w:lineRule="exact"/>
        <w:rPr>
          <w:sz w:val="20"/>
          <w:szCs w:val="20"/>
          <w:color w:val="auto"/>
        </w:rPr>
      </w:pPr>
    </w:p>
    <w:p>
      <w:pPr>
        <w:sectPr>
          <w:pgSz w:w="11900" w:h="16838" w:orient="portrait"/>
          <w:cols w:equalWidth="0" w:num="2">
            <w:col w:w="10680" w:space="240"/>
            <w:col w:w="500"/>
          </w:cols>
          <w:pgMar w:left="240" w:top="342" w:right="239" w:bottom="1440" w:gutter="0" w:footer="0" w:header="0"/>
          <w:type w:val="continuous"/>
        </w:sectPr>
      </w:pPr>
    </w:p>
    <w:p>
      <w:pPr>
        <w:spacing w:after="0" w:line="25" w:lineRule="exact"/>
        <w:rPr>
          <w:sz w:val="20"/>
          <w:szCs w:val="20"/>
          <w:color w:val="auto"/>
        </w:rPr>
      </w:pPr>
    </w:p>
    <w:p>
      <w:pPr>
        <w:ind w:left="660"/>
        <w:spacing w:after="0"/>
        <w:tabs>
          <w:tab w:leader="none" w:pos="10360" w:val="left"/>
        </w:tabs>
        <w:rPr>
          <w:sz w:val="20"/>
          <w:szCs w:val="20"/>
          <w:color w:val="auto"/>
        </w:rPr>
      </w:pPr>
      <w:r>
        <w:rPr>
          <w:rFonts w:ascii="Arial" w:cs="Arial" w:eastAsia="Arial" w:hAnsi="Arial"/>
          <w:sz w:val="18"/>
          <w:szCs w:val="18"/>
          <w:color w:val="auto"/>
        </w:rPr>
        <w:t>FOR VALUE RECEIVED, the undersigned, [REGENERON PHARMACEUTICALS, INC.][SUBSIDIARY BORROWER], a [</w:t>
      </w:r>
      <w:r>
        <w:rPr>
          <w:sz w:val="20"/>
          <w:szCs w:val="20"/>
          <w:color w:val="auto"/>
        </w:rPr>
        <w:tab/>
      </w:r>
      <w:r>
        <w:rPr>
          <w:rFonts w:ascii="Arial" w:cs="Arial" w:eastAsia="Arial" w:hAnsi="Arial"/>
          <w:sz w:val="16"/>
          <w:szCs w:val="16"/>
          <w:color w:val="auto"/>
        </w:rPr>
        <w:t>] (the</w:t>
      </w:r>
    </w:p>
    <w:p>
      <w:pPr>
        <w:sectPr>
          <w:pgSz w:w="11900" w:h="16838" w:orient="portrait"/>
          <w:cols w:equalWidth="0" w:num="1">
            <w:col w:w="11420"/>
          </w:cols>
          <w:pgMar w:left="240" w:top="342" w:right="239" w:bottom="1440" w:gutter="0" w:footer="0" w:header="0"/>
          <w:type w:val="continuous"/>
        </w:sectPr>
      </w:pP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HEREBY UNCONDITIONALLY PROMISES TO PAY to [NAME OF LENDER] or its registered assigns (the “</w:t>
      </w:r>
      <w:r>
        <w:rPr>
          <w:rFonts w:ascii="Arial" w:cs="Arial" w:eastAsia="Arial" w:hAnsi="Arial"/>
          <w:sz w:val="18"/>
          <w:szCs w:val="18"/>
          <w:u w:val="single" w:color="auto"/>
          <w:color w:val="auto"/>
        </w:rPr>
        <w:t>Lender</w:t>
      </w:r>
      <w:r>
        <w:rPr>
          <w:rFonts w:ascii="Arial" w:cs="Arial" w:eastAsia="Arial" w:hAnsi="Arial"/>
          <w:sz w:val="18"/>
          <w:szCs w:val="18"/>
          <w:color w:val="auto"/>
        </w:rPr>
        <w:t>”) the aggregate unpaid Dollar Amount of all Loans made by the Lender to the Borrower pursuant to the “Credit Agreement” (as defined below) on the Maturity Date or on such earlier date as may be required by the terms of the Credit Agreement. Capitalized terms used herein and not otherwise defined herein are as defined in the Credit Agreement.</w:t>
      </w:r>
    </w:p>
    <w:p>
      <w:pPr>
        <w:spacing w:after="0" w:line="19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undersigned Borrower promises to pay interest on the unpaid principal amount of each Loan made to it from the date of such Loan until such principal amount is paid in full at a rate or rates per annum determined in accordance with the terms of the Credit Agreement. Interest hereunder is due and payable at such times and on such dates as set forth in the Credit Agreement.</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At the time of each Loan, and upon each payment or prepayment of principal of each Loan, the Lender shall make a notation either on the schedule attached hereto and made a part hereof, or in such Lender’s own books and records, in each case specifying the amount of such Loan, the respective Interest Period thereof (in the case of Eurocurrency Loans) or the amount of principal paid or prepaid with respect to such Loan,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Lender to make any such recordation or notation shall not affect the Obligations of the undersigned Borrower hereunder or under the Credit Agreement.</w:t>
      </w:r>
    </w:p>
    <w:p>
      <w:pPr>
        <w:spacing w:after="0" w:line="188"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This Note is one of the notes referred to in, and is entitled to the benefits of, that certain Credit Agreement dated as of December 14, 2018 by and among the Borrower, [the Company, the other][the] Subsidiary Borrowers from time to time parties thereto, the financial institutions from time to time parties thereto as Lenders and JPMorgan Chase Bank, N.A., as Administrative Agent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among other things, (i) provides for the making of Loans by the Lender to the Borrower from time to time in an aggregate amount not to exceed at any time outstanding the Dollar Amount of such Lender’s Commitment, the indebtedness of the Borrower resulting from each such Loan to it being evidenced by this Note, and (ii) contains provisions for acceleration of the maturity hereof upon the happening of certain stated events and also for prepayments of the principal hereof prior to the maturity hereof upon the terms and conditions therein specified.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Demand, presentment, protest and notice of nonpayment and protest are hereby waived by the Borrower.</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Whenever in this Note reference is made to the Administrative Agent, the Lender or the Borrower, such reference shall be deemed to include, as applicable, a reference to their respective successors and permitted assigns. The provisions of this Note shall be binding upon and shall inure to the benefit of said successors and assigns. The Borrower’s successors and assigns shall include, without limitation, a receiver, trustee or debtor in possession of or for the Borrower.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Note shall be construed in accordance with and governed by the law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175" w:name="page176"/>
    <w:bookmarkEnd w:id="175"/>
    <w:p>
      <w:pPr>
        <w:ind w:left="4520"/>
        <w:spacing w:after="0" w:line="277" w:lineRule="auto"/>
        <w:rPr>
          <w:sz w:val="20"/>
          <w:szCs w:val="20"/>
          <w:color w:val="auto"/>
        </w:rPr>
      </w:pPr>
      <w:r>
        <w:rPr>
          <w:rFonts w:ascii="Arial" w:cs="Arial" w:eastAsia="Arial" w:hAnsi="Arial"/>
          <w:sz w:val="18"/>
          <w:szCs w:val="18"/>
          <w:color w:val="auto"/>
        </w:rPr>
        <w:t>[REGENERON PHARMACEUTICALS, INC.][SUBSIDIARY BORROWER]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20"/>
          </w:cols>
          <w:pgMar w:left="1440" w:top="341" w:right="1339" w:bottom="1440" w:gutter="0" w:footer="0" w:header="0"/>
        </w:sectPr>
      </w:pPr>
    </w:p>
    <w:bookmarkStart w:id="176" w:name="page177"/>
    <w:bookmarkEnd w:id="176"/>
    <w:p>
      <w:pPr>
        <w:jc w:val="center"/>
        <w:ind w:right="40"/>
        <w:spacing w:after="0"/>
        <w:rPr>
          <w:sz w:val="20"/>
          <w:szCs w:val="20"/>
          <w:color w:val="auto"/>
        </w:rPr>
      </w:pPr>
      <w:r>
        <w:rPr>
          <w:rFonts w:ascii="Arial" w:cs="Arial" w:eastAsia="Arial" w:hAnsi="Arial"/>
          <w:sz w:val="18"/>
          <w:szCs w:val="18"/>
          <w:color w:val="auto"/>
        </w:rPr>
        <w:t>SCHEDULE OF LOANS AND PAYMENTS OR PREPAYMENTS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Unpaid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w:t>
            </w: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580" w:type="dxa"/>
            <w:vAlign w:val="bottom"/>
            <w:gridSpan w:val="2"/>
            <w:vMerge w:val="continue"/>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Notation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6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Paid or</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Loan</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Loan Currency</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Period/Rate</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Prepaid</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Balance</w:t>
            </w: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Made By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lowerRoman"/>
      <w:start w:val="2"/>
    </w:lvl>
  </w:abstractNum>
  <w:abstractNum w:abstractNumId="1">
    <w:nsid w:val="26F324BA"/>
    <w:multiLevelType w:val="hybridMultilevel"/>
    <w:lvl w:ilvl="0">
      <w:lvlJc w:val="left"/>
      <w:lvlText w:val="(%1)"/>
      <w:numFmt w:val="lowerRoman"/>
      <w:start w:val="4"/>
    </w:lvl>
  </w:abstractNum>
  <w:abstractNum w:abstractNumId="2">
    <w:nsid w:val="7F01579B"/>
    <w:multiLevelType w:val="hybridMultilevel"/>
    <w:lvl w:ilvl="0">
      <w:lvlJc w:val="left"/>
      <w:lvlText w:val="(%1)"/>
      <w:numFmt w:val="lowerLetter"/>
      <w:start w:val="3"/>
    </w:lvl>
  </w:abstractNum>
  <w:abstractNum w:abstractNumId="3">
    <w:nsid w:val="49DA307D"/>
    <w:multiLevelType w:val="hybridMultilevel"/>
    <w:lvl w:ilvl="0">
      <w:lvlJc w:val="left"/>
      <w:lvlText w:val="(%1)"/>
      <w:numFmt w:val="lowerRoman"/>
      <w:start w:val="4"/>
    </w:lvl>
  </w:abstractNum>
  <w:abstractNum w:abstractNumId="4">
    <w:nsid w:val="7055A5F5"/>
    <w:multiLevelType w:val="hybridMultilevel"/>
    <w:lvl w:ilvl="0">
      <w:lvlJc w:val="left"/>
      <w:lvlText w:val="(%1)"/>
      <w:numFmt w:val="lowerRoman"/>
      <w:start w:val="14"/>
    </w:lvl>
  </w:abstractNum>
  <w:abstractNum w:abstractNumId="5">
    <w:nsid w:val="5FB8370B"/>
    <w:multiLevelType w:val="hybridMultilevel"/>
    <w:lvl w:ilvl="0">
      <w:lvlJc w:val="left"/>
      <w:lvlText w:val="(%1)"/>
      <w:numFmt w:val="lowerRoman"/>
      <w:start w:val="16"/>
    </w:lvl>
  </w:abstractNum>
  <w:abstractNum w:abstractNumId="6">
    <w:nsid w:val="50801EE1"/>
    <w:multiLevelType w:val="hybridMultilevel"/>
    <w:lvl w:ilvl="0">
      <w:lvlJc w:val="left"/>
      <w:lvlText w:val="(%1)"/>
      <w:numFmt w:val="lowerRoman"/>
      <w:start w:val="1"/>
    </w:lvl>
  </w:abstractNum>
  <w:abstractNum w:abstractNumId="7">
    <w:nsid w:val="488AC1A"/>
    <w:multiLevelType w:val="hybridMultilevel"/>
    <w:lvl w:ilvl="0">
      <w:lvlJc w:val="left"/>
      <w:lvlText w:val="(%1)"/>
      <w:numFmt w:val="lowerRoman"/>
      <w:start w:val="1"/>
    </w:lvl>
  </w:abstractNum>
  <w:abstractNum w:abstractNumId="8">
    <w:nsid w:val="5FB8011C"/>
    <w:multiLevelType w:val="hybridMultilevel"/>
    <w:lvl w:ilvl="0">
      <w:lvlJc w:val="left"/>
      <w:lvlText w:val="(%1)"/>
      <w:numFmt w:val="lowerLetter"/>
      <w:start w:val="1"/>
    </w:lvl>
  </w:abstractNum>
  <w:abstractNum w:abstractNumId="9">
    <w:nsid w:val="6AA78F7F"/>
    <w:multiLevelType w:val="hybridMultilevel"/>
    <w:lvl w:ilvl="0">
      <w:lvlJc w:val="left"/>
      <w:lvlText w:val="(%1)"/>
      <w:numFmt w:val="lowerRoman"/>
      <w:start w:val="1"/>
    </w:lvl>
  </w:abstractNum>
  <w:abstractNum w:abstractNumId="10">
    <w:nsid w:val="7672BD23"/>
    <w:multiLevelType w:val="hybridMultilevel"/>
    <w:lvl w:ilvl="0">
      <w:lvlJc w:val="left"/>
      <w:lvlText w:val="(%1)"/>
      <w:numFmt w:val="lowerLetter"/>
      <w:start w:val="4"/>
    </w:lvl>
  </w:abstractNum>
  <w:abstractNum w:abstractNumId="11">
    <w:nsid w:val="6FC75AF8"/>
    <w:multiLevelType w:val="hybridMultilevel"/>
    <w:lvl w:ilvl="0">
      <w:lvlJc w:val="left"/>
      <w:lvlText w:val="(%1)"/>
      <w:numFmt w:val="lowerLetter"/>
      <w:start w:val="61"/>
    </w:lvl>
  </w:abstractNum>
  <w:abstractNum w:abstractNumId="12">
    <w:nsid w:val="6A5F7029"/>
    <w:multiLevelType w:val="hybridMultilevel"/>
    <w:lvl w:ilvl="0">
      <w:lvlJc w:val="left"/>
      <w:lvlText w:val="(%1)"/>
      <w:numFmt w:val="decimal"/>
      <w:start w:val="3"/>
    </w:lvl>
  </w:abstractNum>
  <w:abstractNum w:abstractNumId="13">
    <w:nsid w:val="7D5E18F8"/>
    <w:multiLevelType w:val="hybridMultilevel"/>
    <w:lvl w:ilvl="0">
      <w:lvlJc w:val="left"/>
      <w:lvlText w:val="(%1)"/>
      <w:numFmt w:val="lowerLetter"/>
      <w:start w:val="1"/>
    </w:lvl>
  </w:abstractNum>
  <w:abstractNum w:abstractNumId="14">
    <w:nsid w:val="5F3534A4"/>
    <w:multiLevelType w:val="hybridMultilevel"/>
    <w:lvl w:ilvl="0">
      <w:lvlJc w:val="left"/>
      <w:lvlText w:val="(%1)"/>
      <w:numFmt w:val="lowerLetter"/>
      <w:start w:val="11"/>
    </w:lvl>
  </w:abstractNum>
  <w:abstractNum w:abstractNumId="15">
    <w:nsid w:val="73A1821B"/>
    <w:multiLevelType w:val="hybridMultilevel"/>
    <w:lvl w:ilvl="0">
      <w:lvlJc w:val="left"/>
      <w:lvlText w:val="(%1)"/>
      <w:numFmt w:val="lowerLetter"/>
      <w:start w:val="12"/>
    </w:lvl>
  </w:abstractNum>
  <w:abstractNum w:abstractNumId="16">
    <w:nsid w:val="7DE67713"/>
    <w:multiLevelType w:val="hybridMultilevel"/>
    <w:lvl w:ilvl="0">
      <w:lvlJc w:val="left"/>
      <w:lvlText w:val="(%1)"/>
      <w:numFmt w:val="lowerRoman"/>
      <w:start w:val="1"/>
    </w:lvl>
  </w:abstractNum>
  <w:abstractNum w:abstractNumId="17">
    <w:nsid w:val="555C55B5"/>
    <w:multiLevelType w:val="hybridMultilevel"/>
    <w:lvl w:ilvl="0">
      <w:lvlJc w:val="left"/>
      <w:lvlText w:val="(%1)"/>
      <w:numFmt w:val="lowerLetter"/>
      <w:start w:val="2"/>
    </w:lvl>
  </w:abstractNum>
  <w:abstractNum w:abstractNumId="18">
    <w:nsid w:val="3FA62ACA"/>
    <w:multiLevelType w:val="hybridMultilevel"/>
    <w:lvl w:ilvl="0">
      <w:lvlJc w:val="left"/>
      <w:lvlText w:val="(%1)"/>
      <w:numFmt w:val="lowerLetter"/>
      <w:start w:val="1"/>
    </w:lvl>
  </w:abstractNum>
  <w:abstractNum w:abstractNumId="19">
    <w:nsid w:val="14FCE74E"/>
    <w:multiLevelType w:val="hybridMultilevel"/>
    <w:lvl w:ilvl="0">
      <w:lvlJc w:val="left"/>
      <w:lvlText w:val="(%1)"/>
      <w:numFmt w:val="lowerLetter"/>
      <w:start w:val="2"/>
    </w:lvl>
  </w:abstractNum>
  <w:abstractNum w:abstractNumId="20">
    <w:nsid w:val="6A3DD3E8"/>
    <w:multiLevelType w:val="hybridMultilevel"/>
    <w:lvl w:ilvl="0">
      <w:lvlJc w:val="left"/>
      <w:lvlText w:val="(%1)"/>
      <w:numFmt w:val="lowerLetter"/>
      <w:start w:val="3"/>
    </w:lvl>
  </w:abstractNum>
  <w:abstractNum w:abstractNumId="21">
    <w:nsid w:val="71C91298"/>
    <w:multiLevelType w:val="hybridMultilevel"/>
    <w:lvl w:ilvl="0">
      <w:lvlJc w:val="left"/>
      <w:lvlText w:val="(%1)"/>
      <w:numFmt w:val="lowerRoman"/>
      <w:start w:val="1"/>
    </w:lvl>
  </w:abstractNum>
  <w:abstractNum w:abstractNumId="22">
    <w:nsid w:val="9DAF632"/>
    <w:multiLevelType w:val="hybridMultilevel"/>
    <w:lvl w:ilvl="0">
      <w:lvlJc w:val="left"/>
      <w:lvlText w:val="(%1)"/>
      <w:numFmt w:val="lowerRoman"/>
      <w:start w:val="4"/>
    </w:lvl>
  </w:abstractNum>
  <w:abstractNum w:abstractNumId="23">
    <w:nsid w:val="53299938"/>
    <w:multiLevelType w:val="hybridMultilevel"/>
    <w:lvl w:ilvl="0">
      <w:lvlJc w:val="left"/>
      <w:lvlText w:val="(%1)"/>
      <w:numFmt w:val="lowerLetter"/>
      <w:start w:val="1"/>
    </w:lvl>
  </w:abstractNum>
  <w:abstractNum w:abstractNumId="24">
    <w:nsid w:val="1FBFE8E0"/>
    <w:multiLevelType w:val="hybridMultilevel"/>
    <w:lvl w:ilvl="0">
      <w:lvlJc w:val="left"/>
      <w:lvlText w:val="(%1)"/>
      <w:numFmt w:val="lowerLetter"/>
      <w:start w:val="2"/>
    </w:lvl>
  </w:abstractNum>
  <w:abstractNum w:abstractNumId="25">
    <w:nsid w:val="5092CA79"/>
    <w:multiLevelType w:val="hybridMultilevel"/>
    <w:lvl w:ilvl="0">
      <w:lvlJc w:val="left"/>
      <w:lvlText w:val="(%1)"/>
      <w:numFmt w:val="lowerLetter"/>
      <w:start w:val="3"/>
    </w:lvl>
  </w:abstractNum>
  <w:abstractNum w:abstractNumId="26">
    <w:nsid w:val="1D545C4D"/>
    <w:multiLevelType w:val="hybridMultilevel"/>
    <w:lvl w:ilvl="0">
      <w:lvlJc w:val="left"/>
      <w:lvlText w:val="(%1)"/>
      <w:numFmt w:val="lowerLetter"/>
      <w:start w:val="4"/>
    </w:lvl>
  </w:abstractNum>
  <w:abstractNum w:abstractNumId="27">
    <w:nsid w:val="59ADEA3D"/>
    <w:multiLevelType w:val="hybridMultilevel"/>
    <w:lvl w:ilvl="0">
      <w:lvlJc w:val="left"/>
      <w:lvlText w:val="(%1)"/>
      <w:numFmt w:val="lowerLetter"/>
      <w:start w:val="2"/>
    </w:lvl>
  </w:abstractNum>
  <w:abstractNum w:abstractNumId="28">
    <w:nsid w:val="288F1A34"/>
    <w:multiLevelType w:val="hybridMultilevel"/>
    <w:lvl w:ilvl="0">
      <w:lvlJc w:val="left"/>
      <w:lvlText w:val="(%1)"/>
      <w:numFmt w:val="lowerLetter"/>
      <w:start w:val="3"/>
    </w:lvl>
  </w:abstractNum>
  <w:abstractNum w:abstractNumId="29">
    <w:nsid w:val="2A155DBC"/>
    <w:multiLevelType w:val="hybridMultilevel"/>
    <w:lvl w:ilvl="0">
      <w:lvlJc w:val="left"/>
      <w:lvlText w:val="(%1)"/>
      <w:numFmt w:val="lowerLetter"/>
      <w:start w:val="5"/>
    </w:lvl>
  </w:abstractNum>
  <w:abstractNum w:abstractNumId="30">
    <w:nsid w:val="1D9F6E5F"/>
    <w:multiLevelType w:val="hybridMultilevel"/>
    <w:lvl w:ilvl="0">
      <w:lvlJc w:val="left"/>
      <w:lvlText w:val="(%1)"/>
      <w:numFmt w:val="lowerLetter"/>
      <w:start w:val="7"/>
    </w:lvl>
  </w:abstractNum>
  <w:abstractNum w:abstractNumId="31">
    <w:nsid w:val="97E1B4E"/>
    <w:multiLevelType w:val="hybridMultilevel"/>
    <w:lvl w:ilvl="0">
      <w:lvlJc w:val="left"/>
      <w:lvlText w:val="%1"/>
      <w:numFmt w:val="lowerLetter"/>
      <w:start w:val="1"/>
    </w:lvl>
    <w:lvl w:ilvl="1">
      <w:lvlJc w:val="left"/>
      <w:lvlText w:val="(%2)"/>
      <w:numFmt w:val="upperLetter"/>
      <w:start w:val="2"/>
    </w:lvl>
  </w:abstractNum>
  <w:abstractNum w:abstractNumId="32">
    <w:nsid w:val="51088277"/>
    <w:multiLevelType w:val="hybridMultilevel"/>
    <w:lvl w:ilvl="0">
      <w:lvlJc w:val="left"/>
      <w:lvlText w:val="(%1)"/>
      <w:numFmt w:val="lowerLetter"/>
      <w:start w:val="10"/>
    </w:lvl>
    <w:lvl w:ilvl="1">
      <w:lvlJc w:val="left"/>
      <w:lvlText w:val="%2"/>
      <w:numFmt w:val="upperLetter"/>
      <w:start w:val="1"/>
    </w:lvl>
  </w:abstractNum>
  <w:abstractNum w:abstractNumId="33">
    <w:nsid w:val="1CA0C5FA"/>
    <w:multiLevelType w:val="hybridMultilevel"/>
    <w:lvl w:ilvl="0">
      <w:lvlJc w:val="left"/>
      <w:lvlText w:val="(%1)"/>
      <w:numFmt w:val="lowerLetter"/>
      <w:start w:val="11"/>
    </w:lvl>
  </w:abstractNum>
  <w:abstractNum w:abstractNumId="34">
    <w:nsid w:val="53584BCB"/>
    <w:multiLevelType w:val="hybridMultilevel"/>
    <w:lvl w:ilvl="0">
      <w:lvlJc w:val="left"/>
      <w:lvlText w:val="(%1)"/>
      <w:numFmt w:val="lowerLetter"/>
      <w:start w:val="2"/>
    </w:lvl>
  </w:abstractNum>
  <w:abstractNum w:abstractNumId="35">
    <w:nsid w:val="415E286C"/>
    <w:multiLevelType w:val="hybridMultilevel"/>
    <w:lvl w:ilvl="0">
      <w:lvlJc w:val="left"/>
      <w:lvlText w:val="%1"/>
      <w:numFmt w:val="lowerLetter"/>
      <w:start w:val="1"/>
    </w:lvl>
    <w:lvl w:ilvl="1">
      <w:lvlJc w:val="left"/>
      <w:lvlText w:val="(%2)"/>
      <w:numFmt w:val="lowerLetter"/>
      <w:start w:val="2"/>
    </w:lvl>
  </w:abstractNum>
  <w:abstractNum w:abstractNumId="36">
    <w:nsid w:val="7C58FD05"/>
    <w:multiLevelType w:val="hybridMultilevel"/>
    <w:lvl w:ilvl="0">
      <w:lvlJc w:val="left"/>
      <w:lvlText w:val="(%1)"/>
      <w:numFmt w:val="lowerLetter"/>
      <w:start w:val="9"/>
    </w:lvl>
    <w:lvl w:ilvl="1">
      <w:lvlJc w:val="left"/>
      <w:lvlText w:val="%2"/>
      <w:numFmt w:val="lowerLetter"/>
      <w:start w:val="1"/>
    </w:lvl>
  </w:abstractNum>
  <w:abstractNum w:abstractNumId="37">
    <w:nsid w:val="23D86AAC"/>
    <w:multiLevelType w:val="hybridMultilevel"/>
    <w:lvl w:ilvl="0">
      <w:lvlJc w:val="left"/>
      <w:lvlText w:val="(%1)"/>
      <w:numFmt w:val="lowerLetter"/>
      <w:start w:val="61"/>
    </w:lvl>
    <w:lvl w:ilvl="1">
      <w:lvlJc w:val="left"/>
      <w:lvlText w:val="(%2)"/>
      <w:numFmt w:val="lowerLetter"/>
      <w:start w:val="3"/>
    </w:lvl>
  </w:abstractNum>
  <w:abstractNum w:abstractNumId="38">
    <w:nsid w:val="45E6D486"/>
    <w:multiLevelType w:val="hybridMultilevel"/>
    <w:lvl w:ilvl="0">
      <w:lvlJc w:val="left"/>
      <w:lvlText w:val="(%1)"/>
      <w:numFmt w:val="lowerRoman"/>
      <w:start w:val="1"/>
    </w:lvl>
  </w:abstractNum>
  <w:abstractNum w:abstractNumId="39">
    <w:nsid w:val="5C10FE21"/>
    <w:multiLevelType w:val="hybridMultilevel"/>
    <w:lvl w:ilvl="0">
      <w:lvlJc w:val="left"/>
      <w:lvlText w:val="(%1)"/>
      <w:numFmt w:val="lowerRoman"/>
      <w:start w:val="2"/>
    </w:lvl>
  </w:abstractNum>
  <w:abstractNum w:abstractNumId="40">
    <w:nsid w:val="E7FFA2B"/>
    <w:multiLevelType w:val="hybridMultilevel"/>
    <w:lvl w:ilvl="0">
      <w:lvlJc w:val="left"/>
      <w:lvlText w:val="(%1)"/>
      <w:numFmt w:val="lowerLetter"/>
      <w:start w:val="4"/>
    </w:lvl>
  </w:abstractNum>
  <w:abstractNum w:abstractNumId="41">
    <w:nsid w:val="3C5991AA"/>
    <w:multiLevelType w:val="hybridMultilevel"/>
    <w:lvl w:ilvl="0">
      <w:lvlJc w:val="left"/>
      <w:lvlText w:val="(%1)"/>
      <w:numFmt w:val="lowerLetter"/>
      <w:start w:val="2"/>
    </w:lvl>
  </w:abstractNum>
  <w:abstractNum w:abstractNumId="42">
    <w:nsid w:val="4BD8591A"/>
    <w:multiLevelType w:val="hybridMultilevel"/>
    <w:lvl w:ilvl="0">
      <w:lvlJc w:val="left"/>
      <w:lvlText w:val="(%1)"/>
      <w:numFmt w:val="lowerLetter"/>
      <w:start w:val="3"/>
    </w:lvl>
  </w:abstractNum>
  <w:abstractNum w:abstractNumId="43">
    <w:nsid w:val="78DF6A55"/>
    <w:multiLevelType w:val="hybridMultilevel"/>
    <w:lvl w:ilvl="0">
      <w:lvlJc w:val="left"/>
      <w:lvlText w:val="(%1)"/>
      <w:numFmt w:val="lowerLetter"/>
      <w:start w:val="2"/>
    </w:lvl>
  </w:abstractNum>
  <w:abstractNum w:abstractNumId="44">
    <w:nsid w:val="39B7AAA2"/>
    <w:multiLevelType w:val="hybridMultilevel"/>
    <w:lvl w:ilvl="0">
      <w:lvlJc w:val="left"/>
      <w:lvlText w:val="%1"/>
      <w:numFmt w:val="lowerLetter"/>
      <w:start w:val="1"/>
    </w:lvl>
    <w:lvl w:ilvl="1">
      <w:lvlJc w:val="left"/>
      <w:lvlText w:val="(%2)"/>
      <w:numFmt w:val="lowerLetter"/>
      <w:start w:val="1"/>
    </w:lvl>
  </w:abstractNum>
  <w:abstractNum w:abstractNumId="45">
    <w:nsid w:val="2B0D8DBE"/>
    <w:multiLevelType w:val="hybridMultilevel"/>
    <w:lvl w:ilvl="0">
      <w:lvlJc w:val="left"/>
      <w:lvlText w:val="(%1)"/>
      <w:numFmt w:val="lowerLetter"/>
      <w:start w:val="35"/>
    </w:lvl>
    <w:lvl w:ilvl="1">
      <w:lvlJc w:val="left"/>
      <w:lvlText w:val="(%2)"/>
      <w:numFmt w:val="lowerLetter"/>
      <w:start w:val="2"/>
    </w:lvl>
  </w:abstractNum>
  <w:abstractNum w:abstractNumId="46">
    <w:nsid w:val="6C80EC70"/>
    <w:multiLevelType w:val="hybridMultilevel"/>
    <w:lvl w:ilvl="0">
      <w:lvlJc w:val="left"/>
      <w:lvlText w:val="(%1)"/>
      <w:numFmt w:val="lowerLetter"/>
      <w:start w:val="2"/>
    </w:lvl>
  </w:abstractNum>
  <w:abstractNum w:abstractNumId="47">
    <w:nsid w:val="379E21B5"/>
    <w:multiLevelType w:val="hybridMultilevel"/>
    <w:lvl w:ilvl="0">
      <w:lvlJc w:val="left"/>
      <w:lvlText w:val="(%1)"/>
      <w:numFmt w:val="lowerLetter"/>
      <w:start w:val="2"/>
    </w:lvl>
  </w:abstractNum>
  <w:abstractNum w:abstractNumId="48">
    <w:nsid w:val="69E373"/>
    <w:multiLevelType w:val="hybridMultilevel"/>
    <w:lvl w:ilvl="0">
      <w:lvlJc w:val="left"/>
      <w:lvlText w:val="%1"/>
      <w:numFmt w:val="lowerRoman"/>
      <w:start w:val="1"/>
    </w:lvl>
    <w:lvl w:ilvl="1">
      <w:lvlJc w:val="left"/>
      <w:lvlText w:val="(%2)"/>
      <w:numFmt w:val="lowerLetter"/>
      <w:start w:val="3"/>
    </w:lvl>
  </w:abstractNum>
  <w:abstractNum w:abstractNumId="49">
    <w:nsid w:val="2C27173B"/>
    <w:multiLevelType w:val="hybridMultilevel"/>
    <w:lvl w:ilvl="0">
      <w:lvlJc w:val="left"/>
      <w:lvlText w:val="(%1)"/>
      <w:numFmt w:val="lowerRoman"/>
      <w:start w:val="2"/>
    </w:lvl>
    <w:lvl w:ilvl="1">
      <w:lvlJc w:val="left"/>
      <w:lvlText w:val="(%2)"/>
      <w:numFmt w:val="lowerLetter"/>
      <w:start w:val="5"/>
    </w:lvl>
  </w:abstractNum>
  <w:abstractNum w:abstractNumId="50">
    <w:nsid w:val="4C9B0904"/>
    <w:multiLevelType w:val="hybridMultilevel"/>
    <w:lvl w:ilvl="0">
      <w:lvlJc w:val="left"/>
      <w:lvlText w:val="(%1)"/>
      <w:numFmt w:val="lowerLetter"/>
      <w:start w:val="1"/>
    </w:lvl>
  </w:abstractNum>
  <w:abstractNum w:abstractNumId="51">
    <w:nsid w:val="6AA7B75C"/>
    <w:multiLevelType w:val="hybridMultilevel"/>
    <w:lvl w:ilvl="0">
      <w:lvlJc w:val="left"/>
      <w:lvlText w:val="(%1)"/>
      <w:numFmt w:val="lowerLetter"/>
      <w:start w:val="2"/>
    </w:lvl>
    <w:lvl w:ilvl="1">
      <w:lvlJc w:val="left"/>
      <w:lvlText w:val="(%2)"/>
      <w:numFmt w:val="lowerRoman"/>
      <w:start w:val="1"/>
    </w:lvl>
  </w:abstractNum>
  <w:abstractNum w:abstractNumId="52">
    <w:nsid w:val="1DF029D3"/>
    <w:multiLevelType w:val="hybridMultilevel"/>
    <w:lvl w:ilvl="0">
      <w:lvlJc w:val="left"/>
      <w:lvlText w:val="(%1)"/>
      <w:numFmt w:val="lowerLetter"/>
      <w:start w:val="3"/>
    </w:lvl>
  </w:abstractNum>
  <w:abstractNum w:abstractNumId="53">
    <w:nsid w:val="5675FF36"/>
    <w:multiLevelType w:val="hybridMultilevel"/>
    <w:lvl w:ilvl="0">
      <w:lvlJc w:val="left"/>
      <w:lvlText w:val="(%1)"/>
      <w:numFmt w:val="lowerRoman"/>
      <w:start w:val="1"/>
    </w:lvl>
  </w:abstractNum>
  <w:abstractNum w:abstractNumId="54">
    <w:nsid w:val="3DD15094"/>
    <w:multiLevelType w:val="hybridMultilevel"/>
    <w:lvl w:ilvl="0">
      <w:lvlJc w:val="left"/>
      <w:lvlText w:val="%1"/>
      <w:numFmt w:val="lowerLetter"/>
      <w:start w:val="1"/>
    </w:lvl>
    <w:lvl w:ilvl="1">
      <w:lvlJc w:val="left"/>
      <w:lvlText w:val="(%2)"/>
      <w:numFmt w:val="lowerLetter"/>
      <w:start w:val="2"/>
    </w:lvl>
  </w:abstractNum>
  <w:abstractNum w:abstractNumId="55">
    <w:nsid w:val="3DB012B3"/>
    <w:multiLevelType w:val="hybridMultilevel"/>
    <w:lvl w:ilvl="0">
      <w:lvlJc w:val="left"/>
      <w:lvlText w:val="(%1)"/>
      <w:numFmt w:val="lowerLetter"/>
      <w:start w:val="2"/>
    </w:lvl>
    <w:lvl w:ilvl="1">
      <w:lvlJc w:val="left"/>
      <w:lvlText w:val="%2"/>
      <w:numFmt w:val="lowerLetter"/>
      <w:start w:val="1"/>
    </w:lvl>
  </w:abstractNum>
  <w:abstractNum w:abstractNumId="56">
    <w:nsid w:val="2708C9AF"/>
    <w:multiLevelType w:val="hybridMultilevel"/>
    <w:lvl w:ilvl="0">
      <w:lvlJc w:val="left"/>
      <w:lvlText w:val="(%1)"/>
      <w:numFmt w:val="lowerLetter"/>
      <w:start w:val="4"/>
    </w:lvl>
  </w:abstractNum>
  <w:abstractNum w:abstractNumId="57">
    <w:nsid w:val="5B25ACE2"/>
    <w:multiLevelType w:val="hybridMultilevel"/>
    <w:lvl w:ilvl="0">
      <w:lvlJc w:val="left"/>
      <w:lvlText w:val="(%1)"/>
      <w:numFmt w:val="lowerLetter"/>
      <w:start w:val="2"/>
    </w:lvl>
  </w:abstractNum>
  <w:abstractNum w:abstractNumId="58">
    <w:nsid w:val="175DFCF0"/>
    <w:multiLevelType w:val="hybridMultilevel"/>
    <w:lvl w:ilvl="0">
      <w:lvlJc w:val="left"/>
      <w:lvlText w:val="(%1)"/>
      <w:numFmt w:val="lowerLetter"/>
      <w:start w:val="5"/>
    </w:lvl>
    <w:lvl w:ilvl="1">
      <w:lvlJc w:val="left"/>
      <w:lvlText w:val="(%2)"/>
      <w:numFmt w:val="lowerLetter"/>
      <w:start w:val="35"/>
    </w:lvl>
  </w:abstractNum>
  <w:abstractNum w:abstractNumId="59">
    <w:nsid w:val="4F97E3E4"/>
    <w:multiLevelType w:val="hybridMultilevel"/>
    <w:lvl w:ilvl="0">
      <w:lvlJc w:val="left"/>
      <w:lvlText w:val="(%1)"/>
      <w:numFmt w:val="upperLetter"/>
      <w:start w:val="1"/>
    </w:lvl>
  </w:abstractNum>
  <w:abstractNum w:abstractNumId="60">
    <w:nsid w:val="53B0A9E"/>
    <w:multiLevelType w:val="hybridMultilevel"/>
    <w:lvl w:ilvl="0">
      <w:lvlJc w:val="left"/>
      <w:lvlText w:val="(%1)"/>
      <w:numFmt w:val="decimal"/>
      <w:start w:val="1"/>
    </w:lvl>
  </w:abstractNum>
  <w:abstractNum w:abstractNumId="61">
    <w:nsid w:val="34FD6B4F"/>
    <w:multiLevelType w:val="hybridMultilevel"/>
    <w:lvl w:ilvl="0">
      <w:lvlJc w:val="left"/>
      <w:lvlText w:val="(%1)"/>
      <w:numFmt w:val="decimal"/>
      <w:start w:val="2"/>
    </w:lvl>
  </w:abstractNum>
  <w:abstractNum w:abstractNumId="62">
    <w:nsid w:val="5915FF32"/>
    <w:multiLevelType w:val="hybridMultilevel"/>
    <w:lvl w:ilvl="0">
      <w:lvlJc w:val="left"/>
      <w:lvlText w:val="(%1)"/>
      <w:numFmt w:val="upperLetter"/>
      <w:start w:val="3"/>
    </w:lvl>
  </w:abstractNum>
  <w:abstractNum w:abstractNumId="63">
    <w:nsid w:val="56438D15"/>
    <w:multiLevelType w:val="hybridMultilevel"/>
    <w:lvl w:ilvl="0">
      <w:lvlJc w:val="left"/>
      <w:lvlText w:val="(%1)"/>
      <w:numFmt w:val="lowerLetter"/>
      <w:start w:val="7"/>
    </w:lvl>
  </w:abstractNum>
  <w:abstractNum w:abstractNumId="64">
    <w:nsid w:val="519E3149"/>
    <w:multiLevelType w:val="hybridMultilevel"/>
    <w:lvl w:ilvl="0">
      <w:lvlJc w:val="left"/>
      <w:lvlText w:val="(%1)"/>
      <w:numFmt w:val="lowerLetter"/>
      <w:start w:val="1"/>
    </w:lvl>
  </w:abstractNum>
  <w:abstractNum w:abstractNumId="65">
    <w:nsid w:val="2C6E4AFD"/>
    <w:multiLevelType w:val="hybridMultilevel"/>
    <w:lvl w:ilvl="0">
      <w:lvlJc w:val="left"/>
      <w:lvlText w:val="(%1)"/>
      <w:numFmt w:val="lowerLetter"/>
      <w:start w:val="2"/>
    </w:lvl>
  </w:abstractNum>
  <w:abstractNum w:abstractNumId="66">
    <w:nsid w:val="17A1B582"/>
    <w:multiLevelType w:val="hybridMultilevel"/>
    <w:lvl w:ilvl="0">
      <w:lvlJc w:val="left"/>
      <w:lvlText w:val="(%1)"/>
      <w:numFmt w:val="lowerLetter"/>
      <w:start w:val="4"/>
    </w:lvl>
  </w:abstractNum>
  <w:abstractNum w:abstractNumId="67">
    <w:nsid w:val="4DF72E4E"/>
    <w:multiLevelType w:val="hybridMultilevel"/>
    <w:lvl w:ilvl="0">
      <w:lvlJc w:val="left"/>
      <w:lvlText w:val="(%1)"/>
      <w:numFmt w:val="lowerRoman"/>
      <w:start w:val="2"/>
    </w:lvl>
  </w:abstractNum>
  <w:abstractNum w:abstractNumId="68">
    <w:nsid w:val="5046B5A9"/>
    <w:multiLevelType w:val="hybridMultilevel"/>
    <w:lvl w:ilvl="0">
      <w:lvlJc w:val="left"/>
      <w:lvlText w:val="(%1)"/>
      <w:numFmt w:val="lowerLetter"/>
      <w:start w:val="2"/>
    </w:lvl>
  </w:abstractNum>
  <w:abstractNum w:abstractNumId="69">
    <w:nsid w:val="5D888A08"/>
    <w:multiLevelType w:val="hybridMultilevel"/>
    <w:lvl w:ilvl="0">
      <w:lvlJc w:val="left"/>
      <w:lvlText w:val="(%1)"/>
      <w:numFmt w:val="lowerLetter"/>
      <w:start w:val="1"/>
    </w:lvl>
  </w:abstractNum>
  <w:abstractNum w:abstractNumId="70">
    <w:nsid w:val="2A082C70"/>
    <w:multiLevelType w:val="hybridMultilevel"/>
    <w:lvl w:ilvl="0">
      <w:lvlJc w:val="left"/>
      <w:lvlText w:val="(%1)"/>
      <w:numFmt w:val="lowerLetter"/>
      <w:start w:val="2"/>
    </w:lvl>
  </w:abstractNum>
  <w:abstractNum w:abstractNumId="71">
    <w:nsid w:val="5EC6AFD4"/>
    <w:multiLevelType w:val="hybridMultilevel"/>
    <w:lvl w:ilvl="0">
      <w:lvlJc w:val="left"/>
      <w:lvlText w:val="%1"/>
      <w:numFmt w:val="lowerLetter"/>
      <w:start w:val="1"/>
    </w:lvl>
    <w:lvl w:ilvl="1">
      <w:lvlJc w:val="left"/>
      <w:lvlText w:val="(%2)"/>
      <w:numFmt w:val="lowerRoman"/>
      <w:start w:val="1"/>
    </w:lvl>
  </w:abstractNum>
  <w:abstractNum w:abstractNumId="72">
    <w:nsid w:val="19E21BB2"/>
    <w:multiLevelType w:val="hybridMultilevel"/>
    <w:lvl w:ilvl="0">
      <w:lvlJc w:val="left"/>
      <w:lvlText w:val="(%1)"/>
      <w:numFmt w:val="lowerLetter"/>
      <w:start w:val="7"/>
    </w:lvl>
    <w:lvl w:ilvl="1">
      <w:lvlJc w:val="left"/>
      <w:lvlText w:val="%2"/>
      <w:numFmt w:val="lowerRoman"/>
      <w:start w:val="1"/>
    </w:lvl>
  </w:abstractNum>
  <w:abstractNum w:abstractNumId="73">
    <w:nsid w:val="75E0858A"/>
    <w:multiLevelType w:val="hybridMultilevel"/>
    <w:lvl w:ilvl="0">
      <w:lvlJc w:val="left"/>
      <w:lvlText w:val="(%1)"/>
      <w:numFmt w:val="lowerLetter"/>
      <w:start w:val="1"/>
    </w:lvl>
  </w:abstractNum>
  <w:abstractNum w:abstractNumId="74">
    <w:nsid w:val="57A61A29"/>
    <w:multiLevelType w:val="hybridMultilevel"/>
    <w:lvl w:ilvl="0">
      <w:lvlJc w:val="left"/>
      <w:lvlText w:val="(%1)"/>
      <w:numFmt w:val="lowerLetter"/>
      <w:start w:val="3"/>
    </w:lvl>
    <w:lvl w:ilvl="1">
      <w:lvlJc w:val="left"/>
      <w:lvlText w:val="(%2)"/>
      <w:numFmt w:val="lowerRoman"/>
      <w:start w:val="1"/>
    </w:lvl>
  </w:abstractNum>
  <w:abstractNum w:abstractNumId="75">
    <w:nsid w:val="5399C654"/>
    <w:multiLevelType w:val="hybridMultilevel"/>
    <w:lvl w:ilvl="0">
      <w:lvlJc w:val="left"/>
      <w:lvlText w:val="(%1)"/>
      <w:numFmt w:val="lowerRoman"/>
      <w:start w:val="3"/>
    </w:lvl>
  </w:abstractNum>
  <w:abstractNum w:abstractNumId="76">
    <w:nsid w:val="20EE1348"/>
    <w:multiLevelType w:val="hybridMultilevel"/>
    <w:lvl w:ilvl="0">
      <w:lvlJc w:val="left"/>
      <w:lvlText w:val="(%1)"/>
      <w:numFmt w:val="lowerLetter"/>
      <w:start w:val="2"/>
    </w:lvl>
  </w:abstractNum>
  <w:abstractNum w:abstractNumId="77">
    <w:nsid w:val="4427069A"/>
    <w:multiLevelType w:val="hybridMultilevel"/>
    <w:lvl w:ilvl="0">
      <w:lvlJc w:val="left"/>
      <w:lvlText w:val="(%1)"/>
      <w:numFmt w:val="lowerLetter"/>
      <w:start w:val="1"/>
    </w:lvl>
  </w:abstractNum>
  <w:abstractNum w:abstractNumId="78">
    <w:nsid w:val="B37E80A"/>
    <w:multiLevelType w:val="hybridMultilevel"/>
    <w:lvl w:ilvl="0">
      <w:lvlJc w:val="left"/>
      <w:lvlText w:val="(%1)"/>
      <w:numFmt w:val="lowerLetter"/>
      <w:start w:val="2"/>
    </w:lvl>
  </w:abstractNum>
  <w:abstractNum w:abstractNumId="79">
    <w:nsid w:val="2157F6BC"/>
    <w:multiLevelType w:val="hybridMultilevel"/>
    <w:lvl w:ilvl="0">
      <w:lvlJc w:val="left"/>
      <w:lvlText w:val="(%1)"/>
      <w:numFmt w:val="lowerLetter"/>
      <w:start w:val="1"/>
    </w:lvl>
  </w:abstractNum>
  <w:abstractNum w:abstractNumId="80">
    <w:nsid w:val="704E1DD5"/>
    <w:multiLevelType w:val="hybridMultilevel"/>
    <w:lvl w:ilvl="0">
      <w:lvlJc w:val="left"/>
      <w:lvlText w:val="(%1)"/>
      <w:numFmt w:val="lowerLetter"/>
      <w:start w:val="1"/>
    </w:lvl>
  </w:abstractNum>
  <w:abstractNum w:abstractNumId="81">
    <w:nsid w:val="57D2F10E"/>
    <w:multiLevelType w:val="hybridMultilevel"/>
    <w:lvl w:ilvl="0">
      <w:lvlJc w:val="left"/>
      <w:lvlText w:val="(%1)"/>
      <w:numFmt w:val="lowerLetter"/>
      <w:start w:val="6"/>
    </w:lvl>
  </w:abstractNum>
  <w:abstractNum w:abstractNumId="82">
    <w:nsid w:val="BFFAE18"/>
    <w:multiLevelType w:val="hybridMultilevel"/>
    <w:lvl w:ilvl="0">
      <w:lvlJc w:val="left"/>
      <w:lvlText w:val="(%1)"/>
      <w:numFmt w:val="lowerLetter"/>
      <w:start w:val="1"/>
    </w:lvl>
  </w:abstractNum>
  <w:abstractNum w:abstractNumId="83">
    <w:nsid w:val="E3E47A8"/>
    <w:multiLevelType w:val="hybridMultilevel"/>
    <w:lvl w:ilvl="0">
      <w:lvlJc w:val="left"/>
      <w:lvlText w:val="(%1)"/>
      <w:numFmt w:val="lowerLetter"/>
      <w:start w:val="1"/>
    </w:lvl>
  </w:abstractNum>
  <w:abstractNum w:abstractNumId="84">
    <w:nsid w:val="2E48F044"/>
    <w:multiLevelType w:val="hybridMultilevel"/>
    <w:lvl w:ilvl="0">
      <w:lvlJc w:val="left"/>
      <w:lvlText w:val="(%1)"/>
      <w:numFmt w:val="lowerLetter"/>
      <w:start w:val="2"/>
    </w:lvl>
  </w:abstractNum>
  <w:abstractNum w:abstractNumId="85">
    <w:nsid w:val="49D0FEAC"/>
    <w:multiLevelType w:val="hybridMultilevel"/>
    <w:lvl w:ilvl="0">
      <w:lvlJc w:val="left"/>
      <w:lvlText w:val="(%1)"/>
      <w:numFmt w:val="lowerLetter"/>
      <w:start w:val="1"/>
    </w:lvl>
  </w:abstractNum>
  <w:abstractNum w:abstractNumId="86">
    <w:nsid w:val="4BEE5A5B"/>
    <w:multiLevelType w:val="hybridMultilevel"/>
    <w:lvl w:ilvl="0">
      <w:lvlJc w:val="left"/>
      <w:lvlText w:val="(%1)"/>
      <w:numFmt w:val="lowerLetter"/>
      <w:start w:val="2"/>
    </w:lvl>
  </w:abstractNum>
  <w:abstractNum w:abstractNumId="87">
    <w:nsid w:val="5551B9F3"/>
    <w:multiLevelType w:val="hybridMultilevel"/>
    <w:lvl w:ilvl="0">
      <w:lvlJc w:val="left"/>
      <w:lvlText w:val="(%1)"/>
      <w:numFmt w:val="lowerRoman"/>
      <w:start w:val="2"/>
    </w:lvl>
  </w:abstractNum>
  <w:abstractNum w:abstractNumId="88">
    <w:nsid w:val="24F6AB8E"/>
    <w:multiLevelType w:val="hybridMultilevel"/>
    <w:lvl w:ilvl="0">
      <w:lvlJc w:val="left"/>
      <w:lvlText w:val="(%1)"/>
      <w:numFmt w:val="lowerLetter"/>
      <w:start w:val="1"/>
    </w:lvl>
  </w:abstractNum>
  <w:abstractNum w:abstractNumId="89">
    <w:nsid w:val="634C574C"/>
    <w:multiLevelType w:val="hybridMultilevel"/>
    <w:lvl w:ilvl="0">
      <w:lvlJc w:val="left"/>
      <w:lvlText w:val="(%1)"/>
      <w:numFmt w:val="lowerLetter"/>
      <w:start w:val="1"/>
    </w:lvl>
  </w:abstractNum>
  <w:abstractNum w:abstractNumId="90">
    <w:nsid w:val="24E99DD7"/>
    <w:multiLevelType w:val="hybridMultilevel"/>
    <w:lvl w:ilvl="0">
      <w:lvlJc w:val="left"/>
      <w:lvlText w:val="(%1)"/>
      <w:numFmt w:val="lowerLetter"/>
      <w:start w:val="2"/>
    </w:lvl>
  </w:abstractNum>
  <w:abstractNum w:abstractNumId="91">
    <w:nsid w:val="2A31B62D"/>
    <w:multiLevelType w:val="hybridMultilevel"/>
    <w:lvl w:ilvl="0">
      <w:lvlJc w:val="left"/>
      <w:lvlText w:val="(%1)"/>
      <w:numFmt w:val="lowerLetter"/>
      <w:start w:val="1"/>
    </w:lvl>
  </w:abstractNum>
  <w:abstractNum w:abstractNumId="92">
    <w:nsid w:val="1849C29B"/>
    <w:multiLevelType w:val="hybridMultilevel"/>
    <w:lvl w:ilvl="0">
      <w:lvlJc w:val="left"/>
      <w:lvlText w:val="(%1)"/>
      <w:numFmt w:val="lowerLetter"/>
      <w:start w:val="12"/>
    </w:lvl>
  </w:abstractNum>
  <w:abstractNum w:abstractNumId="93">
    <w:nsid w:val="7DFF9D09"/>
    <w:multiLevelType w:val="hybridMultilevel"/>
    <w:lvl w:ilvl="0">
      <w:lvlJc w:val="left"/>
      <w:lvlText w:val="(%1)"/>
      <w:numFmt w:val="lowerLetter"/>
      <w:start w:val="1"/>
    </w:lvl>
  </w:abstractNum>
  <w:abstractNum w:abstractNumId="94">
    <w:nsid w:val="754342"/>
    <w:multiLevelType w:val="hybridMultilevel"/>
    <w:lvl w:ilvl="0">
      <w:lvlJc w:val="left"/>
      <w:lvlText w:val="%1"/>
      <w:numFmt w:val="lowerLetter"/>
      <w:start w:val="1"/>
    </w:lvl>
    <w:lvl w:ilvl="1">
      <w:lvlJc w:val="left"/>
      <w:lvlText w:val="(%2)"/>
      <w:numFmt w:val="lowerLetter"/>
      <w:start w:val="3"/>
    </w:lvl>
  </w:abstractNum>
  <w:abstractNum w:abstractNumId="95">
    <w:nsid w:val="69E7F3E5"/>
    <w:multiLevelType w:val="hybridMultilevel"/>
    <w:lvl w:ilvl="0">
      <w:lvlJc w:val="left"/>
      <w:lvlText w:val="(%1)"/>
      <w:numFmt w:val="lowerLetter"/>
      <w:start w:val="61"/>
    </w:lvl>
    <w:lvl w:ilvl="1">
      <w:lvlJc w:val="left"/>
      <w:lvlText w:val="(%2)"/>
      <w:numFmt w:val="lowerLetter"/>
      <w:start w:val="6"/>
    </w:lvl>
  </w:abstractNum>
  <w:abstractNum w:abstractNumId="96">
    <w:nsid w:val="2A6DE806"/>
    <w:multiLevelType w:val="hybridMultilevel"/>
    <w:lvl w:ilvl="0">
      <w:lvlJc w:val="left"/>
      <w:lvlText w:val="%1"/>
      <w:numFmt w:val="lowerLetter"/>
      <w:start w:val="1"/>
    </w:lvl>
    <w:lvl w:ilvl="1">
      <w:lvlJc w:val="left"/>
      <w:lvlText w:val="(%2)"/>
      <w:numFmt w:val="lowerLetter"/>
      <w:start w:val="7"/>
    </w:lvl>
  </w:abstractNum>
  <w:abstractNum w:abstractNumId="97">
    <w:nsid w:val="1816F8C4"/>
    <w:multiLevelType w:val="hybridMultilevel"/>
    <w:lvl w:ilvl="0">
      <w:lvlJc w:val="left"/>
      <w:lvlText w:val="(%1)"/>
      <w:numFmt w:val="lowerLetter"/>
      <w:start w:val="9"/>
    </w:lvl>
    <w:lvl w:ilvl="1">
      <w:lvlJc w:val="left"/>
      <w:lvlText w:val="(%2)"/>
      <w:numFmt w:val="lowerLetter"/>
      <w:start w:val="14"/>
    </w:lvl>
  </w:abstractNum>
  <w:abstractNum w:abstractNumId="98">
    <w:nsid w:val="37DF2233"/>
    <w:multiLevelType w:val="hybridMultilevel"/>
    <w:lvl w:ilvl="0">
      <w:lvlJc w:val="left"/>
      <w:lvlText w:val="(%1)"/>
      <w:numFmt w:val="lowerLetter"/>
      <w:start w:val="19"/>
    </w:lvl>
  </w:abstractNum>
  <w:abstractNum w:abstractNumId="99">
    <w:nsid w:val="7AB49DAF"/>
    <w:multiLevelType w:val="hybridMultilevel"/>
    <w:lvl w:ilvl="0">
      <w:lvlJc w:val="left"/>
      <w:lvlText w:val="(%1)"/>
      <w:numFmt w:val="lowerRoman"/>
      <w:start w:val="1"/>
    </w:lvl>
  </w:abstractNum>
  <w:abstractNum w:abstractNumId="100">
    <w:nsid w:val="759F82CD"/>
    <w:multiLevelType w:val="hybridMultilevel"/>
    <w:lvl w:ilvl="0">
      <w:lvlJc w:val="left"/>
      <w:lvlText w:val="(%1)"/>
      <w:numFmt w:val="lowerRoman"/>
      <w:start w:val="2"/>
    </w:lvl>
  </w:abstractNum>
  <w:abstractNum w:abstractNumId="101">
    <w:nsid w:val="61E74EA3"/>
    <w:multiLevelType w:val="hybridMultilevel"/>
    <w:lvl w:ilvl="0">
      <w:lvlJc w:val="left"/>
      <w:lvlText w:val="(%1)"/>
      <w:numFmt w:val="lowerLetter"/>
      <w:start w:val="2"/>
    </w:lvl>
  </w:abstractNum>
  <w:abstractNum w:abstractNumId="102">
    <w:nsid w:val="597B4D84"/>
    <w:multiLevelType w:val="hybridMultilevel"/>
    <w:lvl w:ilvl="0">
      <w:lvlJc w:val="left"/>
      <w:lvlText w:val="(%1)"/>
      <w:numFmt w:val="lowerRoman"/>
      <w:start w:val="3"/>
    </w:lvl>
  </w:abstractNum>
  <w:abstractNum w:abstractNumId="103">
    <w:nsid w:val="F819E7F"/>
    <w:multiLevelType w:val="hybridMultilevel"/>
    <w:lvl w:ilvl="0">
      <w:lvlJc w:val="left"/>
      <w:lvlText w:val="(%1)"/>
      <w:numFmt w:val="lowerLetter"/>
      <w:start w:val="7"/>
    </w:lvl>
  </w:abstractNum>
  <w:abstractNum w:abstractNumId="104">
    <w:nsid w:val="57C7D42D"/>
    <w:multiLevelType w:val="hybridMultilevel"/>
    <w:lvl w:ilvl="0">
      <w:lvlJc w:val="left"/>
      <w:lvlText w:val="(%1)"/>
      <w:numFmt w:val="lowerLetter"/>
      <w:start w:val="1"/>
    </w:lvl>
  </w:abstractNum>
  <w:abstractNum w:abstractNumId="105">
    <w:nsid w:val="312167AD"/>
    <w:multiLevelType w:val="hybridMultilevel"/>
    <w:lvl w:ilvl="0">
      <w:lvlJc w:val="left"/>
      <w:lvlText w:val="%1"/>
      <w:numFmt w:val="decimal"/>
      <w:start w:val="1"/>
    </w:lvl>
    <w:lvl w:ilvl="1">
      <w:lvlJc w:val="left"/>
      <w:lvlText w:val="(%2)"/>
      <w:numFmt w:val="lowerLetter"/>
      <w:start w:val="2"/>
    </w:lvl>
  </w:abstractNum>
  <w:abstractNum w:abstractNumId="106">
    <w:nsid w:val="631B64D4"/>
    <w:multiLevelType w:val="hybridMultilevel"/>
    <w:lvl w:ilvl="0">
      <w:lvlJc w:val="left"/>
      <w:lvlText w:val="(%1)"/>
      <w:numFmt w:val="decimal"/>
      <w:start w:val="4"/>
    </w:lvl>
    <w:lvl w:ilvl="1">
      <w:lvlJc w:val="left"/>
      <w:lvlText w:val="%2"/>
      <w:numFmt w:val="lowerLetter"/>
      <w:start w:val="1"/>
    </w:lvl>
  </w:abstractNum>
  <w:abstractNum w:abstractNumId="107">
    <w:nsid w:val="78B5E776"/>
    <w:multiLevelType w:val="hybridMultilevel"/>
    <w:lvl w:ilvl="0">
      <w:lvlJc w:val="left"/>
      <w:lvlText w:val="(%1)"/>
      <w:numFmt w:val="lowerLetter"/>
      <w:start w:val="1"/>
    </w:lvl>
  </w:abstractNum>
  <w:abstractNum w:abstractNumId="108">
    <w:nsid w:val="75486E47"/>
    <w:multiLevelType w:val="hybridMultilevel"/>
    <w:lvl w:ilvl="0">
      <w:lvlJc w:val="left"/>
      <w:lvlText w:val="(%1)"/>
      <w:numFmt w:val="lowerLetter"/>
      <w:start w:val="7"/>
    </w:lvl>
  </w:abstractNum>
  <w:abstractNum w:abstractNumId="109">
    <w:nsid w:val="6E534CDE"/>
    <w:multiLevelType w:val="hybridMultilevel"/>
    <w:lvl w:ilvl="0">
      <w:lvlJc w:val="left"/>
      <w:lvlText w:val="(%1)"/>
      <w:numFmt w:val="lowerLetter"/>
      <w:start w:val="10"/>
    </w:lvl>
  </w:abstractNum>
  <w:abstractNum w:abstractNumId="110">
    <w:nsid w:val="1A0DDE32"/>
    <w:multiLevelType w:val="hybridMultilevel"/>
    <w:lvl w:ilvl="0">
      <w:lvlJc w:val="left"/>
      <w:lvlText w:val="(%1)"/>
      <w:numFmt w:val="lowerLetter"/>
      <w:start w:val="1"/>
    </w:lvl>
  </w:abstractNum>
  <w:abstractNum w:abstractNumId="111">
    <w:nsid w:val="65968C1C"/>
    <w:multiLevelType w:val="hybridMultilevel"/>
    <w:lvl w:ilvl="0">
      <w:lvlJc w:val="left"/>
      <w:lvlText w:val="(%1)"/>
      <w:numFmt w:val="lowerLetter"/>
      <w:start w:val="6"/>
    </w:lvl>
  </w:abstractNum>
  <w:abstractNum w:abstractNumId="112">
    <w:nsid w:val="46263DEC"/>
    <w:multiLevelType w:val="hybridMultilevel"/>
    <w:lvl w:ilvl="0">
      <w:lvlJc w:val="left"/>
      <w:lvlText w:val="(%1)"/>
      <w:numFmt w:val="lowerLetter"/>
      <w:start w:val="9"/>
    </w:lvl>
  </w:abstractNum>
  <w:abstractNum w:abstractNumId="113">
    <w:nsid w:val="260D8C4A"/>
    <w:multiLevelType w:val="hybridMultilevel"/>
    <w:lvl w:ilvl="0">
      <w:lvlJc w:val="left"/>
      <w:lvlText w:val="(%1)"/>
      <w:numFmt w:val="lowerLetter"/>
      <w:start w:val="1"/>
    </w:lvl>
  </w:abstractNum>
  <w:abstractNum w:abstractNumId="114">
    <w:nsid w:val="73D4D3C4"/>
    <w:multiLevelType w:val="hybridMultilevel"/>
    <w:lvl w:ilvl="0">
      <w:lvlJc w:val="left"/>
      <w:lvlText w:val="(%1)"/>
      <w:numFmt w:val="lowerLetter"/>
      <w:start w:val="4"/>
    </w:lvl>
  </w:abstractNum>
  <w:abstractNum w:abstractNumId="115">
    <w:nsid w:val="746F2E30"/>
    <w:multiLevelType w:val="hybridMultilevel"/>
    <w:lvl w:ilvl="0">
      <w:lvlJc w:val="left"/>
      <w:lvlText w:val="(%1)"/>
      <w:numFmt w:val="lowerLetter"/>
      <w:start w:val="1"/>
    </w:lvl>
    <w:lvl w:ilvl="1">
      <w:lvlJc w:val="left"/>
      <w:lvlText w:val="(%2)"/>
      <w:numFmt w:val="lowerRoman"/>
      <w:start w:val="1"/>
    </w:lvl>
  </w:abstractNum>
  <w:abstractNum w:abstractNumId="116">
    <w:nsid w:val="6FDE8AF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17">
    <w:nsid w:val="3FC32E2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8">
    <w:nsid w:val="49C0E823"/>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119">
    <w:nsid w:val="14D53685"/>
    <w:multiLevelType w:val="hybridMultilevel"/>
    <w:lvl w:ilvl="0">
      <w:lvlJc w:val="left"/>
      <w:lvlText w:val="(%1)"/>
      <w:numFmt w:val="lowerRoman"/>
      <w:start w:val="1"/>
    </w:lvl>
  </w:abstractNum>
  <w:abstractNum w:abstractNumId="120">
    <w:nsid w:val="230F856C"/>
    <w:multiLevelType w:val="hybridMultilevel"/>
    <w:lvl w:ilvl="0">
      <w:lvlJc w:val="left"/>
      <w:lvlText w:val="(%1)"/>
      <w:numFmt w:val="lowerRoman"/>
      <w:start w:val="2"/>
    </w:lvl>
  </w:abstractNum>
  <w:abstractNum w:abstractNumId="121">
    <w:nsid w:val="6EAA85FB"/>
    <w:multiLevelType w:val="hybridMultilevel"/>
    <w:lvl w:ilvl="0">
      <w:lvlJc w:val="left"/>
      <w:lvlText w:val="(%1)"/>
      <w:numFmt w:val="lowerRoman"/>
      <w:start w:val="5"/>
    </w:lvl>
  </w:abstractNum>
  <w:abstractNum w:abstractNumId="122">
    <w:nsid w:val="3F06ECB2"/>
    <w:multiLevelType w:val="hybridMultilevel"/>
    <w:lvl w:ilvl="0">
      <w:lvlJc w:val="left"/>
      <w:lvlText w:val="(%1)"/>
      <w:numFmt w:val="lowerLetter"/>
      <w:start w:val="1"/>
    </w:lvl>
  </w:abstractNum>
  <w:abstractNum w:abstractNumId="123">
    <w:nsid w:val="3B594807"/>
    <w:multiLevelType w:val="hybridMultilevel"/>
    <w:lvl w:ilvl="0">
      <w:lvlJc w:val="left"/>
      <w:lvlText w:val="%1"/>
      <w:numFmt w:val="lowerLetter"/>
      <w:start w:val="1"/>
    </w:lvl>
    <w:lvl w:ilvl="1">
      <w:lvlJc w:val="left"/>
      <w:lvlText w:val="(%2)"/>
      <w:numFmt w:val="lowerLetter"/>
      <w:start w:val="5"/>
    </w:lvl>
  </w:abstractNum>
  <w:abstractNum w:abstractNumId="124">
    <w:nsid w:val="6CAA2304"/>
    <w:multiLevelType w:val="hybridMultilevel"/>
    <w:lvl w:ilvl="0">
      <w:lvlJc w:val="left"/>
      <w:lvlText w:val="(%1)"/>
      <w:numFmt w:val="lowerLetter"/>
      <w:start w:val="35"/>
    </w:lvl>
    <w:lvl w:ilvl="1">
      <w:lvlJc w:val="left"/>
      <w:lvlText w:val="%2"/>
      <w:numFmt w:val="lowerLetter"/>
      <w:start w:val="1"/>
    </w:lvl>
  </w:abstractNum>
  <w:abstractNum w:abstractNumId="125">
    <w:nsid w:val="3F7C2FF4"/>
    <w:multiLevelType w:val="hybridMultilevel"/>
    <w:lvl w:ilvl="0">
      <w:lvlJc w:val="left"/>
      <w:lvlText w:val="%1"/>
      <w:numFmt w:val="lowerRoman"/>
      <w:start w:val="1"/>
    </w:lvl>
    <w:lvl w:ilvl="1">
      <w:lvlJc w:val="left"/>
      <w:lvlText w:val="(%2)"/>
      <w:numFmt w:val="lowerLetter"/>
      <w:start w:val="2"/>
    </w:lvl>
  </w:abstractNum>
  <w:abstractNum w:abstractNumId="126">
    <w:nsid w:val="25413BEC"/>
    <w:multiLevelType w:val="hybridMultilevel"/>
    <w:lvl w:ilvl="0">
      <w:lvlJc w:val="left"/>
      <w:lvlText w:val="(%1)"/>
      <w:numFmt w:val="lowerRoman"/>
      <w:start w:val="1"/>
    </w:lvl>
    <w:lvl w:ilvl="1">
      <w:lvlJc w:val="left"/>
      <w:lvlText w:val="%2"/>
      <w:numFmt w:val="lowerLetter"/>
      <w:start w:val="1"/>
    </w:lvl>
  </w:abstractNum>
  <w:abstractNum w:abstractNumId="127">
    <w:nsid w:val="17180B0B"/>
    <w:multiLevelType w:val="hybridMultilevel"/>
    <w:lvl w:ilvl="0">
      <w:lvlJc w:val="left"/>
      <w:lvlText w:val="(%1)"/>
      <w:numFmt w:val="lowerRoman"/>
      <w:start w:val="3"/>
    </w:lvl>
    <w:lvl w:ilvl="1">
      <w:lvlJc w:val="left"/>
      <w:lvlText w:val="%2"/>
      <w:numFmt w:val="lowerLetter"/>
      <w:start w:val="1"/>
    </w:lvl>
  </w:abstractNum>
  <w:abstractNum w:abstractNumId="128">
    <w:nsid w:val="579328B9"/>
    <w:multiLevelType w:val="hybridMultilevel"/>
    <w:lvl w:ilvl="0">
      <w:lvlJc w:val="left"/>
      <w:lvlText w:val="(%1)"/>
      <w:numFmt w:val="lowerRoman"/>
      <w:start w:val="8"/>
    </w:lvl>
    <w:lvl w:ilvl="1">
      <w:lvlJc w:val="left"/>
      <w:lvlText w:val="%2"/>
      <w:numFmt w:val="lowerLetter"/>
      <w:start w:val="1"/>
    </w:lvl>
  </w:abstractNum>
  <w:abstractNum w:abstractNumId="129">
    <w:nsid w:val="5D205E20"/>
    <w:multiLevelType w:val="hybridMultilevel"/>
    <w:lvl w:ilvl="0">
      <w:lvlJc w:val="left"/>
      <w:lvlText w:val="(%1)"/>
      <w:numFmt w:val="lowerRoman"/>
      <w:start w:val="2"/>
    </w:lvl>
    <w:lvl w:ilvl="1">
      <w:lvlJc w:val="left"/>
      <w:lvlText w:val="%2"/>
      <w:numFmt w:val="lowerLetter"/>
      <w:start w:val="1"/>
    </w:lvl>
  </w:abstractNum>
  <w:abstractNum w:abstractNumId="130">
    <w:nsid w:val="11CCA8BA"/>
    <w:multiLevelType w:val="hybridMultilevel"/>
    <w:lvl w:ilvl="0">
      <w:lvlJc w:val="left"/>
      <w:lvlText w:val="%1"/>
      <w:numFmt w:val="decimal"/>
      <w:start w:val="1"/>
    </w:lvl>
    <w:lvl w:ilvl="1">
      <w:lvlJc w:val="left"/>
      <w:lvlText w:val="(%2)"/>
      <w:numFmt w:val="lowerLetter"/>
      <w:start w:val="3"/>
    </w:lvl>
  </w:abstractNum>
  <w:abstractNum w:abstractNumId="131">
    <w:nsid w:val="4D32AB86"/>
    <w:multiLevelType w:val="hybridMultilevel"/>
    <w:lvl w:ilvl="0">
      <w:lvlJc w:val="left"/>
      <w:lvlText w:val="(%1)"/>
      <w:numFmt w:val="decimal"/>
      <w:start w:val="1"/>
    </w:lvl>
    <w:lvl w:ilvl="1">
      <w:lvlJc w:val="left"/>
      <w:lvlText w:val="(%2)"/>
      <w:numFmt w:val="lowerLetter"/>
      <w:start w:val="5"/>
    </w:lvl>
  </w:abstractNum>
  <w:abstractNum w:abstractNumId="132">
    <w:nsid w:val="3F07ACC3"/>
    <w:multiLevelType w:val="hybridMultilevel"/>
    <w:lvl w:ilvl="0">
      <w:lvlJc w:val="left"/>
      <w:lvlText w:val="(%1)"/>
      <w:numFmt w:val="lowerLetter"/>
      <w:start w:val="2"/>
    </w:lvl>
  </w:abstractNum>
  <w:abstractNum w:abstractNumId="133">
    <w:nsid w:val="6B47F63E"/>
    <w:multiLevelType w:val="hybridMultilevel"/>
    <w:lvl w:ilvl="0">
      <w:lvlJc w:val="left"/>
      <w:lvlText w:val="(%1)"/>
      <w:numFmt w:val="lowerLetter"/>
      <w:start w:val="3"/>
    </w:lvl>
  </w:abstractNum>
  <w:abstractNum w:abstractNumId="134">
    <w:nsid w:val="5CB44A05"/>
    <w:multiLevelType w:val="hybridMultilevel"/>
    <w:lvl w:ilvl="0">
      <w:lvlJc w:val="left"/>
      <w:lvlText w:val="(%1)"/>
      <w:numFmt w:val="lowerLetter"/>
      <w:start w:val="5"/>
    </w:lvl>
  </w:abstractNum>
  <w:abstractNum w:abstractNumId="135">
    <w:nsid w:val="16CF80F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6">
    <w:nsid w:val="1C695DEC"/>
    <w:multiLevelType w:val="hybridMultilevel"/>
    <w:lvl w:ilvl="0">
      <w:lvlJc w:val="left"/>
      <w:lvlText w:val="(%1)"/>
      <w:numFmt w:val="upperLetter"/>
      <w:start w:val="2"/>
    </w:lvl>
  </w:abstractNum>
  <w:abstractNum w:abstractNumId="137">
    <w:nsid w:val="3FCFAED9"/>
    <w:multiLevelType w:val="hybridMultilevel"/>
    <w:lvl w:ilvl="0">
      <w:lvlJc w:val="left"/>
      <w:lvlText w:val="(%1)"/>
      <w:numFmt w:val="lowerRoman"/>
      <w:start w:val="3"/>
    </w:lvl>
  </w:abstractNum>
  <w:abstractNum w:abstractNumId="138">
    <w:nsid w:val="F856867"/>
    <w:multiLevelType w:val="hybridMultilevel"/>
    <w:lvl w:ilvl="0">
      <w:lvlJc w:val="left"/>
      <w:lvlText w:val="%1"/>
      <w:numFmt w:val="lowerLetter"/>
      <w:start w:val="1"/>
    </w:lvl>
    <w:lvl w:ilvl="1">
      <w:lvlJc w:val="left"/>
      <w:lvlText w:val="(%2)"/>
      <w:numFmt w:val="lowerRoman"/>
      <w:start w:val="4"/>
    </w:lvl>
  </w:abstractNum>
  <w:abstractNum w:abstractNumId="139">
    <w:nsid w:val="11B1CC33"/>
    <w:multiLevelType w:val="hybridMultilevel"/>
    <w:lvl w:ilvl="0">
      <w:lvlJc w:val="left"/>
      <w:lvlText w:val="(%1)"/>
      <w:numFmt w:val="lowerLetter"/>
      <w:start w:val="25"/>
    </w:lvl>
    <w:lvl w:ilvl="1">
      <w:lvlJc w:val="left"/>
      <w:lvlText w:val="%2"/>
      <w:numFmt w:val="lowerRoman"/>
      <w:start w:val="1"/>
    </w:lvl>
  </w:abstractNum>
  <w:abstractNum w:abstractNumId="140">
    <w:nsid w:val="2E22FBB7"/>
    <w:multiLevelType w:val="hybridMultilevel"/>
    <w:lvl w:ilvl="0">
      <w:lvlJc w:val="left"/>
      <w:lvlText w:val="%1"/>
      <w:numFmt w:val="upperLetter"/>
      <w:start w:val="1"/>
    </w:lvl>
    <w:lvl w:ilvl="1">
      <w:lvlJc w:val="left"/>
      <w:lvlText w:val="(%2)"/>
      <w:numFmt w:val="lowerLetter"/>
      <w:start w:val="3"/>
    </w:lvl>
  </w:abstractNum>
  <w:abstractNum w:abstractNumId="141">
    <w:nsid w:val="29934699"/>
    <w:multiLevelType w:val="hybridMultilevel"/>
    <w:lvl w:ilvl="0">
      <w:lvlJc w:val="left"/>
      <w:lvlText w:val="(%1)"/>
      <w:numFmt w:val="upperLetter"/>
      <w:start w:val="1"/>
    </w:lvl>
    <w:lvl w:ilvl="1">
      <w:lvlJc w:val="left"/>
      <w:lvlText w:val="%2"/>
      <w:numFmt w:val="lowerLetter"/>
      <w:start w:val="1"/>
    </w:lvl>
  </w:abstractNum>
  <w:abstractNum w:abstractNumId="142">
    <w:nsid w:val="77485850"/>
    <w:multiLevelType w:val="hybridMultilevel"/>
    <w:lvl w:ilvl="0">
      <w:lvlJc w:val="left"/>
      <w:lvlText w:val="(%1)"/>
      <w:numFmt w:val="upperLetter"/>
      <w:start w:val="2"/>
    </w:lvl>
    <w:lvl w:ilvl="1">
      <w:lvlJc w:val="left"/>
      <w:lvlText w:val="(%2)"/>
      <w:numFmt w:val="lowerLetter"/>
      <w:start w:val="3"/>
    </w:lvl>
  </w:abstractNum>
  <w:abstractNum w:abstractNumId="143">
    <w:nsid w:val="744939A3"/>
    <w:multiLevelType w:val="hybridMultilevel"/>
    <w:lvl w:ilvl="0">
      <w:lvlJc w:val="left"/>
      <w:lvlText w:val="(%1)"/>
      <w:numFmt w:val="lowerLetter"/>
      <w:start w:val="2"/>
    </w:lvl>
  </w:abstractNum>
  <w:abstractNum w:abstractNumId="144">
    <w:nsid w:val="4FA0D2E3"/>
    <w:multiLevelType w:val="hybridMultilevel"/>
    <w:lvl w:ilvl="0">
      <w:lvlJc w:val="left"/>
      <w:lvlText w:val="(%1)"/>
      <w:numFmt w:val="lowerLetter"/>
      <w:start w:val="4"/>
    </w:lvl>
  </w:abstractNum>
  <w:abstractNum w:abstractNumId="145">
    <w:nsid w:val="6B1D2C14"/>
    <w:multiLevelType w:val="hybridMultilevel"/>
    <w:lvl w:ilvl="0">
      <w:lvlJc w:val="left"/>
      <w:lvlText w:val="(%1)"/>
      <w:numFmt w:val="lowerLetter"/>
      <w:start w:val="1"/>
    </w:lvl>
  </w:abstractNum>
  <w:abstractNum w:abstractNumId="146">
    <w:nsid w:val="68B867D3"/>
    <w:multiLevelType w:val="hybridMultilevel"/>
    <w:lvl w:ilvl="0">
      <w:lvlJc w:val="left"/>
      <w:lvlText w:val="(%1)"/>
      <w:numFmt w:val="lowerLetter"/>
      <w:start w:val="1"/>
    </w:lvl>
  </w:abstractNum>
  <w:abstractNum w:abstractNumId="147">
    <w:nsid w:val="3F7F5DD9"/>
    <w:multiLevelType w:val="hybridMultilevel"/>
    <w:lvl w:ilvl="0">
      <w:lvlJc w:val="left"/>
      <w:lvlText w:val="(%1)"/>
      <w:numFmt w:val="lowerLetter"/>
      <w:start w:val="1"/>
    </w:lvl>
    <w:lvl w:ilvl="1">
      <w:lvlJc w:val="left"/>
      <w:lvlText w:val="(%2)"/>
      <w:numFmt w:val="lowerRoman"/>
      <w:start w:val="1"/>
    </w:lvl>
  </w:abstractNum>
  <w:abstractNum w:abstractNumId="148">
    <w:nsid w:val="2AE05A34"/>
    <w:multiLevelType w:val="hybridMultilevel"/>
    <w:lvl w:ilvl="0">
      <w:lvlJc w:val="left"/>
      <w:lvlText w:val="(%1)"/>
      <w:numFmt w:val="decimal"/>
      <w:start w:val="1"/>
    </w:lvl>
  </w:abstractNum>
  <w:abstractNum w:abstractNumId="149">
    <w:nsid w:val="32794FF7"/>
    <w:multiLevelType w:val="hybridMultilevel"/>
    <w:lvl w:ilvl="0">
      <w:lvlJc w:val="left"/>
      <w:lvlText w:val="%1."/>
      <w:numFmt w:val="decimal"/>
      <w:start w:val="1"/>
    </w:lvl>
  </w:abstractNum>
  <w:abstractNum w:abstractNumId="150">
    <w:nsid w:val="5454945E"/>
    <w:multiLevelType w:val="hybridMultilevel"/>
    <w:lvl w:ilvl="0">
      <w:lvlJc w:val="left"/>
      <w:lvlText w:val="%1."/>
      <w:numFmt w:val="decimal"/>
      <w:start w:val="6"/>
    </w:lvl>
  </w:abstractNum>
  <w:abstractNum w:abstractNumId="151">
    <w:nsid w:val="4DEFDFA0"/>
    <w:multiLevelType w:val="hybridMultilevel"/>
    <w:lvl w:ilvl="0">
      <w:lvlJc w:val="left"/>
      <w:lvlText w:val="%1."/>
      <w:numFmt w:val="decimal"/>
      <w:start w:val="1"/>
    </w:lvl>
  </w:abstractNum>
  <w:abstractNum w:abstractNumId="152">
    <w:nsid w:val="2123D5F2"/>
    <w:multiLevelType w:val="hybridMultilevel"/>
    <w:lvl w:ilvl="0">
      <w:lvlJc w:val="left"/>
      <w:lvlText w:val="(%1)"/>
      <w:numFmt w:val="lowerRoman"/>
      <w:start w:val="1"/>
    </w:lvl>
    <w:lvl w:ilvl="1">
      <w:lvlJc w:val="left"/>
      <w:lvlText w:val="%2."/>
      <w:numFmt w:val="decimal"/>
      <w:start w:val="2"/>
    </w:lvl>
  </w:abstractNum>
  <w:abstractNum w:abstractNumId="153">
    <w:nsid w:val="135B8110"/>
    <w:multiLevelType w:val="hybridMultilevel"/>
    <w:lvl w:ilvl="0">
      <w:lvlJc w:val="left"/>
      <w:lvlText w:val="%1."/>
      <w:numFmt w:val="decimal"/>
      <w:start w:val="1"/>
    </w:lvl>
  </w:abstractNum>
  <w:abstractNum w:abstractNumId="154">
    <w:nsid w:val="94927A8"/>
    <w:multiLevelType w:val="hybridMultilevel"/>
    <w:lvl w:ilvl="0">
      <w:lvlJc w:val="left"/>
      <w:lvlText w:val="%1."/>
      <w:numFmt w:val="decimal"/>
      <w:start w:val="2"/>
    </w:lvl>
  </w:abstractNum>
  <w:abstractNum w:abstractNumId="155">
    <w:nsid w:val="DCDF8F6"/>
    <w:multiLevelType w:val="hybridMultilevel"/>
    <w:lvl w:ilvl="0">
      <w:lvlJc w:val="left"/>
      <w:lvlText w:val="%1."/>
      <w:numFmt w:val="decimal"/>
      <w:start w:val="3"/>
    </w:lvl>
  </w:abstractNum>
  <w:abstractNum w:abstractNumId="156">
    <w:nsid w:val="52D7B105"/>
    <w:multiLevelType w:val="hybridMultilevel"/>
    <w:lvl w:ilvl="0">
      <w:lvlJc w:val="left"/>
      <w:lvlText w:val="%1."/>
      <w:numFmt w:val="decimal"/>
      <w:start w:val="1"/>
    </w:lvl>
  </w:abstractNum>
  <w:abstractNum w:abstractNumId="157">
    <w:nsid w:val="2E8A6394"/>
    <w:multiLevelType w:val="hybridMultilevel"/>
    <w:lvl w:ilvl="0">
      <w:lvlJc w:val="left"/>
      <w:lvlText w:val="%1."/>
      <w:numFmt w:val="decimal"/>
      <w:start w:val="2"/>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1."/>
      <w:numFmt w:val="decimal"/>
      <w:start w:val="5"/>
    </w:lvl>
  </w:abstractNum>
  <w:abstractNum w:abstractNumId="160">
    <w:nsid w:val="BAAC1B4"/>
    <w:multiLevelType w:val="hybridMultilevel"/>
    <w:lvl w:ilvl="0">
      <w:lvlJc w:val="left"/>
      <w:lvlText w:val="%1"/>
      <w:numFmt w:val="decimal"/>
      <w:start w:val="1"/>
    </w:lvl>
    <w:lvl w:ilvl="1">
      <w:lvlJc w:val="left"/>
      <w:lvlText w:val="%2."/>
      <w:numFmt w:val="upperLetter"/>
      <w:start w:val="1"/>
    </w:lvl>
  </w:abstractNum>
  <w:abstractNum w:abstractNumId="161">
    <w:nsid w:val="36B2ACBC"/>
    <w:multiLevelType w:val="hybridMultilevel"/>
    <w:lvl w:ilvl="0">
      <w:lvlJc w:val="left"/>
      <w:lvlText w:val="%1."/>
      <w:numFmt w:val="decimal"/>
      <w:start w:val="1"/>
    </w:lvl>
    <w:lvl w:ilvl="1">
      <w:lvlJc w:val="left"/>
      <w:lvlText w:val="%2"/>
      <w:numFmt w:val="upperLetter"/>
      <w:start w:val="1"/>
    </w:lvl>
  </w:abstractNum>
  <w:abstractNum w:abstractNumId="162">
    <w:nsid w:val="779D8544"/>
    <w:multiLevelType w:val="hybridMultilevel"/>
    <w:lvl w:ilvl="0">
      <w:lvlJc w:val="left"/>
      <w:lvlText w:val="(%1)"/>
      <w:numFmt w:val="decimal"/>
      <w:start w:val="1"/>
    </w:lvl>
  </w:abstractNum>
  <w:abstractNum w:abstractNumId="163">
    <w:nsid w:val="4AB26E78"/>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64">
    <w:nsid w:val="21FAA2FA"/>
    <w:multiLevelType w:val="hybridMultilevel"/>
    <w:lvl w:ilvl="0">
      <w:lvlJc w:val="left"/>
      <w:lvlText w:val="(%1)"/>
      <w:numFmt w:val="decimal"/>
      <w:start w:val="1"/>
    </w:lvl>
  </w:abstractNum>
  <w:abstractNum w:abstractNumId="165">
    <w:nsid w:val="5451CF49"/>
    <w:multiLevelType w:val="hybridMultilevel"/>
    <w:lvl w:ilvl="0">
      <w:lvlJc w:val="left"/>
      <w:lvlText w:val="(%1)"/>
      <w:numFmt w:val="upperLetter"/>
      <w:start w:val="1"/>
    </w:lvl>
  </w:abstractNum>
  <w:abstractNum w:abstractNumId="166">
    <w:nsid w:val="6181EF69"/>
    <w:multiLevelType w:val="hybridMultilevel"/>
    <w:lvl w:ilvl="0">
      <w:lvlJc w:val="left"/>
      <w:lvlText w:val="(%1)"/>
      <w:numFmt w:val="upperLetter"/>
      <w:start w:val="1"/>
    </w:lvl>
  </w:abstractNum>
  <w:abstractNum w:abstractNumId="167">
    <w:nsid w:val="3E6400E6"/>
    <w:multiLevelType w:val="hybridMultilevel"/>
    <w:lvl w:ilvl="0">
      <w:lvlJc w:val="left"/>
      <w:lvlText w:val="(%1)"/>
      <w:numFmt w:val="upperLetter"/>
      <w:start w:val="3"/>
    </w:lvl>
  </w:abstractNum>
  <w:abstractNum w:abstractNumId="168">
    <w:nsid w:val="14217E23"/>
    <w:multiLevelType w:val="hybridMultilevel"/>
    <w:lvl w:ilvl="0">
      <w:lvlJc w:val="left"/>
      <w:lvlText w:val="(%1)"/>
      <w:numFmt w:val="upperLetter"/>
      <w:start w:val="1"/>
    </w:lvl>
  </w:abstractNum>
  <w:abstractNum w:abstractNumId="169">
    <w:nsid w:val="710757D0"/>
    <w:multiLevelType w:val="hybridMultilevel"/>
    <w:lvl w:ilvl="0">
      <w:lvlJc w:val="left"/>
      <w:lvlText w:val="(%1)"/>
      <w:numFmt w:val="lowerRoman"/>
      <w:start w:val="1"/>
    </w:lvl>
  </w:abstractNum>
  <w:abstractNum w:abstractNumId="170">
    <w:nsid w:val="5015CD1A"/>
    <w:multiLevelType w:val="hybridMultilevel"/>
    <w:lvl w:ilvl="0">
      <w:lvlJc w:val="left"/>
      <w:lvlText w:val="(%1)"/>
      <w:numFmt w:val="lowerRoman"/>
      <w:start w:val="3"/>
    </w:lvl>
  </w:abstractNum>
  <w:abstractNum w:abstractNumId="171">
    <w:nsid w:val="424479DA"/>
    <w:multiLevelType w:val="hybridMultilevel"/>
    <w:lvl w:ilvl="0">
      <w:lvlJc w:val="left"/>
      <w:lvlText w:val="(%1)"/>
      <w:numFmt w:val="upperLetter"/>
      <w:start w:val="1"/>
    </w:lvl>
  </w:abstractNum>
  <w:abstractNum w:abstractNumId="172">
    <w:nsid w:val="1A9A9E69"/>
    <w:multiLevelType w:val="hybridMultilevel"/>
    <w:lvl w:ilvl="0">
      <w:lvlJc w:val="left"/>
      <w:lvlText w:val="(%1)"/>
      <w:numFmt w:val="upperLetter"/>
      <w:start w:val="2"/>
    </w:lvl>
  </w:abstractNum>
  <w:abstractNum w:abstractNumId="173">
    <w:nsid w:val="475E256A"/>
    <w:multiLevelType w:val="hybridMultilevel"/>
    <w:lvl w:ilvl="0">
      <w:lvlJc w:val="left"/>
      <w:lvlText w:val="(%1)"/>
      <w:numFmt w:val="upperLetter"/>
      <w:start w:val="1"/>
    </w:lvl>
  </w:abstractNum>
  <w:abstractNum w:abstractNumId="174">
    <w:nsid w:val="368DB37E"/>
    <w:multiLevelType w:val="hybridMultilevel"/>
    <w:lvl w:ilvl="0">
      <w:lvlJc w:val="left"/>
      <w:lvlText w:val="(%1)"/>
      <w:numFmt w:val="upperLetter"/>
      <w:start w:val="1"/>
    </w:lvl>
  </w:abstractNum>
  <w:abstractNum w:abstractNumId="175">
    <w:nsid w:val="6A3B714C"/>
    <w:multiLevelType w:val="hybridMultilevel"/>
    <w:lvl w:ilvl="0">
      <w:lvlJc w:val="left"/>
      <w:lvlText w:val="(%1)"/>
      <w:numFmt w:val="upperLetter"/>
      <w:start w:val="2"/>
    </w:lvl>
  </w:abstractNum>
  <w:abstractNum w:abstractNumId="176">
    <w:nsid w:val="327B517E"/>
    <w:multiLevelType w:val="hybridMultilevel"/>
    <w:lvl w:ilvl="0">
      <w:lvlJc w:val="left"/>
      <w:lvlText w:val="(%1)"/>
      <w:numFmt w:val="upperLetter"/>
      <w:start w:val="4"/>
    </w:lvl>
  </w:abstractNum>
  <w:abstractNum w:abstractNumId="177">
    <w:nsid w:val="1F461B51"/>
    <w:multiLevelType w:val="hybridMultilevel"/>
    <w:lvl w:ilvl="0">
      <w:lvlJc w:val="left"/>
      <w:lvlText w:val="(%1)"/>
      <w:numFmt w:val="upperLetter"/>
      <w:start w:val="1"/>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Roman"/>
      <w:start w:val="3"/>
    </w:lvl>
  </w:abstractNum>
  <w:abstractNum w:abstractNumId="180">
    <w:nsid w:val="51BF6B48"/>
    <w:multiLevelType w:val="hybridMultilevel"/>
    <w:lvl w:ilvl="0">
      <w:lvlJc w:val="left"/>
      <w:lvlText w:val="%1."/>
      <w:numFmt w:val="decimal"/>
      <w:start w:val="1"/>
    </w:lvl>
  </w:abstractNum>
  <w:abstractNum w:abstractNumId="181">
    <w:nsid w:val="7E0F6384"/>
    <w:multiLevelType w:val="hybridMultilevel"/>
    <w:lvl w:ilvl="0">
      <w:lvlJc w:val="left"/>
      <w:lvlText w:val="(%1)"/>
      <w:numFmt w:val="decimal"/>
      <w:start w:val="9"/>
    </w:lvl>
  </w:abstractNum>
  <w:abstractNum w:abstractNumId="182">
    <w:nsid w:val="2B4B8B53"/>
    <w:multiLevelType w:val="hybridMultilevel"/>
    <w:lvl w:ilvl="0">
      <w:lvlJc w:val="left"/>
      <w:lvlText w:val="%1."/>
      <w:numFmt w:val="decimal"/>
      <w:start w:val="4"/>
    </w:lvl>
  </w:abstractNum>
  <w:abstractNum w:abstractNumId="183">
    <w:nsid w:val="72E3413A"/>
    <w:multiLevelType w:val="hybridMultilevel"/>
    <w:lvl w:ilvl="0">
      <w:lvlJc w:val="left"/>
      <w:lvlText w:val="%1."/>
      <w:numFmt w:val="decimal"/>
      <w:start w:val="1"/>
    </w:lvl>
  </w:abstractNum>
  <w:abstractNum w:abstractNumId="184">
    <w:nsid w:val="116AE494"/>
    <w:multiLevelType w:val="hybridMultilevel"/>
    <w:lvl w:ilvl="0">
      <w:lvlJc w:val="left"/>
      <w:lvlText w:val="(%1)"/>
      <w:numFmt w:val="decimal"/>
      <w:start w:val="1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15" Type="http://schemas.openxmlformats.org/officeDocument/2006/relationships/hyperlink" Target="file:///data/convert/a18-41689_1ex10d1.htm#Exhibit10_1_0726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2019-12-28T17:30:03Z</dcterms:created>
  <dcterms:modified xsi:type="dcterms:W3CDTF">2019-12-28T17:30:03Z</dcterms:modified>
</cp:coreProperties>
</file>