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3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8-K</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November 5, 2019 (November 5, 2019)</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REGENERON PHARMACEUTICALS, INC.</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1" w:lineRule="exact"/>
        <w:rPr>
          <w:sz w:val="24"/>
          <w:szCs w:val="24"/>
          <w:color w:val="auto"/>
        </w:rPr>
      </w:pPr>
    </w:p>
    <w:tbl>
      <w:tblPr>
        <w:tblLayout w:type="fixed"/>
        <w:tblInd w:w="600" w:type="dxa"/>
        <w:tblCellMar>
          <w:top w:w="0" w:type="dxa"/>
          <w:left w:w="0" w:type="dxa"/>
          <w:bottom w:w="0" w:type="dxa"/>
          <w:right w:w="0" w:type="dxa"/>
        </w:tblCellMar>
      </w:tblPr>
      <w:tr>
        <w:trPr>
          <w:trHeight w:val="248"/>
        </w:trPr>
        <w:tc>
          <w:tcPr>
            <w:tcW w:w="3880" w:type="dxa"/>
            <w:vAlign w:val="bottom"/>
          </w:tcPr>
          <w:p>
            <w:pPr>
              <w:ind w:left="1320"/>
              <w:spacing w:after="0"/>
              <w:rPr>
                <w:sz w:val="20"/>
                <w:szCs w:val="20"/>
                <w:color w:val="auto"/>
              </w:rPr>
            </w:pPr>
            <w:r>
              <w:rPr>
                <w:rFonts w:ascii="Arial" w:cs="Arial" w:eastAsia="Arial" w:hAnsi="Arial"/>
                <w:sz w:val="18"/>
                <w:szCs w:val="18"/>
                <w:b w:val="1"/>
                <w:bCs w:val="1"/>
                <w:color w:val="auto"/>
              </w:rPr>
              <w:t>New York</w:t>
            </w:r>
          </w:p>
        </w:tc>
        <w:tc>
          <w:tcPr>
            <w:tcW w:w="2040" w:type="dxa"/>
            <w:vAlign w:val="bottom"/>
          </w:tcPr>
          <w:p>
            <w:pPr>
              <w:jc w:val="center"/>
              <w:ind w:left="379"/>
              <w:spacing w:after="0"/>
              <w:rPr>
                <w:sz w:val="20"/>
                <w:szCs w:val="20"/>
                <w:color w:val="auto"/>
              </w:rPr>
            </w:pPr>
            <w:r>
              <w:rPr>
                <w:rFonts w:ascii="Arial" w:cs="Arial" w:eastAsia="Arial" w:hAnsi="Arial"/>
                <w:sz w:val="18"/>
                <w:szCs w:val="18"/>
                <w:b w:val="1"/>
                <w:bCs w:val="1"/>
                <w:color w:val="auto"/>
                <w:w w:val="90"/>
              </w:rPr>
              <w:t>000-19034</w:t>
            </w:r>
          </w:p>
        </w:tc>
        <w:tc>
          <w:tcPr>
            <w:tcW w:w="1060" w:type="dxa"/>
            <w:vAlign w:val="bottom"/>
          </w:tcPr>
          <w:p>
            <w:pPr>
              <w:spacing w:after="0"/>
              <w:rPr>
                <w:sz w:val="21"/>
                <w:szCs w:val="21"/>
                <w:color w:val="auto"/>
              </w:rPr>
            </w:pPr>
          </w:p>
        </w:tc>
        <w:tc>
          <w:tcPr>
            <w:tcW w:w="2620" w:type="dxa"/>
            <w:vAlign w:val="bottom"/>
          </w:tcPr>
          <w:p>
            <w:pPr>
              <w:jc w:val="right"/>
              <w:ind w:right="536"/>
              <w:spacing w:after="0"/>
              <w:rPr>
                <w:sz w:val="20"/>
                <w:szCs w:val="20"/>
                <w:color w:val="auto"/>
              </w:rPr>
            </w:pPr>
            <w:r>
              <w:rPr>
                <w:rFonts w:ascii="Arial" w:cs="Arial" w:eastAsia="Arial" w:hAnsi="Arial"/>
                <w:sz w:val="18"/>
                <w:szCs w:val="18"/>
                <w:b w:val="1"/>
                <w:bCs w:val="1"/>
                <w:color w:val="auto"/>
              </w:rPr>
              <w:t>13-3444607</w:t>
            </w:r>
          </w:p>
        </w:tc>
      </w:tr>
      <w:tr>
        <w:trPr>
          <w:trHeight w:val="218"/>
        </w:trPr>
        <w:tc>
          <w:tcPr>
            <w:tcW w:w="3880" w:type="dxa"/>
            <w:vAlign w:val="bottom"/>
          </w:tcPr>
          <w:p>
            <w:pPr>
              <w:spacing w:after="0"/>
              <w:rPr>
                <w:sz w:val="20"/>
                <w:szCs w:val="20"/>
                <w:color w:val="auto"/>
              </w:rPr>
            </w:pPr>
            <w:r>
              <w:rPr>
                <w:rFonts w:ascii="Arial" w:cs="Arial" w:eastAsia="Arial" w:hAnsi="Arial"/>
                <w:sz w:val="14"/>
                <w:szCs w:val="14"/>
                <w:color w:val="auto"/>
              </w:rPr>
              <w:t>(State or other jurisdiction of incorporation or organization)</w:t>
            </w:r>
          </w:p>
        </w:tc>
        <w:tc>
          <w:tcPr>
            <w:tcW w:w="2040" w:type="dxa"/>
            <w:vAlign w:val="bottom"/>
          </w:tcPr>
          <w:p>
            <w:pPr>
              <w:jc w:val="center"/>
              <w:ind w:left="359"/>
              <w:spacing w:after="0"/>
              <w:rPr>
                <w:sz w:val="20"/>
                <w:szCs w:val="20"/>
                <w:color w:val="auto"/>
              </w:rPr>
            </w:pPr>
            <w:r>
              <w:rPr>
                <w:rFonts w:ascii="Arial" w:cs="Arial" w:eastAsia="Arial" w:hAnsi="Arial"/>
                <w:sz w:val="14"/>
                <w:szCs w:val="14"/>
                <w:color w:val="auto"/>
                <w:w w:val="96"/>
              </w:rPr>
              <w:t>(Commission File Number)</w:t>
            </w:r>
          </w:p>
        </w:tc>
        <w:tc>
          <w:tcPr>
            <w:tcW w:w="1060" w:type="dxa"/>
            <w:vAlign w:val="bottom"/>
          </w:tcPr>
          <w:p>
            <w:pPr>
              <w:spacing w:after="0"/>
              <w:rPr>
                <w:sz w:val="18"/>
                <w:szCs w:val="18"/>
                <w:color w:val="auto"/>
              </w:rPr>
            </w:pPr>
          </w:p>
        </w:tc>
        <w:tc>
          <w:tcPr>
            <w:tcW w:w="2620" w:type="dxa"/>
            <w:vAlign w:val="bottom"/>
          </w:tcPr>
          <w:p>
            <w:pPr>
              <w:jc w:val="center"/>
              <w:ind w:left="456"/>
              <w:spacing w:after="0"/>
              <w:rPr>
                <w:sz w:val="20"/>
                <w:szCs w:val="20"/>
                <w:color w:val="auto"/>
              </w:rPr>
            </w:pPr>
            <w:r>
              <w:rPr>
                <w:rFonts w:ascii="Arial" w:cs="Arial" w:eastAsia="Arial" w:hAnsi="Arial"/>
                <w:sz w:val="14"/>
                <w:szCs w:val="14"/>
                <w:color w:val="auto"/>
                <w:w w:val="96"/>
              </w:rPr>
              <w:t>(I.R.S. Employer Identification No.)</w:t>
            </w:r>
          </w:p>
        </w:tc>
      </w:tr>
      <w:tr>
        <w:trPr>
          <w:trHeight w:val="404"/>
        </w:trPr>
        <w:tc>
          <w:tcPr>
            <w:tcW w:w="5920" w:type="dxa"/>
            <w:vAlign w:val="bottom"/>
            <w:gridSpan w:val="2"/>
          </w:tcPr>
          <w:p>
            <w:pPr>
              <w:ind w:left="2320"/>
              <w:spacing w:after="0"/>
              <w:rPr>
                <w:sz w:val="20"/>
                <w:szCs w:val="20"/>
                <w:color w:val="auto"/>
              </w:rPr>
            </w:pPr>
            <w:r>
              <w:rPr>
                <w:rFonts w:ascii="Arial" w:cs="Arial" w:eastAsia="Arial" w:hAnsi="Arial"/>
                <w:sz w:val="18"/>
                <w:szCs w:val="18"/>
                <w:b w:val="1"/>
                <w:bCs w:val="1"/>
                <w:color w:val="auto"/>
              </w:rPr>
              <w:t>777 Old Saw Mill River Road  Tarrytown,</w:t>
            </w:r>
          </w:p>
        </w:tc>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New York</w:t>
            </w:r>
          </w:p>
        </w:tc>
        <w:tc>
          <w:tcPr>
            <w:tcW w:w="2620" w:type="dxa"/>
            <w:vAlign w:val="bottom"/>
          </w:tcPr>
          <w:p>
            <w:pPr>
              <w:jc w:val="right"/>
              <w:ind w:right="1556"/>
              <w:spacing w:after="0"/>
              <w:rPr>
                <w:sz w:val="20"/>
                <w:szCs w:val="20"/>
                <w:color w:val="auto"/>
              </w:rPr>
            </w:pPr>
            <w:r>
              <w:rPr>
                <w:rFonts w:ascii="Arial" w:cs="Arial" w:eastAsia="Arial" w:hAnsi="Arial"/>
                <w:sz w:val="18"/>
                <w:szCs w:val="18"/>
                <w:b w:val="1"/>
                <w:bCs w:val="1"/>
                <w:color w:val="auto"/>
                <w:w w:val="99"/>
              </w:rPr>
              <w:t>10591-6707</w:t>
            </w:r>
          </w:p>
        </w:tc>
      </w:tr>
      <w:tr>
        <w:trPr>
          <w:trHeight w:val="231"/>
        </w:trPr>
        <w:tc>
          <w:tcPr>
            <w:tcW w:w="6980" w:type="dxa"/>
            <w:vAlign w:val="bottom"/>
            <w:gridSpan w:val="3"/>
          </w:tcPr>
          <w:p>
            <w:pPr>
              <w:jc w:val="center"/>
              <w:ind w:left="3219"/>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2620" w:type="dxa"/>
            <w:vAlign w:val="bottom"/>
          </w:tcPr>
          <w:p>
            <w:pPr>
              <w:spacing w:after="0"/>
              <w:rPr>
                <w:sz w:val="20"/>
                <w:szCs w:val="20"/>
                <w:color w:val="auto"/>
              </w:rPr>
            </w:pPr>
          </w:p>
        </w:tc>
      </w:tr>
    </w:tbl>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3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2900" w:type="dxa"/>
            <w:vAlign w:val="bottom"/>
            <w:gridSpan w:val="2"/>
          </w:tcPr>
          <w:p>
            <w:pPr>
              <w:jc w:val="center"/>
              <w:ind w:right="1620"/>
              <w:spacing w:after="0"/>
              <w:rPr>
                <w:sz w:val="20"/>
                <w:szCs w:val="20"/>
                <w:color w:val="auto"/>
              </w:rPr>
            </w:pPr>
            <w:r>
              <w:rPr>
                <w:rFonts w:ascii="Arial" w:cs="Arial" w:eastAsia="Arial" w:hAnsi="Arial"/>
                <w:sz w:val="18"/>
                <w:szCs w:val="18"/>
                <w:i w:val="1"/>
                <w:iCs w:val="1"/>
                <w:color w:val="auto"/>
                <w:w w:val="88"/>
              </w:rPr>
              <w:t>Title of each class</w:t>
            </w:r>
          </w:p>
        </w:tc>
        <w:tc>
          <w:tcPr>
            <w:tcW w:w="2580" w:type="dxa"/>
            <w:vAlign w:val="bottom"/>
            <w:gridSpan w:val="3"/>
          </w:tcPr>
          <w:p>
            <w:pPr>
              <w:jc w:val="center"/>
              <w:ind w:right="20"/>
              <w:spacing w:after="0"/>
              <w:rPr>
                <w:sz w:val="20"/>
                <w:szCs w:val="20"/>
                <w:color w:val="auto"/>
              </w:rPr>
            </w:pPr>
            <w:r>
              <w:rPr>
                <w:rFonts w:ascii="Arial" w:cs="Arial" w:eastAsia="Arial" w:hAnsi="Arial"/>
                <w:sz w:val="18"/>
                <w:szCs w:val="18"/>
                <w:i w:val="1"/>
                <w:iCs w:val="1"/>
                <w:color w:val="auto"/>
                <w:w w:val="89"/>
              </w:rPr>
              <w:t>Trading Symbol(s)</w:t>
            </w:r>
          </w:p>
        </w:tc>
        <w:tc>
          <w:tcPr>
            <w:tcW w:w="3820" w:type="dxa"/>
            <w:vAlign w:val="bottom"/>
            <w:gridSpan w:val="2"/>
          </w:tcPr>
          <w:p>
            <w:pPr>
              <w:jc w:val="center"/>
              <w:ind w:left="550"/>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390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620" w:type="dxa"/>
            <w:vAlign w:val="bottom"/>
          </w:tcPr>
          <w:p>
            <w:pPr>
              <w:spacing w:after="0"/>
              <w:rPr>
                <w:sz w:val="24"/>
                <w:szCs w:val="24"/>
                <w:color w:val="auto"/>
              </w:rPr>
            </w:pPr>
          </w:p>
        </w:tc>
        <w:tc>
          <w:tcPr>
            <w:tcW w:w="19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9"/>
              </w:rPr>
              <w:t>REGN</w:t>
            </w:r>
          </w:p>
        </w:tc>
        <w:tc>
          <w:tcPr>
            <w:tcW w:w="64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288" w:right="2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60" w:firstLine="243"/>
        <w:spacing w:after="0" w:line="264" w:lineRule="auto"/>
        <w:rPr>
          <w:sz w:val="20"/>
          <w:szCs w:val="20"/>
          <w:color w:val="auto"/>
        </w:rPr>
      </w:pPr>
      <w:r>
        <w:rPr>
          <w:rFonts w:ascii="Arial" w:cs="Arial" w:eastAsia="Arial" w:hAnsi="Arial"/>
          <w:sz w:val="18"/>
          <w:szCs w:val="18"/>
          <w:color w:val="auto"/>
        </w:rPr>
        <w:t>On November 5, 2019, Regeneron Pharmaceuticals, Inc. issued a press release announcing its financial and operating results for the quarter ended September 30, 2019.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November 5, 2019, Reporting Third Quarter 2019 Financial and Operating Results.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Date: November 5, 2019</w:t>
            </w:r>
          </w:p>
        </w:tc>
        <w:tc>
          <w:tcPr>
            <w:tcW w:w="6580" w:type="dxa"/>
            <w:vAlign w:val="bottom"/>
            <w:gridSpan w:val="2"/>
          </w:tcPr>
          <w:p>
            <w:pPr>
              <w:ind w:left="82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600" w:type="dxa"/>
            <w:vAlign w:val="bottom"/>
          </w:tcPr>
          <w:p>
            <w:pPr>
              <w:spacing w:after="0"/>
              <w:rPr>
                <w:sz w:val="24"/>
                <w:szCs w:val="24"/>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56"/>
        </w:trPr>
        <w:tc>
          <w:tcPr>
            <w:tcW w:w="26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w:t>
            </w:r>
          </w:p>
        </w:tc>
      </w:tr>
      <w:tr>
        <w:trPr>
          <w:trHeight w:val="230"/>
        </w:trPr>
        <w:tc>
          <w:tcPr>
            <w:tcW w:w="2600" w:type="dxa"/>
            <w:vAlign w:val="bottom"/>
          </w:tcPr>
          <w:p>
            <w:pPr>
              <w:spacing w:after="0"/>
              <w:rPr>
                <w:sz w:val="20"/>
                <w:szCs w:val="20"/>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0520"/>
          </w:cols>
          <w:pgMar w:left="240" w:top="368" w:right="11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2019 Financial and Operating Results</w:t>
      </w:r>
    </w:p>
    <w:p>
      <w:pPr>
        <w:spacing w:after="0" w:line="16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2019 revenues increased 23% to $2.05 billion versus third quarter 2018</w:t>
      </w:r>
    </w:p>
    <w:p>
      <w:pPr>
        <w:spacing w:after="0" w:line="25" w:lineRule="exact"/>
        <w:rPr>
          <w:rFonts w:ascii="Arial" w:cs="Arial" w:eastAsia="Arial" w:hAnsi="Arial"/>
          <w:sz w:val="22"/>
          <w:szCs w:val="22"/>
          <w:i w:val="1"/>
          <w:iCs w:val="1"/>
          <w:color w:val="auto"/>
        </w:rPr>
      </w:pPr>
    </w:p>
    <w:p>
      <w:pPr>
        <w:ind w:left="340" w:hanging="332"/>
        <w:spacing w:after="0" w:line="191"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EYLEA</w:t>
      </w:r>
      <w:r>
        <w:rPr>
          <w:rFonts w:ascii="Arial" w:cs="Arial" w:eastAsia="Arial" w:hAnsi="Arial"/>
          <w:sz w:val="28"/>
          <w:szCs w:val="28"/>
          <w:color w:val="auto"/>
          <w:vertAlign w:val="superscript"/>
        </w:rPr>
        <w:t>®</w:t>
      </w:r>
      <w:r>
        <w:rPr>
          <w:rFonts w:ascii="Arial" w:cs="Arial" w:eastAsia="Arial" w:hAnsi="Arial"/>
          <w:sz w:val="22"/>
          <w:szCs w:val="22"/>
          <w:i w:val="1"/>
          <w:iCs w:val="1"/>
          <w:color w:val="auto"/>
        </w:rPr>
        <w:t xml:space="preserve"> U.S. net sales increased 16% to $1.19 billion versus third quarter 2018</w:t>
      </w:r>
    </w:p>
    <w:p>
      <w:pPr>
        <w:ind w:left="340" w:right="90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Dupixent</w:t>
      </w:r>
      <w:r>
        <w:rPr>
          <w:rFonts w:ascii="Arial" w:cs="Arial" w:eastAsia="Arial" w:hAnsi="Arial"/>
          <w:sz w:val="28"/>
          <w:szCs w:val="28"/>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25"/>
          <w:szCs w:val="25"/>
          <w:i w:val="1"/>
          <w:iCs w:val="1"/>
          <w:color w:val="auto"/>
          <w:vertAlign w:val="superscript"/>
        </w:rPr>
        <w:t>(5)</w:t>
      </w:r>
      <w:r>
        <w:rPr>
          <w:rFonts w:ascii="Arial" w:cs="Arial" w:eastAsia="Arial" w:hAnsi="Arial"/>
          <w:sz w:val="22"/>
          <w:szCs w:val="22"/>
          <w:i w:val="1"/>
          <w:iCs w:val="1"/>
          <w:color w:val="auto"/>
        </w:rPr>
        <w:t>, which increased 141% to $633 million versus third quarter 2018, drove higher profitability from antibody collaboration with Sanofi</w:t>
      </w:r>
    </w:p>
    <w:p>
      <w:pPr>
        <w:ind w:left="34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2019 GAAP diluted EPS was $5.86 and third quarter non-GAAP diluted EPS</w:t>
      </w:r>
      <w:r>
        <w:rPr>
          <w:rFonts w:ascii="Arial" w:cs="Arial" w:eastAsia="Arial" w:hAnsi="Arial"/>
          <w:sz w:val="25"/>
          <w:szCs w:val="25"/>
          <w:i w:val="1"/>
          <w:iCs w:val="1"/>
          <w:color w:val="auto"/>
          <w:vertAlign w:val="superscript"/>
        </w:rPr>
        <w:t>(1)</w:t>
      </w:r>
      <w:r>
        <w:rPr>
          <w:rFonts w:ascii="Arial" w:cs="Arial" w:eastAsia="Arial" w:hAnsi="Arial"/>
          <w:sz w:val="22"/>
          <w:szCs w:val="22"/>
          <w:i w:val="1"/>
          <w:iCs w:val="1"/>
          <w:color w:val="auto"/>
        </w:rPr>
        <w:t xml:space="preserve"> was $6.67</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Company announces $1.0 billion share repurchase program</w:t>
      </w:r>
    </w:p>
    <w:p>
      <w:pPr>
        <w:spacing w:after="0" w:line="234" w:lineRule="exact"/>
        <w:rPr>
          <w:sz w:val="20"/>
          <w:szCs w:val="20"/>
          <w:color w:val="auto"/>
        </w:rPr>
      </w:pPr>
    </w:p>
    <w:p>
      <w:pPr>
        <w:ind w:right="220"/>
        <w:spacing w:after="0" w:line="274" w:lineRule="auto"/>
        <w:rPr>
          <w:sz w:val="20"/>
          <w:szCs w:val="20"/>
          <w:color w:val="auto"/>
        </w:rPr>
      </w:pPr>
      <w:r>
        <w:rPr>
          <w:rFonts w:ascii="Arial" w:cs="Arial" w:eastAsia="Arial" w:hAnsi="Arial"/>
          <w:sz w:val="22"/>
          <w:szCs w:val="22"/>
          <w:b w:val="1"/>
          <w:bCs w:val="1"/>
          <w:color w:val="auto"/>
        </w:rPr>
        <w:t xml:space="preserve">Tarrytown, New York (November 5, 2019)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2019 and provided a business update.</w:t>
      </w:r>
    </w:p>
    <w:p>
      <w:pPr>
        <w:spacing w:after="0" w:line="218"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"Regeneron delivered positive financial and operational results this quarter, marked by significant EYLEA and Dupixent sales growth and progress across our pipeline," said Leonard S. Schleifer, M.D., Ph.D., President and Chief Executive Officer of Regeneron. "We are broadening our efforts in retinal and type 2 inflammatory diseases, including initiating late-stage trials of Dupixent in additional type 2 diseases in the coming months. Oncology is a major focus of our research and development efforts, and we are advancing important new potential treatments for patients with a variety of cancers. We currently have six bispecific antibodies in the clinic, and multiple pivotal trials with Libtayo in non-small cell lung, skin, and other cancers."</w:t>
      </w:r>
    </w:p>
    <w:p>
      <w:pPr>
        <w:spacing w:after="0" w:line="253" w:lineRule="exact"/>
        <w:rPr>
          <w:sz w:val="20"/>
          <w:szCs w:val="20"/>
          <w:color w:val="auto"/>
        </w:rPr>
      </w:pPr>
    </w:p>
    <w:p>
      <w:pPr>
        <w:jc w:val="both"/>
        <w:ind w:right="80"/>
        <w:spacing w:after="0" w:line="245" w:lineRule="auto"/>
        <w:rPr>
          <w:sz w:val="20"/>
          <w:szCs w:val="20"/>
          <w:color w:val="auto"/>
        </w:rPr>
      </w:pPr>
      <w:r>
        <w:rPr>
          <w:rFonts w:ascii="Arial" w:cs="Arial" w:eastAsia="Arial" w:hAnsi="Arial"/>
          <w:sz w:val="22"/>
          <w:szCs w:val="22"/>
          <w:color w:val="auto"/>
        </w:rPr>
        <w:t>"This quarter, we realized improving profitability from the Sanofi antibody collaboration, which is contributing to a more diverse earnings base for the Company," said Robert E. Landry, Executive Vice President, Finance and Chief Financial Officer of Regeneron. "Our financial results, strength of our balance sheet, and confidence in our business longer-term allow us to continue deploying capital by investing in internal and external innovation to expand our pipeline, while also returning cash to shareholders with the initiation of a $1 billion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78"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5"/>
          </w:tcPr>
          <w:p>
            <w:pPr>
              <w:jc w:val="center"/>
              <w:ind w:right="400"/>
              <w:spacing w:after="0"/>
              <w:rPr>
                <w:sz w:val="20"/>
                <w:szCs w:val="20"/>
                <w:color w:val="auto"/>
              </w:rPr>
            </w:pPr>
            <w:r>
              <w:rPr>
                <w:rFonts w:ascii="Arial" w:cs="Arial" w:eastAsia="Arial" w:hAnsi="Arial"/>
                <w:sz w:val="20"/>
                <w:szCs w:val="20"/>
                <w:b w:val="1"/>
                <w:bCs w:val="1"/>
                <w:color w:val="auto"/>
                <w:w w:val="98"/>
              </w:rPr>
              <w:t>Three Months Ended</w:t>
            </w:r>
          </w:p>
        </w:tc>
        <w:tc>
          <w:tcPr>
            <w:tcW w:w="1380" w:type="dxa"/>
            <w:vAlign w:val="bottom"/>
          </w:tcPr>
          <w:p>
            <w:pPr>
              <w:spacing w:after="0"/>
              <w:rPr>
                <w:sz w:val="19"/>
                <w:szCs w:val="19"/>
                <w:color w:val="auto"/>
              </w:rPr>
            </w:pPr>
          </w:p>
        </w:tc>
      </w:tr>
      <w:tr>
        <w:trPr>
          <w:trHeight w:val="264"/>
        </w:trPr>
        <w:tc>
          <w:tcPr>
            <w:tcW w:w="5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20"/>
                <w:szCs w:val="20"/>
                <w:b w:val="1"/>
                <w:bCs w:val="1"/>
                <w:color w:val="auto"/>
                <w:w w:val="99"/>
              </w:rPr>
              <w:t>September 30,</w:t>
            </w:r>
          </w:p>
        </w:tc>
        <w:tc>
          <w:tcPr>
            <w:tcW w:w="1380" w:type="dxa"/>
            <w:vAlign w:val="bottom"/>
          </w:tcPr>
          <w:p>
            <w:pPr>
              <w:spacing w:after="0"/>
              <w:rPr>
                <w:sz w:val="22"/>
                <w:szCs w:val="22"/>
                <w:color w:val="auto"/>
              </w:rPr>
            </w:pPr>
          </w:p>
        </w:tc>
      </w:tr>
      <w:tr>
        <w:trPr>
          <w:trHeight w:val="266"/>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6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2018</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 Change</w:t>
            </w:r>
          </w:p>
        </w:tc>
      </w:tr>
      <w:tr>
        <w:trPr>
          <w:trHeight w:val="268"/>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w:t>
            </w:r>
          </w:p>
        </w:tc>
      </w:tr>
      <w:tr>
        <w:trPr>
          <w:trHeight w:val="265"/>
        </w:trPr>
        <w:tc>
          <w:tcPr>
            <w:tcW w:w="500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670</w:t>
            </w:r>
          </w:p>
        </w:tc>
        <w:tc>
          <w:tcPr>
            <w:tcW w:w="120" w:type="dxa"/>
            <w:vAlign w:val="bottom"/>
          </w:tcPr>
          <w:p>
            <w:pPr>
              <w:spacing w:after="0"/>
              <w:rPr>
                <w:sz w:val="23"/>
                <w:szCs w:val="23"/>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595</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75"/>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5.17</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w:t>
            </w:r>
          </w:p>
        </w:tc>
      </w:tr>
      <w:tr>
        <w:trPr>
          <w:trHeight w:val="270"/>
        </w:trPr>
        <w:tc>
          <w:tcPr>
            <w:tcW w:w="5000" w:type="dxa"/>
            <w:vAlign w:val="bottom"/>
          </w:tcPr>
          <w:p>
            <w:pPr>
              <w:ind w:left="20"/>
              <w:spacing w:after="0" w:line="270"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(1)</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762</w:t>
            </w:r>
          </w:p>
        </w:tc>
        <w:tc>
          <w:tcPr>
            <w:tcW w:w="120" w:type="dxa"/>
            <w:vAlign w:val="bottom"/>
          </w:tcPr>
          <w:p>
            <w:pPr>
              <w:spacing w:after="0"/>
              <w:rPr>
                <w:sz w:val="23"/>
                <w:szCs w:val="23"/>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675</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70"/>
        </w:trPr>
        <w:tc>
          <w:tcPr>
            <w:tcW w:w="50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5.87</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jc w:val="both"/>
        <w:ind w:right="420"/>
        <w:spacing w:after="0" w:line="246" w:lineRule="auto"/>
        <w:rPr>
          <w:sz w:val="20"/>
          <w:szCs w:val="20"/>
          <w:color w:val="auto"/>
        </w:rPr>
      </w:pPr>
      <w:r>
        <w:rPr>
          <w:rFonts w:ascii="Arial" w:cs="Arial" w:eastAsia="Arial" w:hAnsi="Arial"/>
          <w:sz w:val="22"/>
          <w:szCs w:val="22"/>
          <w:color w:val="auto"/>
        </w:rPr>
        <w:t>Regeneron has 24 product candidates in clinical development, including five of the Company's U.S. Food and Drug Administration (FDA) approved products for which it is investigating additional indications. Updates from the clinical pipeline include: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w:t>
      </w:r>
    </w:p>
    <w:p>
      <w:pPr>
        <w:ind w:left="34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August 2019, the FDA approved the EYLEA pre-filled syringe, which is expected to be launched before the end of this year.</w:t>
      </w:r>
    </w:p>
    <w:p>
      <w:pPr>
        <w:ind w:left="340" w:right="36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 Phase 2 study exploring less frequent dosing intervals using a high-dose formulation of aflibercept in wet AMD was initiated.</w:t>
      </w: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 Phase 3 study in retinopathy of prematurity was initiated.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w:t>
      </w:r>
    </w:p>
    <w:p>
      <w:pPr>
        <w:ind w:left="3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August 2019, the European Commission (EC) extended its approval of Dupixent in the European Union to include adolescents 12 to 17 years of age with moderate-to-severe atopic dermatitis who are candidates for systemic therapy.</w:t>
      </w:r>
    </w:p>
    <w:p>
      <w:pPr>
        <w:spacing w:after="0" w:line="1" w:lineRule="exact"/>
        <w:rPr>
          <w:rFonts w:ascii="Arial" w:cs="Arial" w:eastAsia="Arial" w:hAnsi="Arial"/>
          <w:sz w:val="22"/>
          <w:szCs w:val="22"/>
          <w:color w:val="auto"/>
        </w:rPr>
      </w:pPr>
    </w:p>
    <w:p>
      <w:pPr>
        <w:ind w:left="340" w:right="30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August 2019, the Company and Sanofi announced that the Phase 3 trial to treat severe atopic dermatitis in children 6 to 11 years of age met its primary and secondary endpoints. Submissions for a supplemental Biologics License Application (sBLA) and Marketing Authorization Application (MAA) for this expanded atopic dermatitis indication in pediatric patients are expected by the end of the year.</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October 2019, the EC approved Dupixent in chronic rhinosinusitis with nasal polyposis (CRSwNP).</w:t>
      </w:r>
    </w:p>
    <w:p>
      <w:pPr>
        <w:spacing w:after="0" w:line="3" w:lineRule="exact"/>
        <w:rPr>
          <w:rFonts w:ascii="Arial" w:cs="Arial" w:eastAsia="Arial" w:hAnsi="Arial"/>
          <w:sz w:val="22"/>
          <w:szCs w:val="22"/>
          <w:color w:val="auto"/>
        </w:rPr>
      </w:pPr>
    </w:p>
    <w:p>
      <w:pPr>
        <w:ind w:left="340" w:right="960" w:hanging="332"/>
        <w:spacing w:after="0" w:line="249"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and Sanofi plan to initiate Phase 3 studies in bullous pemphigoid, prurigo nodularis, chronic spontaneous urticaria, and additional type 2 inflammatory diseases.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w:t>
      </w:r>
    </w:p>
    <w:p>
      <w:pPr>
        <w:ind w:left="340" w:hanging="332"/>
        <w:spacing w:after="0" w:line="246"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August 2019, the Company and Sanofi announced the U.S. District Court for the District of Delaware ruled in their favor and found as a matter of law that Amgen's asserted patent claims for antibodies targeting PCSK9 are invalid based on lack of enablement.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Evinacumab</w:t>
      </w:r>
      <w:r>
        <w:rPr>
          <w:rFonts w:ascii="Arial" w:cs="Arial" w:eastAsia="Arial" w:hAnsi="Arial"/>
          <w:sz w:val="22"/>
          <w:szCs w:val="22"/>
          <w:color w:val="auto"/>
        </w:rPr>
        <w:t>, an antibody to ANGPTL3</w:t>
      </w:r>
    </w:p>
    <w:p>
      <w:pPr>
        <w:spacing w:after="0" w:line="4" w:lineRule="exact"/>
        <w:rPr>
          <w:sz w:val="20"/>
          <w:szCs w:val="20"/>
          <w:color w:val="auto"/>
        </w:rPr>
      </w:pPr>
    </w:p>
    <w:p>
      <w:pPr>
        <w:ind w:left="340" w:right="400" w:hanging="332"/>
        <w:spacing w:after="0" w:line="272" w:lineRule="auto"/>
        <w:tabs>
          <w:tab w:leader="none" w:pos="340" w:val="left"/>
        </w:tabs>
        <w:numPr>
          <w:ilvl w:val="0"/>
          <w:numId w:val="6"/>
        </w:numPr>
        <w:rPr>
          <w:rFonts w:ascii="Arial" w:cs="Arial" w:eastAsia="Arial" w:hAnsi="Arial"/>
          <w:sz w:val="21"/>
          <w:szCs w:val="21"/>
          <w:color w:val="auto"/>
        </w:rPr>
      </w:pPr>
      <w:r>
        <w:rPr>
          <w:rFonts w:ascii="Arial" w:cs="Arial" w:eastAsia="Arial" w:hAnsi="Arial"/>
          <w:sz w:val="21"/>
          <w:szCs w:val="21"/>
          <w:color w:val="auto"/>
        </w:rPr>
        <w:t>In August 2019, the Company announced positive top-line results from a Phase 3 trial of evinacumab in patients with homozygous familial hypercholesterolemia (HoFH). The Company plans to submit a BLA in mid-2020.</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REGN-EB3</w:t>
      </w:r>
      <w:r>
        <w:rPr>
          <w:rFonts w:ascii="Arial" w:cs="Arial" w:eastAsia="Arial" w:hAnsi="Arial"/>
          <w:sz w:val="22"/>
          <w:szCs w:val="22"/>
          <w:color w:val="auto"/>
        </w:rPr>
        <w:t>, a multi-antibody therapy to Ebola virus infection</w:t>
      </w:r>
    </w:p>
    <w:p>
      <w:pPr>
        <w:spacing w:after="0" w:line="4" w:lineRule="exact"/>
        <w:rPr>
          <w:sz w:val="20"/>
          <w:szCs w:val="20"/>
          <w:color w:val="auto"/>
        </w:rPr>
      </w:pPr>
    </w:p>
    <w:p>
      <w:pPr>
        <w:ind w:left="340" w:right="220" w:hanging="332"/>
        <w:spacing w:after="0" w:line="243"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August 2019, the Company announced that a randomized, controlled trial evaluating four investigational therapies for Ebola virus infection was stopped early because REGN-EB3 was superior to ZMapp (the control arm of the trial since it was considered standard-of-care) in preventing death. REGN-EB3 and another investigational drug are being further studied as part of the Extension Phase of this trial.</w:t>
      </w:r>
    </w:p>
    <w:p>
      <w:pPr>
        <w:spacing w:after="0" w:line="1" w:lineRule="exact"/>
        <w:rPr>
          <w:rFonts w:ascii="Arial" w:cs="Arial" w:eastAsia="Arial" w:hAnsi="Arial"/>
          <w:sz w:val="22"/>
          <w:szCs w:val="22"/>
          <w:color w:val="auto"/>
        </w:rPr>
      </w:pPr>
    </w:p>
    <w:p>
      <w:pPr>
        <w:ind w:left="340" w:hanging="332"/>
        <w:spacing w:after="0" w:line="249"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FDA granted Breakthrough Therapy designation for the treatment of Ebola virus infection and the Company has initiated a rolling BLA submission.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REGN5678</w:t>
      </w:r>
      <w:r>
        <w:rPr>
          <w:rFonts w:ascii="Arial" w:cs="Arial" w:eastAsia="Arial" w:hAnsi="Arial"/>
          <w:sz w:val="22"/>
          <w:szCs w:val="22"/>
          <w:color w:val="auto"/>
        </w:rPr>
        <w:t>, a bispecific antibody targeting PSMA and CD28</w:t>
      </w:r>
    </w:p>
    <w:p>
      <w:pPr>
        <w:spacing w:after="0" w:line="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Phase 1 study evaluating this first-in-class co-stimulatory bispecific antibody was initiated in prostate cancer.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REGN5093</w:t>
      </w:r>
      <w:r>
        <w:rPr>
          <w:rFonts w:ascii="Arial" w:cs="Arial" w:eastAsia="Arial" w:hAnsi="Arial"/>
          <w:sz w:val="22"/>
          <w:szCs w:val="22"/>
          <w:color w:val="auto"/>
        </w:rPr>
        <w:t>, a bispecific antibody targeting two distinct MET epitopes</w:t>
      </w:r>
    </w:p>
    <w:p>
      <w:pPr>
        <w:spacing w:after="0" w:line="4" w:lineRule="exact"/>
        <w:rPr>
          <w:sz w:val="20"/>
          <w:szCs w:val="20"/>
          <w:color w:val="auto"/>
        </w:rPr>
      </w:pPr>
    </w:p>
    <w:p>
      <w:pPr>
        <w:ind w:left="340" w:right="320" w:hanging="332"/>
        <w:spacing w:after="0" w:line="249" w:lineRule="auto"/>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 Phase 1 study evaluating this first-in-class bispecific antibody was initiated in MET-altered advanced non-small cell lung cancer.</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 Repurchase Program</w:t>
      </w:r>
    </w:p>
    <w:p>
      <w:pPr>
        <w:spacing w:after="0" w:line="30"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In November 2019, the Company's board of directors authorized a share repurchase program to repurchase up to $1.0 billion of the Company's Common Stock. Repurchases may be made from time to time at management's discretion through a variety of methods. The program has no time limit and can be discontinued at any time. No shares have been repurchased under the program to date.</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2019 Financial Results</w:t>
      </w:r>
    </w:p>
    <w:p>
      <w:pPr>
        <w:spacing w:after="0" w:line="260" w:lineRule="exact"/>
        <w:rPr>
          <w:sz w:val="20"/>
          <w:szCs w:val="20"/>
          <w:color w:val="auto"/>
        </w:rPr>
      </w:pPr>
    </w:p>
    <w:p>
      <w:pPr>
        <w:ind w:right="300"/>
        <w:spacing w:after="0" w:line="274"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increased by 23% to $2.048 billion in the third quarter of 2019, compared to $1.663</w:t>
      </w:r>
      <w:r>
        <w:rPr>
          <w:rFonts w:ascii="Arial" w:cs="Arial" w:eastAsia="Arial" w:hAnsi="Arial"/>
          <w:sz w:val="22"/>
          <w:szCs w:val="22"/>
          <w:b w:val="1"/>
          <w:bCs w:val="1"/>
          <w:color w:val="auto"/>
        </w:rPr>
        <w:t xml:space="preserve"> </w:t>
      </w:r>
      <w:r>
        <w:rPr>
          <w:rFonts w:ascii="Arial" w:cs="Arial" w:eastAsia="Arial" w:hAnsi="Arial"/>
          <w:sz w:val="22"/>
          <w:szCs w:val="22"/>
          <w:color w:val="auto"/>
        </w:rPr>
        <w:t>billion in the third quarter of 2018.</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Net product sales were $1.238 billion in the third quarter of 2019, compared to $1.025 billion in the third quarter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2018. EYLEA net product sales in the United States were $1.188 billion in the third quarter of 2019, compared to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$1.022 billion in the third quarter of 2018. Overall distributor inventory levels for EYLEA in the United States remained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within the Company's one-to-two-week targeted range.</w:t>
      </w:r>
    </w:p>
    <w:p>
      <w:pPr>
        <w:spacing w:after="0" w:line="247"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Total revenues also include Sanofi and Bayer collaboration revenues</w:t>
      </w:r>
      <w:r>
        <w:rPr>
          <w:rFonts w:ascii="Arial" w:cs="Arial" w:eastAsia="Arial" w:hAnsi="Arial"/>
          <w:sz w:val="25"/>
          <w:szCs w:val="25"/>
          <w:color w:val="auto"/>
          <w:vertAlign w:val="superscript"/>
        </w:rPr>
        <w:t>(5)</w:t>
      </w:r>
      <w:r>
        <w:rPr>
          <w:rFonts w:ascii="Arial" w:cs="Arial" w:eastAsia="Arial" w:hAnsi="Arial"/>
          <w:sz w:val="22"/>
          <w:szCs w:val="22"/>
          <w:color w:val="auto"/>
        </w:rPr>
        <w:t xml:space="preserve"> of $707 million in the third quarter of 2019, compared to $521 million in the third quarter of 2018. Sanofi collaboration revenue in the third quarter of 2019 included the Company's share of profits from collaboration antibodies (Dupixent, Praluent, and Kevzara) of $94 million, while Sanofi collaboration revenue in the third quarter of 2018 included the Company's share of losses from collaboration antibodies of $39 million. The increase in the Company's share of profits from collaboration antibodies was primarily driven by higher Dupixent profits.</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and other revenue.</w:t>
      </w:r>
    </w:p>
    <w:p>
      <w:pPr>
        <w:spacing w:after="0" w:line="234"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$663 million in the third quarter of 2019,</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$557 million in the third quarter of 2018. The higher R&amp;D expenses in the third quarter of 2019 were principally due to additional costs incurred in connection with fasinumab as well as our earlier-stage pipeline, and higher headcount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90" w:right="239" w:bottom="1440" w:gutter="0" w:footer="0" w:header="0"/>
        </w:sectPr>
      </w:pPr>
    </w:p>
    <w:bookmarkStart w:id="6" w:name="page7"/>
    <w:bookmarkEnd w:id="6"/>
    <w:p>
      <w:pPr>
        <w:ind w:right="1020"/>
        <w:spacing w:after="0" w:line="249" w:lineRule="auto"/>
        <w:rPr>
          <w:sz w:val="20"/>
          <w:szCs w:val="20"/>
          <w:color w:val="auto"/>
        </w:rPr>
      </w:pPr>
      <w:r>
        <w:rPr>
          <w:rFonts w:ascii="Arial" w:cs="Arial" w:eastAsia="Arial" w:hAnsi="Arial"/>
          <w:sz w:val="22"/>
          <w:szCs w:val="22"/>
          <w:color w:val="auto"/>
        </w:rPr>
        <w:t>headcount-related costs. In each of the third quarters of 2019 and 2018, R&amp;D-related non-cash share-based compensation expense was $60 million.</w:t>
      </w:r>
    </w:p>
    <w:p>
      <w:pPr>
        <w:spacing w:after="0" w:line="219"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$420 million in the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2019, compared to $369 million in the third quarter of 2018. The higher SG&amp;A expenses in the third quarter of 2019 were primarily due to higher headcount and related costs, as well as an increase in commercialization-related expenses for Dupixent and EYLEA. In the third quarter of 2019, SG&amp;A-related non-cash share-based compensation expense was $41 million, compared to $43 million in the third quarter of 2018.</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GAAP COGS was $116 million in the third quarter of 2019, compared to $31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third quarter of 2018. The increase in COGS was primarily due to the Company's obligation to pay Sanofi its share of Libtayo U.S. gross profits, higher period costs at the Company's Limerick manufacturing facility, and higher inventory reserves and write-offs.</w:t>
      </w:r>
    </w:p>
    <w:p>
      <w:pPr>
        <w:spacing w:after="0" w:line="216"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b w:val="1"/>
          <w:bCs w:val="1"/>
          <w:color w:val="auto"/>
        </w:rPr>
        <w:t xml:space="preserve">Income Taxes: </w:t>
      </w:r>
      <w:r>
        <w:rPr>
          <w:rFonts w:ascii="Arial" w:cs="Arial" w:eastAsia="Arial" w:hAnsi="Arial"/>
          <w:sz w:val="22"/>
          <w:szCs w:val="22"/>
          <w:color w:val="auto"/>
        </w:rPr>
        <w:t>In the third quarter of 2019, GAAP income tax expense was $99 million and the effective tax rate was</w:t>
      </w:r>
      <w:r>
        <w:rPr>
          <w:rFonts w:ascii="Arial" w:cs="Arial" w:eastAsia="Arial" w:hAnsi="Arial"/>
          <w:sz w:val="22"/>
          <w:szCs w:val="22"/>
          <w:b w:val="1"/>
          <w:bCs w:val="1"/>
          <w:color w:val="auto"/>
        </w:rPr>
        <w:t xml:space="preserve"> </w:t>
      </w:r>
      <w:r>
        <w:rPr>
          <w:rFonts w:ascii="Arial" w:cs="Arial" w:eastAsia="Arial" w:hAnsi="Arial"/>
          <w:sz w:val="22"/>
          <w:szCs w:val="22"/>
          <w:color w:val="auto"/>
        </w:rPr>
        <w:t>12.9%, compared to $41 million and 6.5%, respectively, in the third quarter of 2018. The effective tax rate for the third quarter of 2019 was positively impacted, compared to the U.S. federal statutory rate, primarily by federal tax credits for research activities and the foreign-derived intangible income deduction, partly offset by the taxation of certain global intangible low-taxed income. The Company's effective tax rate for the third quarter of 2018 was positively impacted, compared to the U.S. federal statutory rate, primarily by the tax benefit associated with the U.S. Tax Reform Act and the federal tax credit for research activities.</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21"/>
          <w:szCs w:val="21"/>
          <w:b w:val="1"/>
          <w:bCs w:val="1"/>
          <w:color w:val="auto"/>
        </w:rPr>
        <w:t>GAAP and Non-GAAP Net Income</w:t>
      </w:r>
      <w:r>
        <w:rPr>
          <w:rFonts w:ascii="Arial" w:cs="Arial" w:eastAsia="Arial" w:hAnsi="Arial"/>
          <w:sz w:val="24"/>
          <w:szCs w:val="24"/>
          <w:b w:val="1"/>
          <w:bCs w:val="1"/>
          <w:color w:val="auto"/>
          <w:vertAlign w:val="superscript"/>
        </w:rPr>
        <w:t>(1)</w:t>
      </w:r>
      <w:r>
        <w:rPr>
          <w:rFonts w:ascii="Arial" w:cs="Arial" w:eastAsia="Arial" w:hAnsi="Arial"/>
          <w:sz w:val="21"/>
          <w:szCs w:val="21"/>
          <w:b w:val="1"/>
          <w:bCs w:val="1"/>
          <w:color w:val="auto"/>
        </w:rPr>
        <w:t xml:space="preserve">: </w:t>
      </w:r>
      <w:r>
        <w:rPr>
          <w:rFonts w:ascii="Arial" w:cs="Arial" w:eastAsia="Arial" w:hAnsi="Arial"/>
          <w:sz w:val="21"/>
          <w:szCs w:val="21"/>
          <w:color w:val="auto"/>
        </w:rPr>
        <w:t>GAAP net income was $670 million, or $5.86 per diluted share, in the third</w:t>
      </w:r>
      <w:r>
        <w:rPr>
          <w:rFonts w:ascii="Arial" w:cs="Arial" w:eastAsia="Arial" w:hAnsi="Arial"/>
          <w:sz w:val="21"/>
          <w:szCs w:val="21"/>
          <w:b w:val="1"/>
          <w:bCs w:val="1"/>
          <w:color w:val="auto"/>
        </w:rPr>
        <w:t xml:space="preserve"> </w:t>
      </w:r>
      <w:r>
        <w:rPr>
          <w:rFonts w:ascii="Arial" w:cs="Arial" w:eastAsia="Arial" w:hAnsi="Arial"/>
          <w:sz w:val="21"/>
          <w:szCs w:val="21"/>
          <w:color w:val="auto"/>
        </w:rPr>
        <w:t>quarter of 2019, compared to GAAP net income of $595 million, or $5.17 per diluted share, in the third quarter of 2018.</w:t>
      </w:r>
    </w:p>
    <w:p>
      <w:pPr>
        <w:spacing w:after="0" w:line="227" w:lineRule="exact"/>
        <w:rPr>
          <w:sz w:val="20"/>
          <w:szCs w:val="20"/>
          <w:color w:val="auto"/>
        </w:rPr>
      </w:pPr>
    </w:p>
    <w:p>
      <w:pPr>
        <w:ind w:right="460"/>
        <w:spacing w:after="0" w:line="249" w:lineRule="auto"/>
        <w:rPr>
          <w:sz w:val="20"/>
          <w:szCs w:val="20"/>
          <w:color w:val="auto"/>
        </w:rPr>
      </w:pPr>
      <w:r>
        <w:rPr>
          <w:rFonts w:ascii="Arial" w:cs="Arial" w:eastAsia="Arial" w:hAnsi="Arial"/>
          <w:sz w:val="22"/>
          <w:szCs w:val="22"/>
          <w:color w:val="auto"/>
        </w:rPr>
        <w:t>Non-GAAP net income was $762 million, or $6.67 per diluted share, in the third quarter of 2019, compared to non-GAAP net income of $675 million, or $5.87 per diluted share, in the third quarter of 2018.</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390" w:right="2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2019 Financial Guidance</w:t>
      </w:r>
      <w:r>
        <w:rPr>
          <w:rFonts w:ascii="Arial" w:cs="Arial" w:eastAsia="Arial" w:hAnsi="Arial"/>
          <w:sz w:val="25"/>
          <w:szCs w:val="25"/>
          <w:b w:val="1"/>
          <w:bCs w:val="1"/>
          <w:i w:val="1"/>
          <w:iCs w:val="1"/>
          <w:color w:val="auto"/>
          <w:vertAlign w:val="superscript"/>
        </w:rPr>
        <w:t>(2)</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2019 financial guidance consists of the following components:</w:t>
      </w:r>
    </w:p>
    <w:p>
      <w:pPr>
        <w:spacing w:after="0" w:line="112" w:lineRule="exact"/>
        <w:rPr>
          <w:sz w:val="20"/>
          <w:szCs w:val="20"/>
          <w:color w:val="auto"/>
        </w:rPr>
      </w:pPr>
    </w:p>
    <w:tbl>
      <w:tblPr>
        <w:tblLayout w:type="fixed"/>
        <w:tblInd w:w="870" w:type="dxa"/>
        <w:tblCellMar>
          <w:top w:w="0" w:type="dxa"/>
          <w:left w:w="0" w:type="dxa"/>
          <w:bottom w:w="0" w:type="dxa"/>
          <w:right w:w="0" w:type="dxa"/>
        </w:tblCellMar>
      </w:tblPr>
      <w:tr>
        <w:trPr>
          <w:trHeight w:val="233"/>
        </w:trPr>
        <w:tc>
          <w:tcPr>
            <w:tcW w:w="4560" w:type="dxa"/>
            <w:vAlign w:val="bottom"/>
            <w:tcBorders>
              <w:top w:val="single" w:sz="8" w:color="auto"/>
              <w:lef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GAAP Sanofi collaboration revenue: Sanofi</w:t>
            </w:r>
          </w:p>
        </w:tc>
        <w:tc>
          <w:tcPr>
            <w:tcW w:w="320" w:type="dxa"/>
            <w:vAlign w:val="bottom"/>
            <w:tcBorders>
              <w:top w:val="single" w:sz="8" w:color="auto"/>
              <w:right w:val="single" w:sz="8" w:color="auto"/>
            </w:tcBorders>
            <w:shd w:val="clear" w:color="auto" w:fill="CCEEFF"/>
          </w:tcPr>
          <w:p>
            <w:pPr>
              <w:spacing w:after="0"/>
              <w:rPr>
                <w:sz w:val="20"/>
                <w:szCs w:val="20"/>
                <w:color w:val="auto"/>
              </w:rPr>
            </w:pPr>
          </w:p>
        </w:tc>
        <w:tc>
          <w:tcPr>
            <w:tcW w:w="484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$490 million–$510 million</w:t>
            </w:r>
          </w:p>
        </w:tc>
      </w:tr>
      <w:tr>
        <w:trPr>
          <w:trHeight w:val="236"/>
        </w:trPr>
        <w:tc>
          <w:tcPr>
            <w:tcW w:w="45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reimbursement of Regeneron commercialization-</w:t>
            </w:r>
          </w:p>
        </w:tc>
        <w:tc>
          <w:tcPr>
            <w:tcW w:w="320" w:type="dxa"/>
            <w:vAlign w:val="bottom"/>
            <w:tcBorders>
              <w:right w:val="single" w:sz="8" w:color="auto"/>
            </w:tcBorders>
            <w:shd w:val="clear" w:color="auto" w:fill="CCEEFF"/>
          </w:tcPr>
          <w:p>
            <w:pPr>
              <w:spacing w:after="0"/>
              <w:rPr>
                <w:sz w:val="20"/>
                <w:szCs w:val="20"/>
                <w:color w:val="auto"/>
              </w:rPr>
            </w:pPr>
          </w:p>
        </w:tc>
        <w:tc>
          <w:tcPr>
            <w:tcW w:w="48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$500 million–$530 million)</w:t>
            </w:r>
          </w:p>
        </w:tc>
      </w:tr>
      <w:tr>
        <w:trPr>
          <w:trHeight w:val="242"/>
        </w:trPr>
        <w:tc>
          <w:tcPr>
            <w:tcW w:w="4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related expenses</w:t>
            </w:r>
          </w:p>
        </w:tc>
        <w:tc>
          <w:tcPr>
            <w:tcW w:w="320" w:type="dxa"/>
            <w:vAlign w:val="bottom"/>
            <w:tcBorders>
              <w:bottom w:val="single" w:sz="8" w:color="auto"/>
              <w:right w:val="single" w:sz="8" w:color="auto"/>
            </w:tcBorders>
            <w:shd w:val="clear" w:color="auto" w:fill="CCEEFF"/>
          </w:tcPr>
          <w:p>
            <w:pPr>
              <w:spacing w:after="0"/>
              <w:rPr>
                <w:sz w:val="21"/>
                <w:szCs w:val="21"/>
                <w:color w:val="auto"/>
              </w:rPr>
            </w:pPr>
          </w:p>
        </w:tc>
        <w:tc>
          <w:tcPr>
            <w:tcW w:w="48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18"/>
        </w:trPr>
        <w:tc>
          <w:tcPr>
            <w:tcW w:w="4560" w:type="dxa"/>
            <w:vAlign w:val="bottom"/>
            <w:tcBorders>
              <w:left w:val="single" w:sz="8" w:color="auto"/>
            </w:tcBorders>
          </w:tcPr>
          <w:p>
            <w:pPr>
              <w:ind w:left="40"/>
              <w:spacing w:after="0" w:line="217" w:lineRule="exact"/>
              <w:rPr>
                <w:sz w:val="20"/>
                <w:szCs w:val="20"/>
                <w:color w:val="auto"/>
              </w:rPr>
            </w:pPr>
            <w:r>
              <w:rPr>
                <w:rFonts w:ascii="Arial" w:cs="Arial" w:eastAsia="Arial" w:hAnsi="Arial"/>
                <w:sz w:val="20"/>
                <w:szCs w:val="20"/>
                <w:color w:val="auto"/>
              </w:rPr>
              <w:t>Unreimbursed R&amp;D</w:t>
            </w:r>
            <w:r>
              <w:rPr>
                <w:rFonts w:ascii="Arial" w:cs="Arial" w:eastAsia="Arial" w:hAnsi="Arial"/>
                <w:sz w:val="25"/>
                <w:szCs w:val="25"/>
                <w:color w:val="auto"/>
                <w:vertAlign w:val="superscript"/>
              </w:rPr>
              <w:t>(4)</w:t>
            </w:r>
          </w:p>
        </w:tc>
        <w:tc>
          <w:tcPr>
            <w:tcW w:w="32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20"/>
              <w:spacing w:after="0" w:line="218" w:lineRule="exact"/>
              <w:rPr>
                <w:sz w:val="20"/>
                <w:szCs w:val="20"/>
                <w:color w:val="auto"/>
              </w:rPr>
            </w:pPr>
            <w:r>
              <w:rPr>
                <w:rFonts w:ascii="Arial" w:cs="Arial" w:eastAsia="Arial" w:hAnsi="Arial"/>
                <w:sz w:val="20"/>
                <w:szCs w:val="20"/>
                <w:color w:val="auto"/>
              </w:rPr>
              <w:t>$2.360 billion</w:t>
            </w:r>
            <w:r>
              <w:rPr>
                <w:rFonts w:ascii="Arial" w:cs="Arial" w:eastAsia="Arial" w:hAnsi="Arial"/>
                <w:sz w:val="20"/>
                <w:szCs w:val="20"/>
                <w:i w:val="1"/>
                <w:iCs w:val="1"/>
                <w:color w:val="auto"/>
              </w:rPr>
              <w:t>–</w:t>
            </w:r>
            <w:r>
              <w:rPr>
                <w:rFonts w:ascii="Arial" w:cs="Arial" w:eastAsia="Arial" w:hAnsi="Arial"/>
                <w:sz w:val="20"/>
                <w:szCs w:val="20"/>
                <w:color w:val="auto"/>
              </w:rPr>
              <w:t>$2.410 billion</w:t>
            </w:r>
          </w:p>
        </w:tc>
      </w:tr>
      <w:tr>
        <w:trPr>
          <w:trHeight w:val="262"/>
        </w:trPr>
        <w:tc>
          <w:tcPr>
            <w:tcW w:w="4560" w:type="dxa"/>
            <w:vAlign w:val="bottom"/>
            <w:tcBorders>
              <w:left w:val="single" w:sz="8" w:color="auto"/>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$2.300 billion–$2.380 billion)</w:t>
            </w:r>
          </w:p>
        </w:tc>
      </w:tr>
      <w:tr>
        <w:trPr>
          <w:trHeight w:val="218"/>
        </w:trPr>
        <w:tc>
          <w:tcPr>
            <w:tcW w:w="4560" w:type="dxa"/>
            <w:vAlign w:val="bottom"/>
            <w:tcBorders>
              <w:left w:val="single" w:sz="8" w:color="auto"/>
            </w:tcBorders>
            <w:shd w:val="clear" w:color="auto" w:fill="CCEEFF"/>
          </w:tcPr>
          <w:p>
            <w:pPr>
              <w:ind w:left="40"/>
              <w:spacing w:after="0" w:line="217"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(1)(3)</w:t>
            </w:r>
          </w:p>
        </w:tc>
        <w:tc>
          <w:tcPr>
            <w:tcW w:w="320" w:type="dxa"/>
            <w:vAlign w:val="bottom"/>
            <w:tcBorders>
              <w:right w:val="single" w:sz="8" w:color="auto"/>
            </w:tcBorders>
            <w:shd w:val="clear" w:color="auto" w:fill="CCEEFF"/>
          </w:tcPr>
          <w:p>
            <w:pPr>
              <w:spacing w:after="0"/>
              <w:rPr>
                <w:sz w:val="18"/>
                <w:szCs w:val="18"/>
                <w:color w:val="auto"/>
              </w:rPr>
            </w:pPr>
          </w:p>
        </w:tc>
        <w:tc>
          <w:tcPr>
            <w:tcW w:w="4840" w:type="dxa"/>
            <w:vAlign w:val="bottom"/>
            <w:tcBorders>
              <w:right w:val="single" w:sz="8" w:color="auto"/>
            </w:tcBorders>
            <w:shd w:val="clear" w:color="auto" w:fill="CCEEFF"/>
          </w:tcPr>
          <w:p>
            <w:pPr>
              <w:ind w:left="20"/>
              <w:spacing w:after="0" w:line="218" w:lineRule="exact"/>
              <w:rPr>
                <w:sz w:val="20"/>
                <w:szCs w:val="20"/>
                <w:color w:val="auto"/>
              </w:rPr>
            </w:pPr>
            <w:r>
              <w:rPr>
                <w:rFonts w:ascii="Arial" w:cs="Arial" w:eastAsia="Arial" w:hAnsi="Arial"/>
                <w:sz w:val="20"/>
                <w:szCs w:val="20"/>
                <w:color w:val="auto"/>
              </w:rPr>
              <w:t>$1.680 billion</w:t>
            </w:r>
            <w:r>
              <w:rPr>
                <w:rFonts w:ascii="Arial" w:cs="Arial" w:eastAsia="Arial" w:hAnsi="Arial"/>
                <w:sz w:val="20"/>
                <w:szCs w:val="20"/>
                <w:i w:val="1"/>
                <w:iCs w:val="1"/>
                <w:color w:val="auto"/>
              </w:rPr>
              <w:t>–</w:t>
            </w:r>
            <w:r>
              <w:rPr>
                <w:rFonts w:ascii="Arial" w:cs="Arial" w:eastAsia="Arial" w:hAnsi="Arial"/>
                <w:sz w:val="20"/>
                <w:szCs w:val="20"/>
                <w:color w:val="auto"/>
              </w:rPr>
              <w:t>$1.710 billion</w:t>
            </w:r>
          </w:p>
        </w:tc>
      </w:tr>
      <w:tr>
        <w:trPr>
          <w:trHeight w:val="262"/>
        </w:trPr>
        <w:tc>
          <w:tcPr>
            <w:tcW w:w="4560" w:type="dxa"/>
            <w:vAlign w:val="bottom"/>
            <w:tcBorders>
              <w:left w:val="single" w:sz="8" w:color="auto"/>
              <w:bottom w:val="single" w:sz="8" w:color="auto"/>
            </w:tcBorders>
            <w:shd w:val="clear" w:color="auto" w:fill="CCEEFF"/>
          </w:tcPr>
          <w:p>
            <w:pPr>
              <w:spacing w:after="0"/>
              <w:rPr>
                <w:sz w:val="22"/>
                <w:szCs w:val="22"/>
                <w:color w:val="auto"/>
              </w:rPr>
            </w:pPr>
          </w:p>
        </w:tc>
        <w:tc>
          <w:tcPr>
            <w:tcW w:w="320" w:type="dxa"/>
            <w:vAlign w:val="bottom"/>
            <w:tcBorders>
              <w:bottom w:val="single" w:sz="8" w:color="auto"/>
              <w:right w:val="single" w:sz="8" w:color="auto"/>
            </w:tcBorders>
            <w:shd w:val="clear" w:color="auto" w:fill="CCEEFF"/>
          </w:tcPr>
          <w:p>
            <w:pPr>
              <w:spacing w:after="0"/>
              <w:rPr>
                <w:sz w:val="22"/>
                <w:szCs w:val="22"/>
                <w:color w:val="auto"/>
              </w:rPr>
            </w:pPr>
          </w:p>
        </w:tc>
        <w:tc>
          <w:tcPr>
            <w:tcW w:w="4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$1.650 billion–$1.710 billion)</w:t>
            </w:r>
          </w:p>
        </w:tc>
      </w:tr>
      <w:tr>
        <w:trPr>
          <w:trHeight w:val="218"/>
        </w:trPr>
        <w:tc>
          <w:tcPr>
            <w:tcW w:w="4560" w:type="dxa"/>
            <w:vAlign w:val="bottom"/>
            <w:tcBorders>
              <w:left w:val="single" w:sz="8" w:color="auto"/>
            </w:tcBorders>
          </w:tcPr>
          <w:p>
            <w:pPr>
              <w:ind w:left="40"/>
              <w:spacing w:after="0" w:line="218" w:lineRule="exact"/>
              <w:rPr>
                <w:sz w:val="20"/>
                <w:szCs w:val="20"/>
                <w:color w:val="auto"/>
              </w:rPr>
            </w:pPr>
            <w:r>
              <w:rPr>
                <w:rFonts w:ascii="Arial" w:cs="Arial" w:eastAsia="Arial" w:hAnsi="Arial"/>
                <w:sz w:val="20"/>
                <w:szCs w:val="20"/>
                <w:color w:val="auto"/>
              </w:rPr>
              <w:t>GAAP SG&amp;A</w:t>
            </w:r>
          </w:p>
        </w:tc>
        <w:tc>
          <w:tcPr>
            <w:tcW w:w="32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20"/>
              <w:spacing w:after="0" w:line="218" w:lineRule="exact"/>
              <w:rPr>
                <w:sz w:val="20"/>
                <w:szCs w:val="20"/>
                <w:color w:val="auto"/>
              </w:rPr>
            </w:pPr>
            <w:r>
              <w:rPr>
                <w:rFonts w:ascii="Arial" w:cs="Arial" w:eastAsia="Arial" w:hAnsi="Arial"/>
                <w:sz w:val="20"/>
                <w:szCs w:val="20"/>
                <w:color w:val="auto"/>
              </w:rPr>
              <w:t>$1.730 billion</w:t>
            </w:r>
            <w:r>
              <w:rPr>
                <w:rFonts w:ascii="Arial" w:cs="Arial" w:eastAsia="Arial" w:hAnsi="Arial"/>
                <w:sz w:val="20"/>
                <w:szCs w:val="20"/>
                <w:i w:val="1"/>
                <w:iCs w:val="1"/>
                <w:color w:val="auto"/>
              </w:rPr>
              <w:t>–</w:t>
            </w:r>
            <w:r>
              <w:rPr>
                <w:rFonts w:ascii="Arial" w:cs="Arial" w:eastAsia="Arial" w:hAnsi="Arial"/>
                <w:sz w:val="20"/>
                <w:szCs w:val="20"/>
                <w:color w:val="auto"/>
              </w:rPr>
              <w:t>$1.780 billion</w:t>
            </w:r>
          </w:p>
        </w:tc>
      </w:tr>
      <w:tr>
        <w:trPr>
          <w:trHeight w:val="262"/>
        </w:trPr>
        <w:tc>
          <w:tcPr>
            <w:tcW w:w="4560" w:type="dxa"/>
            <w:vAlign w:val="bottom"/>
            <w:tcBorders>
              <w:left w:val="single" w:sz="8" w:color="auto"/>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$1.705 billion–$1.785 billion)</w:t>
            </w:r>
          </w:p>
        </w:tc>
      </w:tr>
      <w:tr>
        <w:trPr>
          <w:trHeight w:val="218"/>
        </w:trPr>
        <w:tc>
          <w:tcPr>
            <w:tcW w:w="4560" w:type="dxa"/>
            <w:vAlign w:val="bottom"/>
            <w:tcBorders>
              <w:left w:val="single" w:sz="8" w:color="auto"/>
            </w:tcBorders>
            <w:shd w:val="clear" w:color="auto" w:fill="CCEEFF"/>
          </w:tcPr>
          <w:p>
            <w:pPr>
              <w:ind w:left="40"/>
              <w:spacing w:after="0" w:line="217"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(1)(3)</w:t>
            </w:r>
          </w:p>
        </w:tc>
        <w:tc>
          <w:tcPr>
            <w:tcW w:w="320" w:type="dxa"/>
            <w:vAlign w:val="bottom"/>
            <w:tcBorders>
              <w:right w:val="single" w:sz="8" w:color="auto"/>
            </w:tcBorders>
            <w:shd w:val="clear" w:color="auto" w:fill="CCEEFF"/>
          </w:tcPr>
          <w:p>
            <w:pPr>
              <w:spacing w:after="0"/>
              <w:rPr>
                <w:sz w:val="18"/>
                <w:szCs w:val="18"/>
                <w:color w:val="auto"/>
              </w:rPr>
            </w:pPr>
          </w:p>
        </w:tc>
        <w:tc>
          <w:tcPr>
            <w:tcW w:w="4840" w:type="dxa"/>
            <w:vAlign w:val="bottom"/>
            <w:tcBorders>
              <w:right w:val="single" w:sz="8" w:color="auto"/>
            </w:tcBorders>
            <w:shd w:val="clear" w:color="auto" w:fill="CCEEFF"/>
          </w:tcPr>
          <w:p>
            <w:pPr>
              <w:ind w:left="20"/>
              <w:spacing w:after="0" w:line="218" w:lineRule="exact"/>
              <w:rPr>
                <w:sz w:val="20"/>
                <w:szCs w:val="20"/>
                <w:color w:val="auto"/>
              </w:rPr>
            </w:pPr>
            <w:r>
              <w:rPr>
                <w:rFonts w:ascii="Arial" w:cs="Arial" w:eastAsia="Arial" w:hAnsi="Arial"/>
                <w:sz w:val="20"/>
                <w:szCs w:val="20"/>
                <w:color w:val="auto"/>
              </w:rPr>
              <w:t>$1.550 billion–$1.580 billion</w:t>
            </w:r>
          </w:p>
        </w:tc>
      </w:tr>
      <w:tr>
        <w:trPr>
          <w:trHeight w:val="262"/>
        </w:trPr>
        <w:tc>
          <w:tcPr>
            <w:tcW w:w="4560" w:type="dxa"/>
            <w:vAlign w:val="bottom"/>
            <w:tcBorders>
              <w:left w:val="single" w:sz="8" w:color="auto"/>
              <w:bottom w:val="single" w:sz="8" w:color="auto"/>
            </w:tcBorders>
            <w:shd w:val="clear" w:color="auto" w:fill="CCEEFF"/>
          </w:tcPr>
          <w:p>
            <w:pPr>
              <w:spacing w:after="0"/>
              <w:rPr>
                <w:sz w:val="22"/>
                <w:szCs w:val="22"/>
                <w:color w:val="auto"/>
              </w:rPr>
            </w:pPr>
          </w:p>
        </w:tc>
        <w:tc>
          <w:tcPr>
            <w:tcW w:w="320" w:type="dxa"/>
            <w:vAlign w:val="bottom"/>
            <w:tcBorders>
              <w:bottom w:val="single" w:sz="8" w:color="auto"/>
              <w:right w:val="single" w:sz="8" w:color="auto"/>
            </w:tcBorders>
            <w:shd w:val="clear" w:color="auto" w:fill="CCEEFF"/>
          </w:tcPr>
          <w:p>
            <w:pPr>
              <w:spacing w:after="0"/>
              <w:rPr>
                <w:sz w:val="22"/>
                <w:szCs w:val="22"/>
                <w:color w:val="auto"/>
              </w:rPr>
            </w:pPr>
          </w:p>
        </w:tc>
        <w:tc>
          <w:tcPr>
            <w:tcW w:w="4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$1.530 billion–$1.580 billion)</w:t>
            </w:r>
          </w:p>
        </w:tc>
      </w:tr>
      <w:tr>
        <w:trPr>
          <w:trHeight w:val="218"/>
        </w:trPr>
        <w:tc>
          <w:tcPr>
            <w:tcW w:w="4560" w:type="dxa"/>
            <w:vAlign w:val="bottom"/>
            <w:tcBorders>
              <w:left w:val="single" w:sz="8" w:color="auto"/>
            </w:tcBorders>
          </w:tcPr>
          <w:p>
            <w:pPr>
              <w:ind w:left="40"/>
              <w:spacing w:after="0" w:line="218" w:lineRule="exact"/>
              <w:rPr>
                <w:sz w:val="20"/>
                <w:szCs w:val="20"/>
                <w:color w:val="auto"/>
              </w:rPr>
            </w:pPr>
            <w:r>
              <w:rPr>
                <w:rFonts w:ascii="Arial" w:cs="Arial" w:eastAsia="Arial" w:hAnsi="Arial"/>
                <w:sz w:val="20"/>
                <w:szCs w:val="20"/>
                <w:color w:val="auto"/>
              </w:rPr>
              <w:t>GAAP effective tax rate</w:t>
            </w:r>
          </w:p>
        </w:tc>
        <w:tc>
          <w:tcPr>
            <w:tcW w:w="32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20"/>
              <w:spacing w:after="0" w:line="218" w:lineRule="exact"/>
              <w:rPr>
                <w:sz w:val="20"/>
                <w:szCs w:val="20"/>
                <w:color w:val="auto"/>
              </w:rPr>
            </w:pPr>
            <w:r>
              <w:rPr>
                <w:rFonts w:ascii="Arial" w:cs="Arial" w:eastAsia="Arial" w:hAnsi="Arial"/>
                <w:sz w:val="20"/>
                <w:szCs w:val="20"/>
                <w:color w:val="auto"/>
              </w:rPr>
              <w:t>12%–14%</w:t>
            </w:r>
          </w:p>
        </w:tc>
      </w:tr>
      <w:tr>
        <w:trPr>
          <w:trHeight w:val="262"/>
        </w:trPr>
        <w:tc>
          <w:tcPr>
            <w:tcW w:w="4560" w:type="dxa"/>
            <w:vAlign w:val="bottom"/>
            <w:tcBorders>
              <w:left w:val="single" w:sz="8" w:color="auto"/>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11%–13%)</w:t>
            </w:r>
          </w:p>
        </w:tc>
      </w:tr>
      <w:tr>
        <w:trPr>
          <w:trHeight w:val="218"/>
        </w:trPr>
        <w:tc>
          <w:tcPr>
            <w:tcW w:w="4560" w:type="dxa"/>
            <w:vAlign w:val="bottom"/>
            <w:tcBorders>
              <w:left w:val="single" w:sz="8" w:color="auto"/>
            </w:tcBorders>
            <w:shd w:val="clear" w:color="auto" w:fill="CCEEFF"/>
          </w:tcPr>
          <w:p>
            <w:pPr>
              <w:ind w:left="40"/>
              <w:spacing w:after="0" w:line="218" w:lineRule="exact"/>
              <w:rPr>
                <w:sz w:val="20"/>
                <w:szCs w:val="20"/>
                <w:color w:val="auto"/>
              </w:rPr>
            </w:pPr>
            <w:r>
              <w:rPr>
                <w:rFonts w:ascii="Arial" w:cs="Arial" w:eastAsia="Arial" w:hAnsi="Arial"/>
                <w:sz w:val="20"/>
                <w:szCs w:val="20"/>
                <w:color w:val="auto"/>
              </w:rPr>
              <w:t>Capital expenditures</w:t>
            </w:r>
          </w:p>
        </w:tc>
        <w:tc>
          <w:tcPr>
            <w:tcW w:w="320" w:type="dxa"/>
            <w:vAlign w:val="bottom"/>
            <w:tcBorders>
              <w:right w:val="single" w:sz="8" w:color="auto"/>
            </w:tcBorders>
            <w:shd w:val="clear" w:color="auto" w:fill="CCEEFF"/>
          </w:tcPr>
          <w:p>
            <w:pPr>
              <w:spacing w:after="0"/>
              <w:rPr>
                <w:sz w:val="18"/>
                <w:szCs w:val="18"/>
                <w:color w:val="auto"/>
              </w:rPr>
            </w:pPr>
          </w:p>
        </w:tc>
        <w:tc>
          <w:tcPr>
            <w:tcW w:w="4840" w:type="dxa"/>
            <w:vAlign w:val="bottom"/>
            <w:tcBorders>
              <w:right w:val="single" w:sz="8" w:color="auto"/>
            </w:tcBorders>
            <w:shd w:val="clear" w:color="auto" w:fill="CCEEFF"/>
          </w:tcPr>
          <w:p>
            <w:pPr>
              <w:ind w:left="20"/>
              <w:spacing w:after="0" w:line="218" w:lineRule="exact"/>
              <w:rPr>
                <w:sz w:val="20"/>
                <w:szCs w:val="20"/>
                <w:color w:val="auto"/>
              </w:rPr>
            </w:pPr>
            <w:r>
              <w:rPr>
                <w:rFonts w:ascii="Arial" w:cs="Arial" w:eastAsia="Arial" w:hAnsi="Arial"/>
                <w:sz w:val="20"/>
                <w:szCs w:val="20"/>
                <w:i w:val="1"/>
                <w:iCs w:val="1"/>
                <w:color w:val="auto"/>
              </w:rPr>
              <w:t>$390 million–$420 million</w:t>
            </w:r>
          </w:p>
        </w:tc>
      </w:tr>
      <w:tr>
        <w:trPr>
          <w:trHeight w:val="262"/>
        </w:trPr>
        <w:tc>
          <w:tcPr>
            <w:tcW w:w="4560" w:type="dxa"/>
            <w:vAlign w:val="bottom"/>
            <w:tcBorders>
              <w:left w:val="single" w:sz="8" w:color="auto"/>
              <w:bottom w:val="single" w:sz="8" w:color="auto"/>
            </w:tcBorders>
            <w:shd w:val="clear" w:color="auto" w:fill="CCEEFF"/>
          </w:tcPr>
          <w:p>
            <w:pPr>
              <w:spacing w:after="0"/>
              <w:rPr>
                <w:sz w:val="22"/>
                <w:szCs w:val="22"/>
                <w:color w:val="auto"/>
              </w:rPr>
            </w:pPr>
          </w:p>
        </w:tc>
        <w:tc>
          <w:tcPr>
            <w:tcW w:w="320" w:type="dxa"/>
            <w:vAlign w:val="bottom"/>
            <w:tcBorders>
              <w:bottom w:val="single" w:sz="8" w:color="auto"/>
              <w:right w:val="single" w:sz="8" w:color="auto"/>
            </w:tcBorders>
            <w:shd w:val="clear" w:color="auto" w:fill="CCEEFF"/>
          </w:tcPr>
          <w:p>
            <w:pPr>
              <w:spacing w:after="0"/>
              <w:rPr>
                <w:sz w:val="22"/>
                <w:szCs w:val="22"/>
                <w:color w:val="auto"/>
              </w:rPr>
            </w:pPr>
          </w:p>
        </w:tc>
        <w:tc>
          <w:tcPr>
            <w:tcW w:w="4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$380 million–$420 million)</w:t>
            </w:r>
          </w:p>
        </w:tc>
      </w:tr>
      <w:tr>
        <w:trPr>
          <w:trHeight w:val="998"/>
        </w:trPr>
        <w:tc>
          <w:tcPr>
            <w:tcW w:w="4560" w:type="dxa"/>
            <w:vAlign w:val="bottom"/>
          </w:tcPr>
          <w:p>
            <w:pPr>
              <w:spacing w:after="0"/>
              <w:rPr>
                <w:sz w:val="24"/>
                <w:szCs w:val="24"/>
                <w:color w:val="auto"/>
              </w:rPr>
            </w:pPr>
          </w:p>
        </w:tc>
        <w:tc>
          <w:tcPr>
            <w:tcW w:w="5160" w:type="dxa"/>
            <w:vAlign w:val="bottom"/>
            <w:gridSpan w:val="2"/>
          </w:tcPr>
          <w:p>
            <w:pPr>
              <w:jc w:val="right"/>
              <w:ind w:right="4721"/>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0580"/>
          </w:cols>
          <w:pgMar w:left="240" w:top="363" w:right="1079" w:bottom="1440" w:gutter="0" w:footer="0" w:header="0"/>
        </w:sectPr>
      </w:pPr>
    </w:p>
    <w:bookmarkStart w:id="8" w:name="page9"/>
    <w:bookmarkEnd w:id="8"/>
    <w:p>
      <w:pPr>
        <w:ind w:left="345" w:right="22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w:t>
      </w:r>
    </w:p>
    <w:p>
      <w:pPr>
        <w:spacing w:after="0" w:line="196" w:lineRule="exact"/>
        <w:rPr>
          <w:rFonts w:ascii="Arial" w:cs="Arial" w:eastAsia="Arial" w:hAnsi="Arial"/>
          <w:sz w:val="22"/>
          <w:szCs w:val="22"/>
          <w:color w:val="auto"/>
          <w:vertAlign w:val="superscript"/>
        </w:rPr>
      </w:pPr>
    </w:p>
    <w:p>
      <w:pPr>
        <w:ind w:left="345"/>
        <w:spacing w:after="0" w:line="227"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equity investments) or items that are not associated with normal, recurring operations.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6" w:lineRule="exact"/>
        <w:rPr>
          <w:rFonts w:ascii="Arial" w:cs="Arial" w:eastAsia="Arial" w:hAnsi="Arial"/>
          <w:sz w:val="22"/>
          <w:szCs w:val="22"/>
          <w:color w:val="auto"/>
          <w:vertAlign w:val="superscript"/>
        </w:rPr>
      </w:pPr>
    </w:p>
    <w:p>
      <w:pPr>
        <w:ind w:left="345" w:right="102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The Company's 2019 financial guidance does not assume the completion of any significant business development transactions not completed as of the date of this press release.</w:t>
      </w:r>
    </w:p>
    <w:p>
      <w:pPr>
        <w:spacing w:after="0" w:line="139"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2019 non-GAAP to GAAP financial guidance is included below:</w:t>
      </w:r>
    </w:p>
    <w:p>
      <w:pPr>
        <w:spacing w:after="0" w:line="153" w:lineRule="exact"/>
        <w:rPr>
          <w:sz w:val="20"/>
          <w:szCs w:val="20"/>
          <w:color w:val="auto"/>
        </w:rPr>
      </w:pPr>
    </w:p>
    <w:tbl>
      <w:tblPr>
        <w:tblLayout w:type="fixed"/>
        <w:tblInd w:w="1045"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Projected Range</w:t>
            </w: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b w:val="1"/>
                <w:bCs w:val="1"/>
                <w:color w:val="auto"/>
              </w:rPr>
              <w:t>High</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Unreimbursed R&amp;D</w:t>
            </w:r>
            <w:r>
              <w:rPr>
                <w:rFonts w:ascii="Arial" w:cs="Arial" w:eastAsia="Arial" w:hAnsi="Arial"/>
                <w:sz w:val="25"/>
                <w:szCs w:val="25"/>
                <w:color w:val="auto"/>
                <w:vertAlign w:val="superscript"/>
              </w:rPr>
              <w:t>(4)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2,410</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5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R&amp;D: Up-front payments related to license and collaboration</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5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agreements</w:t>
            </w: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Non-GAAP unreimbursed R&amp;D</w:t>
            </w: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18"/>
        </w:trPr>
        <w:tc>
          <w:tcPr>
            <w:tcW w:w="50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1,780</w:t>
            </w:r>
          </w:p>
        </w:tc>
      </w:tr>
      <w:tr>
        <w:trPr>
          <w:trHeight w:val="27"/>
        </w:trPr>
        <w:tc>
          <w:tcPr>
            <w:tcW w:w="5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SG&amp;A: Non-cash share-based compensation expense</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SG&amp;A: Other</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0"/>
        </w:trPr>
        <w:tc>
          <w:tcPr>
            <w:tcW w:w="5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left="365" w:right="80" w:hanging="351"/>
        <w:spacing w:after="0" w:line="225" w:lineRule="auto"/>
        <w:tabs>
          <w:tab w:leader="none" w:pos="36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GAAP R&amp;D expenses reduced by GAAP R&amp;D expense reimbursements from the Company's collaborators and/or customers (refer to Table 4).</w:t>
      </w:r>
    </w:p>
    <w:p>
      <w:pPr>
        <w:spacing w:after="0" w:line="208" w:lineRule="exact"/>
        <w:rPr>
          <w:rFonts w:ascii="Arial" w:cs="Arial" w:eastAsia="Arial" w:hAnsi="Arial"/>
          <w:sz w:val="22"/>
          <w:szCs w:val="22"/>
          <w:color w:val="auto"/>
          <w:vertAlign w:val="superscript"/>
        </w:rPr>
      </w:pPr>
    </w:p>
    <w:p>
      <w:pPr>
        <w:ind w:left="365" w:right="140" w:hanging="351"/>
        <w:spacing w:after="0" w:line="225" w:lineRule="auto"/>
        <w:tabs>
          <w:tab w:leader="none" w:pos="36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The Company's collaborators provide it with estimates of the collaborators' respective sales and the Company's share of the profits or losses from commercialization of products for the most recent fiscal quarter. The Company's estimates for such quarter are reconciled to actual results in the subsequent fiscal quarter, and the Company's share of the profit or loss is adjusted on a prospective basis accordingly,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5"/>
          </w:cols>
          <w:pgMar w:left="275" w:top="555"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160"/>
        <w:spacing w:after="0" w:line="245" w:lineRule="auto"/>
        <w:rPr>
          <w:sz w:val="20"/>
          <w:szCs w:val="20"/>
          <w:color w:val="auto"/>
        </w:rPr>
      </w:pPr>
      <w:r>
        <w:rPr>
          <w:rFonts w:ascii="Arial" w:cs="Arial" w:eastAsia="Arial" w:hAnsi="Arial"/>
          <w:sz w:val="22"/>
          <w:szCs w:val="22"/>
          <w:color w:val="auto"/>
        </w:rPr>
        <w:t>Regeneron will host a conference call and simultaneous webcast to discuss its third quarter 2019 financial and operating results on Tuesday, November 5, 2019, at 8:30 AM. To access this call, dial (800) 708-4540 (U.S.) or (847) 619-6397 (International). A link to the webcast may be accessed from the "Investors and Media" page of Regeneron's website at www.regeneron.com. A replay of the conference call and webcast will be archived on the Company's website and will be available for at least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32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30 years by physician-scientists, Regeneron's unique ability to repeatedly and consistently translate science into medicine has led to seven FDA-approved treatments and numerous product candidates in development, all of which were homegrown in Regeneron's laboratories. Regeneron's medicines and pipeline are designed to help patients with eye diseases, allergic and inflammatory diseases, cancer, cardiovascular and metabolic diseases, infectious diseases, pain, and rare diseases.</w:t>
      </w:r>
    </w:p>
    <w:p>
      <w:pPr>
        <w:spacing w:after="0" w:line="231" w:lineRule="exact"/>
        <w:rPr>
          <w:sz w:val="20"/>
          <w:szCs w:val="20"/>
          <w:color w:val="auto"/>
        </w:rPr>
      </w:pPr>
    </w:p>
    <w:p>
      <w:pPr>
        <w:ind w:right="80"/>
        <w:spacing w:after="0" w:line="241" w:lineRule="auto"/>
        <w:rPr>
          <w:sz w:val="20"/>
          <w:szCs w:val="20"/>
          <w:color w:val="auto"/>
        </w:rPr>
      </w:pPr>
      <w:r>
        <w:rPr>
          <w:rFonts w:ascii="Arial" w:cs="Arial" w:eastAsia="Arial" w:hAnsi="Arial"/>
          <w:sz w:val="22"/>
          <w:szCs w:val="22"/>
          <w:color w:val="auto"/>
        </w:rPr>
        <w:t xml:space="preserve">Regeneron is accelerating and improving the traditional drug development process through its proprietary </w:t>
      </w:r>
      <w:r>
        <w:rPr>
          <w:rFonts w:ascii="Arial" w:cs="Arial" w:eastAsia="Arial" w:hAnsi="Arial"/>
          <w:sz w:val="22"/>
          <w:szCs w:val="22"/>
          <w:i w:val="1"/>
          <w:iCs w:val="1"/>
          <w:color w:val="auto"/>
        </w:rPr>
        <w:t>VelociSuite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technologies, such as </w:t>
      </w:r>
      <w:r>
        <w:rPr>
          <w:rFonts w:ascii="Arial" w:cs="Arial" w:eastAsia="Arial" w:hAnsi="Arial"/>
          <w:sz w:val="22"/>
          <w:szCs w:val="22"/>
          <w:i w:val="1"/>
          <w:iCs w:val="1"/>
          <w:color w:val="auto"/>
        </w:rPr>
        <w:t>VelocImmune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which uses a unique genetically-humanized mouse to produce optimized fully-human antibodies and bispecific antibodies, and through ambitious research initiatives such as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which is conducting one of the largest genetics sequencing efforts in the world.</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press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Injection, 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(alirocumab) Injection,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Injection, Libtayo </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Injection, fasinumab, evinacumab, and REGN-EB3; the extent to which the results from the research and development programs conducted by Regeneron or its collaborators may be replicated in other studies and lead to therapeutic</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64" w:right="27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21"/>
          <w:szCs w:val="21"/>
          <w:color w:val="auto"/>
        </w:rPr>
        <w:t>applications; ongoing regulatory obligations and oversight impacting Regeneron's marketed products (such as EYLEA, Dupixent, Praluent, Kevzara, and Libtayo),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financial projections or guidance and changes to the assumptions underlying those projections or guidance, including without limitation those relating to Sanofi reimbursement of Regeneron commercialization-related expenses, unreimbursed R&amp;D, SG&amp;A, effective tax rate, and capital expenditures;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Dupixent and Praluent), other litigation and other proceedings and government investigations relating to the Company and/or its operations,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2018 and its Form 10-Q for the quarterly period ended September 30, 2019.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57"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90" w:right="2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Contact Information:</w:t>
      </w:r>
    </w:p>
    <w:p>
      <w:pPr>
        <w:sectPr>
          <w:pgSz w:w="11900" w:h="16838" w:orient="portrait"/>
          <w:cols w:equalWidth="0" w:num="1">
            <w:col w:w="9279"/>
          </w:cols>
          <w:pgMar w:left="1180" w:top="670" w:right="1440"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Justin Holko</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40" w:space="720"/>
            <w:col w:w="3319"/>
          </w:cols>
          <w:pgMar w:left="11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40" w:space="720"/>
            <w:col w:w="3319"/>
          </w:cols>
          <w:pgMar w:left="11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914-847-7786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40" w:space="720"/>
            <w:col w:w="3319"/>
          </w:cols>
          <w:pgMar w:left="1180" w:top="670"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justin.holko@regeneron.com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40" w:space="720"/>
            <w:col w:w="3319"/>
          </w:cols>
          <w:pgMar w:left="1180" w:top="6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279"/>
          </w:cols>
          <w:pgMar w:left="1180" w:top="670"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8340" w:type="dxa"/>
            <w:vAlign w:val="bottom"/>
            <w:gridSpan w:val="3"/>
          </w:tcPr>
          <w:p>
            <w:pPr>
              <w:spacing w:after="0"/>
              <w:rPr>
                <w:sz w:val="20"/>
                <w:szCs w:val="20"/>
                <w:color w:val="auto"/>
              </w:rPr>
            </w:pPr>
            <w:r>
              <w:rPr>
                <w:rFonts w:ascii="Arial" w:cs="Arial" w:eastAsia="Arial" w:hAnsi="Arial"/>
                <w:sz w:val="18"/>
                <w:szCs w:val="18"/>
                <w:color w:val="auto"/>
              </w:rPr>
              <w:t>TABLE 1</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0" w:type="dxa"/>
            <w:vAlign w:val="bottom"/>
          </w:tcPr>
          <w:p>
            <w:pPr>
              <w:spacing w:after="0"/>
              <w:rPr>
                <w:sz w:val="24"/>
                <w:szCs w:val="24"/>
                <w:color w:val="auto"/>
              </w:rPr>
            </w:pPr>
          </w:p>
        </w:tc>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color w:val="auto"/>
              </w:rPr>
              <w:t>REGENERON PHARMACEUTICALS, INC.</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i w:val="1"/>
                <w:iCs w:val="1"/>
                <w:color w:val="auto"/>
                <w:w w:val="93"/>
              </w:rPr>
              <w:t>(In millions)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260"/>
              <w:spacing w:after="0"/>
              <w:rPr>
                <w:sz w:val="20"/>
                <w:szCs w:val="20"/>
                <w:color w:val="auto"/>
              </w:rPr>
            </w:pPr>
            <w:r>
              <w:rPr>
                <w:rFonts w:ascii="Arial" w:cs="Arial" w:eastAsia="Arial" w:hAnsi="Arial"/>
                <w:sz w:val="18"/>
                <w:szCs w:val="18"/>
                <w:color w:val="auto"/>
              </w:rPr>
              <w:t>Cash and 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5,990.5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4,564.9</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Accounts receivable - trade, net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260"/>
              <w:spacing w:after="0"/>
              <w:rPr>
                <w:sz w:val="20"/>
                <w:szCs w:val="20"/>
                <w:color w:val="auto"/>
              </w:rPr>
            </w:pPr>
            <w:r>
              <w:rPr>
                <w:rFonts w:ascii="Arial" w:cs="Arial" w:eastAsia="Arial" w:hAnsi="Arial"/>
                <w:sz w:val="18"/>
                <w:szCs w:val="18"/>
                <w:color w:val="auto"/>
              </w:rPr>
              <w:t>Accounts receivable from Sanofi and Bayer</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2,575.8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13,939.3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11,734.5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26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1,429.7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260"/>
              <w:spacing w:after="0"/>
              <w:rPr>
                <w:sz w:val="20"/>
                <w:szCs w:val="20"/>
                <w:color w:val="auto"/>
              </w:rPr>
            </w:pPr>
            <w:r>
              <w:rPr>
                <w:rFonts w:ascii="Arial" w:cs="Arial" w:eastAsia="Arial" w:hAnsi="Arial"/>
                <w:sz w:val="18"/>
                <w:szCs w:val="18"/>
                <w:color w:val="auto"/>
              </w:rPr>
              <w:t>Finance lease liabilities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Stockholders' equity</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8,757.3</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13,939.3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11,734.5</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jc w:val="center"/>
              <w:ind w:left="3010"/>
              <w:spacing w:after="0"/>
              <w:rPr>
                <w:sz w:val="20"/>
                <w:szCs w:val="20"/>
                <w:color w:val="auto"/>
              </w:rPr>
            </w:pPr>
            <w:r>
              <w:rPr>
                <w:rFonts w:ascii="Arial" w:cs="Arial" w:eastAsia="Arial" w:hAnsi="Arial"/>
                <w:sz w:val="18"/>
                <w:szCs w:val="18"/>
                <w:color w:val="auto"/>
                <w:w w:val="89"/>
              </w:rPr>
              <w:t>10</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368"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TABLE 2</w:t>
      </w:r>
    </w:p>
    <w:p>
      <w:pPr>
        <w:spacing w:after="0" w:line="200" w:lineRule="exact"/>
        <w:rPr>
          <w:sz w:val="20"/>
          <w:szCs w:val="20"/>
          <w:color w:val="auto"/>
        </w:rPr>
      </w:pPr>
    </w:p>
    <w:p>
      <w:pPr>
        <w:spacing w:after="0" w:line="237" w:lineRule="exact"/>
        <w:rPr>
          <w:sz w:val="20"/>
          <w:szCs w:val="20"/>
          <w:color w:val="auto"/>
        </w:rPr>
      </w:pPr>
    </w:p>
    <w:p>
      <w:pPr>
        <w:jc w:val="center"/>
        <w:ind w:left="840" w:right="1940"/>
        <w:spacing w:after="0" w:line="266"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millions, except per share data)</w:t>
      </w:r>
    </w:p>
    <w:p>
      <w:pPr>
        <w:spacing w:after="0" w:line="3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4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44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1,238.3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3,548.0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3,009.8</w:t>
            </w:r>
          </w:p>
        </w:tc>
      </w:tr>
      <w:tr>
        <w:trPr>
          <w:trHeight w:val="27"/>
        </w:trPr>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Sanofi collaboration revenue</w:t>
            </w: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683.5</w:t>
            </w: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Bayer collaboration revenue</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775.2</w:t>
            </w:r>
          </w:p>
        </w:tc>
      </w:tr>
      <w:tr>
        <w:trPr>
          <w:trHeight w:val="27"/>
        </w:trPr>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w:t>
            </w:r>
          </w:p>
        </w:tc>
        <w:tc>
          <w:tcPr>
            <w:tcW w:w="9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314.5</w:t>
            </w:r>
          </w:p>
        </w:tc>
      </w:tr>
      <w:tr>
        <w:trPr>
          <w:trHeight w:val="237"/>
        </w:trPr>
        <w:tc>
          <w:tcPr>
            <w:tcW w:w="4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4,783.0</w:t>
            </w:r>
          </w:p>
        </w:tc>
      </w:tr>
      <w:tr>
        <w:trPr>
          <w:trHeight w:val="27"/>
        </w:trPr>
        <w:tc>
          <w:tcPr>
            <w:tcW w:w="44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2,353.5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1,584.8</w:t>
            </w:r>
          </w:p>
        </w:tc>
      </w:tr>
      <w:tr>
        <w:trPr>
          <w:trHeight w:val="27"/>
        </w:trPr>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1,064.9</w:t>
            </w: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136.1</w:t>
            </w:r>
          </w:p>
        </w:tc>
      </w:tr>
      <w:tr>
        <w:trPr>
          <w:trHeight w:val="27"/>
        </w:trPr>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collaboration and contract manufacturing</w:t>
            </w:r>
          </w:p>
        </w:tc>
        <w:tc>
          <w:tcPr>
            <w:tcW w:w="9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r>
      <w:tr>
        <w:trPr>
          <w:trHeight w:val="237"/>
        </w:trPr>
        <w:tc>
          <w:tcPr>
            <w:tcW w:w="4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2,966.7</w:t>
            </w:r>
          </w:p>
        </w:tc>
      </w:tr>
      <w:tr>
        <w:trPr>
          <w:trHeight w:val="27"/>
        </w:trPr>
        <w:tc>
          <w:tcPr>
            <w:tcW w:w="44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4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1,816.3</w:t>
            </w:r>
          </w:p>
        </w:tc>
      </w:tr>
      <w:tr>
        <w:trPr>
          <w:trHeight w:val="27"/>
        </w:trPr>
        <w:tc>
          <w:tcPr>
            <w:tcW w:w="44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4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61.0</w:t>
            </w:r>
          </w:p>
        </w:tc>
      </w:tr>
      <w:tr>
        <w:trPr>
          <w:trHeight w:val="27"/>
        </w:trPr>
        <w:tc>
          <w:tcPr>
            <w:tcW w:w="44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4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1,877.3</w:t>
            </w:r>
          </w:p>
        </w:tc>
      </w:tr>
      <w:tr>
        <w:trPr>
          <w:trHeight w:val="27"/>
        </w:trPr>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4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(253.3)</w:t>
            </w:r>
          </w:p>
        </w:tc>
      </w:tr>
      <w:tr>
        <w:trPr>
          <w:trHeight w:val="27"/>
        </w:trPr>
        <w:tc>
          <w:tcPr>
            <w:tcW w:w="44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4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304"/>
        </w:trPr>
        <w:tc>
          <w:tcPr>
            <w:tcW w:w="4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669.6</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1,323.8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1,624.0</w:t>
            </w:r>
          </w:p>
        </w:tc>
      </w:tr>
      <w:tr>
        <w:trPr>
          <w:trHeight w:val="311"/>
        </w:trPr>
        <w:tc>
          <w:tcPr>
            <w:tcW w:w="444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15.06</w:t>
            </w:r>
          </w:p>
        </w:tc>
      </w:tr>
      <w:tr>
        <w:trPr>
          <w:trHeight w:val="27"/>
        </w:trPr>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r>
      <w:tr>
        <w:trPr>
          <w:trHeight w:val="324"/>
        </w:trPr>
        <w:tc>
          <w:tcPr>
            <w:tcW w:w="4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114.8</w:t>
            </w:r>
          </w:p>
        </w:tc>
      </w:tr>
      <w:tr>
        <w:trPr>
          <w:trHeight w:val="891"/>
        </w:trPr>
        <w:tc>
          <w:tcPr>
            <w:tcW w:w="444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840"/>
          </w:cols>
          <w:pgMar w:left="240" w:top="368" w:right="8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TABLE 3</w:t>
      </w:r>
    </w:p>
    <w:p>
      <w:pPr>
        <w:spacing w:after="0" w:line="200" w:lineRule="exact"/>
        <w:rPr>
          <w:sz w:val="20"/>
          <w:szCs w:val="20"/>
          <w:color w:val="auto"/>
        </w:rPr>
      </w:pPr>
    </w:p>
    <w:p>
      <w:pPr>
        <w:spacing w:after="0" w:line="23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RECONCILIATION OF GAAP NET INCOME TO NON-GAAP NET INCOME (Unaudited)</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369"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7"/>
              </w:rPr>
              <w:t>Three Months Ended</w:t>
            </w:r>
          </w:p>
        </w:tc>
        <w:tc>
          <w:tcPr>
            <w:tcW w:w="260" w:type="dxa"/>
            <w:vAlign w:val="bottom"/>
          </w:tcPr>
          <w:p>
            <w:pPr>
              <w:spacing w:after="0"/>
              <w:rPr>
                <w:sz w:val="18"/>
                <w:szCs w:val="18"/>
                <w:color w:val="auto"/>
              </w:rPr>
            </w:pPr>
          </w:p>
        </w:tc>
        <w:tc>
          <w:tcPr>
            <w:tcW w:w="21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1,624.0</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Adjustments: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R&amp;D: Non-cash 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r>
      <w:tr>
        <w:trPr>
          <w:trHeight w:val="229"/>
        </w:trPr>
        <w:tc>
          <w:tcPr>
            <w:tcW w:w="5560" w:type="dxa"/>
            <w:vAlign w:val="bottom"/>
          </w:tcPr>
          <w:p>
            <w:pPr>
              <w:ind w:left="280"/>
              <w:spacing w:after="0"/>
              <w:rPr>
                <w:sz w:val="20"/>
                <w:szCs w:val="20"/>
                <w:color w:val="auto"/>
              </w:rPr>
            </w:pPr>
            <w:r>
              <w:rPr>
                <w:rFonts w:ascii="Arial" w:cs="Arial" w:eastAsia="Arial" w:hAnsi="Arial"/>
                <w:sz w:val="18"/>
                <w:szCs w:val="18"/>
                <w:color w:val="auto"/>
              </w:rPr>
              <w:t>R&amp;D: Up-front payments related to license and collaboration</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560" w:type="dxa"/>
            <w:vAlign w:val="bottom"/>
          </w:tcPr>
          <w:p>
            <w:pPr>
              <w:ind w:left="440"/>
              <w:spacing w:after="0"/>
              <w:rPr>
                <w:sz w:val="20"/>
                <w:szCs w:val="20"/>
                <w:color w:val="auto"/>
              </w:rPr>
            </w:pPr>
            <w:r>
              <w:rPr>
                <w:rFonts w:ascii="Arial" w:cs="Arial" w:eastAsia="Arial" w:hAnsi="Arial"/>
                <w:sz w:val="18"/>
                <w:szCs w:val="18"/>
                <w:color w:val="auto"/>
              </w:rPr>
              <w:t>agreements</w:t>
            </w:r>
          </w:p>
        </w:tc>
        <w:tc>
          <w:tcPr>
            <w:tcW w:w="2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SG&amp;A: Non-cash 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43"/>
        </w:trPr>
        <w:tc>
          <w:tcPr>
            <w:tcW w:w="5560" w:type="dxa"/>
            <w:vAlign w:val="bottom"/>
          </w:tcPr>
          <w:p>
            <w:pPr>
              <w:ind w:left="280"/>
              <w:spacing w:after="0"/>
              <w:rPr>
                <w:sz w:val="20"/>
                <w:szCs w:val="20"/>
                <w:color w:val="auto"/>
              </w:rPr>
            </w:pPr>
            <w:r>
              <w:rPr>
                <w:rFonts w:ascii="Arial" w:cs="Arial" w:eastAsia="Arial" w:hAnsi="Arial"/>
                <w:sz w:val="18"/>
                <w:szCs w:val="18"/>
                <w:color w:val="auto"/>
              </w:rPr>
              <w:t>SG&amp;A: Litigation contingencies</w:t>
            </w:r>
          </w:p>
        </w:tc>
        <w:tc>
          <w:tcPr>
            <w:tcW w:w="2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COGS and COCM: Non-cash 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5560" w:type="dxa"/>
            <w:vAlign w:val="bottom"/>
          </w:tcPr>
          <w:p>
            <w:pPr>
              <w:ind w:left="280"/>
              <w:spacing w:after="0"/>
              <w:rPr>
                <w:sz w:val="20"/>
                <w:szCs w:val="20"/>
                <w:color w:val="auto"/>
              </w:rPr>
            </w:pPr>
            <w:r>
              <w:rPr>
                <w:rFonts w:ascii="Arial" w:cs="Arial" w:eastAsia="Arial" w:hAnsi="Arial"/>
                <w:sz w:val="18"/>
                <w:szCs w:val="18"/>
                <w:color w:val="auto"/>
              </w:rPr>
              <w:t>Other income/expense: (Gains) losses on investments in equity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560" w:type="dxa"/>
            <w:vAlign w:val="bottom"/>
          </w:tcPr>
          <w:p>
            <w:pPr>
              <w:ind w:left="44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effect of reconciling items above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29"/>
        </w:trPr>
        <w:tc>
          <w:tcPr>
            <w:tcW w:w="5560" w:type="dxa"/>
            <w:vAlign w:val="bottom"/>
          </w:tcPr>
          <w:p>
            <w:pPr>
              <w:ind w:left="280"/>
              <w:spacing w:after="0"/>
              <w:rPr>
                <w:sz w:val="20"/>
                <w:szCs w:val="20"/>
                <w:color w:val="auto"/>
              </w:rPr>
            </w:pPr>
            <w:r>
              <w:rPr>
                <w:rFonts w:ascii="Arial" w:cs="Arial" w:eastAsia="Arial" w:hAnsi="Arial"/>
                <w:sz w:val="18"/>
                <w:szCs w:val="18"/>
                <w:color w:val="auto"/>
                <w:w w:val="93"/>
              </w:rPr>
              <w:t>Income tax expense: Adjustment to previously recorded charge related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560" w:type="dxa"/>
            <w:vAlign w:val="bottom"/>
          </w:tcPr>
          <w:p>
            <w:pPr>
              <w:ind w:left="440"/>
              <w:spacing w:after="0"/>
              <w:rPr>
                <w:sz w:val="20"/>
                <w:szCs w:val="20"/>
                <w:color w:val="auto"/>
              </w:rPr>
            </w:pPr>
            <w:r>
              <w:rPr>
                <w:rFonts w:ascii="Arial" w:cs="Arial" w:eastAsia="Arial" w:hAnsi="Arial"/>
                <w:sz w:val="18"/>
                <w:szCs w:val="18"/>
                <w:color w:val="auto"/>
              </w:rPr>
              <w:t>to enactment of U.S. Tax Reform Act</w:t>
            </w:r>
          </w:p>
        </w:tc>
        <w:tc>
          <w:tcPr>
            <w:tcW w:w="2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r>
      <w:tr>
        <w:trPr>
          <w:trHeight w:val="20"/>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5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15.98</w:t>
            </w: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959"/>
        </w:trPr>
        <w:tc>
          <w:tcPr>
            <w:tcW w:w="5560" w:type="dxa"/>
            <w:vAlign w:val="bottom"/>
          </w:tcPr>
          <w:p>
            <w:pPr>
              <w:ind w:left="51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940"/>
          </w:cols>
          <w:pgMar w:left="240" w:top="368" w:right="71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1"/>
        </w:trPr>
        <w:tc>
          <w:tcPr>
            <w:tcW w:w="60" w:type="dxa"/>
            <w:vAlign w:val="bottom"/>
          </w:tcPr>
          <w:p>
            <w:pPr>
              <w:spacing w:after="0"/>
              <w:rPr>
                <w:sz w:val="24"/>
                <w:szCs w:val="24"/>
                <w:color w:val="auto"/>
              </w:rPr>
            </w:pPr>
          </w:p>
        </w:tc>
        <w:tc>
          <w:tcPr>
            <w:tcW w:w="7700" w:type="dxa"/>
            <w:vAlign w:val="bottom"/>
            <w:gridSpan w:val="4"/>
          </w:tcPr>
          <w:p>
            <w:pPr>
              <w:jc w:val="center"/>
              <w:ind w:left="3510"/>
              <w:spacing w:after="0"/>
              <w:rPr>
                <w:sz w:val="20"/>
                <w:szCs w:val="20"/>
                <w:color w:val="auto"/>
              </w:rPr>
            </w:pPr>
            <w:r>
              <w:rPr>
                <w:rFonts w:ascii="Arial" w:cs="Arial" w:eastAsia="Arial" w:hAnsi="Arial"/>
                <w:sz w:val="18"/>
                <w:szCs w:val="18"/>
                <w:b w:val="1"/>
                <w:bCs w:val="1"/>
                <w:color w:val="auto"/>
              </w:rPr>
              <w:t>REGENERON PHARMACEUTICALS,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8020" w:type="dxa"/>
            <w:vAlign w:val="bottom"/>
            <w:gridSpan w:val="5"/>
          </w:tcPr>
          <w:p>
            <w:pPr>
              <w:jc w:val="center"/>
              <w:ind w:left="3210"/>
              <w:spacing w:after="0"/>
              <w:rPr>
                <w:sz w:val="20"/>
                <w:szCs w:val="20"/>
                <w:color w:val="auto"/>
              </w:rPr>
            </w:pPr>
            <w:r>
              <w:rPr>
                <w:rFonts w:ascii="Arial" w:cs="Arial" w:eastAsia="Arial" w:hAnsi="Arial"/>
                <w:sz w:val="18"/>
                <w:szCs w:val="18"/>
                <w:b w:val="1"/>
                <w:bCs w:val="1"/>
                <w:color w:val="auto"/>
                <w:w w:val="99"/>
              </w:rPr>
              <w:t>COLLABORATION AND OTHER REVENUE (Unaudited)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460" w:type="dxa"/>
            <w:vAlign w:val="bottom"/>
          </w:tcPr>
          <w:p>
            <w:pPr>
              <w:jc w:val="center"/>
              <w:ind w:left="4750"/>
              <w:spacing w:after="0"/>
              <w:rPr>
                <w:sz w:val="20"/>
                <w:szCs w:val="20"/>
                <w:color w:val="auto"/>
              </w:rPr>
            </w:pPr>
            <w:r>
              <w:rPr>
                <w:rFonts w:ascii="Arial" w:cs="Arial" w:eastAsia="Arial" w:hAnsi="Arial"/>
                <w:sz w:val="18"/>
                <w:szCs w:val="18"/>
                <w:b w:val="1"/>
                <w:bCs w:val="1"/>
                <w:i w:val="1"/>
                <w:iCs w:val="1"/>
                <w:color w:val="auto"/>
                <w:w w:val="93"/>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24"/>
                <w:szCs w:val="24"/>
                <w:color w:val="auto"/>
              </w:rPr>
            </w:pPr>
          </w:p>
        </w:tc>
        <w:tc>
          <w:tcPr>
            <w:tcW w:w="21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40"/>
              <w:spacing w:after="0"/>
              <w:rPr>
                <w:sz w:val="20"/>
                <w:szCs w:val="20"/>
                <w:color w:val="auto"/>
              </w:rPr>
            </w:pPr>
            <w:r>
              <w:rPr>
                <w:rFonts w:ascii="Arial" w:cs="Arial" w:eastAsia="Arial" w:hAnsi="Arial"/>
                <w:sz w:val="18"/>
                <w:szCs w:val="18"/>
                <w:color w:val="auto"/>
              </w:rPr>
              <w:t>Antibody:</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of Regeneron research and development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60"/>
              <w:spacing w:after="0"/>
              <w:rPr>
                <w:sz w:val="20"/>
                <w:szCs w:val="20"/>
                <w:color w:val="auto"/>
              </w:rPr>
            </w:pPr>
            <w:r>
              <w:rPr>
                <w:rFonts w:ascii="Arial" w:cs="Arial" w:eastAsia="Arial" w:hAnsi="Arial"/>
                <w:sz w:val="18"/>
                <w:szCs w:val="18"/>
                <w:color w:val="auto"/>
              </w:rPr>
              <w:t>Reimbursement of Regeneron commercialization-related expenses</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for Regeneron's manufacturing of commercial supplies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460" w:type="dxa"/>
            <w:vAlign w:val="bottom"/>
          </w:tcPr>
          <w:p>
            <w:pPr>
              <w:ind w:left="260"/>
              <w:spacing w:after="0"/>
              <w:rPr>
                <w:sz w:val="20"/>
                <w:szCs w:val="20"/>
                <w:color w:val="auto"/>
              </w:rPr>
            </w:pPr>
            <w:r>
              <w:rPr>
                <w:rFonts w:ascii="Arial" w:cs="Arial" w:eastAsia="Arial" w:hAnsi="Arial"/>
                <w:sz w:val="18"/>
                <w:szCs w:val="18"/>
                <w:color w:val="auto"/>
              </w:rPr>
              <w:t>Regeneron's share of profits (losses) in connection with commercialization of</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antibodies</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40"/>
              <w:spacing w:after="0"/>
              <w:rPr>
                <w:sz w:val="20"/>
                <w:szCs w:val="20"/>
                <w:color w:val="auto"/>
              </w:rPr>
            </w:pPr>
            <w:r>
              <w:rPr>
                <w:rFonts w:ascii="Arial" w:cs="Arial" w:eastAsia="Arial" w:hAnsi="Arial"/>
                <w:sz w:val="18"/>
                <w:szCs w:val="18"/>
                <w:color w:val="auto"/>
              </w:rPr>
              <w:t>Immuno-oncology:</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of Regeneron research and development expenses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60"/>
              <w:spacing w:after="0"/>
              <w:rPr>
                <w:sz w:val="20"/>
                <w:szCs w:val="20"/>
                <w:color w:val="auto"/>
              </w:rPr>
            </w:pPr>
            <w:r>
              <w:rPr>
                <w:rFonts w:ascii="Arial" w:cs="Arial" w:eastAsia="Arial" w:hAnsi="Arial"/>
                <w:sz w:val="18"/>
                <w:szCs w:val="18"/>
                <w:color w:val="auto"/>
              </w:rPr>
              <w:t>Reimbursement of Regeneron commercialization-related expenses</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Amounts recognized in connection with up-front payments received</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683.5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460" w:type="dxa"/>
            <w:vAlign w:val="bottom"/>
          </w:tcPr>
          <w:p>
            <w:pPr>
              <w:ind w:left="260"/>
              <w:spacing w:after="0"/>
              <w:rPr>
                <w:sz w:val="20"/>
                <w:szCs w:val="20"/>
                <w:color w:val="auto"/>
              </w:rPr>
            </w:pPr>
            <w:r>
              <w:rPr>
                <w:rFonts w:ascii="Arial" w:cs="Arial" w:eastAsia="Arial" w:hAnsi="Arial"/>
                <w:sz w:val="18"/>
                <w:szCs w:val="18"/>
                <w:color w:val="auto"/>
                <w:w w:val="95"/>
              </w:rPr>
              <w:t>Regeneron's net profit in connection with commercialization of EYLEA outside the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of Regeneron development expenses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revenue: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60"/>
              <w:spacing w:after="0"/>
              <w:rPr>
                <w:sz w:val="20"/>
                <w:szCs w:val="20"/>
                <w:color w:val="auto"/>
              </w:rPr>
            </w:pPr>
            <w:r>
              <w:rPr>
                <w:rFonts w:ascii="Arial" w:cs="Arial" w:eastAsia="Arial" w:hAnsi="Arial"/>
                <w:sz w:val="18"/>
                <w:szCs w:val="18"/>
                <w:color w:val="auto"/>
              </w:rPr>
              <w:t>Reimbursement of Regeneron research and development expenses - Teva</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of Regeneron research and development expenses - other</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jc w:val="center"/>
              <w:ind w:left="4810"/>
              <w:spacing w:after="0"/>
              <w:rPr>
                <w:sz w:val="20"/>
                <w:szCs w:val="20"/>
                <w:color w:val="auto"/>
              </w:rPr>
            </w:pPr>
            <w:r>
              <w:rPr>
                <w:rFonts w:ascii="Arial" w:cs="Arial" w:eastAsia="Arial" w:hAnsi="Arial"/>
                <w:sz w:val="18"/>
                <w:szCs w:val="18"/>
                <w:color w:val="auto"/>
                <w:w w:val="89"/>
              </w:rPr>
              <w:t>13</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65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68" w:right="27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TABLE 5</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gridSpan w:val="12"/>
          </w:tcPr>
          <w:p>
            <w:pPr>
              <w:jc w:val="center"/>
              <w:ind w:left="350"/>
              <w:spacing w:after="0"/>
              <w:rPr>
                <w:sz w:val="20"/>
                <w:szCs w:val="20"/>
                <w:color w:val="auto"/>
              </w:rPr>
            </w:pPr>
            <w:r>
              <w:rPr>
                <w:rFonts w:ascii="Arial" w:cs="Arial" w:eastAsia="Arial" w:hAnsi="Arial"/>
                <w:sz w:val="18"/>
                <w:szCs w:val="18"/>
                <w:b w:val="1"/>
                <w:bCs w:val="1"/>
                <w:color w:val="auto"/>
              </w:rPr>
              <w:t>REGENERON PHARMACEUTICALS,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460" w:type="dxa"/>
            <w:vAlign w:val="bottom"/>
            <w:gridSpan w:val="21"/>
          </w:tcPr>
          <w:p>
            <w:pPr>
              <w:jc w:val="center"/>
              <w:ind w:right="760"/>
              <w:spacing w:after="0"/>
              <w:rPr>
                <w:sz w:val="20"/>
                <w:szCs w:val="20"/>
                <w:color w:val="auto"/>
              </w:rPr>
            </w:pPr>
            <w:r>
              <w:rPr>
                <w:rFonts w:ascii="Arial" w:cs="Arial" w:eastAsia="Arial" w:hAnsi="Arial"/>
                <w:sz w:val="18"/>
                <w:szCs w:val="18"/>
                <w:b w:val="1"/>
                <w:bCs w:val="1"/>
                <w:color w:val="auto"/>
                <w:w w:val="98"/>
              </w:rPr>
              <w:t>NET PRODUCT SALES OF REGENERON-DISCOVERED PRODUCTS (Unaudited)</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gridSpan w:val="4"/>
          </w:tcPr>
          <w:p>
            <w:pPr>
              <w:jc w:val="center"/>
              <w:ind w:right="10"/>
              <w:spacing w:after="0"/>
              <w:rPr>
                <w:sz w:val="20"/>
                <w:szCs w:val="20"/>
                <w:color w:val="auto"/>
              </w:rPr>
            </w:pPr>
            <w:r>
              <w:rPr>
                <w:rFonts w:ascii="Arial" w:cs="Arial" w:eastAsia="Arial" w:hAnsi="Arial"/>
                <w:sz w:val="18"/>
                <w:szCs w:val="18"/>
                <w:b w:val="1"/>
                <w:bCs w:val="1"/>
                <w:i w:val="1"/>
                <w:iCs w:val="1"/>
                <w:color w:val="auto"/>
                <w:w w:val="93"/>
              </w:rPr>
              <w:t>(In millions)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gridSpan w:val="8"/>
          </w:tcPr>
          <w:p>
            <w:pPr>
              <w:jc w:val="center"/>
              <w:ind w:right="6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September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b w:val="1"/>
                <w:bCs w:val="1"/>
                <w:color w:val="auto"/>
                <w:w w:val="85"/>
              </w:rPr>
              <w:t>U.S.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b w:val="1"/>
                <w:bCs w:val="1"/>
                <w:color w:val="auto"/>
              </w:rPr>
              <w:t>ROW</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(Total Sales)</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21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1,187.7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1,021.8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1,676.4</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2180" w:type="dxa"/>
            <w:vAlign w:val="bottom"/>
          </w:tcPr>
          <w:p>
            <w:pPr>
              <w:ind w:left="20"/>
              <w:spacing w:after="0" w:line="270" w:lineRule="exact"/>
              <w:rPr>
                <w:sz w:val="20"/>
                <w:szCs w:val="20"/>
                <w:color w:val="auto"/>
              </w:rPr>
            </w:pPr>
            <w:r>
              <w:rPr>
                <w:rFonts w:ascii="Arial" w:cs="Arial" w:eastAsia="Arial" w:hAnsi="Arial"/>
                <w:sz w:val="18"/>
                <w:szCs w:val="18"/>
                <w:color w:val="auto"/>
              </w:rPr>
              <w:t>Libtayo</w:t>
            </w:r>
            <w:r>
              <w:rPr>
                <w:rFonts w:ascii="Arial" w:cs="Arial" w:eastAsia="Arial" w:hAnsi="Arial"/>
                <w:sz w:val="25"/>
                <w:szCs w:val="25"/>
                <w:color w:val="auto"/>
                <w:vertAlign w:val="superscript"/>
              </w:rPr>
              <w:t>*</w:t>
            </w: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ARCALYST</w:t>
            </w: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w w:val="89"/>
              </w:rPr>
              <w:t>Net product sales recorded by</w:t>
            </w:r>
          </w:p>
        </w:tc>
        <w:tc>
          <w:tcPr>
            <w:tcW w:w="800" w:type="dxa"/>
            <w:vAlign w:val="bottom"/>
            <w:vMerge w:val="restart"/>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89"/>
              </w:rPr>
              <w:t>1,238.3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gridSpan w:val="2"/>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1,025.5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80" w:type="dxa"/>
            <w:vAlign w:val="bottom"/>
          </w:tcPr>
          <w:p>
            <w:pPr>
              <w:spacing w:after="0"/>
              <w:rPr>
                <w:sz w:val="24"/>
                <w:szCs w:val="24"/>
                <w:color w:val="auto"/>
              </w:rPr>
            </w:pPr>
          </w:p>
        </w:tc>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Regeneron</w:t>
            </w:r>
          </w:p>
        </w:tc>
        <w:tc>
          <w:tcPr>
            <w:tcW w:w="800" w:type="dxa"/>
            <w:vAlign w:val="bottom"/>
            <w:tcBorders>
              <w:bottom w:val="single" w:sz="8" w:color="CCEEFF"/>
            </w:tcBorders>
            <w:vMerge w:val="continue"/>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gridSpan w:val="2"/>
            <w:vMerge w:val="continue"/>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 w:type="dxa"/>
            <w:vAlign w:val="bottom"/>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3320" w:type="dxa"/>
            <w:vAlign w:val="bottom"/>
            <w:gridSpan w:val="3"/>
          </w:tcPr>
          <w:p>
            <w:pPr>
              <w:ind w:left="20"/>
              <w:spacing w:after="0" w:line="270" w:lineRule="exact"/>
              <w:rPr>
                <w:sz w:val="20"/>
                <w:szCs w:val="20"/>
                <w:color w:val="auto"/>
              </w:rPr>
            </w:pPr>
            <w:r>
              <w:rPr>
                <w:rFonts w:ascii="Arial" w:cs="Arial" w:eastAsia="Arial" w:hAnsi="Arial"/>
                <w:sz w:val="18"/>
                <w:szCs w:val="18"/>
                <w:i w:val="1"/>
                <w:iCs w:val="1"/>
                <w:color w:val="auto"/>
                <w:w w:val="90"/>
              </w:rPr>
              <w:t>Global net product sales recorded by Sanofi</w:t>
            </w:r>
            <w:r>
              <w:rPr>
                <w:rFonts w:ascii="Arial" w:cs="Arial" w:eastAsia="Arial" w:hAnsi="Arial"/>
                <w:sz w:val="25"/>
                <w:szCs w:val="25"/>
                <w:i w:val="1"/>
                <w:iCs w:val="1"/>
                <w:color w:val="auto"/>
                <w:w w:val="90"/>
                <w:vertAlign w:val="superscript"/>
              </w:rPr>
              <w:t>*</w:t>
            </w:r>
            <w:r>
              <w:rPr>
                <w:rFonts w:ascii="Arial" w:cs="Arial" w:eastAsia="Arial" w:hAnsi="Arial"/>
                <w:sz w:val="18"/>
                <w:szCs w:val="18"/>
                <w:i w:val="1"/>
                <w:iCs w:val="1"/>
                <w:color w:val="auto"/>
                <w:w w:val="90"/>
              </w:rPr>
              <w:t>:</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Dupixent</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Praluent</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36.2</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Kevzara</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ZALTRAP</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41"/>
        </w:trPr>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gridSpan w:val="7"/>
          </w:tcPr>
          <w:p>
            <w:pPr>
              <w:jc w:val="center"/>
              <w:ind w:right="700"/>
              <w:spacing w:after="0"/>
              <w:rPr>
                <w:sz w:val="20"/>
                <w:szCs w:val="20"/>
                <w:color w:val="auto"/>
              </w:rPr>
            </w:pPr>
            <w:r>
              <w:rPr>
                <w:rFonts w:ascii="Arial" w:cs="Arial" w:eastAsia="Arial" w:hAnsi="Arial"/>
                <w:sz w:val="18"/>
                <w:szCs w:val="18"/>
                <w:b w:val="1"/>
                <w:bCs w:val="1"/>
                <w:color w:val="auto"/>
                <w:w w:val="91"/>
              </w:rPr>
              <w:t>Nine Months Ended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September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b w:val="1"/>
                <w:bCs w:val="1"/>
                <w:color w:val="auto"/>
                <w:w w:val="85"/>
              </w:rPr>
              <w:t>U.S.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b w:val="1"/>
                <w:bCs w:val="1"/>
                <w:color w:val="auto"/>
              </w:rPr>
              <w:t>ROW</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(Total Sales)</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21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3,422.1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2,114.9</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2,997.8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4,942.3</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2180" w:type="dxa"/>
            <w:vAlign w:val="bottom"/>
          </w:tcPr>
          <w:p>
            <w:pPr>
              <w:ind w:left="20"/>
              <w:spacing w:after="0" w:line="270" w:lineRule="exact"/>
              <w:rPr>
                <w:sz w:val="20"/>
                <w:szCs w:val="20"/>
                <w:color w:val="auto"/>
              </w:rPr>
            </w:pPr>
            <w:r>
              <w:rPr>
                <w:rFonts w:ascii="Arial" w:cs="Arial" w:eastAsia="Arial" w:hAnsi="Arial"/>
                <w:sz w:val="18"/>
                <w:szCs w:val="18"/>
                <w:color w:val="auto"/>
              </w:rPr>
              <w:t>Libtayo</w:t>
            </w:r>
            <w:r>
              <w:rPr>
                <w:rFonts w:ascii="Arial" w:cs="Arial" w:eastAsia="Arial" w:hAnsi="Arial"/>
                <w:sz w:val="25"/>
                <w:szCs w:val="25"/>
                <w:color w:val="auto"/>
                <w:vertAlign w:val="superscript"/>
              </w:rPr>
              <w:t>*</w:t>
            </w: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ARCALYST</w:t>
            </w: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w w:val="89"/>
              </w:rPr>
              <w:t>Net product sales recorded by</w:t>
            </w:r>
          </w:p>
        </w:tc>
        <w:tc>
          <w:tcPr>
            <w:tcW w:w="800" w:type="dxa"/>
            <w:vAlign w:val="bottom"/>
            <w:vMerge w:val="restart"/>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89"/>
              </w:rPr>
              <w:t>3,548.0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gridSpan w:val="2"/>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3,009.8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80" w:type="dxa"/>
            <w:vAlign w:val="bottom"/>
          </w:tcPr>
          <w:p>
            <w:pPr>
              <w:spacing w:after="0"/>
              <w:rPr>
                <w:sz w:val="24"/>
                <w:szCs w:val="24"/>
                <w:color w:val="auto"/>
              </w:rPr>
            </w:pPr>
          </w:p>
        </w:tc>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Regeneron</w:t>
            </w:r>
          </w:p>
        </w:tc>
        <w:tc>
          <w:tcPr>
            <w:tcW w:w="800" w:type="dxa"/>
            <w:vAlign w:val="bottom"/>
            <w:tcBorders>
              <w:bottom w:val="single" w:sz="8" w:color="CCEEFF"/>
            </w:tcBorders>
            <w:vMerge w:val="continue"/>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gridSpan w:val="2"/>
            <w:vMerge w:val="continue"/>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 w:type="dxa"/>
            <w:vAlign w:val="bottom"/>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3320" w:type="dxa"/>
            <w:vAlign w:val="bottom"/>
            <w:gridSpan w:val="3"/>
          </w:tcPr>
          <w:p>
            <w:pPr>
              <w:ind w:left="20"/>
              <w:spacing w:after="0" w:line="270" w:lineRule="exact"/>
              <w:rPr>
                <w:sz w:val="20"/>
                <w:szCs w:val="20"/>
                <w:color w:val="auto"/>
              </w:rPr>
            </w:pPr>
            <w:r>
              <w:rPr>
                <w:rFonts w:ascii="Arial" w:cs="Arial" w:eastAsia="Arial" w:hAnsi="Arial"/>
                <w:sz w:val="18"/>
                <w:szCs w:val="18"/>
                <w:i w:val="1"/>
                <w:iCs w:val="1"/>
                <w:color w:val="auto"/>
                <w:w w:val="90"/>
              </w:rPr>
              <w:t>Global net product sales recorded by Sanofi</w:t>
            </w:r>
            <w:r>
              <w:rPr>
                <w:rFonts w:ascii="Arial" w:cs="Arial" w:eastAsia="Arial" w:hAnsi="Arial"/>
                <w:sz w:val="25"/>
                <w:szCs w:val="25"/>
                <w:i w:val="1"/>
                <w:iCs w:val="1"/>
                <w:color w:val="auto"/>
                <w:w w:val="90"/>
                <w:vertAlign w:val="superscript"/>
              </w:rPr>
              <w:t>*</w:t>
            </w:r>
            <w:r>
              <w:rPr>
                <w:rFonts w:ascii="Arial" w:cs="Arial" w:eastAsia="Arial" w:hAnsi="Arial"/>
                <w:sz w:val="18"/>
                <w:szCs w:val="18"/>
                <w:i w:val="1"/>
                <w:iCs w:val="1"/>
                <w:color w:val="auto"/>
                <w:w w:val="90"/>
              </w:rPr>
              <w:t>:</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Dupixent</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1,266.0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Praluent</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82.9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124.4</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Kevzara</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ZALTRAP</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74.6</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40" w:right="40" w:firstLine="7"/>
        <w:spacing w:after="0" w:line="238" w:lineRule="auto"/>
        <w:tabs>
          <w:tab w:leader="none" w:pos="521" w:val="left"/>
        </w:tabs>
        <w:numPr>
          <w:ilvl w:val="0"/>
          <w:numId w:val="12"/>
        </w:numPr>
        <w:rPr>
          <w:rFonts w:ascii="Arial" w:cs="Arial" w:eastAsia="Arial" w:hAnsi="Arial"/>
          <w:sz w:val="9"/>
          <w:szCs w:val="9"/>
          <w:color w:val="auto"/>
        </w:rPr>
      </w:pPr>
      <w:r>
        <w:rPr>
          <w:rFonts w:ascii="Arial" w:cs="Arial" w:eastAsia="Arial" w:hAnsi="Arial"/>
          <w:sz w:val="14"/>
          <w:szCs w:val="14"/>
          <w:color w:val="auto"/>
        </w:rPr>
        <w:t>Bayer records net product sales of EYLEA outside the U.S., and Sanofi records net product sales of Libtayo outside the U.S. and global net product sales of Dupixent, Praluent, Kevzara, and ZALTRAP. The Company records its share of profits/losses in connection with sales of EYLEA and Libtayo outside the U.S., and global sales of Dupixent, Praluent, and Kevzara, within collaboration revenue (see Table 4). Sanofi pays the Company a percentage of aggregate net sales of ZALTRAP.</w:t>
      </w:r>
    </w:p>
    <w:p>
      <w:pPr>
        <w:spacing w:after="0" w:line="21" w:lineRule="exact"/>
        <w:rPr>
          <w:sz w:val="20"/>
          <w:szCs w:val="20"/>
          <w:color w:val="auto"/>
        </w:rPr>
      </w:pPr>
    </w:p>
    <w:p>
      <w:pPr>
        <w:ind w:left="580" w:hanging="133"/>
        <w:spacing w:after="0"/>
        <w:tabs>
          <w:tab w:leader="none" w:pos="580" w:val="left"/>
        </w:tabs>
        <w:numPr>
          <w:ilvl w:val="0"/>
          <w:numId w:val="13"/>
        </w:numPr>
        <w:rPr>
          <w:rFonts w:ascii="Arial" w:cs="Arial" w:eastAsia="Arial" w:hAnsi="Arial"/>
          <w:sz w:val="9"/>
          <w:szCs w:val="9"/>
          <w:color w:val="auto"/>
        </w:rPr>
      </w:pPr>
      <w:r>
        <w:rPr>
          <w:rFonts w:ascii="Arial" w:cs="Arial" w:eastAsia="Arial" w:hAnsi="Arial"/>
          <w:sz w:val="14"/>
          <w:szCs w:val="14"/>
          <w:color w:val="auto"/>
        </w:rPr>
        <w:t>Percentage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sectPr>
      <w:pgSz w:w="11900" w:h="16838" w:orient="portrait"/>
      <w:cols w:equalWidth="0" w:num="1">
        <w:col w:w="11260"/>
      </w:cols>
      <w:pgMar w:left="240" w:top="36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4"/>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2019-12-28T02:39:41Z</dcterms:created>
  <dcterms:modified xsi:type="dcterms:W3CDTF">2019-12-28T02:39:41Z</dcterms:modified>
</cp:coreProperties>
</file>