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40"/>
        <w:spacing w:after="0"/>
        <w:rPr>
          <w:sz w:val="20"/>
          <w:szCs w:val="20"/>
          <w:color w:val="auto"/>
        </w:rPr>
      </w:pPr>
      <w:r>
        <w:rPr>
          <w:rFonts w:ascii="Arial" w:cs="Arial" w:eastAsia="Arial" w:hAnsi="Arial"/>
          <w:sz w:val="18"/>
          <w:szCs w:val="18"/>
          <w:color w:val="auto"/>
        </w:rPr>
        <w:t>Filed Pursuant to Rule 433</w:t>
      </w:r>
    </w:p>
    <w:p>
      <w:pPr>
        <w:spacing w:after="0" w:line="23" w:lineRule="exact"/>
        <w:rPr>
          <w:sz w:val="24"/>
          <w:szCs w:val="24"/>
          <w:color w:val="auto"/>
        </w:rPr>
      </w:pPr>
    </w:p>
    <w:p>
      <w:pPr>
        <w:jc w:val="right"/>
        <w:ind w:right="40"/>
        <w:spacing w:after="0"/>
        <w:rPr>
          <w:sz w:val="20"/>
          <w:szCs w:val="20"/>
          <w:color w:val="auto"/>
        </w:rPr>
      </w:pPr>
      <w:r>
        <w:rPr>
          <w:rFonts w:ascii="Arial" w:cs="Arial" w:eastAsia="Arial" w:hAnsi="Arial"/>
          <w:sz w:val="18"/>
          <w:szCs w:val="18"/>
          <w:color w:val="auto"/>
        </w:rPr>
        <w:t>Registration No. 333-228352</w:t>
      </w:r>
    </w:p>
    <w:p>
      <w:pPr>
        <w:spacing w:after="0" w:line="9" w:lineRule="exact"/>
        <w:rPr>
          <w:sz w:val="24"/>
          <w:szCs w:val="24"/>
          <w:color w:val="auto"/>
        </w:rPr>
      </w:pPr>
    </w:p>
    <w:p>
      <w:pPr>
        <w:jc w:val="right"/>
        <w:ind w:right="40"/>
        <w:spacing w:after="0"/>
        <w:rPr>
          <w:sz w:val="20"/>
          <w:szCs w:val="20"/>
          <w:color w:val="auto"/>
        </w:rPr>
      </w:pPr>
      <w:r>
        <w:rPr>
          <w:rFonts w:ascii="Arial" w:cs="Arial" w:eastAsia="Arial" w:hAnsi="Arial"/>
          <w:sz w:val="18"/>
          <w:szCs w:val="18"/>
          <w:color w:val="auto"/>
        </w:rPr>
        <w:t>Free Writing Prospectus dated August 7, 2020</w:t>
      </w:r>
    </w:p>
    <w:p>
      <w:pPr>
        <w:spacing w:after="0" w:line="9" w:lineRule="exact"/>
        <w:rPr>
          <w:sz w:val="24"/>
          <w:szCs w:val="24"/>
          <w:color w:val="auto"/>
        </w:rPr>
      </w:pPr>
    </w:p>
    <w:p>
      <w:pPr>
        <w:jc w:val="right"/>
        <w:ind w:right="40"/>
        <w:spacing w:after="0"/>
        <w:rPr>
          <w:sz w:val="20"/>
          <w:szCs w:val="20"/>
          <w:color w:val="auto"/>
        </w:rPr>
      </w:pPr>
      <w:r>
        <w:rPr>
          <w:rFonts w:ascii="Arial" w:cs="Arial" w:eastAsia="Arial" w:hAnsi="Arial"/>
          <w:sz w:val="18"/>
          <w:szCs w:val="18"/>
          <w:color w:val="auto"/>
        </w:rPr>
        <w:t>Relating to Preliminary Prospectus Supplement dated August 7, 2020</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8080" w:type="dxa"/>
            <w:vAlign w:val="bottom"/>
          </w:tcPr>
          <w:p>
            <w:pPr>
              <w:jc w:val="center"/>
              <w:ind w:right="3130"/>
              <w:spacing w:after="0"/>
              <w:rPr>
                <w:sz w:val="20"/>
                <w:szCs w:val="20"/>
                <w:color w:val="auto"/>
              </w:rPr>
            </w:pPr>
            <w:r>
              <w:rPr>
                <w:rFonts w:ascii="Arial" w:cs="Arial" w:eastAsia="Arial" w:hAnsi="Arial"/>
                <w:sz w:val="18"/>
                <w:szCs w:val="18"/>
                <w:b w:val="1"/>
                <w:bCs w:val="1"/>
                <w:color w:val="auto"/>
                <w:w w:val="89"/>
              </w:rPr>
              <w:t>Regeneron Pharmaceuticals, Inc.</w:t>
            </w:r>
          </w:p>
        </w:tc>
      </w:tr>
      <w:tr>
        <w:trPr>
          <w:trHeight w:val="414"/>
        </w:trPr>
        <w:tc>
          <w:tcPr>
            <w:tcW w:w="3200" w:type="dxa"/>
            <w:vAlign w:val="bottom"/>
          </w:tcPr>
          <w:p>
            <w:pPr>
              <w:spacing w:after="0"/>
              <w:rPr>
                <w:sz w:val="24"/>
                <w:szCs w:val="24"/>
                <w:color w:val="auto"/>
              </w:rPr>
            </w:pPr>
          </w:p>
        </w:tc>
        <w:tc>
          <w:tcPr>
            <w:tcW w:w="8080" w:type="dxa"/>
            <w:vAlign w:val="bottom"/>
          </w:tcPr>
          <w:p>
            <w:pPr>
              <w:jc w:val="center"/>
              <w:ind w:right="3130"/>
              <w:spacing w:after="0"/>
              <w:rPr>
                <w:sz w:val="20"/>
                <w:szCs w:val="20"/>
                <w:color w:val="auto"/>
              </w:rPr>
            </w:pPr>
            <w:r>
              <w:rPr>
                <w:rFonts w:ascii="Arial" w:cs="Arial" w:eastAsia="Arial" w:hAnsi="Arial"/>
                <w:sz w:val="18"/>
                <w:szCs w:val="18"/>
                <w:b w:val="1"/>
                <w:bCs w:val="1"/>
                <w:color w:val="auto"/>
                <w:w w:val="90"/>
              </w:rPr>
              <w:t>$1,250,000,000 1.750% Senior Notes Due 2030</w:t>
            </w:r>
          </w:p>
        </w:tc>
      </w:tr>
      <w:tr>
        <w:trPr>
          <w:trHeight w:val="234"/>
        </w:trPr>
        <w:tc>
          <w:tcPr>
            <w:tcW w:w="3200" w:type="dxa"/>
            <w:vAlign w:val="bottom"/>
          </w:tcPr>
          <w:p>
            <w:pPr>
              <w:spacing w:after="0"/>
              <w:rPr>
                <w:sz w:val="20"/>
                <w:szCs w:val="20"/>
                <w:color w:val="auto"/>
              </w:rPr>
            </w:pPr>
          </w:p>
        </w:tc>
        <w:tc>
          <w:tcPr>
            <w:tcW w:w="8080" w:type="dxa"/>
            <w:vAlign w:val="bottom"/>
          </w:tcPr>
          <w:p>
            <w:pPr>
              <w:jc w:val="center"/>
              <w:ind w:right="3150"/>
              <w:spacing w:after="0"/>
              <w:rPr>
                <w:sz w:val="20"/>
                <w:szCs w:val="20"/>
                <w:color w:val="auto"/>
              </w:rPr>
            </w:pPr>
            <w:r>
              <w:rPr>
                <w:rFonts w:ascii="Arial" w:cs="Arial" w:eastAsia="Arial" w:hAnsi="Arial"/>
                <w:sz w:val="18"/>
                <w:szCs w:val="18"/>
                <w:b w:val="1"/>
                <w:bCs w:val="1"/>
                <w:color w:val="auto"/>
                <w:w w:val="90"/>
              </w:rPr>
              <w:t>$750,000,000 2.800% Senior Notes Due 2050</w:t>
            </w:r>
          </w:p>
        </w:tc>
      </w:tr>
      <w:tr>
        <w:trPr>
          <w:trHeight w:val="432"/>
        </w:trPr>
        <w:tc>
          <w:tcPr>
            <w:tcW w:w="3200" w:type="dxa"/>
            <w:vAlign w:val="bottom"/>
          </w:tcPr>
          <w:p>
            <w:pPr>
              <w:spacing w:after="0"/>
              <w:rPr>
                <w:sz w:val="24"/>
                <w:szCs w:val="24"/>
                <w:color w:val="auto"/>
              </w:rPr>
            </w:pPr>
          </w:p>
        </w:tc>
        <w:tc>
          <w:tcPr>
            <w:tcW w:w="8080" w:type="dxa"/>
            <w:vAlign w:val="bottom"/>
          </w:tcPr>
          <w:p>
            <w:pPr>
              <w:jc w:val="center"/>
              <w:ind w:right="3150"/>
              <w:spacing w:after="0"/>
              <w:rPr>
                <w:sz w:val="20"/>
                <w:szCs w:val="20"/>
                <w:color w:val="auto"/>
              </w:rPr>
            </w:pPr>
            <w:r>
              <w:rPr>
                <w:rFonts w:ascii="Arial" w:cs="Arial" w:eastAsia="Arial" w:hAnsi="Arial"/>
                <w:sz w:val="18"/>
                <w:szCs w:val="18"/>
                <w:b w:val="1"/>
                <w:bCs w:val="1"/>
                <w:color w:val="auto"/>
              </w:rPr>
              <w:t>PRICING TERM SHEET</w:t>
            </w:r>
          </w:p>
        </w:tc>
      </w:tr>
      <w:tr>
        <w:trPr>
          <w:trHeight w:val="432"/>
        </w:trPr>
        <w:tc>
          <w:tcPr>
            <w:tcW w:w="3200" w:type="dxa"/>
            <w:vAlign w:val="bottom"/>
          </w:tcPr>
          <w:p>
            <w:pPr>
              <w:spacing w:after="0"/>
              <w:rPr>
                <w:sz w:val="24"/>
                <w:szCs w:val="24"/>
                <w:color w:val="auto"/>
              </w:rPr>
            </w:pPr>
          </w:p>
        </w:tc>
        <w:tc>
          <w:tcPr>
            <w:tcW w:w="8080" w:type="dxa"/>
            <w:vAlign w:val="bottom"/>
          </w:tcPr>
          <w:p>
            <w:pPr>
              <w:jc w:val="center"/>
              <w:ind w:right="3130"/>
              <w:spacing w:after="0"/>
              <w:rPr>
                <w:sz w:val="20"/>
                <w:szCs w:val="20"/>
                <w:color w:val="auto"/>
              </w:rPr>
            </w:pPr>
            <w:r>
              <w:rPr>
                <w:rFonts w:ascii="Arial" w:cs="Arial" w:eastAsia="Arial" w:hAnsi="Arial"/>
                <w:sz w:val="18"/>
                <w:szCs w:val="18"/>
                <w:b w:val="1"/>
                <w:bCs w:val="1"/>
                <w:color w:val="auto"/>
                <w:w w:val="90"/>
              </w:rPr>
              <w:t>$1,250,000,000 1.750% Senior Notes Due 2030</w:t>
            </w:r>
          </w:p>
        </w:tc>
      </w:tr>
      <w:tr>
        <w:trPr>
          <w:trHeight w:val="432"/>
        </w:trPr>
        <w:tc>
          <w:tcPr>
            <w:tcW w:w="3200" w:type="dxa"/>
            <w:vAlign w:val="bottom"/>
          </w:tcPr>
          <w:p>
            <w:pPr>
              <w:spacing w:after="0"/>
              <w:rPr>
                <w:sz w:val="20"/>
                <w:szCs w:val="20"/>
                <w:color w:val="auto"/>
              </w:rPr>
            </w:pPr>
            <w:r>
              <w:rPr>
                <w:rFonts w:ascii="Arial" w:cs="Arial" w:eastAsia="Arial" w:hAnsi="Arial"/>
                <w:sz w:val="18"/>
                <w:szCs w:val="18"/>
                <w:color w:val="auto"/>
              </w:rPr>
              <w:t>Issuer</w:t>
            </w:r>
          </w:p>
        </w:tc>
        <w:tc>
          <w:tcPr>
            <w:tcW w:w="8080" w:type="dxa"/>
            <w:vAlign w:val="bottom"/>
          </w:tcPr>
          <w:p>
            <w:pPr>
              <w:ind w:left="2420"/>
              <w:spacing w:after="0"/>
              <w:rPr>
                <w:sz w:val="20"/>
                <w:szCs w:val="20"/>
                <w:color w:val="auto"/>
              </w:rPr>
            </w:pPr>
            <w:r>
              <w:rPr>
                <w:rFonts w:ascii="Arial" w:cs="Arial" w:eastAsia="Arial" w:hAnsi="Arial"/>
                <w:sz w:val="18"/>
                <w:szCs w:val="18"/>
                <w:color w:val="auto"/>
              </w:rPr>
              <w:t>Regeneron Pharmaceuticals, Inc.</w:t>
            </w:r>
          </w:p>
        </w:tc>
      </w:tr>
      <w:tr>
        <w:trPr>
          <w:trHeight w:val="432"/>
        </w:trPr>
        <w:tc>
          <w:tcPr>
            <w:tcW w:w="3200" w:type="dxa"/>
            <w:vAlign w:val="bottom"/>
          </w:tcPr>
          <w:p>
            <w:pPr>
              <w:spacing w:after="0"/>
              <w:rPr>
                <w:sz w:val="20"/>
                <w:szCs w:val="20"/>
                <w:color w:val="auto"/>
              </w:rPr>
            </w:pPr>
            <w:r>
              <w:rPr>
                <w:rFonts w:ascii="Arial" w:cs="Arial" w:eastAsia="Arial" w:hAnsi="Arial"/>
                <w:sz w:val="18"/>
                <w:szCs w:val="18"/>
                <w:color w:val="auto"/>
              </w:rPr>
              <w:t>Principal Amount</w:t>
            </w:r>
          </w:p>
        </w:tc>
        <w:tc>
          <w:tcPr>
            <w:tcW w:w="8080" w:type="dxa"/>
            <w:vAlign w:val="bottom"/>
          </w:tcPr>
          <w:p>
            <w:pPr>
              <w:ind w:left="2420"/>
              <w:spacing w:after="0"/>
              <w:rPr>
                <w:sz w:val="20"/>
                <w:szCs w:val="20"/>
                <w:color w:val="auto"/>
              </w:rPr>
            </w:pPr>
            <w:r>
              <w:rPr>
                <w:rFonts w:ascii="Arial" w:cs="Arial" w:eastAsia="Arial" w:hAnsi="Arial"/>
                <w:sz w:val="18"/>
                <w:szCs w:val="18"/>
                <w:color w:val="auto"/>
              </w:rPr>
              <w:t>$1,250,000,000</w:t>
            </w:r>
          </w:p>
        </w:tc>
      </w:tr>
      <w:tr>
        <w:trPr>
          <w:trHeight w:val="432"/>
        </w:trPr>
        <w:tc>
          <w:tcPr>
            <w:tcW w:w="3200" w:type="dxa"/>
            <w:vAlign w:val="bottom"/>
          </w:tcPr>
          <w:p>
            <w:pPr>
              <w:spacing w:after="0"/>
              <w:rPr>
                <w:sz w:val="20"/>
                <w:szCs w:val="20"/>
                <w:color w:val="auto"/>
              </w:rPr>
            </w:pPr>
            <w:r>
              <w:rPr>
                <w:rFonts w:ascii="Arial" w:cs="Arial" w:eastAsia="Arial" w:hAnsi="Arial"/>
                <w:sz w:val="18"/>
                <w:szCs w:val="18"/>
                <w:color w:val="auto"/>
              </w:rPr>
              <w:t>Maturity Date</w:t>
            </w:r>
          </w:p>
        </w:tc>
        <w:tc>
          <w:tcPr>
            <w:tcW w:w="8080" w:type="dxa"/>
            <w:vAlign w:val="bottom"/>
          </w:tcPr>
          <w:p>
            <w:pPr>
              <w:ind w:left="2420"/>
              <w:spacing w:after="0"/>
              <w:rPr>
                <w:sz w:val="20"/>
                <w:szCs w:val="20"/>
                <w:color w:val="auto"/>
              </w:rPr>
            </w:pPr>
            <w:r>
              <w:rPr>
                <w:rFonts w:ascii="Arial" w:cs="Arial" w:eastAsia="Arial" w:hAnsi="Arial"/>
                <w:sz w:val="18"/>
                <w:szCs w:val="18"/>
                <w:color w:val="auto"/>
              </w:rPr>
              <w:t>September 15, 2030</w:t>
            </w:r>
          </w:p>
        </w:tc>
      </w:tr>
      <w:tr>
        <w:trPr>
          <w:trHeight w:val="432"/>
        </w:trPr>
        <w:tc>
          <w:tcPr>
            <w:tcW w:w="3200" w:type="dxa"/>
            <w:vAlign w:val="bottom"/>
          </w:tcPr>
          <w:p>
            <w:pPr>
              <w:spacing w:after="0"/>
              <w:rPr>
                <w:sz w:val="20"/>
                <w:szCs w:val="20"/>
                <w:color w:val="auto"/>
              </w:rPr>
            </w:pPr>
            <w:r>
              <w:rPr>
                <w:rFonts w:ascii="Arial" w:cs="Arial" w:eastAsia="Arial" w:hAnsi="Arial"/>
                <w:sz w:val="18"/>
                <w:szCs w:val="18"/>
                <w:color w:val="auto"/>
              </w:rPr>
              <w:t>Issue Price (Price to Public)</w:t>
            </w:r>
          </w:p>
        </w:tc>
        <w:tc>
          <w:tcPr>
            <w:tcW w:w="8080" w:type="dxa"/>
            <w:vAlign w:val="bottom"/>
          </w:tcPr>
          <w:p>
            <w:pPr>
              <w:ind w:left="2420"/>
              <w:spacing w:after="0"/>
              <w:rPr>
                <w:sz w:val="20"/>
                <w:szCs w:val="20"/>
                <w:color w:val="auto"/>
              </w:rPr>
            </w:pPr>
            <w:r>
              <w:rPr>
                <w:rFonts w:ascii="Arial" w:cs="Arial" w:eastAsia="Arial" w:hAnsi="Arial"/>
                <w:sz w:val="18"/>
                <w:szCs w:val="18"/>
                <w:color w:val="auto"/>
              </w:rPr>
              <w:t>99.898%</w:t>
            </w:r>
          </w:p>
        </w:tc>
      </w:tr>
      <w:tr>
        <w:trPr>
          <w:trHeight w:val="432"/>
        </w:trPr>
        <w:tc>
          <w:tcPr>
            <w:tcW w:w="3200" w:type="dxa"/>
            <w:vAlign w:val="bottom"/>
          </w:tcPr>
          <w:p>
            <w:pPr>
              <w:spacing w:after="0"/>
              <w:rPr>
                <w:sz w:val="20"/>
                <w:szCs w:val="20"/>
                <w:color w:val="auto"/>
              </w:rPr>
            </w:pPr>
            <w:r>
              <w:rPr>
                <w:rFonts w:ascii="Arial" w:cs="Arial" w:eastAsia="Arial" w:hAnsi="Arial"/>
                <w:sz w:val="18"/>
                <w:szCs w:val="18"/>
                <w:color w:val="auto"/>
              </w:rPr>
              <w:t>Interest Rate</w:t>
            </w:r>
          </w:p>
        </w:tc>
        <w:tc>
          <w:tcPr>
            <w:tcW w:w="8080" w:type="dxa"/>
            <w:vAlign w:val="bottom"/>
          </w:tcPr>
          <w:p>
            <w:pPr>
              <w:ind w:left="2420"/>
              <w:spacing w:after="0"/>
              <w:rPr>
                <w:sz w:val="20"/>
                <w:szCs w:val="20"/>
                <w:color w:val="auto"/>
              </w:rPr>
            </w:pPr>
            <w:r>
              <w:rPr>
                <w:rFonts w:ascii="Arial" w:cs="Arial" w:eastAsia="Arial" w:hAnsi="Arial"/>
                <w:sz w:val="18"/>
                <w:szCs w:val="18"/>
                <w:color w:val="auto"/>
              </w:rPr>
              <w:t>1.750% per annum beginning on the Original Issue Date</w:t>
            </w:r>
          </w:p>
        </w:tc>
      </w:tr>
      <w:tr>
        <w:trPr>
          <w:trHeight w:val="418"/>
        </w:trPr>
        <w:tc>
          <w:tcPr>
            <w:tcW w:w="3200" w:type="dxa"/>
            <w:vAlign w:val="bottom"/>
          </w:tcPr>
          <w:p>
            <w:pPr>
              <w:spacing w:after="0"/>
              <w:rPr>
                <w:sz w:val="20"/>
                <w:szCs w:val="20"/>
                <w:color w:val="auto"/>
              </w:rPr>
            </w:pPr>
            <w:r>
              <w:rPr>
                <w:rFonts w:ascii="Arial" w:cs="Arial" w:eastAsia="Arial" w:hAnsi="Arial"/>
                <w:sz w:val="18"/>
                <w:szCs w:val="18"/>
                <w:color w:val="auto"/>
              </w:rPr>
              <w:t>Interest Payment Dates</w:t>
            </w:r>
          </w:p>
        </w:tc>
        <w:tc>
          <w:tcPr>
            <w:tcW w:w="8080" w:type="dxa"/>
            <w:vAlign w:val="bottom"/>
          </w:tcPr>
          <w:p>
            <w:pPr>
              <w:ind w:left="2420"/>
              <w:spacing w:after="0"/>
              <w:rPr>
                <w:sz w:val="20"/>
                <w:szCs w:val="20"/>
                <w:color w:val="auto"/>
              </w:rPr>
            </w:pPr>
            <w:r>
              <w:rPr>
                <w:rFonts w:ascii="Arial" w:cs="Arial" w:eastAsia="Arial" w:hAnsi="Arial"/>
                <w:sz w:val="18"/>
                <w:szCs w:val="18"/>
                <w:color w:val="auto"/>
                <w:w w:val="95"/>
              </w:rPr>
              <w:t>Semi-annually, each March 15 and September 15, commencing March 15,</w:t>
            </w:r>
          </w:p>
        </w:tc>
      </w:tr>
      <w:tr>
        <w:trPr>
          <w:trHeight w:val="230"/>
        </w:trPr>
        <w:tc>
          <w:tcPr>
            <w:tcW w:w="3200" w:type="dxa"/>
            <w:vAlign w:val="bottom"/>
          </w:tcPr>
          <w:p>
            <w:pPr>
              <w:spacing w:after="0"/>
              <w:rPr>
                <w:sz w:val="20"/>
                <w:szCs w:val="20"/>
                <w:color w:val="auto"/>
              </w:rPr>
            </w:pPr>
          </w:p>
        </w:tc>
        <w:tc>
          <w:tcPr>
            <w:tcW w:w="8080" w:type="dxa"/>
            <w:vAlign w:val="bottom"/>
          </w:tcPr>
          <w:p>
            <w:pPr>
              <w:ind w:left="2420"/>
              <w:spacing w:after="0"/>
              <w:rPr>
                <w:sz w:val="20"/>
                <w:szCs w:val="20"/>
                <w:color w:val="auto"/>
              </w:rPr>
            </w:pPr>
            <w:r>
              <w:rPr>
                <w:rFonts w:ascii="Arial" w:cs="Arial" w:eastAsia="Arial" w:hAnsi="Arial"/>
                <w:sz w:val="18"/>
                <w:szCs w:val="18"/>
                <w:color w:val="auto"/>
              </w:rPr>
              <w:t>2021</w:t>
            </w:r>
          </w:p>
        </w:tc>
      </w:tr>
      <w:tr>
        <w:trPr>
          <w:trHeight w:val="432"/>
        </w:trPr>
        <w:tc>
          <w:tcPr>
            <w:tcW w:w="3200" w:type="dxa"/>
            <w:vAlign w:val="bottom"/>
          </w:tcPr>
          <w:p>
            <w:pPr>
              <w:spacing w:after="0"/>
              <w:rPr>
                <w:sz w:val="20"/>
                <w:szCs w:val="20"/>
                <w:color w:val="auto"/>
              </w:rPr>
            </w:pPr>
            <w:r>
              <w:rPr>
                <w:rFonts w:ascii="Arial" w:cs="Arial" w:eastAsia="Arial" w:hAnsi="Arial"/>
                <w:sz w:val="18"/>
                <w:szCs w:val="18"/>
                <w:color w:val="auto"/>
              </w:rPr>
              <w:t>Record Dates</w:t>
            </w:r>
          </w:p>
        </w:tc>
        <w:tc>
          <w:tcPr>
            <w:tcW w:w="8080" w:type="dxa"/>
            <w:vAlign w:val="bottom"/>
          </w:tcPr>
          <w:p>
            <w:pPr>
              <w:ind w:left="2420"/>
              <w:spacing w:after="0"/>
              <w:rPr>
                <w:sz w:val="20"/>
                <w:szCs w:val="20"/>
                <w:color w:val="auto"/>
              </w:rPr>
            </w:pPr>
            <w:r>
              <w:rPr>
                <w:rFonts w:ascii="Arial" w:cs="Arial" w:eastAsia="Arial" w:hAnsi="Arial"/>
                <w:sz w:val="18"/>
                <w:szCs w:val="18"/>
                <w:color w:val="auto"/>
              </w:rPr>
              <w:t>March 1 and September 1</w:t>
            </w:r>
          </w:p>
        </w:tc>
      </w:tr>
      <w:tr>
        <w:trPr>
          <w:trHeight w:val="432"/>
        </w:trPr>
        <w:tc>
          <w:tcPr>
            <w:tcW w:w="3200" w:type="dxa"/>
            <w:vAlign w:val="bottom"/>
          </w:tcPr>
          <w:p>
            <w:pPr>
              <w:spacing w:after="0"/>
              <w:rPr>
                <w:sz w:val="20"/>
                <w:szCs w:val="20"/>
                <w:color w:val="auto"/>
              </w:rPr>
            </w:pPr>
            <w:r>
              <w:rPr>
                <w:rFonts w:ascii="Arial" w:cs="Arial" w:eastAsia="Arial" w:hAnsi="Arial"/>
                <w:sz w:val="18"/>
                <w:szCs w:val="18"/>
                <w:color w:val="auto"/>
              </w:rPr>
              <w:t>Treasury Benchmark</w:t>
            </w:r>
          </w:p>
        </w:tc>
        <w:tc>
          <w:tcPr>
            <w:tcW w:w="8080" w:type="dxa"/>
            <w:vAlign w:val="bottom"/>
          </w:tcPr>
          <w:p>
            <w:pPr>
              <w:ind w:left="2420"/>
              <w:spacing w:after="0"/>
              <w:rPr>
                <w:sz w:val="20"/>
                <w:szCs w:val="20"/>
                <w:color w:val="auto"/>
              </w:rPr>
            </w:pPr>
            <w:r>
              <w:rPr>
                <w:rFonts w:ascii="Arial" w:cs="Arial" w:eastAsia="Arial" w:hAnsi="Arial"/>
                <w:sz w:val="18"/>
                <w:szCs w:val="18"/>
                <w:color w:val="auto"/>
              </w:rPr>
              <w:t>0.625% due May 15, 2030</w:t>
            </w:r>
          </w:p>
        </w:tc>
      </w:tr>
      <w:tr>
        <w:trPr>
          <w:trHeight w:val="432"/>
        </w:trPr>
        <w:tc>
          <w:tcPr>
            <w:tcW w:w="3200" w:type="dxa"/>
            <w:vAlign w:val="bottom"/>
          </w:tcPr>
          <w:p>
            <w:pPr>
              <w:spacing w:after="0"/>
              <w:rPr>
                <w:sz w:val="20"/>
                <w:szCs w:val="20"/>
                <w:color w:val="auto"/>
              </w:rPr>
            </w:pPr>
            <w:r>
              <w:rPr>
                <w:rFonts w:ascii="Arial" w:cs="Arial" w:eastAsia="Arial" w:hAnsi="Arial"/>
                <w:sz w:val="18"/>
                <w:szCs w:val="18"/>
                <w:color w:val="auto"/>
              </w:rPr>
              <w:t>Spread to Benchmark Treasury</w:t>
            </w:r>
          </w:p>
        </w:tc>
        <w:tc>
          <w:tcPr>
            <w:tcW w:w="8080" w:type="dxa"/>
            <w:vAlign w:val="bottom"/>
          </w:tcPr>
          <w:p>
            <w:pPr>
              <w:ind w:left="2420"/>
              <w:spacing w:after="0"/>
              <w:rPr>
                <w:sz w:val="20"/>
                <w:szCs w:val="20"/>
                <w:color w:val="auto"/>
              </w:rPr>
            </w:pPr>
            <w:r>
              <w:rPr>
                <w:rFonts w:ascii="Arial" w:cs="Arial" w:eastAsia="Arial" w:hAnsi="Arial"/>
                <w:sz w:val="18"/>
                <w:szCs w:val="18"/>
                <w:color w:val="auto"/>
              </w:rPr>
              <w:t>120 bps</w:t>
            </w:r>
          </w:p>
        </w:tc>
      </w:tr>
      <w:tr>
        <w:trPr>
          <w:trHeight w:val="432"/>
        </w:trPr>
        <w:tc>
          <w:tcPr>
            <w:tcW w:w="3200" w:type="dxa"/>
            <w:vAlign w:val="bottom"/>
          </w:tcPr>
          <w:p>
            <w:pPr>
              <w:spacing w:after="0"/>
              <w:rPr>
                <w:sz w:val="20"/>
                <w:szCs w:val="20"/>
                <w:color w:val="auto"/>
              </w:rPr>
            </w:pPr>
            <w:r>
              <w:rPr>
                <w:rFonts w:ascii="Arial" w:cs="Arial" w:eastAsia="Arial" w:hAnsi="Arial"/>
                <w:sz w:val="18"/>
                <w:szCs w:val="18"/>
                <w:color w:val="auto"/>
              </w:rPr>
              <w:t>Benchmark Treasury Price &amp; Yield</w:t>
            </w:r>
          </w:p>
        </w:tc>
        <w:tc>
          <w:tcPr>
            <w:tcW w:w="8080" w:type="dxa"/>
            <w:vAlign w:val="bottom"/>
          </w:tcPr>
          <w:p>
            <w:pPr>
              <w:ind w:left="2420"/>
              <w:spacing w:after="0"/>
              <w:rPr>
                <w:sz w:val="20"/>
                <w:szCs w:val="20"/>
                <w:color w:val="auto"/>
              </w:rPr>
            </w:pPr>
            <w:r>
              <w:rPr>
                <w:rFonts w:ascii="Arial" w:cs="Arial" w:eastAsia="Arial" w:hAnsi="Arial"/>
                <w:sz w:val="18"/>
                <w:szCs w:val="18"/>
                <w:color w:val="auto"/>
              </w:rPr>
              <w:t>100-19+ / 0.561%</w:t>
            </w:r>
          </w:p>
        </w:tc>
      </w:tr>
      <w:tr>
        <w:trPr>
          <w:trHeight w:val="432"/>
        </w:trPr>
        <w:tc>
          <w:tcPr>
            <w:tcW w:w="3200" w:type="dxa"/>
            <w:vAlign w:val="bottom"/>
          </w:tcPr>
          <w:p>
            <w:pPr>
              <w:spacing w:after="0"/>
              <w:rPr>
                <w:sz w:val="20"/>
                <w:szCs w:val="20"/>
                <w:color w:val="auto"/>
              </w:rPr>
            </w:pPr>
            <w:r>
              <w:rPr>
                <w:rFonts w:ascii="Arial" w:cs="Arial" w:eastAsia="Arial" w:hAnsi="Arial"/>
                <w:sz w:val="18"/>
                <w:szCs w:val="18"/>
                <w:color w:val="auto"/>
              </w:rPr>
              <w:t>Yield to Maturity</w:t>
            </w:r>
          </w:p>
        </w:tc>
        <w:tc>
          <w:tcPr>
            <w:tcW w:w="8080" w:type="dxa"/>
            <w:vAlign w:val="bottom"/>
          </w:tcPr>
          <w:p>
            <w:pPr>
              <w:ind w:left="2420"/>
              <w:spacing w:after="0"/>
              <w:rPr>
                <w:sz w:val="20"/>
                <w:szCs w:val="20"/>
                <w:color w:val="auto"/>
              </w:rPr>
            </w:pPr>
            <w:r>
              <w:rPr>
                <w:rFonts w:ascii="Arial" w:cs="Arial" w:eastAsia="Arial" w:hAnsi="Arial"/>
                <w:sz w:val="18"/>
                <w:szCs w:val="18"/>
                <w:color w:val="auto"/>
              </w:rPr>
              <w:t>1.761%</w:t>
            </w:r>
          </w:p>
        </w:tc>
      </w:tr>
      <w:tr>
        <w:trPr>
          <w:trHeight w:val="418"/>
        </w:trPr>
        <w:tc>
          <w:tcPr>
            <w:tcW w:w="3200" w:type="dxa"/>
            <w:vAlign w:val="bottom"/>
          </w:tcPr>
          <w:p>
            <w:pPr>
              <w:spacing w:after="0"/>
              <w:rPr>
                <w:sz w:val="20"/>
                <w:szCs w:val="20"/>
                <w:color w:val="auto"/>
              </w:rPr>
            </w:pPr>
            <w:r>
              <w:rPr>
                <w:rFonts w:ascii="Arial" w:cs="Arial" w:eastAsia="Arial" w:hAnsi="Arial"/>
                <w:sz w:val="18"/>
                <w:szCs w:val="18"/>
                <w:color w:val="auto"/>
              </w:rPr>
              <w:t>Optional Redemption</w:t>
            </w:r>
          </w:p>
        </w:tc>
        <w:tc>
          <w:tcPr>
            <w:tcW w:w="8080" w:type="dxa"/>
            <w:vAlign w:val="bottom"/>
          </w:tcPr>
          <w:p>
            <w:pPr>
              <w:ind w:left="2420"/>
              <w:spacing w:after="0"/>
              <w:rPr>
                <w:sz w:val="20"/>
                <w:szCs w:val="20"/>
                <w:color w:val="auto"/>
              </w:rPr>
            </w:pPr>
            <w:r>
              <w:rPr>
                <w:rFonts w:ascii="Arial" w:cs="Arial" w:eastAsia="Arial" w:hAnsi="Arial"/>
                <w:sz w:val="18"/>
                <w:szCs w:val="18"/>
                <w:color w:val="auto"/>
              </w:rPr>
              <w:t>Make whole call, in whole or in part, as set forth in the preliminary</w:t>
            </w:r>
          </w:p>
        </w:tc>
      </w:tr>
      <w:tr>
        <w:trPr>
          <w:trHeight w:val="216"/>
        </w:trPr>
        <w:tc>
          <w:tcPr>
            <w:tcW w:w="3200" w:type="dxa"/>
            <w:vAlign w:val="bottom"/>
          </w:tcPr>
          <w:p>
            <w:pPr>
              <w:spacing w:after="0"/>
              <w:rPr>
                <w:sz w:val="18"/>
                <w:szCs w:val="18"/>
                <w:color w:val="auto"/>
              </w:rPr>
            </w:pPr>
          </w:p>
        </w:tc>
        <w:tc>
          <w:tcPr>
            <w:tcW w:w="8080" w:type="dxa"/>
            <w:vAlign w:val="bottom"/>
          </w:tcPr>
          <w:p>
            <w:pPr>
              <w:ind w:left="2420"/>
              <w:spacing w:after="0"/>
              <w:rPr>
                <w:sz w:val="20"/>
                <w:szCs w:val="20"/>
                <w:color w:val="auto"/>
              </w:rPr>
            </w:pPr>
            <w:r>
              <w:rPr>
                <w:rFonts w:ascii="Arial" w:cs="Arial" w:eastAsia="Arial" w:hAnsi="Arial"/>
                <w:sz w:val="18"/>
                <w:szCs w:val="18"/>
                <w:color w:val="auto"/>
                <w:w w:val="92"/>
              </w:rPr>
              <w:t>prospectus supplement to which this pricing term sheet relates (treasury rate</w:t>
            </w:r>
          </w:p>
        </w:tc>
      </w:tr>
      <w:tr>
        <w:trPr>
          <w:trHeight w:val="216"/>
        </w:trPr>
        <w:tc>
          <w:tcPr>
            <w:tcW w:w="3200" w:type="dxa"/>
            <w:vAlign w:val="bottom"/>
          </w:tcPr>
          <w:p>
            <w:pPr>
              <w:spacing w:after="0"/>
              <w:rPr>
                <w:sz w:val="18"/>
                <w:szCs w:val="18"/>
                <w:color w:val="auto"/>
              </w:rPr>
            </w:pPr>
          </w:p>
        </w:tc>
        <w:tc>
          <w:tcPr>
            <w:tcW w:w="8080" w:type="dxa"/>
            <w:vAlign w:val="bottom"/>
          </w:tcPr>
          <w:p>
            <w:pPr>
              <w:ind w:left="2420"/>
              <w:spacing w:after="0"/>
              <w:rPr>
                <w:sz w:val="20"/>
                <w:szCs w:val="20"/>
                <w:color w:val="auto"/>
              </w:rPr>
            </w:pPr>
            <w:r>
              <w:rPr>
                <w:rFonts w:ascii="Arial" w:cs="Arial" w:eastAsia="Arial" w:hAnsi="Arial"/>
                <w:sz w:val="18"/>
                <w:szCs w:val="18"/>
                <w:color w:val="auto"/>
                <w:w w:val="91"/>
              </w:rPr>
              <w:t>plus 20 basis points) at any time prior to June 15, 2030 (3 months prior to the</w:t>
            </w:r>
          </w:p>
        </w:tc>
      </w:tr>
      <w:tr>
        <w:trPr>
          <w:trHeight w:val="230"/>
        </w:trPr>
        <w:tc>
          <w:tcPr>
            <w:tcW w:w="3200" w:type="dxa"/>
            <w:vAlign w:val="bottom"/>
          </w:tcPr>
          <w:p>
            <w:pPr>
              <w:spacing w:after="0"/>
              <w:rPr>
                <w:sz w:val="20"/>
                <w:szCs w:val="20"/>
                <w:color w:val="auto"/>
              </w:rPr>
            </w:pPr>
          </w:p>
        </w:tc>
        <w:tc>
          <w:tcPr>
            <w:tcW w:w="8080" w:type="dxa"/>
            <w:vAlign w:val="bottom"/>
          </w:tcPr>
          <w:p>
            <w:pPr>
              <w:ind w:left="2420"/>
              <w:spacing w:after="0"/>
              <w:rPr>
                <w:sz w:val="20"/>
                <w:szCs w:val="20"/>
                <w:color w:val="auto"/>
              </w:rPr>
            </w:pPr>
            <w:r>
              <w:rPr>
                <w:rFonts w:ascii="Arial" w:cs="Arial" w:eastAsia="Arial" w:hAnsi="Arial"/>
                <w:sz w:val="18"/>
                <w:szCs w:val="18"/>
                <w:color w:val="auto"/>
              </w:rPr>
              <w:t>maturity date of the 2030 notes)</w:t>
            </w:r>
          </w:p>
        </w:tc>
      </w:tr>
      <w:tr>
        <w:trPr>
          <w:trHeight w:val="418"/>
        </w:trPr>
        <w:tc>
          <w:tcPr>
            <w:tcW w:w="3200" w:type="dxa"/>
            <w:vAlign w:val="bottom"/>
          </w:tcPr>
          <w:p>
            <w:pPr>
              <w:spacing w:after="0"/>
              <w:rPr>
                <w:sz w:val="24"/>
                <w:szCs w:val="24"/>
                <w:color w:val="auto"/>
              </w:rPr>
            </w:pPr>
          </w:p>
        </w:tc>
        <w:tc>
          <w:tcPr>
            <w:tcW w:w="8080" w:type="dxa"/>
            <w:vAlign w:val="bottom"/>
          </w:tcPr>
          <w:p>
            <w:pPr>
              <w:ind w:left="2420"/>
              <w:spacing w:after="0"/>
              <w:rPr>
                <w:sz w:val="20"/>
                <w:szCs w:val="20"/>
                <w:color w:val="auto"/>
              </w:rPr>
            </w:pPr>
            <w:r>
              <w:rPr>
                <w:rFonts w:ascii="Arial" w:cs="Arial" w:eastAsia="Arial" w:hAnsi="Arial"/>
                <w:sz w:val="18"/>
                <w:szCs w:val="18"/>
                <w:color w:val="auto"/>
                <w:w w:val="93"/>
              </w:rPr>
              <w:t>Par call, in whole or in part, at any time on or after June 15, 2030 (3 months</w:t>
            </w:r>
          </w:p>
        </w:tc>
      </w:tr>
      <w:tr>
        <w:trPr>
          <w:trHeight w:val="230"/>
        </w:trPr>
        <w:tc>
          <w:tcPr>
            <w:tcW w:w="3200" w:type="dxa"/>
            <w:vAlign w:val="bottom"/>
          </w:tcPr>
          <w:p>
            <w:pPr>
              <w:spacing w:after="0"/>
              <w:rPr>
                <w:sz w:val="20"/>
                <w:szCs w:val="20"/>
                <w:color w:val="auto"/>
              </w:rPr>
            </w:pPr>
          </w:p>
        </w:tc>
        <w:tc>
          <w:tcPr>
            <w:tcW w:w="8080" w:type="dxa"/>
            <w:vAlign w:val="bottom"/>
          </w:tcPr>
          <w:p>
            <w:pPr>
              <w:ind w:left="2420"/>
              <w:spacing w:after="0"/>
              <w:rPr>
                <w:sz w:val="20"/>
                <w:szCs w:val="20"/>
                <w:color w:val="auto"/>
              </w:rPr>
            </w:pPr>
            <w:r>
              <w:rPr>
                <w:rFonts w:ascii="Arial" w:cs="Arial" w:eastAsia="Arial" w:hAnsi="Arial"/>
                <w:sz w:val="18"/>
                <w:szCs w:val="18"/>
                <w:color w:val="auto"/>
              </w:rPr>
              <w:t>prior to the maturity date of the 2030 notes)</w:t>
            </w:r>
          </w:p>
        </w:tc>
      </w:tr>
      <w:tr>
        <w:trPr>
          <w:trHeight w:val="432"/>
        </w:trPr>
        <w:tc>
          <w:tcPr>
            <w:tcW w:w="3200" w:type="dxa"/>
            <w:vAlign w:val="bottom"/>
          </w:tcPr>
          <w:p>
            <w:pPr>
              <w:spacing w:after="0"/>
              <w:rPr>
                <w:sz w:val="20"/>
                <w:szCs w:val="20"/>
                <w:color w:val="auto"/>
              </w:rPr>
            </w:pPr>
            <w:r>
              <w:rPr>
                <w:rFonts w:ascii="Arial" w:cs="Arial" w:eastAsia="Arial" w:hAnsi="Arial"/>
                <w:sz w:val="18"/>
                <w:szCs w:val="18"/>
                <w:color w:val="auto"/>
              </w:rPr>
              <w:t>CUSIP/ISIN:</w:t>
            </w:r>
          </w:p>
        </w:tc>
        <w:tc>
          <w:tcPr>
            <w:tcW w:w="8080" w:type="dxa"/>
            <w:vAlign w:val="bottom"/>
          </w:tcPr>
          <w:p>
            <w:pPr>
              <w:ind w:left="2420"/>
              <w:spacing w:after="0"/>
              <w:rPr>
                <w:sz w:val="20"/>
                <w:szCs w:val="20"/>
                <w:color w:val="auto"/>
              </w:rPr>
            </w:pPr>
            <w:r>
              <w:rPr>
                <w:rFonts w:ascii="Arial" w:cs="Arial" w:eastAsia="Arial" w:hAnsi="Arial"/>
                <w:sz w:val="18"/>
                <w:szCs w:val="18"/>
                <w:color w:val="auto"/>
              </w:rPr>
              <w:t>75886F AE7 / US75886FAE79</w:t>
            </w:r>
          </w:p>
        </w:tc>
      </w:tr>
      <w:tr>
        <w:trPr>
          <w:trHeight w:val="418"/>
        </w:trPr>
        <w:tc>
          <w:tcPr>
            <w:tcW w:w="3200" w:type="dxa"/>
            <w:vAlign w:val="bottom"/>
          </w:tcPr>
          <w:p>
            <w:pPr>
              <w:spacing w:after="0"/>
              <w:rPr>
                <w:sz w:val="20"/>
                <w:szCs w:val="20"/>
                <w:color w:val="auto"/>
              </w:rPr>
            </w:pPr>
            <w:r>
              <w:rPr>
                <w:rFonts w:ascii="Arial" w:cs="Arial" w:eastAsia="Arial" w:hAnsi="Arial"/>
                <w:sz w:val="18"/>
                <w:szCs w:val="18"/>
                <w:color w:val="auto"/>
              </w:rPr>
              <w:t>Lead Book-Running Managers</w:t>
            </w:r>
          </w:p>
        </w:tc>
        <w:tc>
          <w:tcPr>
            <w:tcW w:w="8080" w:type="dxa"/>
            <w:vAlign w:val="bottom"/>
          </w:tcPr>
          <w:p>
            <w:pPr>
              <w:ind w:left="2420"/>
              <w:spacing w:after="0"/>
              <w:rPr>
                <w:sz w:val="20"/>
                <w:szCs w:val="20"/>
                <w:color w:val="auto"/>
              </w:rPr>
            </w:pPr>
            <w:r>
              <w:rPr>
                <w:rFonts w:ascii="Arial" w:cs="Arial" w:eastAsia="Arial" w:hAnsi="Arial"/>
                <w:sz w:val="18"/>
                <w:szCs w:val="18"/>
                <w:color w:val="auto"/>
              </w:rPr>
              <w:t>Goldman Sachs &amp; Co. LLC</w:t>
            </w:r>
          </w:p>
        </w:tc>
      </w:tr>
      <w:tr>
        <w:trPr>
          <w:trHeight w:val="216"/>
        </w:trPr>
        <w:tc>
          <w:tcPr>
            <w:tcW w:w="3200" w:type="dxa"/>
            <w:vAlign w:val="bottom"/>
          </w:tcPr>
          <w:p>
            <w:pPr>
              <w:spacing w:after="0"/>
              <w:rPr>
                <w:sz w:val="18"/>
                <w:szCs w:val="18"/>
                <w:color w:val="auto"/>
              </w:rPr>
            </w:pPr>
          </w:p>
        </w:tc>
        <w:tc>
          <w:tcPr>
            <w:tcW w:w="8080" w:type="dxa"/>
            <w:vAlign w:val="bottom"/>
          </w:tcPr>
          <w:p>
            <w:pPr>
              <w:ind w:left="2420"/>
              <w:spacing w:after="0"/>
              <w:rPr>
                <w:sz w:val="20"/>
                <w:szCs w:val="20"/>
                <w:color w:val="auto"/>
              </w:rPr>
            </w:pPr>
            <w:r>
              <w:rPr>
                <w:rFonts w:ascii="Arial" w:cs="Arial" w:eastAsia="Arial" w:hAnsi="Arial"/>
                <w:sz w:val="18"/>
                <w:szCs w:val="18"/>
                <w:color w:val="auto"/>
              </w:rPr>
              <w:t>BofA Securities, Inc.</w:t>
            </w:r>
          </w:p>
        </w:tc>
      </w:tr>
      <w:tr>
        <w:trPr>
          <w:trHeight w:val="230"/>
        </w:trPr>
        <w:tc>
          <w:tcPr>
            <w:tcW w:w="3200" w:type="dxa"/>
            <w:vAlign w:val="bottom"/>
          </w:tcPr>
          <w:p>
            <w:pPr>
              <w:spacing w:after="0"/>
              <w:rPr>
                <w:sz w:val="20"/>
                <w:szCs w:val="20"/>
                <w:color w:val="auto"/>
              </w:rPr>
            </w:pPr>
          </w:p>
        </w:tc>
        <w:tc>
          <w:tcPr>
            <w:tcW w:w="8080" w:type="dxa"/>
            <w:vAlign w:val="bottom"/>
          </w:tcPr>
          <w:p>
            <w:pPr>
              <w:ind w:left="2420"/>
              <w:spacing w:after="0"/>
              <w:rPr>
                <w:sz w:val="20"/>
                <w:szCs w:val="20"/>
                <w:color w:val="auto"/>
              </w:rPr>
            </w:pPr>
            <w:r>
              <w:rPr>
                <w:rFonts w:ascii="Arial" w:cs="Arial" w:eastAsia="Arial" w:hAnsi="Arial"/>
                <w:sz w:val="18"/>
                <w:szCs w:val="18"/>
                <w:color w:val="auto"/>
              </w:rPr>
              <w:t>J.P. Morgan Securities LLC</w:t>
            </w:r>
          </w:p>
        </w:tc>
      </w:tr>
      <w:tr>
        <w:trPr>
          <w:trHeight w:val="418"/>
        </w:trPr>
        <w:tc>
          <w:tcPr>
            <w:tcW w:w="3200" w:type="dxa"/>
            <w:vAlign w:val="bottom"/>
          </w:tcPr>
          <w:p>
            <w:pPr>
              <w:spacing w:after="0"/>
              <w:rPr>
                <w:sz w:val="20"/>
                <w:szCs w:val="20"/>
                <w:color w:val="auto"/>
              </w:rPr>
            </w:pPr>
            <w:r>
              <w:rPr>
                <w:rFonts w:ascii="Arial" w:cs="Arial" w:eastAsia="Arial" w:hAnsi="Arial"/>
                <w:sz w:val="18"/>
                <w:szCs w:val="18"/>
                <w:color w:val="auto"/>
              </w:rPr>
              <w:t>Bookrunners</w:t>
            </w:r>
          </w:p>
        </w:tc>
        <w:tc>
          <w:tcPr>
            <w:tcW w:w="8080" w:type="dxa"/>
            <w:vAlign w:val="bottom"/>
          </w:tcPr>
          <w:p>
            <w:pPr>
              <w:ind w:left="2420"/>
              <w:spacing w:after="0"/>
              <w:rPr>
                <w:sz w:val="20"/>
                <w:szCs w:val="20"/>
                <w:color w:val="auto"/>
              </w:rPr>
            </w:pPr>
            <w:r>
              <w:rPr>
                <w:rFonts w:ascii="Arial" w:cs="Arial" w:eastAsia="Arial" w:hAnsi="Arial"/>
                <w:sz w:val="18"/>
                <w:szCs w:val="18"/>
                <w:color w:val="auto"/>
              </w:rPr>
              <w:t>U.S. Bancorp Investments, Inc.</w:t>
            </w:r>
          </w:p>
        </w:tc>
      </w:tr>
      <w:tr>
        <w:trPr>
          <w:trHeight w:val="216"/>
        </w:trPr>
        <w:tc>
          <w:tcPr>
            <w:tcW w:w="3200" w:type="dxa"/>
            <w:vAlign w:val="bottom"/>
          </w:tcPr>
          <w:p>
            <w:pPr>
              <w:spacing w:after="0"/>
              <w:rPr>
                <w:sz w:val="18"/>
                <w:szCs w:val="18"/>
                <w:color w:val="auto"/>
              </w:rPr>
            </w:pPr>
          </w:p>
        </w:tc>
        <w:tc>
          <w:tcPr>
            <w:tcW w:w="8080" w:type="dxa"/>
            <w:vAlign w:val="bottom"/>
          </w:tcPr>
          <w:p>
            <w:pPr>
              <w:ind w:left="2420"/>
              <w:spacing w:after="0"/>
              <w:rPr>
                <w:sz w:val="20"/>
                <w:szCs w:val="20"/>
                <w:color w:val="auto"/>
              </w:rPr>
            </w:pPr>
            <w:r>
              <w:rPr>
                <w:rFonts w:ascii="Arial" w:cs="Arial" w:eastAsia="Arial" w:hAnsi="Arial"/>
                <w:sz w:val="18"/>
                <w:szCs w:val="18"/>
                <w:color w:val="auto"/>
              </w:rPr>
              <w:t>Barclays Capital Inc.</w:t>
            </w:r>
          </w:p>
        </w:tc>
      </w:tr>
      <w:tr>
        <w:trPr>
          <w:trHeight w:val="230"/>
        </w:trPr>
        <w:tc>
          <w:tcPr>
            <w:tcW w:w="3200" w:type="dxa"/>
            <w:vAlign w:val="bottom"/>
          </w:tcPr>
          <w:p>
            <w:pPr>
              <w:spacing w:after="0"/>
              <w:rPr>
                <w:sz w:val="20"/>
                <w:szCs w:val="20"/>
                <w:color w:val="auto"/>
              </w:rPr>
            </w:pPr>
          </w:p>
        </w:tc>
        <w:tc>
          <w:tcPr>
            <w:tcW w:w="8080" w:type="dxa"/>
            <w:vAlign w:val="bottom"/>
          </w:tcPr>
          <w:p>
            <w:pPr>
              <w:ind w:left="2420"/>
              <w:spacing w:after="0"/>
              <w:rPr>
                <w:sz w:val="20"/>
                <w:szCs w:val="20"/>
                <w:color w:val="auto"/>
              </w:rPr>
            </w:pPr>
            <w:r>
              <w:rPr>
                <w:rFonts w:ascii="Arial" w:cs="Arial" w:eastAsia="Arial" w:hAnsi="Arial"/>
                <w:sz w:val="18"/>
                <w:szCs w:val="18"/>
                <w:color w:val="auto"/>
              </w:rPr>
              <w:t>Citigroup Global Markets Inc.</w:t>
            </w:r>
          </w:p>
        </w:tc>
      </w:tr>
      <w:tr>
        <w:trPr>
          <w:trHeight w:val="418"/>
        </w:trPr>
        <w:tc>
          <w:tcPr>
            <w:tcW w:w="3200" w:type="dxa"/>
            <w:vAlign w:val="bottom"/>
          </w:tcPr>
          <w:p>
            <w:pPr>
              <w:spacing w:after="0"/>
              <w:rPr>
                <w:sz w:val="20"/>
                <w:szCs w:val="20"/>
                <w:color w:val="auto"/>
              </w:rPr>
            </w:pPr>
            <w:r>
              <w:rPr>
                <w:rFonts w:ascii="Arial" w:cs="Arial" w:eastAsia="Arial" w:hAnsi="Arial"/>
                <w:sz w:val="18"/>
                <w:szCs w:val="18"/>
                <w:color w:val="auto"/>
              </w:rPr>
              <w:t>Senior Co-Managers</w:t>
            </w:r>
          </w:p>
        </w:tc>
        <w:tc>
          <w:tcPr>
            <w:tcW w:w="8080" w:type="dxa"/>
            <w:vAlign w:val="bottom"/>
          </w:tcPr>
          <w:p>
            <w:pPr>
              <w:ind w:left="2420"/>
              <w:spacing w:after="0"/>
              <w:rPr>
                <w:sz w:val="20"/>
                <w:szCs w:val="20"/>
                <w:color w:val="auto"/>
              </w:rPr>
            </w:pPr>
            <w:r>
              <w:rPr>
                <w:rFonts w:ascii="Arial" w:cs="Arial" w:eastAsia="Arial" w:hAnsi="Arial"/>
                <w:sz w:val="18"/>
                <w:szCs w:val="18"/>
                <w:color w:val="auto"/>
              </w:rPr>
              <w:t>Fifth Third Securities, Inc.</w:t>
            </w:r>
          </w:p>
        </w:tc>
      </w:tr>
      <w:tr>
        <w:trPr>
          <w:trHeight w:val="230"/>
        </w:trPr>
        <w:tc>
          <w:tcPr>
            <w:tcW w:w="3200" w:type="dxa"/>
            <w:vAlign w:val="bottom"/>
          </w:tcPr>
          <w:p>
            <w:pPr>
              <w:spacing w:after="0"/>
              <w:rPr>
                <w:sz w:val="20"/>
                <w:szCs w:val="20"/>
                <w:color w:val="auto"/>
              </w:rPr>
            </w:pPr>
          </w:p>
        </w:tc>
        <w:tc>
          <w:tcPr>
            <w:tcW w:w="8080" w:type="dxa"/>
            <w:vAlign w:val="bottom"/>
          </w:tcPr>
          <w:p>
            <w:pPr>
              <w:ind w:left="2420"/>
              <w:spacing w:after="0"/>
              <w:rPr>
                <w:sz w:val="20"/>
                <w:szCs w:val="20"/>
                <w:color w:val="auto"/>
              </w:rPr>
            </w:pPr>
            <w:r>
              <w:rPr>
                <w:rFonts w:ascii="Arial" w:cs="Arial" w:eastAsia="Arial" w:hAnsi="Arial"/>
                <w:sz w:val="18"/>
                <w:szCs w:val="18"/>
                <w:color w:val="auto"/>
              </w:rPr>
              <w:t>MUFG Securities Americas Inc.</w:t>
            </w:r>
          </w:p>
        </w:tc>
      </w:tr>
      <w:tr>
        <w:trPr>
          <w:trHeight w:val="348"/>
        </w:trPr>
        <w:tc>
          <w:tcPr>
            <w:tcW w:w="3200" w:type="dxa"/>
            <w:vAlign w:val="bottom"/>
            <w:tcBorders>
              <w:bottom w:val="single" w:sz="8" w:color="808080"/>
            </w:tcBorders>
          </w:tcPr>
          <w:p>
            <w:pPr>
              <w:spacing w:after="0"/>
              <w:rPr>
                <w:sz w:val="24"/>
                <w:szCs w:val="24"/>
                <w:color w:val="auto"/>
              </w:rPr>
            </w:pPr>
          </w:p>
        </w:tc>
        <w:tc>
          <w:tcPr>
            <w:tcW w:w="808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449" w:right="2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Co-Managers</w:t>
            </w:r>
          </w:p>
        </w:tc>
        <w:tc>
          <w:tcPr>
            <w:tcW w:w="8040" w:type="dxa"/>
            <w:vAlign w:val="bottom"/>
          </w:tcPr>
          <w:p>
            <w:pPr>
              <w:ind w:left="2380"/>
              <w:spacing w:after="0"/>
              <w:rPr>
                <w:sz w:val="20"/>
                <w:szCs w:val="20"/>
                <w:color w:val="auto"/>
              </w:rPr>
            </w:pPr>
            <w:r>
              <w:rPr>
                <w:rFonts w:ascii="Arial" w:cs="Arial" w:eastAsia="Arial" w:hAnsi="Arial"/>
                <w:sz w:val="18"/>
                <w:szCs w:val="18"/>
                <w:color w:val="auto"/>
              </w:rPr>
              <w:t>Citizens Capital Markets, Inc.</w:t>
            </w:r>
          </w:p>
        </w:tc>
      </w:tr>
      <w:tr>
        <w:trPr>
          <w:trHeight w:val="216"/>
        </w:trPr>
        <w:tc>
          <w:tcPr>
            <w:tcW w:w="3240" w:type="dxa"/>
            <w:vAlign w:val="bottom"/>
          </w:tcPr>
          <w:p>
            <w:pPr>
              <w:spacing w:after="0"/>
              <w:rPr>
                <w:sz w:val="18"/>
                <w:szCs w:val="18"/>
                <w:color w:val="auto"/>
              </w:rPr>
            </w:pPr>
          </w:p>
        </w:tc>
        <w:tc>
          <w:tcPr>
            <w:tcW w:w="8040" w:type="dxa"/>
            <w:vAlign w:val="bottom"/>
          </w:tcPr>
          <w:p>
            <w:pPr>
              <w:ind w:left="2380"/>
              <w:spacing w:after="0"/>
              <w:rPr>
                <w:sz w:val="20"/>
                <w:szCs w:val="20"/>
                <w:color w:val="auto"/>
              </w:rPr>
            </w:pPr>
            <w:r>
              <w:rPr>
                <w:rFonts w:ascii="Arial" w:cs="Arial" w:eastAsia="Arial" w:hAnsi="Arial"/>
                <w:sz w:val="18"/>
                <w:szCs w:val="18"/>
                <w:color w:val="auto"/>
              </w:rPr>
              <w:t>Loop Capital Markets LLC</w:t>
            </w:r>
          </w:p>
        </w:tc>
      </w:tr>
      <w:tr>
        <w:trPr>
          <w:trHeight w:val="216"/>
        </w:trPr>
        <w:tc>
          <w:tcPr>
            <w:tcW w:w="3240" w:type="dxa"/>
            <w:vAlign w:val="bottom"/>
          </w:tcPr>
          <w:p>
            <w:pPr>
              <w:spacing w:after="0"/>
              <w:rPr>
                <w:sz w:val="18"/>
                <w:szCs w:val="18"/>
                <w:color w:val="auto"/>
              </w:rPr>
            </w:pPr>
          </w:p>
        </w:tc>
        <w:tc>
          <w:tcPr>
            <w:tcW w:w="8040" w:type="dxa"/>
            <w:vAlign w:val="bottom"/>
          </w:tcPr>
          <w:p>
            <w:pPr>
              <w:ind w:left="2380"/>
              <w:spacing w:after="0"/>
              <w:rPr>
                <w:sz w:val="20"/>
                <w:szCs w:val="20"/>
                <w:color w:val="auto"/>
              </w:rPr>
            </w:pPr>
            <w:r>
              <w:rPr>
                <w:rFonts w:ascii="Arial" w:cs="Arial" w:eastAsia="Arial" w:hAnsi="Arial"/>
                <w:sz w:val="18"/>
                <w:szCs w:val="18"/>
                <w:color w:val="auto"/>
              </w:rPr>
              <w:t>PNC Capital Markets LLC</w:t>
            </w:r>
          </w:p>
        </w:tc>
      </w:tr>
      <w:tr>
        <w:trPr>
          <w:trHeight w:val="230"/>
        </w:trPr>
        <w:tc>
          <w:tcPr>
            <w:tcW w:w="3240" w:type="dxa"/>
            <w:vAlign w:val="bottom"/>
          </w:tcPr>
          <w:p>
            <w:pPr>
              <w:spacing w:after="0"/>
              <w:rPr>
                <w:sz w:val="20"/>
                <w:szCs w:val="20"/>
                <w:color w:val="auto"/>
              </w:rPr>
            </w:pPr>
          </w:p>
        </w:tc>
        <w:tc>
          <w:tcPr>
            <w:tcW w:w="8040" w:type="dxa"/>
            <w:vAlign w:val="bottom"/>
          </w:tcPr>
          <w:p>
            <w:pPr>
              <w:ind w:left="2380"/>
              <w:spacing w:after="0"/>
              <w:rPr>
                <w:sz w:val="20"/>
                <w:szCs w:val="20"/>
                <w:color w:val="auto"/>
              </w:rPr>
            </w:pPr>
            <w:r>
              <w:rPr>
                <w:rFonts w:ascii="Arial" w:cs="Arial" w:eastAsia="Arial" w:hAnsi="Arial"/>
                <w:sz w:val="18"/>
                <w:szCs w:val="18"/>
                <w:color w:val="auto"/>
              </w:rPr>
              <w:t>The Governor and Company of the Bank of Ireland</w:t>
            </w:r>
          </w:p>
        </w:tc>
      </w:tr>
      <w:tr>
        <w:trPr>
          <w:trHeight w:val="432"/>
        </w:trPr>
        <w:tc>
          <w:tcPr>
            <w:tcW w:w="3240" w:type="dxa"/>
            <w:vAlign w:val="bottom"/>
          </w:tcPr>
          <w:p>
            <w:pPr>
              <w:spacing w:after="0"/>
              <w:rPr>
                <w:sz w:val="24"/>
                <w:szCs w:val="24"/>
                <w:color w:val="auto"/>
              </w:rPr>
            </w:pPr>
          </w:p>
        </w:tc>
        <w:tc>
          <w:tcPr>
            <w:tcW w:w="8040" w:type="dxa"/>
            <w:vAlign w:val="bottom"/>
          </w:tcPr>
          <w:p>
            <w:pPr>
              <w:ind w:left="680"/>
              <w:spacing w:after="0"/>
              <w:rPr>
                <w:sz w:val="20"/>
                <w:szCs w:val="20"/>
                <w:color w:val="auto"/>
              </w:rPr>
            </w:pPr>
            <w:r>
              <w:rPr>
                <w:rFonts w:ascii="Arial" w:cs="Arial" w:eastAsia="Arial" w:hAnsi="Arial"/>
                <w:sz w:val="18"/>
                <w:szCs w:val="18"/>
                <w:b w:val="1"/>
                <w:bCs w:val="1"/>
                <w:color w:val="auto"/>
              </w:rPr>
              <w:t>$750,000,000 2.800% Senior Notes Due 2050</w:t>
            </w:r>
          </w:p>
        </w:tc>
      </w:tr>
      <w:tr>
        <w:trPr>
          <w:trHeight w:val="432"/>
        </w:trPr>
        <w:tc>
          <w:tcPr>
            <w:tcW w:w="3240" w:type="dxa"/>
            <w:vAlign w:val="bottom"/>
          </w:tcPr>
          <w:p>
            <w:pPr>
              <w:spacing w:after="0"/>
              <w:rPr>
                <w:sz w:val="20"/>
                <w:szCs w:val="20"/>
                <w:color w:val="auto"/>
              </w:rPr>
            </w:pPr>
            <w:r>
              <w:rPr>
                <w:rFonts w:ascii="Arial" w:cs="Arial" w:eastAsia="Arial" w:hAnsi="Arial"/>
                <w:sz w:val="18"/>
                <w:szCs w:val="18"/>
                <w:color w:val="auto"/>
              </w:rPr>
              <w:t>Issuer</w:t>
            </w:r>
          </w:p>
        </w:tc>
        <w:tc>
          <w:tcPr>
            <w:tcW w:w="8040" w:type="dxa"/>
            <w:vAlign w:val="bottom"/>
          </w:tcPr>
          <w:p>
            <w:pPr>
              <w:ind w:left="2380"/>
              <w:spacing w:after="0"/>
              <w:rPr>
                <w:sz w:val="20"/>
                <w:szCs w:val="20"/>
                <w:color w:val="auto"/>
              </w:rPr>
            </w:pPr>
            <w:r>
              <w:rPr>
                <w:rFonts w:ascii="Arial" w:cs="Arial" w:eastAsia="Arial" w:hAnsi="Arial"/>
                <w:sz w:val="18"/>
                <w:szCs w:val="18"/>
                <w:color w:val="auto"/>
              </w:rPr>
              <w:t>Regeneron Pharmaceuticals, Inc.</w:t>
            </w:r>
          </w:p>
        </w:tc>
      </w:tr>
      <w:tr>
        <w:trPr>
          <w:trHeight w:val="432"/>
        </w:trPr>
        <w:tc>
          <w:tcPr>
            <w:tcW w:w="3240" w:type="dxa"/>
            <w:vAlign w:val="bottom"/>
          </w:tcPr>
          <w:p>
            <w:pPr>
              <w:spacing w:after="0"/>
              <w:rPr>
                <w:sz w:val="20"/>
                <w:szCs w:val="20"/>
                <w:color w:val="auto"/>
              </w:rPr>
            </w:pPr>
            <w:r>
              <w:rPr>
                <w:rFonts w:ascii="Arial" w:cs="Arial" w:eastAsia="Arial" w:hAnsi="Arial"/>
                <w:sz w:val="18"/>
                <w:szCs w:val="18"/>
                <w:color w:val="auto"/>
              </w:rPr>
              <w:t>Principal Amount</w:t>
            </w:r>
          </w:p>
        </w:tc>
        <w:tc>
          <w:tcPr>
            <w:tcW w:w="8040" w:type="dxa"/>
            <w:vAlign w:val="bottom"/>
          </w:tcPr>
          <w:p>
            <w:pPr>
              <w:ind w:left="2380"/>
              <w:spacing w:after="0"/>
              <w:rPr>
                <w:sz w:val="20"/>
                <w:szCs w:val="20"/>
                <w:color w:val="auto"/>
              </w:rPr>
            </w:pPr>
            <w:r>
              <w:rPr>
                <w:rFonts w:ascii="Arial" w:cs="Arial" w:eastAsia="Arial" w:hAnsi="Arial"/>
                <w:sz w:val="18"/>
                <w:szCs w:val="18"/>
                <w:color w:val="auto"/>
              </w:rPr>
              <w:t>$750,000,000</w:t>
            </w:r>
          </w:p>
        </w:tc>
      </w:tr>
      <w:tr>
        <w:trPr>
          <w:trHeight w:val="432"/>
        </w:trPr>
        <w:tc>
          <w:tcPr>
            <w:tcW w:w="3240" w:type="dxa"/>
            <w:vAlign w:val="bottom"/>
          </w:tcPr>
          <w:p>
            <w:pPr>
              <w:spacing w:after="0"/>
              <w:rPr>
                <w:sz w:val="20"/>
                <w:szCs w:val="20"/>
                <w:color w:val="auto"/>
              </w:rPr>
            </w:pPr>
            <w:r>
              <w:rPr>
                <w:rFonts w:ascii="Arial" w:cs="Arial" w:eastAsia="Arial" w:hAnsi="Arial"/>
                <w:sz w:val="18"/>
                <w:szCs w:val="18"/>
                <w:color w:val="auto"/>
              </w:rPr>
              <w:t>Maturity Date</w:t>
            </w:r>
          </w:p>
        </w:tc>
        <w:tc>
          <w:tcPr>
            <w:tcW w:w="8040" w:type="dxa"/>
            <w:vAlign w:val="bottom"/>
          </w:tcPr>
          <w:p>
            <w:pPr>
              <w:ind w:left="2380"/>
              <w:spacing w:after="0"/>
              <w:rPr>
                <w:sz w:val="20"/>
                <w:szCs w:val="20"/>
                <w:color w:val="auto"/>
              </w:rPr>
            </w:pPr>
            <w:r>
              <w:rPr>
                <w:rFonts w:ascii="Arial" w:cs="Arial" w:eastAsia="Arial" w:hAnsi="Arial"/>
                <w:sz w:val="18"/>
                <w:szCs w:val="18"/>
                <w:color w:val="auto"/>
              </w:rPr>
              <w:t>September 15, 2050</w:t>
            </w:r>
          </w:p>
        </w:tc>
      </w:tr>
      <w:tr>
        <w:trPr>
          <w:trHeight w:val="432"/>
        </w:trPr>
        <w:tc>
          <w:tcPr>
            <w:tcW w:w="3240" w:type="dxa"/>
            <w:vAlign w:val="bottom"/>
          </w:tcPr>
          <w:p>
            <w:pPr>
              <w:spacing w:after="0"/>
              <w:rPr>
                <w:sz w:val="20"/>
                <w:szCs w:val="20"/>
                <w:color w:val="auto"/>
              </w:rPr>
            </w:pPr>
            <w:r>
              <w:rPr>
                <w:rFonts w:ascii="Arial" w:cs="Arial" w:eastAsia="Arial" w:hAnsi="Arial"/>
                <w:sz w:val="18"/>
                <w:szCs w:val="18"/>
                <w:color w:val="auto"/>
              </w:rPr>
              <w:t>Issue Price (Price to Public)</w:t>
            </w:r>
          </w:p>
        </w:tc>
        <w:tc>
          <w:tcPr>
            <w:tcW w:w="8040" w:type="dxa"/>
            <w:vAlign w:val="bottom"/>
          </w:tcPr>
          <w:p>
            <w:pPr>
              <w:ind w:left="2380"/>
              <w:spacing w:after="0"/>
              <w:rPr>
                <w:sz w:val="20"/>
                <w:szCs w:val="20"/>
                <w:color w:val="auto"/>
              </w:rPr>
            </w:pPr>
            <w:r>
              <w:rPr>
                <w:rFonts w:ascii="Arial" w:cs="Arial" w:eastAsia="Arial" w:hAnsi="Arial"/>
                <w:sz w:val="18"/>
                <w:szCs w:val="18"/>
                <w:color w:val="auto"/>
              </w:rPr>
              <w:t>99.715%</w:t>
            </w:r>
          </w:p>
        </w:tc>
      </w:tr>
      <w:tr>
        <w:trPr>
          <w:trHeight w:val="432"/>
        </w:trPr>
        <w:tc>
          <w:tcPr>
            <w:tcW w:w="3240" w:type="dxa"/>
            <w:vAlign w:val="bottom"/>
          </w:tcPr>
          <w:p>
            <w:pPr>
              <w:spacing w:after="0"/>
              <w:rPr>
                <w:sz w:val="20"/>
                <w:szCs w:val="20"/>
                <w:color w:val="auto"/>
              </w:rPr>
            </w:pPr>
            <w:r>
              <w:rPr>
                <w:rFonts w:ascii="Arial" w:cs="Arial" w:eastAsia="Arial" w:hAnsi="Arial"/>
                <w:sz w:val="18"/>
                <w:szCs w:val="18"/>
                <w:color w:val="auto"/>
              </w:rPr>
              <w:t>Interest Rate</w:t>
            </w:r>
          </w:p>
        </w:tc>
        <w:tc>
          <w:tcPr>
            <w:tcW w:w="8040" w:type="dxa"/>
            <w:vAlign w:val="bottom"/>
          </w:tcPr>
          <w:p>
            <w:pPr>
              <w:ind w:left="2380"/>
              <w:spacing w:after="0"/>
              <w:rPr>
                <w:sz w:val="20"/>
                <w:szCs w:val="20"/>
                <w:color w:val="auto"/>
              </w:rPr>
            </w:pPr>
            <w:r>
              <w:rPr>
                <w:rFonts w:ascii="Arial" w:cs="Arial" w:eastAsia="Arial" w:hAnsi="Arial"/>
                <w:sz w:val="18"/>
                <w:szCs w:val="18"/>
                <w:color w:val="auto"/>
              </w:rPr>
              <w:t>2.800% per annum beginning on the Original Issue Date</w:t>
            </w:r>
          </w:p>
        </w:tc>
      </w:tr>
      <w:tr>
        <w:trPr>
          <w:trHeight w:val="418"/>
        </w:trPr>
        <w:tc>
          <w:tcPr>
            <w:tcW w:w="3240" w:type="dxa"/>
            <w:vAlign w:val="bottom"/>
          </w:tcPr>
          <w:p>
            <w:pPr>
              <w:spacing w:after="0"/>
              <w:rPr>
                <w:sz w:val="20"/>
                <w:szCs w:val="20"/>
                <w:color w:val="auto"/>
              </w:rPr>
            </w:pPr>
            <w:r>
              <w:rPr>
                <w:rFonts w:ascii="Arial" w:cs="Arial" w:eastAsia="Arial" w:hAnsi="Arial"/>
                <w:sz w:val="18"/>
                <w:szCs w:val="18"/>
                <w:color w:val="auto"/>
              </w:rPr>
              <w:t>Interest Payment Dates</w:t>
            </w:r>
          </w:p>
        </w:tc>
        <w:tc>
          <w:tcPr>
            <w:tcW w:w="8040" w:type="dxa"/>
            <w:vAlign w:val="bottom"/>
          </w:tcPr>
          <w:p>
            <w:pPr>
              <w:ind w:left="2380"/>
              <w:spacing w:after="0"/>
              <w:rPr>
                <w:sz w:val="20"/>
                <w:szCs w:val="20"/>
                <w:color w:val="auto"/>
              </w:rPr>
            </w:pPr>
            <w:r>
              <w:rPr>
                <w:rFonts w:ascii="Arial" w:cs="Arial" w:eastAsia="Arial" w:hAnsi="Arial"/>
                <w:sz w:val="18"/>
                <w:szCs w:val="18"/>
                <w:color w:val="auto"/>
                <w:w w:val="95"/>
              </w:rPr>
              <w:t>Semi-annually, each March 15 and September 15 commencing March 15,</w:t>
            </w:r>
          </w:p>
        </w:tc>
      </w:tr>
      <w:tr>
        <w:trPr>
          <w:trHeight w:val="230"/>
        </w:trPr>
        <w:tc>
          <w:tcPr>
            <w:tcW w:w="3240" w:type="dxa"/>
            <w:vAlign w:val="bottom"/>
          </w:tcPr>
          <w:p>
            <w:pPr>
              <w:spacing w:after="0"/>
              <w:rPr>
                <w:sz w:val="20"/>
                <w:szCs w:val="20"/>
                <w:color w:val="auto"/>
              </w:rPr>
            </w:pPr>
          </w:p>
        </w:tc>
        <w:tc>
          <w:tcPr>
            <w:tcW w:w="8040" w:type="dxa"/>
            <w:vAlign w:val="bottom"/>
          </w:tcPr>
          <w:p>
            <w:pPr>
              <w:ind w:left="2380"/>
              <w:spacing w:after="0"/>
              <w:rPr>
                <w:sz w:val="20"/>
                <w:szCs w:val="20"/>
                <w:color w:val="auto"/>
              </w:rPr>
            </w:pPr>
            <w:r>
              <w:rPr>
                <w:rFonts w:ascii="Arial" w:cs="Arial" w:eastAsia="Arial" w:hAnsi="Arial"/>
                <w:sz w:val="18"/>
                <w:szCs w:val="18"/>
                <w:color w:val="auto"/>
              </w:rPr>
              <w:t>2021</w:t>
            </w:r>
          </w:p>
        </w:tc>
      </w:tr>
      <w:tr>
        <w:trPr>
          <w:trHeight w:val="432"/>
        </w:trPr>
        <w:tc>
          <w:tcPr>
            <w:tcW w:w="3240" w:type="dxa"/>
            <w:vAlign w:val="bottom"/>
          </w:tcPr>
          <w:p>
            <w:pPr>
              <w:spacing w:after="0"/>
              <w:rPr>
                <w:sz w:val="20"/>
                <w:szCs w:val="20"/>
                <w:color w:val="auto"/>
              </w:rPr>
            </w:pPr>
            <w:r>
              <w:rPr>
                <w:rFonts w:ascii="Arial" w:cs="Arial" w:eastAsia="Arial" w:hAnsi="Arial"/>
                <w:sz w:val="18"/>
                <w:szCs w:val="18"/>
                <w:color w:val="auto"/>
              </w:rPr>
              <w:t>Record Date</w:t>
            </w:r>
          </w:p>
        </w:tc>
        <w:tc>
          <w:tcPr>
            <w:tcW w:w="8040" w:type="dxa"/>
            <w:vAlign w:val="bottom"/>
          </w:tcPr>
          <w:p>
            <w:pPr>
              <w:ind w:left="2380"/>
              <w:spacing w:after="0"/>
              <w:rPr>
                <w:sz w:val="20"/>
                <w:szCs w:val="20"/>
                <w:color w:val="auto"/>
              </w:rPr>
            </w:pPr>
            <w:r>
              <w:rPr>
                <w:rFonts w:ascii="Arial" w:cs="Arial" w:eastAsia="Arial" w:hAnsi="Arial"/>
                <w:sz w:val="18"/>
                <w:szCs w:val="18"/>
                <w:color w:val="auto"/>
              </w:rPr>
              <w:t>March 1 and September 1</w:t>
            </w:r>
          </w:p>
        </w:tc>
      </w:tr>
      <w:tr>
        <w:trPr>
          <w:trHeight w:val="432"/>
        </w:trPr>
        <w:tc>
          <w:tcPr>
            <w:tcW w:w="3240" w:type="dxa"/>
            <w:vAlign w:val="bottom"/>
          </w:tcPr>
          <w:p>
            <w:pPr>
              <w:spacing w:after="0"/>
              <w:rPr>
                <w:sz w:val="20"/>
                <w:szCs w:val="20"/>
                <w:color w:val="auto"/>
              </w:rPr>
            </w:pPr>
            <w:r>
              <w:rPr>
                <w:rFonts w:ascii="Arial" w:cs="Arial" w:eastAsia="Arial" w:hAnsi="Arial"/>
                <w:sz w:val="18"/>
                <w:szCs w:val="18"/>
                <w:color w:val="auto"/>
              </w:rPr>
              <w:t>Treasury Benchmark</w:t>
            </w:r>
          </w:p>
        </w:tc>
        <w:tc>
          <w:tcPr>
            <w:tcW w:w="8040" w:type="dxa"/>
            <w:vAlign w:val="bottom"/>
          </w:tcPr>
          <w:p>
            <w:pPr>
              <w:ind w:left="2380"/>
              <w:spacing w:after="0"/>
              <w:rPr>
                <w:sz w:val="20"/>
                <w:szCs w:val="20"/>
                <w:color w:val="auto"/>
              </w:rPr>
            </w:pPr>
            <w:r>
              <w:rPr>
                <w:rFonts w:ascii="Arial" w:cs="Arial" w:eastAsia="Arial" w:hAnsi="Arial"/>
                <w:sz w:val="18"/>
                <w:szCs w:val="18"/>
                <w:color w:val="auto"/>
              </w:rPr>
              <w:t>2.000% due February 15, 2050</w:t>
            </w:r>
          </w:p>
        </w:tc>
      </w:tr>
      <w:tr>
        <w:trPr>
          <w:trHeight w:val="432"/>
        </w:trPr>
        <w:tc>
          <w:tcPr>
            <w:tcW w:w="3240" w:type="dxa"/>
            <w:vAlign w:val="bottom"/>
          </w:tcPr>
          <w:p>
            <w:pPr>
              <w:spacing w:after="0"/>
              <w:rPr>
                <w:sz w:val="20"/>
                <w:szCs w:val="20"/>
                <w:color w:val="auto"/>
              </w:rPr>
            </w:pPr>
            <w:r>
              <w:rPr>
                <w:rFonts w:ascii="Arial" w:cs="Arial" w:eastAsia="Arial" w:hAnsi="Arial"/>
                <w:sz w:val="18"/>
                <w:szCs w:val="18"/>
                <w:color w:val="auto"/>
              </w:rPr>
              <w:t>Spread to Benchmark Treasury</w:t>
            </w:r>
          </w:p>
        </w:tc>
        <w:tc>
          <w:tcPr>
            <w:tcW w:w="8040" w:type="dxa"/>
            <w:vAlign w:val="bottom"/>
          </w:tcPr>
          <w:p>
            <w:pPr>
              <w:ind w:left="2380"/>
              <w:spacing w:after="0"/>
              <w:rPr>
                <w:sz w:val="20"/>
                <w:szCs w:val="20"/>
                <w:color w:val="auto"/>
              </w:rPr>
            </w:pPr>
            <w:r>
              <w:rPr>
                <w:rFonts w:ascii="Arial" w:cs="Arial" w:eastAsia="Arial" w:hAnsi="Arial"/>
                <w:sz w:val="18"/>
                <w:szCs w:val="18"/>
                <w:color w:val="auto"/>
              </w:rPr>
              <w:t>160 bps</w:t>
            </w:r>
          </w:p>
        </w:tc>
      </w:tr>
      <w:tr>
        <w:trPr>
          <w:trHeight w:val="432"/>
        </w:trPr>
        <w:tc>
          <w:tcPr>
            <w:tcW w:w="3240" w:type="dxa"/>
            <w:vAlign w:val="bottom"/>
          </w:tcPr>
          <w:p>
            <w:pPr>
              <w:spacing w:after="0"/>
              <w:rPr>
                <w:sz w:val="20"/>
                <w:szCs w:val="20"/>
                <w:color w:val="auto"/>
              </w:rPr>
            </w:pPr>
            <w:r>
              <w:rPr>
                <w:rFonts w:ascii="Arial" w:cs="Arial" w:eastAsia="Arial" w:hAnsi="Arial"/>
                <w:sz w:val="18"/>
                <w:szCs w:val="18"/>
                <w:color w:val="auto"/>
              </w:rPr>
              <w:t>Benchmark Treasury Price &amp; Yield</w:t>
            </w:r>
          </w:p>
        </w:tc>
        <w:tc>
          <w:tcPr>
            <w:tcW w:w="8040" w:type="dxa"/>
            <w:vAlign w:val="bottom"/>
          </w:tcPr>
          <w:p>
            <w:pPr>
              <w:ind w:left="2380"/>
              <w:spacing w:after="0"/>
              <w:rPr>
                <w:sz w:val="20"/>
                <w:szCs w:val="20"/>
                <w:color w:val="auto"/>
              </w:rPr>
            </w:pPr>
            <w:r>
              <w:rPr>
                <w:rFonts w:ascii="Arial" w:cs="Arial" w:eastAsia="Arial" w:hAnsi="Arial"/>
                <w:sz w:val="18"/>
                <w:szCs w:val="18"/>
                <w:color w:val="auto"/>
              </w:rPr>
              <w:t>119-14 / 1.214%</w:t>
            </w:r>
          </w:p>
        </w:tc>
      </w:tr>
      <w:tr>
        <w:trPr>
          <w:trHeight w:val="432"/>
        </w:trPr>
        <w:tc>
          <w:tcPr>
            <w:tcW w:w="3240" w:type="dxa"/>
            <w:vAlign w:val="bottom"/>
          </w:tcPr>
          <w:p>
            <w:pPr>
              <w:spacing w:after="0"/>
              <w:rPr>
                <w:sz w:val="20"/>
                <w:szCs w:val="20"/>
                <w:color w:val="auto"/>
              </w:rPr>
            </w:pPr>
            <w:r>
              <w:rPr>
                <w:rFonts w:ascii="Arial" w:cs="Arial" w:eastAsia="Arial" w:hAnsi="Arial"/>
                <w:sz w:val="18"/>
                <w:szCs w:val="18"/>
                <w:color w:val="auto"/>
              </w:rPr>
              <w:t>Yield to Maturity</w:t>
            </w:r>
          </w:p>
        </w:tc>
        <w:tc>
          <w:tcPr>
            <w:tcW w:w="8040" w:type="dxa"/>
            <w:vAlign w:val="bottom"/>
          </w:tcPr>
          <w:p>
            <w:pPr>
              <w:ind w:left="2380"/>
              <w:spacing w:after="0"/>
              <w:rPr>
                <w:sz w:val="20"/>
                <w:szCs w:val="20"/>
                <w:color w:val="auto"/>
              </w:rPr>
            </w:pPr>
            <w:r>
              <w:rPr>
                <w:rFonts w:ascii="Arial" w:cs="Arial" w:eastAsia="Arial" w:hAnsi="Arial"/>
                <w:sz w:val="18"/>
                <w:szCs w:val="18"/>
                <w:color w:val="auto"/>
              </w:rPr>
              <w:t>2.814%</w:t>
            </w:r>
          </w:p>
        </w:tc>
      </w:tr>
      <w:tr>
        <w:trPr>
          <w:trHeight w:val="418"/>
        </w:trPr>
        <w:tc>
          <w:tcPr>
            <w:tcW w:w="3240" w:type="dxa"/>
            <w:vAlign w:val="bottom"/>
          </w:tcPr>
          <w:p>
            <w:pPr>
              <w:spacing w:after="0"/>
              <w:rPr>
                <w:sz w:val="20"/>
                <w:szCs w:val="20"/>
                <w:color w:val="auto"/>
              </w:rPr>
            </w:pPr>
            <w:r>
              <w:rPr>
                <w:rFonts w:ascii="Arial" w:cs="Arial" w:eastAsia="Arial" w:hAnsi="Arial"/>
                <w:sz w:val="18"/>
                <w:szCs w:val="18"/>
                <w:color w:val="auto"/>
              </w:rPr>
              <w:t>Optional Redemption</w:t>
            </w:r>
          </w:p>
        </w:tc>
        <w:tc>
          <w:tcPr>
            <w:tcW w:w="8040" w:type="dxa"/>
            <w:vAlign w:val="bottom"/>
          </w:tcPr>
          <w:p>
            <w:pPr>
              <w:ind w:left="2380"/>
              <w:spacing w:after="0"/>
              <w:rPr>
                <w:sz w:val="20"/>
                <w:szCs w:val="20"/>
                <w:color w:val="auto"/>
              </w:rPr>
            </w:pPr>
            <w:r>
              <w:rPr>
                <w:rFonts w:ascii="Arial" w:cs="Arial" w:eastAsia="Arial" w:hAnsi="Arial"/>
                <w:sz w:val="18"/>
                <w:szCs w:val="18"/>
                <w:color w:val="auto"/>
              </w:rPr>
              <w:t>Make whole call, in whole or in part, as set forth in the preliminary</w:t>
            </w:r>
          </w:p>
        </w:tc>
      </w:tr>
      <w:tr>
        <w:trPr>
          <w:trHeight w:val="216"/>
        </w:trPr>
        <w:tc>
          <w:tcPr>
            <w:tcW w:w="3240" w:type="dxa"/>
            <w:vAlign w:val="bottom"/>
          </w:tcPr>
          <w:p>
            <w:pPr>
              <w:spacing w:after="0"/>
              <w:rPr>
                <w:sz w:val="18"/>
                <w:szCs w:val="18"/>
                <w:color w:val="auto"/>
              </w:rPr>
            </w:pPr>
          </w:p>
        </w:tc>
        <w:tc>
          <w:tcPr>
            <w:tcW w:w="8040" w:type="dxa"/>
            <w:vAlign w:val="bottom"/>
          </w:tcPr>
          <w:p>
            <w:pPr>
              <w:ind w:left="2380"/>
              <w:spacing w:after="0"/>
              <w:rPr>
                <w:sz w:val="20"/>
                <w:szCs w:val="20"/>
                <w:color w:val="auto"/>
              </w:rPr>
            </w:pPr>
            <w:r>
              <w:rPr>
                <w:rFonts w:ascii="Arial" w:cs="Arial" w:eastAsia="Arial" w:hAnsi="Arial"/>
                <w:sz w:val="18"/>
                <w:szCs w:val="18"/>
                <w:color w:val="auto"/>
                <w:w w:val="92"/>
              </w:rPr>
              <w:t>prospectus supplement to which this pricing term sheet relates (treasury rate</w:t>
            </w:r>
          </w:p>
        </w:tc>
      </w:tr>
      <w:tr>
        <w:trPr>
          <w:trHeight w:val="216"/>
        </w:trPr>
        <w:tc>
          <w:tcPr>
            <w:tcW w:w="3240" w:type="dxa"/>
            <w:vAlign w:val="bottom"/>
          </w:tcPr>
          <w:p>
            <w:pPr>
              <w:spacing w:after="0"/>
              <w:rPr>
                <w:sz w:val="18"/>
                <w:szCs w:val="18"/>
                <w:color w:val="auto"/>
              </w:rPr>
            </w:pPr>
          </w:p>
        </w:tc>
        <w:tc>
          <w:tcPr>
            <w:tcW w:w="8040" w:type="dxa"/>
            <w:vAlign w:val="bottom"/>
          </w:tcPr>
          <w:p>
            <w:pPr>
              <w:ind w:left="2380"/>
              <w:spacing w:after="0"/>
              <w:rPr>
                <w:sz w:val="20"/>
                <w:szCs w:val="20"/>
                <w:color w:val="auto"/>
              </w:rPr>
            </w:pPr>
            <w:r>
              <w:rPr>
                <w:rFonts w:ascii="Arial" w:cs="Arial" w:eastAsia="Arial" w:hAnsi="Arial"/>
                <w:sz w:val="18"/>
                <w:szCs w:val="18"/>
                <w:color w:val="auto"/>
                <w:w w:val="94"/>
              </w:rPr>
              <w:t>plus 25 basis points) at any time prior to March 15, 2050 (6 months prior to</w:t>
            </w:r>
          </w:p>
        </w:tc>
      </w:tr>
      <w:tr>
        <w:trPr>
          <w:trHeight w:val="230"/>
        </w:trPr>
        <w:tc>
          <w:tcPr>
            <w:tcW w:w="3240" w:type="dxa"/>
            <w:vAlign w:val="bottom"/>
          </w:tcPr>
          <w:p>
            <w:pPr>
              <w:spacing w:after="0"/>
              <w:rPr>
                <w:sz w:val="20"/>
                <w:szCs w:val="20"/>
                <w:color w:val="auto"/>
              </w:rPr>
            </w:pPr>
          </w:p>
        </w:tc>
        <w:tc>
          <w:tcPr>
            <w:tcW w:w="8040" w:type="dxa"/>
            <w:vAlign w:val="bottom"/>
          </w:tcPr>
          <w:p>
            <w:pPr>
              <w:ind w:left="2380"/>
              <w:spacing w:after="0"/>
              <w:rPr>
                <w:sz w:val="20"/>
                <w:szCs w:val="20"/>
                <w:color w:val="auto"/>
              </w:rPr>
            </w:pPr>
            <w:r>
              <w:rPr>
                <w:rFonts w:ascii="Arial" w:cs="Arial" w:eastAsia="Arial" w:hAnsi="Arial"/>
                <w:sz w:val="18"/>
                <w:szCs w:val="18"/>
                <w:color w:val="auto"/>
              </w:rPr>
              <w:t>the maturity date of the 2050 notes)</w:t>
            </w:r>
          </w:p>
        </w:tc>
      </w:tr>
      <w:tr>
        <w:trPr>
          <w:trHeight w:val="418"/>
        </w:trPr>
        <w:tc>
          <w:tcPr>
            <w:tcW w:w="3240" w:type="dxa"/>
            <w:vAlign w:val="bottom"/>
          </w:tcPr>
          <w:p>
            <w:pPr>
              <w:spacing w:after="0"/>
              <w:rPr>
                <w:sz w:val="24"/>
                <w:szCs w:val="24"/>
                <w:color w:val="auto"/>
              </w:rPr>
            </w:pPr>
          </w:p>
        </w:tc>
        <w:tc>
          <w:tcPr>
            <w:tcW w:w="8040" w:type="dxa"/>
            <w:vAlign w:val="bottom"/>
          </w:tcPr>
          <w:p>
            <w:pPr>
              <w:ind w:left="2380"/>
              <w:spacing w:after="0"/>
              <w:rPr>
                <w:sz w:val="20"/>
                <w:szCs w:val="20"/>
                <w:color w:val="auto"/>
              </w:rPr>
            </w:pPr>
            <w:r>
              <w:rPr>
                <w:rFonts w:ascii="Arial" w:cs="Arial" w:eastAsia="Arial" w:hAnsi="Arial"/>
                <w:sz w:val="18"/>
                <w:szCs w:val="18"/>
                <w:color w:val="auto"/>
                <w:w w:val="92"/>
              </w:rPr>
              <w:t>Par call, in whole or in part, at any time on or after March 15, 2050 (6 months</w:t>
            </w:r>
          </w:p>
        </w:tc>
      </w:tr>
      <w:tr>
        <w:trPr>
          <w:trHeight w:val="230"/>
        </w:trPr>
        <w:tc>
          <w:tcPr>
            <w:tcW w:w="3240" w:type="dxa"/>
            <w:vAlign w:val="bottom"/>
          </w:tcPr>
          <w:p>
            <w:pPr>
              <w:spacing w:after="0"/>
              <w:rPr>
                <w:sz w:val="20"/>
                <w:szCs w:val="20"/>
                <w:color w:val="auto"/>
              </w:rPr>
            </w:pPr>
          </w:p>
        </w:tc>
        <w:tc>
          <w:tcPr>
            <w:tcW w:w="8040" w:type="dxa"/>
            <w:vAlign w:val="bottom"/>
          </w:tcPr>
          <w:p>
            <w:pPr>
              <w:ind w:left="2380"/>
              <w:spacing w:after="0"/>
              <w:rPr>
                <w:sz w:val="20"/>
                <w:szCs w:val="20"/>
                <w:color w:val="auto"/>
              </w:rPr>
            </w:pPr>
            <w:r>
              <w:rPr>
                <w:rFonts w:ascii="Arial" w:cs="Arial" w:eastAsia="Arial" w:hAnsi="Arial"/>
                <w:sz w:val="18"/>
                <w:szCs w:val="18"/>
                <w:color w:val="auto"/>
              </w:rPr>
              <w:t>prior to the maturity date of the 2050 notes)</w:t>
            </w:r>
          </w:p>
        </w:tc>
      </w:tr>
      <w:tr>
        <w:trPr>
          <w:trHeight w:val="432"/>
        </w:trPr>
        <w:tc>
          <w:tcPr>
            <w:tcW w:w="3240" w:type="dxa"/>
            <w:vAlign w:val="bottom"/>
          </w:tcPr>
          <w:p>
            <w:pPr>
              <w:spacing w:after="0"/>
              <w:rPr>
                <w:sz w:val="20"/>
                <w:szCs w:val="20"/>
                <w:color w:val="auto"/>
              </w:rPr>
            </w:pPr>
            <w:r>
              <w:rPr>
                <w:rFonts w:ascii="Arial" w:cs="Arial" w:eastAsia="Arial" w:hAnsi="Arial"/>
                <w:sz w:val="18"/>
                <w:szCs w:val="18"/>
                <w:color w:val="auto"/>
              </w:rPr>
              <w:t>CUSIP/ISIN:</w:t>
            </w:r>
          </w:p>
        </w:tc>
        <w:tc>
          <w:tcPr>
            <w:tcW w:w="8040" w:type="dxa"/>
            <w:vAlign w:val="bottom"/>
          </w:tcPr>
          <w:p>
            <w:pPr>
              <w:ind w:left="2380"/>
              <w:spacing w:after="0"/>
              <w:rPr>
                <w:sz w:val="20"/>
                <w:szCs w:val="20"/>
                <w:color w:val="auto"/>
              </w:rPr>
            </w:pPr>
            <w:r>
              <w:rPr>
                <w:rFonts w:ascii="Arial" w:cs="Arial" w:eastAsia="Arial" w:hAnsi="Arial"/>
                <w:sz w:val="18"/>
                <w:szCs w:val="18"/>
                <w:color w:val="auto"/>
              </w:rPr>
              <w:t>75886F AF4 / US75886FAF45</w:t>
            </w:r>
          </w:p>
        </w:tc>
      </w:tr>
      <w:tr>
        <w:trPr>
          <w:trHeight w:val="418"/>
        </w:trPr>
        <w:tc>
          <w:tcPr>
            <w:tcW w:w="3240" w:type="dxa"/>
            <w:vAlign w:val="bottom"/>
          </w:tcPr>
          <w:p>
            <w:pPr>
              <w:spacing w:after="0"/>
              <w:rPr>
                <w:sz w:val="20"/>
                <w:szCs w:val="20"/>
                <w:color w:val="auto"/>
              </w:rPr>
            </w:pPr>
            <w:r>
              <w:rPr>
                <w:rFonts w:ascii="Arial" w:cs="Arial" w:eastAsia="Arial" w:hAnsi="Arial"/>
                <w:sz w:val="18"/>
                <w:szCs w:val="18"/>
                <w:color w:val="auto"/>
              </w:rPr>
              <w:t>Lead Book-Running Managers</w:t>
            </w:r>
          </w:p>
        </w:tc>
        <w:tc>
          <w:tcPr>
            <w:tcW w:w="8040" w:type="dxa"/>
            <w:vAlign w:val="bottom"/>
          </w:tcPr>
          <w:p>
            <w:pPr>
              <w:ind w:left="2380"/>
              <w:spacing w:after="0"/>
              <w:rPr>
                <w:sz w:val="20"/>
                <w:szCs w:val="20"/>
                <w:color w:val="auto"/>
              </w:rPr>
            </w:pPr>
            <w:r>
              <w:rPr>
                <w:rFonts w:ascii="Arial" w:cs="Arial" w:eastAsia="Arial" w:hAnsi="Arial"/>
                <w:sz w:val="18"/>
                <w:szCs w:val="18"/>
                <w:color w:val="auto"/>
              </w:rPr>
              <w:t>Goldman Sachs &amp; Co. LLC</w:t>
            </w:r>
          </w:p>
        </w:tc>
      </w:tr>
      <w:tr>
        <w:trPr>
          <w:trHeight w:val="216"/>
        </w:trPr>
        <w:tc>
          <w:tcPr>
            <w:tcW w:w="3240" w:type="dxa"/>
            <w:vAlign w:val="bottom"/>
          </w:tcPr>
          <w:p>
            <w:pPr>
              <w:spacing w:after="0"/>
              <w:rPr>
                <w:sz w:val="18"/>
                <w:szCs w:val="18"/>
                <w:color w:val="auto"/>
              </w:rPr>
            </w:pPr>
          </w:p>
        </w:tc>
        <w:tc>
          <w:tcPr>
            <w:tcW w:w="8040" w:type="dxa"/>
            <w:vAlign w:val="bottom"/>
          </w:tcPr>
          <w:p>
            <w:pPr>
              <w:ind w:left="2380"/>
              <w:spacing w:after="0"/>
              <w:rPr>
                <w:sz w:val="20"/>
                <w:szCs w:val="20"/>
                <w:color w:val="auto"/>
              </w:rPr>
            </w:pPr>
            <w:r>
              <w:rPr>
                <w:rFonts w:ascii="Arial" w:cs="Arial" w:eastAsia="Arial" w:hAnsi="Arial"/>
                <w:sz w:val="18"/>
                <w:szCs w:val="18"/>
                <w:color w:val="auto"/>
              </w:rPr>
              <w:t>BofA Securities, Inc.</w:t>
            </w:r>
          </w:p>
        </w:tc>
      </w:tr>
      <w:tr>
        <w:trPr>
          <w:trHeight w:val="230"/>
        </w:trPr>
        <w:tc>
          <w:tcPr>
            <w:tcW w:w="3240" w:type="dxa"/>
            <w:vAlign w:val="bottom"/>
          </w:tcPr>
          <w:p>
            <w:pPr>
              <w:spacing w:after="0"/>
              <w:rPr>
                <w:sz w:val="20"/>
                <w:szCs w:val="20"/>
                <w:color w:val="auto"/>
              </w:rPr>
            </w:pPr>
          </w:p>
        </w:tc>
        <w:tc>
          <w:tcPr>
            <w:tcW w:w="8040" w:type="dxa"/>
            <w:vAlign w:val="bottom"/>
          </w:tcPr>
          <w:p>
            <w:pPr>
              <w:ind w:left="2380"/>
              <w:spacing w:after="0"/>
              <w:rPr>
                <w:sz w:val="20"/>
                <w:szCs w:val="20"/>
                <w:color w:val="auto"/>
              </w:rPr>
            </w:pPr>
            <w:r>
              <w:rPr>
                <w:rFonts w:ascii="Arial" w:cs="Arial" w:eastAsia="Arial" w:hAnsi="Arial"/>
                <w:sz w:val="18"/>
                <w:szCs w:val="18"/>
                <w:color w:val="auto"/>
              </w:rPr>
              <w:t>J.P. Morgan Securities LLC</w:t>
            </w:r>
          </w:p>
        </w:tc>
      </w:tr>
      <w:tr>
        <w:trPr>
          <w:trHeight w:val="418"/>
        </w:trPr>
        <w:tc>
          <w:tcPr>
            <w:tcW w:w="3240" w:type="dxa"/>
            <w:vAlign w:val="bottom"/>
          </w:tcPr>
          <w:p>
            <w:pPr>
              <w:spacing w:after="0"/>
              <w:rPr>
                <w:sz w:val="20"/>
                <w:szCs w:val="20"/>
                <w:color w:val="auto"/>
              </w:rPr>
            </w:pPr>
            <w:r>
              <w:rPr>
                <w:rFonts w:ascii="Arial" w:cs="Arial" w:eastAsia="Arial" w:hAnsi="Arial"/>
                <w:sz w:val="18"/>
                <w:szCs w:val="18"/>
                <w:color w:val="auto"/>
              </w:rPr>
              <w:t>Bookrunners</w:t>
            </w:r>
          </w:p>
        </w:tc>
        <w:tc>
          <w:tcPr>
            <w:tcW w:w="8040" w:type="dxa"/>
            <w:vAlign w:val="bottom"/>
          </w:tcPr>
          <w:p>
            <w:pPr>
              <w:ind w:left="2380"/>
              <w:spacing w:after="0"/>
              <w:rPr>
                <w:sz w:val="20"/>
                <w:szCs w:val="20"/>
                <w:color w:val="auto"/>
              </w:rPr>
            </w:pPr>
            <w:r>
              <w:rPr>
                <w:rFonts w:ascii="Arial" w:cs="Arial" w:eastAsia="Arial" w:hAnsi="Arial"/>
                <w:sz w:val="18"/>
                <w:szCs w:val="18"/>
                <w:color w:val="auto"/>
              </w:rPr>
              <w:t>U.S. Bancorp Investments, Inc.</w:t>
            </w:r>
          </w:p>
        </w:tc>
      </w:tr>
      <w:tr>
        <w:trPr>
          <w:trHeight w:val="216"/>
        </w:trPr>
        <w:tc>
          <w:tcPr>
            <w:tcW w:w="3240" w:type="dxa"/>
            <w:vAlign w:val="bottom"/>
          </w:tcPr>
          <w:p>
            <w:pPr>
              <w:spacing w:after="0"/>
              <w:rPr>
                <w:sz w:val="18"/>
                <w:szCs w:val="18"/>
                <w:color w:val="auto"/>
              </w:rPr>
            </w:pPr>
          </w:p>
        </w:tc>
        <w:tc>
          <w:tcPr>
            <w:tcW w:w="8040" w:type="dxa"/>
            <w:vAlign w:val="bottom"/>
          </w:tcPr>
          <w:p>
            <w:pPr>
              <w:ind w:left="2380"/>
              <w:spacing w:after="0"/>
              <w:rPr>
                <w:sz w:val="20"/>
                <w:szCs w:val="20"/>
                <w:color w:val="auto"/>
              </w:rPr>
            </w:pPr>
            <w:r>
              <w:rPr>
                <w:rFonts w:ascii="Arial" w:cs="Arial" w:eastAsia="Arial" w:hAnsi="Arial"/>
                <w:sz w:val="18"/>
                <w:szCs w:val="18"/>
                <w:color w:val="auto"/>
              </w:rPr>
              <w:t>Fifth Third Securities, Inc.</w:t>
            </w:r>
          </w:p>
        </w:tc>
      </w:tr>
      <w:tr>
        <w:trPr>
          <w:trHeight w:val="230"/>
        </w:trPr>
        <w:tc>
          <w:tcPr>
            <w:tcW w:w="3240" w:type="dxa"/>
            <w:vAlign w:val="bottom"/>
          </w:tcPr>
          <w:p>
            <w:pPr>
              <w:spacing w:after="0"/>
              <w:rPr>
                <w:sz w:val="20"/>
                <w:szCs w:val="20"/>
                <w:color w:val="auto"/>
              </w:rPr>
            </w:pPr>
          </w:p>
        </w:tc>
        <w:tc>
          <w:tcPr>
            <w:tcW w:w="8040" w:type="dxa"/>
            <w:vAlign w:val="bottom"/>
          </w:tcPr>
          <w:p>
            <w:pPr>
              <w:ind w:left="2380"/>
              <w:spacing w:after="0"/>
              <w:rPr>
                <w:sz w:val="20"/>
                <w:szCs w:val="20"/>
                <w:color w:val="auto"/>
              </w:rPr>
            </w:pPr>
            <w:r>
              <w:rPr>
                <w:rFonts w:ascii="Arial" w:cs="Arial" w:eastAsia="Arial" w:hAnsi="Arial"/>
                <w:sz w:val="18"/>
                <w:szCs w:val="18"/>
                <w:color w:val="auto"/>
              </w:rPr>
              <w:t>MUFG Securities Americas Inc.</w:t>
            </w:r>
          </w:p>
        </w:tc>
      </w:tr>
      <w:tr>
        <w:trPr>
          <w:trHeight w:val="418"/>
        </w:trPr>
        <w:tc>
          <w:tcPr>
            <w:tcW w:w="3240" w:type="dxa"/>
            <w:vAlign w:val="bottom"/>
          </w:tcPr>
          <w:p>
            <w:pPr>
              <w:spacing w:after="0"/>
              <w:rPr>
                <w:sz w:val="20"/>
                <w:szCs w:val="20"/>
                <w:color w:val="auto"/>
              </w:rPr>
            </w:pPr>
            <w:r>
              <w:rPr>
                <w:rFonts w:ascii="Arial" w:cs="Arial" w:eastAsia="Arial" w:hAnsi="Arial"/>
                <w:sz w:val="18"/>
                <w:szCs w:val="18"/>
                <w:color w:val="auto"/>
              </w:rPr>
              <w:t>Senior Co-Managers</w:t>
            </w:r>
          </w:p>
        </w:tc>
        <w:tc>
          <w:tcPr>
            <w:tcW w:w="8040" w:type="dxa"/>
            <w:vAlign w:val="bottom"/>
          </w:tcPr>
          <w:p>
            <w:pPr>
              <w:ind w:left="2380"/>
              <w:spacing w:after="0"/>
              <w:rPr>
                <w:sz w:val="20"/>
                <w:szCs w:val="20"/>
                <w:color w:val="auto"/>
              </w:rPr>
            </w:pPr>
            <w:r>
              <w:rPr>
                <w:rFonts w:ascii="Arial" w:cs="Arial" w:eastAsia="Arial" w:hAnsi="Arial"/>
                <w:sz w:val="18"/>
                <w:szCs w:val="18"/>
                <w:color w:val="auto"/>
              </w:rPr>
              <w:t>Barclays Capital Inc.</w:t>
            </w:r>
          </w:p>
        </w:tc>
      </w:tr>
      <w:tr>
        <w:trPr>
          <w:trHeight w:val="230"/>
        </w:trPr>
        <w:tc>
          <w:tcPr>
            <w:tcW w:w="3240" w:type="dxa"/>
            <w:vAlign w:val="bottom"/>
          </w:tcPr>
          <w:p>
            <w:pPr>
              <w:spacing w:after="0"/>
              <w:rPr>
                <w:sz w:val="20"/>
                <w:szCs w:val="20"/>
                <w:color w:val="auto"/>
              </w:rPr>
            </w:pPr>
          </w:p>
        </w:tc>
        <w:tc>
          <w:tcPr>
            <w:tcW w:w="8040" w:type="dxa"/>
            <w:vAlign w:val="bottom"/>
          </w:tcPr>
          <w:p>
            <w:pPr>
              <w:ind w:left="2380"/>
              <w:spacing w:after="0"/>
              <w:rPr>
                <w:sz w:val="20"/>
                <w:szCs w:val="20"/>
                <w:color w:val="auto"/>
              </w:rPr>
            </w:pPr>
            <w:r>
              <w:rPr>
                <w:rFonts w:ascii="Arial" w:cs="Arial" w:eastAsia="Arial" w:hAnsi="Arial"/>
                <w:sz w:val="18"/>
                <w:szCs w:val="18"/>
                <w:color w:val="auto"/>
              </w:rPr>
              <w:t>Citigroup Global Markets Inc.</w:t>
            </w:r>
          </w:p>
        </w:tc>
      </w:tr>
      <w:tr>
        <w:trPr>
          <w:trHeight w:val="418"/>
        </w:trPr>
        <w:tc>
          <w:tcPr>
            <w:tcW w:w="3240" w:type="dxa"/>
            <w:vAlign w:val="bottom"/>
          </w:tcPr>
          <w:p>
            <w:pPr>
              <w:spacing w:after="0"/>
              <w:rPr>
                <w:sz w:val="20"/>
                <w:szCs w:val="20"/>
                <w:color w:val="auto"/>
              </w:rPr>
            </w:pPr>
            <w:r>
              <w:rPr>
                <w:rFonts w:ascii="Arial" w:cs="Arial" w:eastAsia="Arial" w:hAnsi="Arial"/>
                <w:sz w:val="18"/>
                <w:szCs w:val="18"/>
                <w:color w:val="auto"/>
              </w:rPr>
              <w:t>Co-Managers</w:t>
            </w:r>
          </w:p>
        </w:tc>
        <w:tc>
          <w:tcPr>
            <w:tcW w:w="8040" w:type="dxa"/>
            <w:vAlign w:val="bottom"/>
          </w:tcPr>
          <w:p>
            <w:pPr>
              <w:ind w:left="2380"/>
              <w:spacing w:after="0"/>
              <w:rPr>
                <w:sz w:val="20"/>
                <w:szCs w:val="20"/>
                <w:color w:val="auto"/>
              </w:rPr>
            </w:pPr>
            <w:r>
              <w:rPr>
                <w:rFonts w:ascii="Arial" w:cs="Arial" w:eastAsia="Arial" w:hAnsi="Arial"/>
                <w:sz w:val="18"/>
                <w:szCs w:val="18"/>
                <w:color w:val="auto"/>
              </w:rPr>
              <w:t>Citizens Capital Markets, Inc.</w:t>
            </w:r>
          </w:p>
        </w:tc>
      </w:tr>
      <w:tr>
        <w:trPr>
          <w:trHeight w:val="216"/>
        </w:trPr>
        <w:tc>
          <w:tcPr>
            <w:tcW w:w="3240" w:type="dxa"/>
            <w:vAlign w:val="bottom"/>
          </w:tcPr>
          <w:p>
            <w:pPr>
              <w:spacing w:after="0"/>
              <w:rPr>
                <w:sz w:val="18"/>
                <w:szCs w:val="18"/>
                <w:color w:val="auto"/>
              </w:rPr>
            </w:pPr>
          </w:p>
        </w:tc>
        <w:tc>
          <w:tcPr>
            <w:tcW w:w="8040" w:type="dxa"/>
            <w:vAlign w:val="bottom"/>
          </w:tcPr>
          <w:p>
            <w:pPr>
              <w:ind w:left="2380"/>
              <w:spacing w:after="0"/>
              <w:rPr>
                <w:sz w:val="20"/>
                <w:szCs w:val="20"/>
                <w:color w:val="auto"/>
              </w:rPr>
            </w:pPr>
            <w:r>
              <w:rPr>
                <w:rFonts w:ascii="Arial" w:cs="Arial" w:eastAsia="Arial" w:hAnsi="Arial"/>
                <w:sz w:val="18"/>
                <w:szCs w:val="18"/>
                <w:color w:val="auto"/>
              </w:rPr>
              <w:t>Loop Capital Markets LLC</w:t>
            </w:r>
          </w:p>
        </w:tc>
      </w:tr>
      <w:tr>
        <w:trPr>
          <w:trHeight w:val="216"/>
        </w:trPr>
        <w:tc>
          <w:tcPr>
            <w:tcW w:w="3240" w:type="dxa"/>
            <w:vAlign w:val="bottom"/>
          </w:tcPr>
          <w:p>
            <w:pPr>
              <w:spacing w:after="0"/>
              <w:rPr>
                <w:sz w:val="18"/>
                <w:szCs w:val="18"/>
                <w:color w:val="auto"/>
              </w:rPr>
            </w:pPr>
          </w:p>
        </w:tc>
        <w:tc>
          <w:tcPr>
            <w:tcW w:w="8040" w:type="dxa"/>
            <w:vAlign w:val="bottom"/>
          </w:tcPr>
          <w:p>
            <w:pPr>
              <w:ind w:left="2380"/>
              <w:spacing w:after="0"/>
              <w:rPr>
                <w:sz w:val="20"/>
                <w:szCs w:val="20"/>
                <w:color w:val="auto"/>
              </w:rPr>
            </w:pPr>
            <w:r>
              <w:rPr>
                <w:rFonts w:ascii="Arial" w:cs="Arial" w:eastAsia="Arial" w:hAnsi="Arial"/>
                <w:sz w:val="18"/>
                <w:szCs w:val="18"/>
                <w:color w:val="auto"/>
              </w:rPr>
              <w:t>PNC Capital Markets LLC</w:t>
            </w:r>
          </w:p>
        </w:tc>
      </w:tr>
      <w:tr>
        <w:trPr>
          <w:trHeight w:val="230"/>
        </w:trPr>
        <w:tc>
          <w:tcPr>
            <w:tcW w:w="3240" w:type="dxa"/>
            <w:vAlign w:val="bottom"/>
          </w:tcPr>
          <w:p>
            <w:pPr>
              <w:spacing w:after="0"/>
              <w:rPr>
                <w:sz w:val="20"/>
                <w:szCs w:val="20"/>
                <w:color w:val="auto"/>
              </w:rPr>
            </w:pPr>
          </w:p>
        </w:tc>
        <w:tc>
          <w:tcPr>
            <w:tcW w:w="8040" w:type="dxa"/>
            <w:vAlign w:val="bottom"/>
          </w:tcPr>
          <w:p>
            <w:pPr>
              <w:ind w:left="2380"/>
              <w:spacing w:after="0"/>
              <w:rPr>
                <w:sz w:val="20"/>
                <w:szCs w:val="20"/>
                <w:color w:val="auto"/>
              </w:rPr>
            </w:pPr>
            <w:r>
              <w:rPr>
                <w:rFonts w:ascii="Arial" w:cs="Arial" w:eastAsia="Arial" w:hAnsi="Arial"/>
                <w:sz w:val="18"/>
                <w:szCs w:val="18"/>
                <w:color w:val="auto"/>
              </w:rPr>
              <w:t>The Governor and Company of the Bank of Ireland</w:t>
            </w:r>
          </w:p>
        </w:tc>
      </w:tr>
      <w:tr>
        <w:trPr>
          <w:trHeight w:val="348"/>
        </w:trPr>
        <w:tc>
          <w:tcPr>
            <w:tcW w:w="3240" w:type="dxa"/>
            <w:vAlign w:val="bottom"/>
            <w:tcBorders>
              <w:bottom w:val="single" w:sz="8" w:color="808080"/>
            </w:tcBorders>
          </w:tcPr>
          <w:p>
            <w:pPr>
              <w:spacing w:after="0"/>
              <w:rPr>
                <w:sz w:val="24"/>
                <w:szCs w:val="24"/>
                <w:color w:val="auto"/>
              </w:rPr>
            </w:pPr>
          </w:p>
        </w:tc>
        <w:tc>
          <w:tcPr>
            <w:tcW w:w="80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41" w:right="29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6"/>
          <w:szCs w:val="16"/>
          <w:b w:val="1"/>
          <w:bCs w:val="1"/>
          <w:color w:val="auto"/>
        </w:rPr>
        <w:t>Terms Applicable to Both Tranches</w:t>
      </w:r>
    </w:p>
    <w:p>
      <w:pPr>
        <w:sectPr>
          <w:pgSz w:w="11900" w:h="16838" w:orient="portrait"/>
          <w:cols w:equalWidth="0" w:num="1">
            <w:col w:w="11220"/>
          </w:cols>
          <w:pgMar w:left="320" w:top="337" w:right="35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Ratings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Baa3 / BBB+ (Moody’s/S&amp;P)</w:t>
      </w:r>
    </w:p>
    <w:p>
      <w:pPr>
        <w:spacing w:after="0" w:line="200" w:lineRule="exact"/>
        <w:rPr>
          <w:sz w:val="20"/>
          <w:szCs w:val="20"/>
          <w:color w:val="auto"/>
        </w:rPr>
      </w:pPr>
    </w:p>
    <w:p>
      <w:pPr>
        <w:sectPr>
          <w:pgSz w:w="11900" w:h="16838" w:orient="portrait"/>
          <w:cols w:equalWidth="0" w:num="2">
            <w:col w:w="4900" w:space="720"/>
            <w:col w:w="5600"/>
          </w:cols>
          <w:pgMar w:left="320" w:top="337" w:right="35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Trade Date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center"/>
        <w:ind w:right="4500"/>
        <w:spacing w:after="0"/>
        <w:rPr>
          <w:sz w:val="20"/>
          <w:szCs w:val="20"/>
          <w:color w:val="auto"/>
        </w:rPr>
      </w:pPr>
      <w:r>
        <w:rPr>
          <w:rFonts w:ascii="Arial" w:cs="Arial" w:eastAsia="Arial" w:hAnsi="Arial"/>
          <w:sz w:val="16"/>
          <w:szCs w:val="16"/>
          <w:color w:val="auto"/>
        </w:rPr>
        <w:t>August 7, 2020</w:t>
      </w:r>
    </w:p>
    <w:p>
      <w:pPr>
        <w:spacing w:after="0" w:line="200" w:lineRule="exact"/>
        <w:rPr>
          <w:sz w:val="20"/>
          <w:szCs w:val="20"/>
          <w:color w:val="auto"/>
        </w:rPr>
      </w:pPr>
    </w:p>
    <w:p>
      <w:pPr>
        <w:sectPr>
          <w:pgSz w:w="11900" w:h="16838" w:orient="portrait"/>
          <w:cols w:equalWidth="0" w:num="2">
            <w:col w:w="4900" w:space="720"/>
            <w:col w:w="5600"/>
          </w:cols>
          <w:pgMar w:left="320" w:top="337" w:right="35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Original Issue Date (Settlement)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August 12, 2020</w:t>
      </w:r>
    </w:p>
    <w:p>
      <w:pPr>
        <w:spacing w:after="0" w:line="200" w:lineRule="exact"/>
        <w:rPr>
          <w:sz w:val="20"/>
          <w:szCs w:val="20"/>
          <w:color w:val="auto"/>
        </w:rPr>
      </w:pPr>
    </w:p>
    <w:p>
      <w:pPr>
        <w:sectPr>
          <w:pgSz w:w="11900" w:h="16838" w:orient="portrait"/>
          <w:cols w:equalWidth="0" w:num="2">
            <w:col w:w="4900" w:space="720"/>
            <w:col w:w="5600"/>
          </w:cols>
          <w:pgMar w:left="320" w:top="337" w:right="35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Change of Control</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Upon the occurrence of a Change of Control Triggering Event (as defined in the preliminary prospectus supplement to which this pricing term sheet relates), Regeneron Pharmaceuticals, Inc. will be required to make an offer to purchase the notes at a price equal to 101% of their principal amount plus accrued and unpaid interest to but not including the date of repurchase</w:t>
      </w:r>
    </w:p>
    <w:p>
      <w:pPr>
        <w:spacing w:after="0" w:line="161" w:lineRule="exact"/>
        <w:rPr>
          <w:sz w:val="20"/>
          <w:szCs w:val="20"/>
          <w:color w:val="auto"/>
        </w:rPr>
      </w:pPr>
    </w:p>
    <w:p>
      <w:pPr>
        <w:sectPr>
          <w:pgSz w:w="11900" w:h="16838" w:orient="portrait"/>
          <w:cols w:equalWidth="0" w:num="2">
            <w:col w:w="4900" w:space="720"/>
            <w:col w:w="5600"/>
          </w:cols>
          <w:pgMar w:left="320" w:top="337" w:right="359" w:bottom="1440" w:gutter="0" w:footer="0" w:header="0"/>
          <w:type w:val="continuous"/>
        </w:sectPr>
      </w:pPr>
    </w:p>
    <w:p>
      <w:pPr>
        <w:spacing w:after="0"/>
        <w:rPr>
          <w:sz w:val="20"/>
          <w:szCs w:val="20"/>
          <w:color w:val="auto"/>
        </w:rPr>
      </w:pPr>
      <w:r>
        <w:rPr>
          <w:rFonts w:ascii="Arial" w:cs="Arial" w:eastAsia="Arial" w:hAnsi="Arial"/>
          <w:sz w:val="17"/>
          <w:szCs w:val="17"/>
          <w:color w:val="auto"/>
        </w:rPr>
        <w:t>Minimum Denomination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$2,000 and integral multiples of $1,000 in excess thereof</w:t>
      </w:r>
    </w:p>
    <w:p>
      <w:pPr>
        <w:spacing w:after="0" w:line="211" w:lineRule="exact"/>
        <w:rPr>
          <w:sz w:val="20"/>
          <w:szCs w:val="20"/>
          <w:color w:val="auto"/>
        </w:rPr>
      </w:pPr>
    </w:p>
    <w:p>
      <w:pPr>
        <w:sectPr>
          <w:pgSz w:w="11900" w:h="16838" w:orient="portrait"/>
          <w:cols w:equalWidth="0" w:num="2">
            <w:col w:w="4900" w:space="720"/>
            <w:col w:w="5600"/>
          </w:cols>
          <w:pgMar w:left="320" w:top="337" w:right="359" w:bottom="1440" w:gutter="0" w:footer="0" w:header="0"/>
          <w:type w:val="continuous"/>
        </w:sectPr>
      </w:pPr>
    </w:p>
    <w:p>
      <w:pPr>
        <w:spacing w:after="0" w:line="3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None of the securities ratings is a recommendation to buy, sell, or hold the notes. Each rating may be subject to revision or withdrawal at any time, and should be evaluated independently of any other rating.</w:t>
      </w:r>
    </w:p>
    <w:p>
      <w:pPr>
        <w:spacing w:after="0" w:line="170"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i w:val="1"/>
          <w:iCs w:val="1"/>
          <w:color w:val="auto"/>
        </w:rPr>
        <w:t>The issuer has filed a registration statement (including a prospectus) and a preliminary prospectus supplement with the Securities and Exchange Commission (“SEC”) for the offerings to which this communication relates. Before you invest, you should read the prospectus in that registration statement, the preliminary prospectus supplement, and other documents the issuer has filed with the SEC for more complete information about the issuer and these offerings. You may get these documents for free by visiting EDGAR on the SEC Web site at www.sec.gov. Alternatively, the issuer, any underwriter, or any dealer participating in the offerings will arrange to send you the prospectus if you request it by calling Goldman Sachs &amp; Co. LLC toll free at 1 (866) 471-2526; BofA Securities toll free at 1 (800) 294-1322; J.P. Morgan collect at 1 (212) 834-4533.</w:t>
      </w:r>
    </w:p>
    <w:p>
      <w:pPr>
        <w:spacing w:after="0" w:line="17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ANY DISCLAIMERS OR OTHER NOTICES THAT MAY APPEAR BELOW ARE NOT APPLICABLE TO THIS COMMUNICATION AND SHOULD BE DISREGARDED (OTHER THAN ANY STATEMENT RELATING TO THE IDENTITY OF THE LEGAL ENTITY AUTHORIZING OR SENDING THIS COMMUNICATION IN A NON-US JURISDICTION). SUCH DISCLAIMERS OR OTHER NOTICES WERE AUTOMATICALLY GENERATED AS A RESULT OF THIS COMMUNICATION HAVING BEEN SENT VIA BLOOMBERG OR ANOTHER EMAIL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1532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sectPr>
      <w:pgSz w:w="11900" w:h="16838" w:orient="portrait"/>
      <w:cols w:equalWidth="0" w:num="1">
        <w:col w:w="11220"/>
      </w:cols>
      <w:pgMar w:left="320" w:top="33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2020-08-07T15:49:44Z</dcterms:created>
  <dcterms:modified xsi:type="dcterms:W3CDTF">2020-08-07T15:49:44Z</dcterms:modified>
</cp:coreProperties>
</file>