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(X)  QUARTERLY REPORT PURSUANT TO SECTION 13 OR 15(d) OF THE SECURITIES EXCHANGE ACT OF 1934</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quarterly period ended September 30,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TRANSITION REPORT PURSUANT TO SECTION 13 OR 15 (d) OF THE SECURITIES EXCHANGE ACT OF 1934</w:t>
      </w:r>
    </w:p>
    <w:p>
      <w:pPr>
        <w:spacing w:after="0" w:line="213" w:lineRule="exact"/>
        <w:rPr>
          <w:sz w:val="20"/>
          <w:szCs w:val="20"/>
          <w:color w:val="auto"/>
        </w:rPr>
      </w:pPr>
    </w:p>
    <w:p>
      <w:pPr>
        <w:ind w:left="460"/>
        <w:spacing w:after="0"/>
        <w:tabs>
          <w:tab w:leader="none" w:pos="34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-10160</wp:posOffset>
            </wp:positionV>
            <wp:extent cx="1203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File Number 0-19034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305435</wp:posOffset>
            </wp:positionV>
            <wp:extent cx="6903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06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448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13-3444607</w:t>
            </w:r>
          </w:p>
        </w:tc>
      </w:tr>
      <w:tr>
        <w:trPr>
          <w:trHeight w:val="215"/>
        </w:trPr>
        <w:tc>
          <w:tcPr>
            <w:tcW w:w="406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00" w:type="dxa"/>
            <w:vAlign w:val="bottom"/>
          </w:tcPr>
          <w:p>
            <w:pPr>
              <w:spacing w:after="0"/>
              <w:rPr>
                <w:sz w:val="18"/>
                <w:szCs w:val="18"/>
                <w:color w:val="auto"/>
              </w:rPr>
            </w:pPr>
          </w:p>
        </w:tc>
        <w:tc>
          <w:tcPr>
            <w:tcW w:w="40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8"/>
        </w:trPr>
        <w:tc>
          <w:tcPr>
            <w:tcW w:w="4060" w:type="dxa"/>
            <w:vAlign w:val="bottom"/>
          </w:tcPr>
          <w:p>
            <w:pPr>
              <w:jc w:val="center"/>
              <w:spacing w:after="0"/>
              <w:rPr>
                <w:sz w:val="20"/>
                <w:szCs w:val="20"/>
                <w:color w:val="auto"/>
              </w:rPr>
            </w:pPr>
            <w:r>
              <w:rPr>
                <w:rFonts w:ascii="Arial" w:cs="Arial" w:eastAsia="Arial" w:hAnsi="Arial"/>
                <w:sz w:val="18"/>
                <w:szCs w:val="18"/>
                <w:color w:val="auto"/>
                <w:w w:val="93"/>
              </w:rPr>
              <w:t>777 Old Saw Mill River Road</w:t>
            </w:r>
          </w:p>
        </w:tc>
        <w:tc>
          <w:tcPr>
            <w:tcW w:w="4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7"/>
        </w:trPr>
        <w:tc>
          <w:tcPr>
            <w:tcW w:w="4060" w:type="dxa"/>
            <w:vAlign w:val="bottom"/>
          </w:tcPr>
          <w:p>
            <w:pPr>
              <w:jc w:val="center"/>
              <w:spacing w:after="0"/>
              <w:rPr>
                <w:sz w:val="20"/>
                <w:szCs w:val="20"/>
                <w:color w:val="auto"/>
              </w:rPr>
            </w:pPr>
            <w:r>
              <w:rPr>
                <w:rFonts w:ascii="Arial" w:cs="Arial" w:eastAsia="Arial" w:hAnsi="Arial"/>
                <w:sz w:val="18"/>
                <w:szCs w:val="18"/>
                <w:color w:val="auto"/>
                <w:w w:val="94"/>
              </w:rPr>
              <w:t>Tarrytown, New York</w:t>
            </w:r>
          </w:p>
        </w:tc>
        <w:tc>
          <w:tcPr>
            <w:tcW w:w="448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10591-6707</w:t>
            </w:r>
          </w:p>
        </w:tc>
      </w:tr>
      <w:tr>
        <w:trPr>
          <w:trHeight w:val="230"/>
        </w:trPr>
        <w:tc>
          <w:tcPr>
            <w:tcW w:w="406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0" w:type="dxa"/>
            <w:vAlign w:val="bottom"/>
          </w:tcPr>
          <w:p>
            <w:pPr>
              <w:spacing w:after="0"/>
              <w:rPr>
                <w:sz w:val="20"/>
                <w:szCs w:val="20"/>
                <w:color w:val="auto"/>
              </w:rPr>
            </w:pPr>
          </w:p>
        </w:tc>
        <w:tc>
          <w:tcPr>
            <w:tcW w:w="40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23495</wp:posOffset>
            </wp:positionV>
            <wp:extent cx="391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Yes (X)  No (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8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Yes (X)  No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October 31, 2004:</w:t>
      </w:r>
    </w:p>
    <w:p>
      <w:pPr>
        <w:spacing w:after="0" w:line="392" w:lineRule="exact"/>
        <w:rPr>
          <w:sz w:val="20"/>
          <w:szCs w:val="20"/>
          <w:color w:val="auto"/>
        </w:rPr>
      </w:pPr>
    </w:p>
    <w:tbl>
      <w:tblPr>
        <w:tblLayout w:type="fixed"/>
        <w:tblInd w:w="2580" w:type="dxa"/>
        <w:tblCellMar>
          <w:top w:w="0" w:type="dxa"/>
          <w:left w:w="0" w:type="dxa"/>
          <w:bottom w:w="0" w:type="dxa"/>
          <w:right w:w="0" w:type="dxa"/>
        </w:tblCellMar>
      </w:tblPr>
      <w:tr>
        <w:trPr>
          <w:trHeight w:val="186"/>
        </w:trPr>
        <w:tc>
          <w:tcPr>
            <w:tcW w:w="3880" w:type="dxa"/>
            <w:vAlign w:val="bottom"/>
          </w:tcPr>
          <w:p>
            <w:pPr>
              <w:ind w:left="1200"/>
              <w:spacing w:after="0"/>
              <w:rPr>
                <w:sz w:val="20"/>
                <w:szCs w:val="20"/>
                <w:color w:val="auto"/>
              </w:rPr>
            </w:pPr>
            <w:r>
              <w:rPr>
                <w:rFonts w:ascii="Arial" w:cs="Arial" w:eastAsia="Arial" w:hAnsi="Arial"/>
                <w:sz w:val="14"/>
                <w:szCs w:val="14"/>
                <w:b w:val="1"/>
                <w:bCs w:val="1"/>
                <w:color w:val="auto"/>
              </w:rPr>
              <w:t>Class of Common Stock</w:t>
            </w:r>
          </w:p>
        </w:tc>
        <w:tc>
          <w:tcPr>
            <w:tcW w:w="260" w:type="dxa"/>
            <w:vAlign w:val="bottom"/>
          </w:tcPr>
          <w:p>
            <w:pPr>
              <w:spacing w:after="0"/>
              <w:rPr>
                <w:sz w:val="16"/>
                <w:szCs w:val="16"/>
                <w:color w:val="auto"/>
              </w:rPr>
            </w:pPr>
          </w:p>
        </w:tc>
        <w:tc>
          <w:tcPr>
            <w:tcW w:w="2140" w:type="dxa"/>
            <w:vAlign w:val="bottom"/>
          </w:tcPr>
          <w:p>
            <w:pPr>
              <w:jc w:val="right"/>
              <w:ind w:right="448"/>
              <w:spacing w:after="0"/>
              <w:rPr>
                <w:sz w:val="20"/>
                <w:szCs w:val="20"/>
                <w:color w:val="auto"/>
              </w:rPr>
            </w:pPr>
            <w:r>
              <w:rPr>
                <w:rFonts w:ascii="Arial" w:cs="Arial" w:eastAsia="Arial" w:hAnsi="Arial"/>
                <w:sz w:val="14"/>
                <w:szCs w:val="14"/>
                <w:b w:val="1"/>
                <w:bCs w:val="1"/>
                <w:color w:val="auto"/>
              </w:rPr>
              <w:t>Number of Shares</w:t>
            </w:r>
          </w:p>
        </w:tc>
      </w:tr>
      <w:tr>
        <w:trPr>
          <w:trHeight w:val="53"/>
        </w:trPr>
        <w:tc>
          <w:tcPr>
            <w:tcW w:w="38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2140" w:type="dxa"/>
            <w:vAlign w:val="bottom"/>
            <w:tcBorders>
              <w:bottom w:val="single" w:sz="8" w:color="808080"/>
            </w:tcBorders>
          </w:tcPr>
          <w:p>
            <w:pPr>
              <w:spacing w:after="0"/>
              <w:rPr>
                <w:sz w:val="4"/>
                <w:szCs w:val="4"/>
                <w:color w:val="auto"/>
              </w:rPr>
            </w:pPr>
          </w:p>
        </w:tc>
      </w:tr>
      <w:tr>
        <w:trPr>
          <w:trHeight w:val="276"/>
        </w:trPr>
        <w:tc>
          <w:tcPr>
            <w:tcW w:w="3880" w:type="dxa"/>
            <w:vAlign w:val="bottom"/>
          </w:tcPr>
          <w:p>
            <w:pPr>
              <w:spacing w:after="0"/>
              <w:rPr>
                <w:sz w:val="20"/>
                <w:szCs w:val="20"/>
                <w:color w:val="auto"/>
              </w:rPr>
            </w:pPr>
            <w:r>
              <w:rPr>
                <w:rFonts w:ascii="Arial" w:cs="Arial" w:eastAsia="Arial" w:hAnsi="Arial"/>
                <w:sz w:val="18"/>
                <w:szCs w:val="18"/>
                <w:color w:val="auto"/>
              </w:rPr>
              <w:t>Class A Stock, $0.001 par value</w:t>
            </w:r>
          </w:p>
        </w:tc>
        <w:tc>
          <w:tcPr>
            <w:tcW w:w="2400" w:type="dxa"/>
            <w:vAlign w:val="bottom"/>
            <w:gridSpan w:val="2"/>
          </w:tcPr>
          <w:p>
            <w:pPr>
              <w:jc w:val="right"/>
              <w:ind w:right="608"/>
              <w:spacing w:after="0"/>
              <w:rPr>
                <w:sz w:val="20"/>
                <w:szCs w:val="20"/>
                <w:color w:val="auto"/>
              </w:rPr>
            </w:pPr>
            <w:r>
              <w:rPr>
                <w:rFonts w:ascii="Arial" w:cs="Arial" w:eastAsia="Arial" w:hAnsi="Arial"/>
                <w:sz w:val="18"/>
                <w:szCs w:val="18"/>
                <w:color w:val="auto"/>
              </w:rPr>
              <w:t>2,358,373</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2400" w:type="dxa"/>
            <w:vAlign w:val="bottom"/>
            <w:gridSpan w:val="2"/>
          </w:tcPr>
          <w:p>
            <w:pPr>
              <w:jc w:val="right"/>
              <w:ind w:right="608"/>
              <w:spacing w:after="0"/>
              <w:rPr>
                <w:sz w:val="20"/>
                <w:szCs w:val="20"/>
                <w:color w:val="auto"/>
              </w:rPr>
            </w:pPr>
            <w:r>
              <w:rPr>
                <w:rFonts w:ascii="Arial" w:cs="Arial" w:eastAsia="Arial" w:hAnsi="Arial"/>
                <w:sz w:val="18"/>
                <w:szCs w:val="18"/>
                <w:color w:val="auto"/>
              </w:rPr>
              <w:t>53,383,323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940" w:type="dxa"/>
            <w:vAlign w:val="bottom"/>
          </w:tcPr>
          <w:p>
            <w:pPr>
              <w:jc w:val="right"/>
              <w:ind w:right="436"/>
              <w:spacing w:after="0"/>
              <w:rPr>
                <w:sz w:val="20"/>
                <w:szCs w:val="20"/>
                <w:color w:val="auto"/>
              </w:rPr>
            </w:pPr>
            <w:r>
              <w:rPr>
                <w:rFonts w:ascii="Arial" w:cs="Arial" w:eastAsia="Arial" w:hAnsi="Arial"/>
                <w:sz w:val="14"/>
                <w:szCs w:val="14"/>
                <w:b w:val="1"/>
                <w:bCs w:val="1"/>
                <w:color w:val="auto"/>
              </w:rPr>
              <w:t>Page Numbers</w:t>
            </w:r>
          </w:p>
        </w:tc>
        <w:tc>
          <w:tcPr>
            <w:tcW w:w="0" w:type="dxa"/>
            <w:vAlign w:val="bottom"/>
          </w:tcPr>
          <w:p>
            <w:pPr>
              <w:spacing w:after="0"/>
              <w:rPr>
                <w:sz w:val="1"/>
                <w:szCs w:val="1"/>
                <w:color w:val="auto"/>
              </w:rPr>
            </w:pPr>
          </w:p>
        </w:tc>
      </w:tr>
      <w:tr>
        <w:trPr>
          <w:trHeight w:val="53"/>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00" w:type="dxa"/>
            <w:vAlign w:val="bottom"/>
            <w:vMerge w:val="restart"/>
          </w:tcPr>
          <w:p>
            <w:pPr>
              <w:spacing w:after="0"/>
              <w:rPr>
                <w:sz w:val="4"/>
                <w:szCs w:val="4"/>
                <w:color w:val="auto"/>
              </w:rPr>
            </w:pPr>
          </w:p>
        </w:tc>
        <w:tc>
          <w:tcPr>
            <w:tcW w:w="8580" w:type="dxa"/>
            <w:vAlign w:val="bottom"/>
            <w:gridSpan w:val="7"/>
            <w:vMerge w:val="restart"/>
          </w:tcPr>
          <w:p>
            <w:pPr>
              <w:ind w:left="3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9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0" w:type="dxa"/>
            <w:vAlign w:val="bottom"/>
            <w:gridSpan w:val="2"/>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8580" w:type="dxa"/>
            <w:vAlign w:val="bottom"/>
            <w:gridSpan w:val="7"/>
            <w:vMerge w:val="continue"/>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80" w:type="dxa"/>
            <w:vAlign w:val="bottom"/>
            <w:gridSpan w:val="7"/>
          </w:tcPr>
          <w:p>
            <w:pPr>
              <w:ind w:left="3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(unaudited) at September 30, 2004 and December 31, 2003</w:t>
              </w:r>
            </w:hyperlink>
          </w:p>
        </w:tc>
        <w:tc>
          <w:tcPr>
            <w:tcW w:w="1940" w:type="dxa"/>
            <w:vAlign w:val="bottom"/>
          </w:tcPr>
          <w:p>
            <w:pPr>
              <w:jc w:val="right"/>
              <w:ind w:right="576"/>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80" w:type="dxa"/>
            <w:vAlign w:val="bottom"/>
            <w:tcBorders>
              <w:top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operations (unaudited) for the three and nine months ended</w:t>
              </w:r>
            </w:hyperlink>
          </w:p>
        </w:tc>
        <w:tc>
          <w:tcPr>
            <w:tcW w:w="1880" w:type="dxa"/>
            <w:vAlign w:val="bottom"/>
          </w:tcPr>
          <w:p>
            <w:pPr>
              <w:spacing w:after="0"/>
              <w:rPr>
                <w:sz w:val="17"/>
                <w:szCs w:val="17"/>
                <w:color w:val="auto"/>
              </w:rPr>
            </w:pPr>
          </w:p>
        </w:tc>
        <w:tc>
          <w:tcPr>
            <w:tcW w:w="1940" w:type="dxa"/>
            <w:vAlign w:val="bottom"/>
          </w:tcPr>
          <w:p>
            <w:pPr>
              <w:jc w:val="right"/>
              <w:ind w:right="576"/>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Borders>
              <w:bottom w:val="single" w:sz="8" w:color="0000EE"/>
            </w:tcBorders>
            <w:gridSpan w:val="8"/>
          </w:tcPr>
          <w:p>
            <w:pPr>
              <w:ind w:left="140"/>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2004 and 2003</w:t>
              </w:r>
            </w:hyperlink>
          </w:p>
        </w:tc>
        <w:tc>
          <w:tcPr>
            <w:tcW w:w="5620" w:type="dxa"/>
            <w:vAlign w:val="bottom"/>
            <w:gridSpan w:val="7"/>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2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 of stockholders’ equity (unaudited) for the nine months ended</w:t>
              </w:r>
            </w:hyperlink>
          </w:p>
        </w:tc>
        <w:tc>
          <w:tcPr>
            <w:tcW w:w="20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top w:val="single" w:sz="8" w:color="0000EE"/>
            </w:tcBorders>
            <w:gridSpan w:val="12"/>
          </w:tcPr>
          <w:p>
            <w:pPr>
              <w:ind w:left="1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2004</w:t>
              </w:r>
            </w:hyperlink>
          </w:p>
        </w:tc>
        <w:tc>
          <w:tcPr>
            <w:tcW w:w="1880" w:type="dxa"/>
            <w:vAlign w:val="bottom"/>
            <w:gridSpan w:val="3"/>
          </w:tcPr>
          <w:p>
            <w:pPr>
              <w:spacing w:after="0"/>
              <w:rPr>
                <w:sz w:val="17"/>
                <w:szCs w:val="17"/>
                <w:color w:val="auto"/>
              </w:rPr>
            </w:pPr>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2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 (unaudited) for the nine months ended September 30, 2004</w:t>
              </w:r>
            </w:hyperlink>
          </w:p>
        </w:tc>
        <w:tc>
          <w:tcPr>
            <w:tcW w:w="20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00" w:type="dxa"/>
            <w:vAlign w:val="bottom"/>
            <w:tcBorders>
              <w:top w:val="single" w:sz="8" w:color="0000EE"/>
            </w:tcBorders>
            <w:gridSpan w:val="14"/>
          </w:tcPr>
          <w:p>
            <w:pPr>
              <w:ind w:left="1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2003</w:t>
              </w:r>
            </w:hyperlink>
          </w:p>
        </w:tc>
        <w:tc>
          <w:tcPr>
            <w:tcW w:w="1020" w:type="dxa"/>
            <w:vAlign w:val="bottom"/>
          </w:tcPr>
          <w:p>
            <w:pPr>
              <w:spacing w:after="0"/>
              <w:rPr>
                <w:sz w:val="17"/>
                <w:szCs w:val="17"/>
                <w:color w:val="auto"/>
              </w:rPr>
            </w:pPr>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w:t>
              </w:r>
            </w:hyperlink>
          </w:p>
        </w:tc>
        <w:tc>
          <w:tcPr>
            <w:tcW w:w="5020" w:type="dxa"/>
            <w:vAlign w:val="bottom"/>
            <w:gridSpan w:val="6"/>
          </w:tcPr>
          <w:p>
            <w:pPr>
              <w:spacing w:after="0"/>
              <w:rPr>
                <w:sz w:val="17"/>
                <w:szCs w:val="17"/>
                <w:color w:val="auto"/>
              </w:rPr>
            </w:pPr>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7-17</w:t>
            </w: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2</w:t>
              </w:r>
            </w:hyperlink>
          </w:p>
        </w:tc>
        <w:tc>
          <w:tcPr>
            <w:tcW w:w="460" w:type="dxa"/>
            <w:vAlign w:val="bottom"/>
            <w:gridSpan w:val="2"/>
          </w:tcPr>
          <w:p>
            <w:pPr>
              <w:spacing w:after="0"/>
              <w:rPr>
                <w:sz w:val="17"/>
                <w:szCs w:val="17"/>
                <w:color w:val="auto"/>
              </w:rPr>
            </w:pPr>
          </w:p>
        </w:tc>
        <w:tc>
          <w:tcPr>
            <w:tcW w:w="8400" w:type="dxa"/>
            <w:vAlign w:val="bottom"/>
            <w:gridSpan w:val="17"/>
          </w:tcPr>
          <w:p>
            <w:pPr>
              <w:ind w:left="28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18-43</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Item 3</w:t>
              </w:r>
            </w:hyperlink>
          </w:p>
        </w:tc>
        <w:tc>
          <w:tcPr>
            <w:tcW w:w="460" w:type="dxa"/>
            <w:vAlign w:val="bottom"/>
            <w:gridSpan w:val="2"/>
          </w:tcPr>
          <w:p>
            <w:pPr>
              <w:spacing w:after="0"/>
              <w:rPr>
                <w:sz w:val="17"/>
                <w:szCs w:val="17"/>
                <w:color w:val="auto"/>
              </w:rPr>
            </w:pPr>
          </w:p>
        </w:tc>
        <w:tc>
          <w:tcPr>
            <w:tcW w:w="8400" w:type="dxa"/>
            <w:vAlign w:val="bottom"/>
            <w:gridSpan w:val="17"/>
          </w:tcPr>
          <w:p>
            <w:pPr>
              <w:ind w:left="28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 About Market Risk</w:t>
              </w:r>
            </w:hyperlink>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43</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Item 4</w:t>
              </w:r>
            </w:hyperlink>
          </w:p>
        </w:tc>
        <w:tc>
          <w:tcPr>
            <w:tcW w:w="460" w:type="dxa"/>
            <w:vAlign w:val="bottom"/>
            <w:gridSpan w:val="2"/>
          </w:tcPr>
          <w:p>
            <w:pPr>
              <w:spacing w:after="0"/>
              <w:rPr>
                <w:sz w:val="17"/>
                <w:szCs w:val="17"/>
                <w:color w:val="auto"/>
              </w:rPr>
            </w:pPr>
          </w:p>
        </w:tc>
        <w:tc>
          <w:tcPr>
            <w:tcW w:w="8400" w:type="dxa"/>
            <w:vAlign w:val="bottom"/>
            <w:gridSpan w:val="17"/>
          </w:tcPr>
          <w:p>
            <w:pPr>
              <w:ind w:left="28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43-44</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940" w:type="dxa"/>
            <w:vAlign w:val="bottom"/>
            <w:gridSpan w:val="4"/>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w:t>
              </w:r>
            </w:hyperlink>
          </w:p>
        </w:tc>
        <w:tc>
          <w:tcPr>
            <w:tcW w:w="8400" w:type="dxa"/>
            <w:vAlign w:val="bottom"/>
            <w:gridSpan w:val="17"/>
          </w:tcPr>
          <w:p>
            <w:pPr>
              <w:ind w:left="280"/>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OTHER INFORMATION</w:t>
              </w:r>
            </w:hyperlink>
          </w:p>
        </w:tc>
        <w:tc>
          <w:tcPr>
            <w:tcW w:w="2080" w:type="dxa"/>
            <w:vAlign w:val="bottom"/>
          </w:tcPr>
          <w:p>
            <w:pPr>
              <w:spacing w:after="0"/>
              <w:rPr>
                <w:sz w:val="17"/>
                <w:szCs w:val="17"/>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1</w:t>
              </w:r>
            </w:hyperlink>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0" w:type="dxa"/>
            <w:vAlign w:val="bottom"/>
            <w:gridSpan w:val="17"/>
          </w:tcPr>
          <w:p>
            <w:pPr>
              <w:ind w:left="28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45</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2</w:t>
              </w:r>
            </w:hyperlink>
          </w:p>
        </w:tc>
        <w:tc>
          <w:tcPr>
            <w:tcW w:w="460" w:type="dxa"/>
            <w:vAlign w:val="bottom"/>
            <w:gridSpan w:val="2"/>
          </w:tcPr>
          <w:p>
            <w:pPr>
              <w:spacing w:after="0"/>
              <w:rPr>
                <w:sz w:val="17"/>
                <w:szCs w:val="17"/>
                <w:color w:val="auto"/>
              </w:rPr>
            </w:pPr>
          </w:p>
        </w:tc>
        <w:tc>
          <w:tcPr>
            <w:tcW w:w="8400" w:type="dxa"/>
            <w:vAlign w:val="bottom"/>
            <w:gridSpan w:val="17"/>
          </w:tcPr>
          <w:p>
            <w:pPr>
              <w:ind w:left="28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45</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6</w:t>
              </w:r>
            </w:hyperlink>
          </w:p>
        </w:tc>
        <w:tc>
          <w:tcPr>
            <w:tcW w:w="460" w:type="dxa"/>
            <w:vAlign w:val="bottom"/>
            <w:gridSpan w:val="2"/>
          </w:tcPr>
          <w:p>
            <w:pPr>
              <w:spacing w:after="0"/>
              <w:rPr>
                <w:sz w:val="17"/>
                <w:szCs w:val="17"/>
                <w:color w:val="auto"/>
              </w:rPr>
            </w:pPr>
          </w:p>
        </w:tc>
        <w:tc>
          <w:tcPr>
            <w:tcW w:w="8400" w:type="dxa"/>
            <w:vAlign w:val="bottom"/>
            <w:gridSpan w:val="17"/>
          </w:tcPr>
          <w:p>
            <w:pPr>
              <w:ind w:left="28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Exhibits and Reports on Form 8-K</w:t>
              </w:r>
            </w:hyperlink>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45-46</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7"/>
              </w:rPr>
            </w:pPr>
            <w:hyperlink w:anchor="page48">
              <w:r>
                <w:rPr>
                  <w:rFonts w:ascii="Arial" w:cs="Arial" w:eastAsia="Arial" w:hAnsi="Arial"/>
                  <w:sz w:val="18"/>
                  <w:szCs w:val="18"/>
                  <w:b w:val="1"/>
                  <w:bCs w:val="1"/>
                  <w:color w:val="0000EE"/>
                  <w:w w:val="97"/>
                </w:rPr>
                <w:t>SIGNATURE PAGE</w:t>
              </w:r>
            </w:hyperlink>
          </w:p>
        </w:tc>
        <w:tc>
          <w:tcPr>
            <w:tcW w:w="7740" w:type="dxa"/>
            <w:vAlign w:val="bottom"/>
            <w:gridSpan w:val="14"/>
          </w:tcPr>
          <w:p>
            <w:pPr>
              <w:spacing w:after="0"/>
              <w:rPr>
                <w:sz w:val="17"/>
                <w:szCs w:val="17"/>
                <w:color w:val="auto"/>
              </w:rPr>
            </w:pPr>
          </w:p>
        </w:tc>
        <w:tc>
          <w:tcPr>
            <w:tcW w:w="208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47</w:t>
            </w:r>
          </w:p>
        </w:tc>
      </w:tr>
      <w:tr>
        <w:trPr>
          <w:trHeight w:val="196"/>
        </w:trPr>
        <w:tc>
          <w:tcPr>
            <w:tcW w:w="60" w:type="dxa"/>
            <w:vAlign w:val="bottom"/>
          </w:tcPr>
          <w:p>
            <w:pPr>
              <w:spacing w:after="0"/>
              <w:rPr>
                <w:sz w:val="17"/>
                <w:szCs w:val="17"/>
                <w:color w:val="auto"/>
              </w:rPr>
            </w:pPr>
          </w:p>
        </w:tc>
        <w:tc>
          <w:tcPr>
            <w:tcW w:w="9280" w:type="dxa"/>
            <w:vAlign w:val="bottom"/>
            <w:gridSpan w:val="20"/>
          </w:tcPr>
          <w:p>
            <w:pPr>
              <w:spacing w:after="0" w:line="196" w:lineRule="exact"/>
              <w:rPr>
                <w:sz w:val="20"/>
                <w:szCs w:val="20"/>
                <w:color w:val="auto"/>
              </w:rPr>
            </w:pPr>
            <w:r>
              <w:rPr>
                <w:rFonts w:ascii="Arial" w:cs="Arial" w:eastAsia="Arial" w:hAnsi="Arial"/>
                <w:sz w:val="18"/>
                <w:szCs w:val="18"/>
                <w:color w:val="0000EE"/>
              </w:rPr>
              <w:t>EX-31 CERTIFICATION</w:t>
            </w:r>
          </w:p>
        </w:tc>
        <w:tc>
          <w:tcPr>
            <w:tcW w:w="20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280" w:type="dxa"/>
            <w:vAlign w:val="bottom"/>
            <w:gridSpan w:val="20"/>
          </w:tcPr>
          <w:p>
            <w:pPr>
              <w:spacing w:after="0" w:line="196" w:lineRule="exact"/>
              <w:rPr>
                <w:sz w:val="20"/>
                <w:szCs w:val="20"/>
                <w:color w:val="auto"/>
              </w:rPr>
            </w:pPr>
            <w:r>
              <w:rPr>
                <w:rFonts w:ascii="Arial" w:cs="Arial" w:eastAsia="Arial" w:hAnsi="Arial"/>
                <w:sz w:val="18"/>
                <w:szCs w:val="18"/>
                <w:color w:val="0000EE"/>
              </w:rPr>
              <w:t>EX-32 CERTIFICATION</w:t>
            </w:r>
          </w:p>
        </w:tc>
        <w:tc>
          <w:tcPr>
            <w:tcW w:w="2080" w:type="dxa"/>
            <w:vAlign w:val="bottom"/>
          </w:tcPr>
          <w:p>
            <w:pPr>
              <w:spacing w:after="0"/>
              <w:rPr>
                <w:sz w:val="17"/>
                <w:szCs w:val="17"/>
                <w:color w:val="auto"/>
              </w:rPr>
            </w:pPr>
          </w:p>
        </w:tc>
      </w:tr>
      <w:tr>
        <w:trPr>
          <w:trHeight w:val="639"/>
        </w:trPr>
        <w:tc>
          <w:tcPr>
            <w:tcW w:w="60" w:type="dxa"/>
            <w:vAlign w:val="bottom"/>
            <w:tcBorders>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SEPTEMBER 30, 2004 AND DECEMBER 31, 2003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32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7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350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and cash equivalents</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105,047</w:t>
            </w:r>
          </w:p>
        </w:tc>
        <w:tc>
          <w:tcPr>
            <w:tcW w:w="34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118,285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168,120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164,576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Restricted marketable securities</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5,548</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24,866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3,391</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4,266</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9,006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311,238</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320,207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82,469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72,792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73,942</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80,723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5,036</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5,833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472,685</w:t>
            </w:r>
          </w:p>
        </w:tc>
        <w:tc>
          <w:tcPr>
            <w:tcW w:w="34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479,555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280" w:type="dxa"/>
            <w:vAlign w:val="bottom"/>
            <w:vMerge w:val="restart"/>
          </w:tcPr>
          <w:p>
            <w:pPr>
              <w:ind w:left="172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rPr>
                <w:sz w:val="6"/>
                <w:szCs w:val="6"/>
                <w:color w:val="auto"/>
              </w:rPr>
            </w:pPr>
          </w:p>
        </w:tc>
        <w:tc>
          <w:tcPr>
            <w:tcW w:w="360" w:type="dxa"/>
            <w:vAlign w:val="bottom"/>
            <w:tcBorders>
              <w:right w:val="single" w:sz="8" w:color="808080"/>
            </w:tcBorders>
          </w:tcPr>
          <w:p>
            <w:pPr>
              <w:spacing w:after="0"/>
              <w:rPr>
                <w:sz w:val="6"/>
                <w:szCs w:val="6"/>
                <w:color w:val="auto"/>
              </w:rPr>
            </w:pPr>
          </w:p>
        </w:tc>
        <w:tc>
          <w:tcPr>
            <w:tcW w:w="640" w:type="dxa"/>
            <w:vAlign w:val="bottom"/>
            <w:shd w:val="clear" w:color="auto" w:fill="808080"/>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Borders>
              <w:right w:val="single" w:sz="8" w:color="808080"/>
            </w:tcBorders>
          </w:tcPr>
          <w:p>
            <w:pPr>
              <w:spacing w:after="0"/>
              <w:rPr>
                <w:sz w:val="6"/>
                <w:szCs w:val="6"/>
                <w:color w:val="auto"/>
              </w:rPr>
            </w:pPr>
          </w:p>
        </w:tc>
        <w:tc>
          <w:tcPr>
            <w:tcW w:w="640" w:type="dxa"/>
            <w:vAlign w:val="bottom"/>
            <w:shd w:val="clear" w:color="auto" w:fill="808080"/>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72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20,284</w:t>
            </w:r>
          </w:p>
        </w:tc>
        <w:tc>
          <w:tcPr>
            <w:tcW w:w="34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Deferred revenue, current portion</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15,616</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40,173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tcPr>
          <w:p>
            <w:pPr>
              <w:ind w:left="140"/>
              <w:spacing w:after="0"/>
              <w:rPr>
                <w:sz w:val="20"/>
                <w:szCs w:val="20"/>
                <w:color w:val="auto"/>
              </w:rPr>
            </w:pPr>
            <w:r>
              <w:rPr>
                <w:rFonts w:ascii="Arial" w:cs="Arial" w:eastAsia="Arial" w:hAnsi="Arial"/>
                <w:sz w:val="18"/>
                <w:szCs w:val="18"/>
                <w:color w:val="auto"/>
              </w:rPr>
              <w:t>Loan payable to Novartis Pharma AG</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13,817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35,900</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72,923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57,876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68,830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200,000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293,812</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341,912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w w:val="96"/>
              </w:rPr>
              <w:t>Preferred stock, $.01 par value; 30,000,000 shares authorized; issued and outstanding-none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2,358,373 shares issued and outstanding in 2004</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2,365,873 shares issued and outstanding in 2003</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80" w:type="dxa"/>
            <w:vAlign w:val="bottom"/>
          </w:tcPr>
          <w:p>
            <w:pPr>
              <w:ind w:left="14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60"/>
              <w:spacing w:after="0"/>
              <w:rPr>
                <w:sz w:val="20"/>
                <w:szCs w:val="20"/>
                <w:color w:val="auto"/>
              </w:rPr>
            </w:pPr>
            <w:r>
              <w:rPr>
                <w:rFonts w:ascii="Arial" w:cs="Arial" w:eastAsia="Arial" w:hAnsi="Arial"/>
                <w:sz w:val="18"/>
                <w:szCs w:val="18"/>
                <w:color w:val="auto"/>
              </w:rPr>
              <w:t>53,228,223 shares issued and outstanding in 2004</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53,165,635 shares issued and outstanding in 2003</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673,635</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673,118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Unearned compensation</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(1,989)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5"/>
              </w:rPr>
              <w:t>(492,626)</w:t>
            </w: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8"/>
              </w:rPr>
              <w:t>(531,533)</w:t>
            </w:r>
          </w:p>
        </w:tc>
        <w:tc>
          <w:tcPr>
            <w:tcW w:w="0" w:type="dxa"/>
            <w:vAlign w:val="bottom"/>
          </w:tcPr>
          <w:p>
            <w:pPr>
              <w:spacing w:after="0"/>
              <w:rPr>
                <w:sz w:val="1"/>
                <w:szCs w:val="1"/>
                <w:color w:val="auto"/>
              </w:rPr>
            </w:pPr>
          </w:p>
        </w:tc>
      </w:tr>
      <w:tr>
        <w:trPr>
          <w:trHeight w:val="237"/>
        </w:trPr>
        <w:tc>
          <w:tcPr>
            <w:tcW w:w="728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2"/>
              </w:rPr>
              <w:t>178,873</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5"/>
              </w:rPr>
              <w:t>137,643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vMerge w:val="restart"/>
          </w:tcPr>
          <w:p>
            <w:pPr>
              <w:ind w:left="700"/>
              <w:spacing w:after="0"/>
              <w:rPr>
                <w:sz w:val="20"/>
                <w:szCs w:val="20"/>
                <w:color w:val="auto"/>
              </w:rPr>
            </w:pPr>
            <w:r>
              <w:rPr>
                <w:rFonts w:ascii="Arial" w:cs="Arial" w:eastAsia="Arial" w:hAnsi="Arial"/>
                <w:sz w:val="15"/>
                <w:szCs w:val="15"/>
                <w:color w:val="auto"/>
                <w:w w:val="71"/>
              </w:rPr>
              <w:t>$</w:t>
            </w: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2"/>
              </w:rPr>
              <w:t>472,685</w:t>
            </w:r>
          </w:p>
        </w:tc>
        <w:tc>
          <w:tcPr>
            <w:tcW w:w="3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5"/>
              </w:rPr>
              <w:t>479,555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7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8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Contract research and development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25,621</w:t>
            </w:r>
          </w:p>
        </w:tc>
        <w:tc>
          <w:tcPr>
            <w:tcW w:w="4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10,882</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94,377</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28,245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progress payments</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17,770</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380" w:type="dxa"/>
            <w:vAlign w:val="bottom"/>
          </w:tcPr>
          <w:p>
            <w:pPr>
              <w:spacing w:after="0"/>
              <w:rPr>
                <w:sz w:val="18"/>
                <w:szCs w:val="18"/>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4"/>
              </w:rPr>
              <w:t>10,898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6,510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14,780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7,980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36,519</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8"/>
              </w:rPr>
              <w:t>17,392</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126,927</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36,225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32,828</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34,650</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101,306</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102,757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8,986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4,844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11,740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EEEEEE"/>
          </w:tcPr>
          <w:p>
            <w:pPr>
              <w:spacing w:after="0"/>
              <w:rPr>
                <w:sz w:val="18"/>
                <w:szCs w:val="18"/>
                <w:color w:val="auto"/>
              </w:rPr>
            </w:pPr>
          </w:p>
        </w:tc>
        <w:tc>
          <w:tcPr>
            <w:tcW w:w="5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4,184</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3,601</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12,209</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10,548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4"/>
              </w:rPr>
              <w:t>45,998</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8"/>
              </w:rPr>
              <w:t>43,095</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125,255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119,074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(9,479)</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(25,703)</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1,672</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2"/>
              </w:rPr>
              <w:t>(82,849)</w:t>
            </w: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0"/>
                <w:szCs w:val="20"/>
                <w:color w:val="auto"/>
              </w:rPr>
            </w:pPr>
          </w:p>
        </w:tc>
        <w:tc>
          <w:tcPr>
            <w:tcW w:w="540" w:type="dxa"/>
            <w:vAlign w:val="bottom"/>
            <w:tcBorders>
              <w:top w:val="single" w:sz="8" w:color="808080"/>
            </w:tcBorders>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contract income</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42,750</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(3,014)</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(2,982)</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(9,161)</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(1,697)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37,235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4"/>
              </w:rPr>
              <w:t>11,076)</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8"/>
              </w:rPr>
              <w:t>27,400)</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38,907</w:t>
            </w:r>
          </w:p>
        </w:tc>
        <w:tc>
          <w:tcPr>
            <w:tcW w:w="3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88,081)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6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540" w:type="dxa"/>
            <w:vAlign w:val="bottom"/>
            <w:tcBorders>
              <w:bottom w:val="single" w:sz="8" w:color="808080"/>
            </w:tcBorders>
            <w:shd w:val="clear" w:color="auto" w:fill="808080"/>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560" w:type="dxa"/>
            <w:vAlign w:val="bottom"/>
            <w:tcBorders>
              <w:bottom w:val="single" w:sz="8" w:color="808080"/>
            </w:tcBorders>
            <w:shd w:val="clear" w:color="auto" w:fill="808080"/>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368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0.20)</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0.52)</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0.70</w:t>
            </w:r>
          </w:p>
        </w:tc>
        <w:tc>
          <w:tcPr>
            <w:tcW w:w="3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0.69</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55,468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52,902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55,378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55,468</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52,902</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56,295</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48,926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ind w:right="5500"/>
        <w:spacing w:after="0" w:line="266" w:lineRule="auto"/>
        <w:rPr>
          <w:sz w:val="20"/>
          <w:szCs w:val="20"/>
          <w:color w:val="auto"/>
        </w:rPr>
      </w:pPr>
      <w:r>
        <w:rPr>
          <w:rFonts w:ascii="Arial" w:cs="Arial" w:eastAsia="Arial" w:hAnsi="Arial"/>
          <w:sz w:val="18"/>
          <w:szCs w:val="18"/>
          <w:b w:val="1"/>
          <w:bCs w:val="1"/>
          <w:color w:val="auto"/>
        </w:rPr>
        <w:t xml:space="preserve">CONDENSED STATEMENT OF STOCKHOLDERS’ EQUITY (Unaudited) For the nine months ended September 30, 2004 </w:t>
      </w: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6"/>
          </w:tcPr>
          <w:p>
            <w:pPr>
              <w:ind w:left="260"/>
              <w:spacing w:after="0"/>
              <w:rPr>
                <w:sz w:val="20"/>
                <w:szCs w:val="20"/>
                <w:color w:val="auto"/>
              </w:rPr>
            </w:pPr>
            <w:r>
              <w:rPr>
                <w:rFonts w:ascii="Arial" w:cs="Arial" w:eastAsia="Arial" w:hAnsi="Arial"/>
                <w:sz w:val="14"/>
                <w:szCs w:val="14"/>
                <w:b w:val="1"/>
                <w:bCs w:val="1"/>
                <w:color w:val="auto"/>
              </w:rPr>
              <w:t>Class A Stock</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4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80" w:type="dxa"/>
            <w:vAlign w:val="bottom"/>
            <w:vMerge w:val="restart"/>
          </w:tcPr>
          <w:p>
            <w:pPr>
              <w:spacing w:after="0"/>
              <w:rPr>
                <w:sz w:val="6"/>
                <w:szCs w:val="6"/>
                <w:color w:val="auto"/>
              </w:rPr>
            </w:pPr>
          </w:p>
        </w:tc>
        <w:tc>
          <w:tcPr>
            <w:tcW w:w="260" w:type="dxa"/>
            <w:vAlign w:val="bottom"/>
            <w:vMerge w:val="restart"/>
          </w:tcPr>
          <w:p>
            <w:pPr>
              <w:spacing w:after="0"/>
              <w:rPr>
                <w:sz w:val="6"/>
                <w:szCs w:val="6"/>
                <w:color w:val="auto"/>
              </w:rPr>
            </w:pPr>
          </w:p>
        </w:tc>
        <w:tc>
          <w:tcPr>
            <w:tcW w:w="7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480" w:type="dxa"/>
            <w:vAlign w:val="bottom"/>
            <w:vMerge w:val="restart"/>
          </w:tcPr>
          <w:p>
            <w:pPr>
              <w:spacing w:after="0"/>
              <w:rPr>
                <w:sz w:val="6"/>
                <w:szCs w:val="6"/>
                <w:color w:val="auto"/>
              </w:rPr>
            </w:pPr>
          </w:p>
        </w:tc>
        <w:tc>
          <w:tcPr>
            <w:tcW w:w="106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380" w:type="dxa"/>
            <w:vAlign w:val="bottom"/>
          </w:tcPr>
          <w:p>
            <w:pPr>
              <w:spacing w:after="0"/>
              <w:rPr>
                <w:sz w:val="4"/>
                <w:szCs w:val="4"/>
                <w:color w:val="auto"/>
              </w:rPr>
            </w:pP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4"/>
                <w:szCs w:val="4"/>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4"/>
                <w:szCs w:val="4"/>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4"/>
                <w:szCs w:val="4"/>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480" w:type="dxa"/>
            <w:vAlign w:val="bottom"/>
          </w:tcPr>
          <w:p>
            <w:pPr>
              <w:spacing w:after="0"/>
              <w:rPr>
                <w:sz w:val="16"/>
                <w:szCs w:val="16"/>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2003</w:t>
            </w:r>
          </w:p>
        </w:tc>
        <w:tc>
          <w:tcPr>
            <w:tcW w:w="5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2,366</w:t>
            </w:r>
          </w:p>
        </w:tc>
        <w:tc>
          <w:tcPr>
            <w:tcW w:w="180" w:type="dxa"/>
            <w:vAlign w:val="bottom"/>
            <w:shd w:val="clear" w:color="auto" w:fill="EEEEEE"/>
          </w:tcPr>
          <w:p>
            <w:pPr>
              <w:spacing w:after="0"/>
              <w:rPr>
                <w:sz w:val="12"/>
                <w:szCs w:val="12"/>
                <w:color w:val="auto"/>
              </w:rPr>
            </w:pPr>
          </w:p>
        </w:tc>
        <w:tc>
          <w:tcPr>
            <w:tcW w:w="1020" w:type="dxa"/>
            <w:vAlign w:val="bottom"/>
            <w:gridSpan w:val="4"/>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$ 2</w:t>
            </w:r>
          </w:p>
        </w:tc>
        <w:tc>
          <w:tcPr>
            <w:tcW w:w="10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53,166</w:t>
            </w:r>
          </w:p>
        </w:tc>
        <w:tc>
          <w:tcPr>
            <w:tcW w:w="180" w:type="dxa"/>
            <w:vAlign w:val="bottom"/>
            <w:shd w:val="clear" w:color="auto" w:fill="EEEEEE"/>
          </w:tcPr>
          <w:p>
            <w:pPr>
              <w:spacing w:after="0"/>
              <w:rPr>
                <w:sz w:val="12"/>
                <w:szCs w:val="12"/>
                <w:color w:val="auto"/>
              </w:rPr>
            </w:pPr>
          </w:p>
        </w:tc>
        <w:tc>
          <w:tcPr>
            <w:tcW w:w="1060" w:type="dxa"/>
            <w:vAlign w:val="bottom"/>
            <w:gridSpan w:val="4"/>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12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$673,118</w:t>
            </w:r>
          </w:p>
        </w:tc>
        <w:tc>
          <w:tcPr>
            <w:tcW w:w="260" w:type="dxa"/>
            <w:vAlign w:val="bottom"/>
            <w:shd w:val="clear" w:color="auto" w:fill="EEEEEE"/>
          </w:tcPr>
          <w:p>
            <w:pPr>
              <w:spacing w:after="0"/>
              <w:rPr>
                <w:sz w:val="12"/>
                <w:szCs w:val="12"/>
                <w:color w:val="auto"/>
              </w:rPr>
            </w:pPr>
          </w:p>
        </w:tc>
        <w:tc>
          <w:tcPr>
            <w:tcW w:w="150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($4,101)</w:t>
            </w:r>
          </w:p>
        </w:tc>
        <w:tc>
          <w:tcPr>
            <w:tcW w:w="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80" w:type="dxa"/>
            <w:vAlign w:val="bottom"/>
          </w:tcPr>
          <w:p>
            <w:pPr>
              <w:spacing w:after="0" w:line="130" w:lineRule="exact"/>
              <w:rPr>
                <w:sz w:val="20"/>
                <w:szCs w:val="20"/>
                <w:color w:val="auto"/>
              </w:rPr>
            </w:pPr>
            <w:r>
              <w:rPr>
                <w:rFonts w:ascii="Arial" w:cs="Arial" w:eastAsia="Arial" w:hAnsi="Arial"/>
                <w:sz w:val="14"/>
                <w:szCs w:val="14"/>
                <w:color w:val="auto"/>
              </w:rPr>
              <w:t>Issuance of Common Stock in connection with exercise of stock</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ind w:left="120"/>
              <w:spacing w:after="0"/>
              <w:rPr>
                <w:sz w:val="20"/>
                <w:szCs w:val="20"/>
                <w:color w:val="auto"/>
              </w:rPr>
            </w:pPr>
            <w:r>
              <w:rPr>
                <w:rFonts w:ascii="Arial" w:cs="Arial" w:eastAsia="Arial" w:hAnsi="Arial"/>
                <w:sz w:val="14"/>
                <w:szCs w:val="14"/>
                <w:color w:val="auto"/>
              </w:rPr>
              <w:t>options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113</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683</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Repurchase of Common Stock from Merck &amp; Co., Inc.</w:t>
            </w: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4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60" w:type="dxa"/>
            <w:vAlign w:val="bottom"/>
            <w:gridSpan w:val="4"/>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(888)</w:t>
            </w:r>
          </w:p>
        </w:tc>
        <w:tc>
          <w:tcPr>
            <w:tcW w:w="4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80" w:type="dxa"/>
            <w:vAlign w:val="bottom"/>
          </w:tcPr>
          <w:p>
            <w:pPr>
              <w:spacing w:after="0" w:line="130" w:lineRule="exact"/>
              <w:rPr>
                <w:sz w:val="20"/>
                <w:szCs w:val="20"/>
                <w:color w:val="auto"/>
              </w:rPr>
            </w:pPr>
            <w:r>
              <w:rPr>
                <w:rFonts w:ascii="Arial" w:cs="Arial" w:eastAsia="Arial" w:hAnsi="Arial"/>
                <w:sz w:val="14"/>
                <w:szCs w:val="14"/>
                <w:color w:val="auto"/>
              </w:rPr>
              <w:t>Forfeitures of restricted Common Stock under Long-Term</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ind w:left="120"/>
              <w:spacing w:after="0"/>
              <w:rPr>
                <w:sz w:val="20"/>
                <w:szCs w:val="20"/>
                <w:color w:val="auto"/>
              </w:rPr>
            </w:pPr>
            <w:r>
              <w:rPr>
                <w:rFonts w:ascii="Arial" w:cs="Arial" w:eastAsia="Arial" w:hAnsi="Arial"/>
                <w:sz w:val="14"/>
                <w:szCs w:val="14"/>
                <w:color w:val="auto"/>
              </w:rPr>
              <w:t>Incentive Plan, net of issuances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4"/>
                <w:szCs w:val="14"/>
                <w:color w:val="auto"/>
              </w:rPr>
              <w:t>(13)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right"/>
              <w:ind w:right="200"/>
              <w:spacing w:after="0"/>
              <w:rPr>
                <w:sz w:val="20"/>
                <w:szCs w:val="20"/>
                <w:color w:val="auto"/>
              </w:rPr>
            </w:pPr>
            <w:r>
              <w:rPr>
                <w:rFonts w:ascii="Arial" w:cs="Arial" w:eastAsia="Arial" w:hAnsi="Arial"/>
                <w:sz w:val="14"/>
                <w:szCs w:val="14"/>
                <w:color w:val="auto"/>
              </w:rPr>
              <w:t>(195)</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195</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8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Issuance of Common Stock in connection with Company 401(k)</w:t>
            </w:r>
          </w:p>
        </w:tc>
        <w:tc>
          <w:tcPr>
            <w:tcW w:w="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shd w:val="clear" w:color="auto" w:fill="EEEEEE"/>
          </w:tcPr>
          <w:p>
            <w:pPr>
              <w:ind w:left="120"/>
              <w:spacing w:after="0"/>
              <w:rPr>
                <w:sz w:val="20"/>
                <w:szCs w:val="20"/>
                <w:color w:val="auto"/>
              </w:rPr>
            </w:pPr>
            <w:r>
              <w:rPr>
                <w:rFonts w:ascii="Arial" w:cs="Arial" w:eastAsia="Arial" w:hAnsi="Arial"/>
                <w:sz w:val="14"/>
                <w:szCs w:val="14"/>
                <w:color w:val="auto"/>
              </w:rPr>
              <w:t>Savings Plan contribution</w:t>
            </w:r>
          </w:p>
        </w:tc>
        <w:tc>
          <w:tcPr>
            <w:tcW w:w="18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64</w:t>
            </w:r>
          </w:p>
        </w:tc>
        <w:tc>
          <w:tcPr>
            <w:tcW w:w="18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917</w:t>
            </w:r>
          </w:p>
        </w:tc>
        <w:tc>
          <w:tcPr>
            <w:tcW w:w="26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340" w:type="dxa"/>
            <w:vAlign w:val="bottom"/>
            <w:tcBorders>
              <w:right w:val="single" w:sz="8" w:color="EEEEEE"/>
            </w:tcBorders>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Arial" w:cs="Arial" w:eastAsia="Arial" w:hAnsi="Arial"/>
                <w:sz w:val="14"/>
                <w:szCs w:val="14"/>
                <w:color w:val="auto"/>
              </w:rPr>
              <w:t>Conversion of Class A Stock to Common Stock</w:t>
            </w: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Amortization of unearned compensation</w:t>
            </w: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16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1,917</w:t>
            </w:r>
          </w:p>
        </w:tc>
        <w:tc>
          <w:tcPr>
            <w:tcW w:w="34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Change in net unrealized gain (loss) on marketable securities</w:t>
            </w:r>
          </w:p>
        </w:tc>
        <w:tc>
          <w:tcPr>
            <w:tcW w:w="180" w:type="dxa"/>
            <w:vAlign w:val="bottom"/>
            <w:shd w:val="clear" w:color="auto" w:fill="EEEEEE"/>
          </w:tcPr>
          <w:p>
            <w:pPr>
              <w:spacing w:after="0"/>
              <w:rPr>
                <w:sz w:val="12"/>
                <w:szCs w:val="12"/>
                <w:color w:val="auto"/>
              </w:rPr>
            </w:pPr>
          </w:p>
        </w:tc>
        <w:tc>
          <w:tcPr>
            <w:tcW w:w="340" w:type="dxa"/>
            <w:vAlign w:val="bottom"/>
            <w:tcBorders>
              <w:bottom w:val="single" w:sz="8" w:color="808080"/>
            </w:tcBorders>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tcBorders>
              <w:bottom w:val="single" w:sz="8" w:color="808080"/>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00" w:type="dxa"/>
            <w:vAlign w:val="bottom"/>
            <w:tcBorders>
              <w:bottom w:val="single" w:sz="8" w:color="808080"/>
            </w:tcBorders>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tcBorders>
              <w:bottom w:val="single" w:sz="8" w:color="808080"/>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tcBorders>
              <w:bottom w:val="single" w:sz="8" w:color="808080"/>
            </w:tcBorders>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tcBorders>
              <w:bottom w:val="single" w:sz="8" w:color="808080"/>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80" w:type="dxa"/>
            <w:vAlign w:val="bottom"/>
          </w:tcPr>
          <w:p>
            <w:pPr>
              <w:ind w:left="120"/>
              <w:spacing w:after="0"/>
              <w:rPr>
                <w:sz w:val="20"/>
                <w:szCs w:val="20"/>
                <w:color w:val="auto"/>
              </w:rPr>
            </w:pPr>
            <w:r>
              <w:rPr>
                <w:rFonts w:ascii="Arial" w:cs="Arial" w:eastAsia="Arial" w:hAnsi="Arial"/>
                <w:sz w:val="14"/>
                <w:szCs w:val="14"/>
                <w:color w:val="auto"/>
              </w:rPr>
              <w:t>Balance, September 30, 2004</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2,358</w:t>
            </w:r>
          </w:p>
        </w:tc>
        <w:tc>
          <w:tcPr>
            <w:tcW w:w="180" w:type="dxa"/>
            <w:vAlign w:val="bottom"/>
          </w:tcPr>
          <w:p>
            <w:pPr>
              <w:spacing w:after="0"/>
              <w:rPr>
                <w:sz w:val="14"/>
                <w:szCs w:val="14"/>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4"/>
                <w:szCs w:val="14"/>
                <w:color w:val="auto"/>
              </w:rPr>
              <w:t>$ 2</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53,229</w:t>
            </w:r>
          </w:p>
        </w:tc>
        <w:tc>
          <w:tcPr>
            <w:tcW w:w="180" w:type="dxa"/>
            <w:vAlign w:val="bottom"/>
          </w:tcPr>
          <w:p>
            <w:pPr>
              <w:spacing w:after="0"/>
              <w:rPr>
                <w:sz w:val="14"/>
                <w:szCs w:val="1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color w:val="auto"/>
              </w:rPr>
              <w:t>$53</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$673,635</w:t>
            </w:r>
          </w:p>
        </w:tc>
        <w:tc>
          <w:tcPr>
            <w:tcW w:w="260" w:type="dxa"/>
            <w:vAlign w:val="bottom"/>
          </w:tcPr>
          <w:p>
            <w:pPr>
              <w:spacing w:after="0"/>
              <w:rPr>
                <w:sz w:val="14"/>
                <w:szCs w:val="14"/>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4"/>
                <w:szCs w:val="14"/>
                <w:color w:val="auto"/>
              </w:rPr>
              <w:t>($1,989)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-38100</wp:posOffset>
            </wp:positionV>
            <wp:extent cx="7302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 cy="3873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-38100</wp:posOffset>
            </wp:positionV>
            <wp:extent cx="9842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425" cy="38735"/>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4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Deficit</w:t>
            </w:r>
          </w:p>
        </w:tc>
        <w:tc>
          <w:tcPr>
            <w:tcW w:w="44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Equity</w:t>
            </w:r>
          </w:p>
        </w:tc>
        <w:tc>
          <w:tcPr>
            <w:tcW w:w="440" w:type="dxa"/>
            <w:vAlign w:val="bottom"/>
          </w:tcPr>
          <w:p>
            <w:pPr>
              <w:spacing w:after="0"/>
              <w:rPr>
                <w:sz w:val="16"/>
                <w:szCs w:val="16"/>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7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2003</w:t>
            </w:r>
          </w:p>
        </w:tc>
        <w:tc>
          <w:tcPr>
            <w:tcW w:w="1120" w:type="dxa"/>
            <w:vAlign w:val="bottom"/>
            <w:gridSpan w:val="3"/>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($ 531,533)</w:t>
            </w:r>
          </w:p>
        </w:tc>
        <w:tc>
          <w:tcPr>
            <w:tcW w:w="10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$ 104</w:t>
            </w:r>
          </w:p>
        </w:tc>
        <w:tc>
          <w:tcPr>
            <w:tcW w:w="340" w:type="dxa"/>
            <w:vAlign w:val="bottom"/>
            <w:shd w:val="clear" w:color="auto" w:fill="EEEEEE"/>
          </w:tcPr>
          <w:p>
            <w:pPr>
              <w:spacing w:after="0"/>
              <w:rPr>
                <w:sz w:val="12"/>
                <w:szCs w:val="12"/>
                <w:color w:val="auto"/>
              </w:rPr>
            </w:pPr>
          </w:p>
        </w:tc>
        <w:tc>
          <w:tcPr>
            <w:tcW w:w="12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$137,643</w:t>
            </w:r>
          </w:p>
        </w:tc>
        <w:tc>
          <w:tcPr>
            <w:tcW w:w="340" w:type="dxa"/>
            <w:vAlign w:val="bottom"/>
            <w:tcBorders>
              <w:lef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 exercise of stock options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683</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Repurchase of Common Stock from Merck &amp; Co., Inc.</w:t>
            </w: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58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(888)</w:t>
            </w: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Forfeitures of restricted Common Stock under Long-Term Incentive Plan, net of issuances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Issuance of Common Stock in connection with Company 401(k) Savings Plan contribution</w:t>
            </w: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917</w:t>
            </w:r>
          </w:p>
        </w:tc>
        <w:tc>
          <w:tcPr>
            <w:tcW w:w="340" w:type="dxa"/>
            <w:vAlign w:val="bottom"/>
            <w:tcBorders>
              <w:lef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Conversion of Class A Stock to Common Stock</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Amortization of unearned compensation</w:t>
            </w: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1,917</w:t>
            </w:r>
          </w:p>
        </w:tc>
        <w:tc>
          <w:tcPr>
            <w:tcW w:w="340" w:type="dxa"/>
            <w:vAlign w:val="bottom"/>
            <w:tcBorders>
              <w:lef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38,907</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38,907</w:t>
            </w:r>
          </w:p>
        </w:tc>
        <w:tc>
          <w:tcPr>
            <w:tcW w:w="340" w:type="dxa"/>
            <w:vAlign w:val="bottom"/>
          </w:tcPr>
          <w:p>
            <w:pPr>
              <w:spacing w:after="0"/>
              <w:rPr>
                <w:sz w:val="12"/>
                <w:szCs w:val="12"/>
                <w:color w:val="auto"/>
              </w:rPr>
            </w:pP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$ 38,907</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Change in net unrealized gain (loss) on marketable securities</w:t>
            </w: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780" w:type="dxa"/>
            <w:vAlign w:val="bottom"/>
            <w:gridSpan w:val="2"/>
            <w:shd w:val="clear" w:color="auto" w:fill="EEEEEE"/>
          </w:tcPr>
          <w:p>
            <w:pPr>
              <w:spacing w:after="0"/>
              <w:rPr>
                <w:sz w:val="12"/>
                <w:szCs w:val="12"/>
                <w:color w:val="auto"/>
              </w:rPr>
            </w:pPr>
          </w:p>
        </w:tc>
        <w:tc>
          <w:tcPr>
            <w:tcW w:w="62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91"/>
              </w:rPr>
              <w:t>(306)</w:t>
            </w:r>
          </w:p>
        </w:tc>
        <w:tc>
          <w:tcPr>
            <w:tcW w:w="158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(306)</w:t>
            </w:r>
          </w:p>
        </w:tc>
        <w:tc>
          <w:tcPr>
            <w:tcW w:w="160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Balance, September 30, 2004</w:t>
            </w:r>
          </w:p>
        </w:tc>
        <w:tc>
          <w:tcPr>
            <w:tcW w:w="1120" w:type="dxa"/>
            <w:vAlign w:val="bottom"/>
            <w:gridSpan w:val="3"/>
          </w:tcPr>
          <w:p>
            <w:pPr>
              <w:jc w:val="right"/>
              <w:ind w:right="280"/>
              <w:spacing w:after="0"/>
              <w:rPr>
                <w:sz w:val="20"/>
                <w:szCs w:val="20"/>
                <w:color w:val="auto"/>
              </w:rPr>
            </w:pPr>
            <w:r>
              <w:rPr>
                <w:rFonts w:ascii="Arial" w:cs="Arial" w:eastAsia="Arial" w:hAnsi="Arial"/>
                <w:sz w:val="14"/>
                <w:szCs w:val="14"/>
                <w:color w:val="auto"/>
              </w:rPr>
              <w:t>($492,626)</w:t>
            </w:r>
          </w:p>
        </w:tc>
        <w:tc>
          <w:tcPr>
            <w:tcW w:w="1400" w:type="dxa"/>
            <w:vAlign w:val="bottom"/>
            <w:gridSpan w:val="4"/>
          </w:tcPr>
          <w:p>
            <w:pPr>
              <w:jc w:val="right"/>
              <w:ind w:right="300"/>
              <w:spacing w:after="0"/>
              <w:rPr>
                <w:sz w:val="20"/>
                <w:szCs w:val="20"/>
                <w:color w:val="auto"/>
              </w:rPr>
            </w:pPr>
            <w:r>
              <w:rPr>
                <w:rFonts w:ascii="Arial" w:cs="Arial" w:eastAsia="Arial" w:hAnsi="Arial"/>
                <w:sz w:val="14"/>
                <w:szCs w:val="14"/>
                <w:color w:val="auto"/>
              </w:rPr>
              <w:t>($ 202)</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$178,873</w:t>
            </w:r>
          </w:p>
        </w:tc>
        <w:tc>
          <w:tcPr>
            <w:tcW w:w="3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$38,601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38,907</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88,081)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Adjustments to reconcile net income (loss) to net cash (used in) provided by</w:t>
            </w: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11,446</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Non-cash compensation expense</w:t>
            </w: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1,917</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Non-cash expense related to a license agreement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8"/>
              </w:rPr>
              <w:t>Forgiveness of loan payable to Novartis Pharma AG, inclusive of accrued interest</w:t>
            </w:r>
          </w:p>
        </w:tc>
        <w:tc>
          <w:tcPr>
            <w:tcW w:w="2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(17,770)</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Increase in accounts receivable</w:t>
            </w:r>
          </w:p>
        </w:tc>
        <w:tc>
          <w:tcPr>
            <w:tcW w:w="2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(9,337)</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(2,338)</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Decrease (increase) in inventory</w:t>
            </w: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5,601</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(Decrease) increase in deferred revenue</w:t>
            </w:r>
          </w:p>
        </w:tc>
        <w:tc>
          <w:tcPr>
            <w:tcW w:w="2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(35,511)</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2,375</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4,267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Total adjustments</w:t>
            </w:r>
          </w:p>
        </w:tc>
        <w:tc>
          <w:tcPr>
            <w:tcW w:w="26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(43,617)</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110,377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(4,710)</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22,296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w w:val="90"/>
              </w:rPr>
              <w:t>(242,571)</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5"/>
              </w:rPr>
              <w:t>(85,416)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Purchases of restricted marketable securities</w:t>
            </w:r>
          </w:p>
        </w:tc>
        <w:tc>
          <w:tcPr>
            <w:tcW w:w="2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(11,076)</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Sales or maturities of marketable securities</w:t>
            </w: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229,768</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200,936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Maturities of restricted marketable securities</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16,576</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(4,847)</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5"/>
              </w:rPr>
              <w:t>(28,371)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(12,150)</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92,648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Net proceeds from issuances of Common Stock</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94,516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Repurchase of Common Stock</w:t>
            </w:r>
          </w:p>
        </w:tc>
        <w:tc>
          <w:tcPr>
            <w:tcW w:w="2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(888)</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Borrowings under loan payable</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3,827</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lease payments</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3,622</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9"/>
              </w:rPr>
              <w:t>103,596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(13,238)</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218,540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118,285</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6660" w:type="dxa"/>
            <w:vAlign w:val="bottom"/>
            <w:tcBorders>
              <w:bottom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EEEEE"/>
            </w:tcBorders>
            <w:shd w:val="clear" w:color="auto" w:fill="EEEEEE"/>
          </w:tcPr>
          <w:p>
            <w:pPr>
              <w:spacing w:after="0"/>
              <w:rPr>
                <w:sz w:val="22"/>
                <w:szCs w:val="22"/>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5"/>
              </w:rPr>
              <w:t>105,047</w:t>
            </w:r>
          </w:p>
        </w:tc>
        <w:tc>
          <w:tcPr>
            <w:tcW w:w="280" w:type="dxa"/>
            <w:vAlign w:val="bottom"/>
            <w:tcBorders>
              <w:bottom w:val="single" w:sz="8" w:color="EEEEEE"/>
            </w:tcBorders>
            <w:shd w:val="clear" w:color="auto" w:fill="EEEEEE"/>
          </w:tcPr>
          <w:p>
            <w:pPr>
              <w:spacing w:after="0"/>
              <w:rPr>
                <w:sz w:val="22"/>
                <w:szCs w:val="22"/>
                <w:color w:val="auto"/>
              </w:rPr>
            </w:pPr>
          </w:p>
        </w:tc>
        <w:tc>
          <w:tcPr>
            <w:tcW w:w="9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298,617</w:t>
            </w:r>
          </w:p>
        </w:tc>
        <w:tc>
          <w:tcPr>
            <w:tcW w:w="26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29" w:lineRule="exact"/>
        <w:rPr>
          <w:rFonts w:ascii="Arial" w:cs="Arial" w:eastAsia="Arial" w:hAnsi="Arial"/>
          <w:sz w:val="18"/>
          <w:szCs w:val="18"/>
          <w:b w:val="1"/>
          <w:bCs w:val="1"/>
          <w:color w:val="auto"/>
        </w:rPr>
      </w:pPr>
    </w:p>
    <w:p>
      <w:pPr>
        <w:ind w:lef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2003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2003.</w:t>
      </w:r>
    </w:p>
    <w:p>
      <w:pPr>
        <w:spacing w:after="0" w:line="193" w:lineRule="exact"/>
        <w:rPr>
          <w:rFonts w:ascii="Arial" w:cs="Arial" w:eastAsia="Arial" w:hAnsi="Arial"/>
          <w:sz w:val="18"/>
          <w:szCs w:val="18"/>
          <w:b w:val="1"/>
          <w:bCs w:val="1"/>
          <w:color w:val="auto"/>
        </w:rPr>
      </w:pPr>
    </w:p>
    <w:p>
      <w:pPr>
        <w:ind w:left="260" w:hanging="252"/>
        <w:spacing w:after="0"/>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29" w:lineRule="exact"/>
        <w:rPr>
          <w:rFonts w:ascii="Arial" w:cs="Arial" w:eastAsia="Arial" w:hAnsi="Arial"/>
          <w:sz w:val="18"/>
          <w:szCs w:val="18"/>
          <w:b w:val="1"/>
          <w:bCs w:val="1"/>
          <w:color w:val="auto"/>
        </w:rPr>
      </w:pPr>
    </w:p>
    <w:p>
      <w:pPr>
        <w:ind w:left="260" w:right="1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Company’s basic net income (loss) per share amounts have been computed by dividing net income or loss by the weighted average number of shares of Common Stock and Class A Stock outstanding. Diluted net income per share is based upon the weighted average number of shares of Common Stock and Class A Stock and the common stock equivalents outstanding when dilutive. Common stock equivalents include: (i) outstanding stock options and restricted stock awards under the Company’s Long-Term Incentive Plans, which are included under the treasury stock method when dilutive, and</w:t>
      </w:r>
    </w:p>
    <w:p>
      <w:pPr>
        <w:spacing w:after="0" w:line="1" w:lineRule="exact"/>
        <w:rPr>
          <w:rFonts w:ascii="Arial" w:cs="Arial" w:eastAsia="Arial" w:hAnsi="Arial"/>
          <w:sz w:val="18"/>
          <w:szCs w:val="18"/>
          <w:b w:val="1"/>
          <w:bCs w:val="1"/>
          <w:color w:val="auto"/>
        </w:rPr>
      </w:pPr>
    </w:p>
    <w:p>
      <w:pPr>
        <w:ind w:left="260" w:right="18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(ii) Common Stock to be issued under the assumed conversion of the Company’s outstanding convertible senior subordinated notes, which are included under the if-converted method when dilutive. For the three months ended September 30, 2004 and the three and nine months ended September 30, 2003, the Company reported a net loss and, therefore, no common stock equivalents were included in the computation of diluted net loss per share, since such inclusion would have been antidilutive. The calculations of basic and diluted net income (loss) per share are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2" w:lineRule="exact"/>
        <w:rPr>
          <w:sz w:val="20"/>
          <w:szCs w:val="20"/>
          <w:color w:val="auto"/>
        </w:rPr>
      </w:pPr>
    </w:p>
    <w:p>
      <w:pPr>
        <w:ind w:left="690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64135</wp:posOffset>
            </wp:positionV>
            <wp:extent cx="18180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173" w:lineRule="exact"/>
        <w:rPr>
          <w:sz w:val="20"/>
          <w:szCs w:val="20"/>
          <w:color w:val="auto"/>
        </w:rPr>
      </w:pPr>
    </w:p>
    <w:p>
      <w:pPr>
        <w:ind w:left="6940"/>
        <w:spacing w:after="0"/>
        <w:rPr>
          <w:sz w:val="20"/>
          <w:szCs w:val="20"/>
          <w:color w:val="auto"/>
        </w:rPr>
      </w:pPr>
      <w:r>
        <w:rPr>
          <w:rFonts w:ascii="Arial" w:cs="Arial" w:eastAsia="Arial" w:hAnsi="Arial"/>
          <w:sz w:val="13"/>
          <w:szCs w:val="13"/>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56515</wp:posOffset>
            </wp:positionV>
            <wp:extent cx="6775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56515</wp:posOffset>
            </wp:positionV>
            <wp:extent cx="6775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8020" w:space="720"/>
            <w:col w:w="2680"/>
          </w:cols>
          <w:pgMar w:left="240" w:top="419" w:right="239" w:bottom="1440" w:gutter="0" w:footer="0" w:header="0"/>
          <w:type w:val="continuous"/>
        </w:sect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loss (Numerator):</w:t>
            </w: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95"/>
              </w:rPr>
              <w:t>($11,076)</w:t>
            </w:r>
          </w:p>
        </w:tc>
        <w:tc>
          <w:tcPr>
            <w:tcW w:w="260" w:type="dxa"/>
            <w:vAlign w:val="bottom"/>
            <w:shd w:val="clear" w:color="auto" w:fill="EEEEEE"/>
          </w:tcPr>
          <w:p>
            <w:pPr>
              <w:spacing w:after="0"/>
              <w:rPr>
                <w:sz w:val="18"/>
                <w:szCs w:val="18"/>
                <w:color w:val="auto"/>
              </w:rPr>
            </w:pPr>
          </w:p>
        </w:tc>
        <w:tc>
          <w:tcPr>
            <w:tcW w:w="17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Weighted-average shares, in thousands (Denominator):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55,468</w:t>
            </w: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52,902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(Numerator)</w:t>
            </w: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$38,907</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8"/>
              </w:rPr>
              <w:t>88,081)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Shares, in thousands (Denominator):</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shares for basic per share calculations</w:t>
            </w: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55,378</w:t>
            </w: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48,926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stock options</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Effect of restricted stock awards</w:t>
            </w: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Adjusted weighted-average shares for diluted per share</w:t>
            </w:r>
          </w:p>
        </w:tc>
        <w:tc>
          <w:tcPr>
            <w:tcW w:w="28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calculations</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56,295</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48,926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0.70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0.69</w:t>
            </w: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Shares issuable upon the exercise of stock options, vesting of restricted stock awards, and conversion of convertible debt, which have been excluded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 and 2003 diluted per share amounts because their effect would have been antidilutive, include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3"/>
              </w:rPr>
              <w:t>Three months ended September 30,</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2003</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0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00" w:type="dxa"/>
            <w:vAlign w:val="bottom"/>
            <w:vMerge w:val="restart"/>
          </w:tcPr>
          <w:p>
            <w:pPr>
              <w:spacing w:after="0"/>
              <w:rPr>
                <w:sz w:val="5"/>
                <w:szCs w:val="5"/>
                <w:color w:val="auto"/>
              </w:rPr>
            </w:pPr>
          </w:p>
        </w:tc>
        <w:tc>
          <w:tcPr>
            <w:tcW w:w="3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Stock Options:</w:t>
            </w:r>
          </w:p>
        </w:tc>
        <w:tc>
          <w:tcPr>
            <w:tcW w:w="1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w w:val="98"/>
              </w:rPr>
              <w:t>Weighted average number, in thousands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95"/>
              <w:spacing w:after="0"/>
              <w:rPr>
                <w:sz w:val="20"/>
                <w:szCs w:val="20"/>
                <w:color w:val="auto"/>
              </w:rPr>
            </w:pPr>
            <w:r>
              <w:rPr>
                <w:rFonts w:ascii="Arial" w:cs="Arial" w:eastAsia="Arial" w:hAnsi="Arial"/>
                <w:sz w:val="18"/>
                <w:szCs w:val="18"/>
                <w:color w:val="auto"/>
                <w:w w:val="87"/>
              </w:rPr>
              <w:t>13,015</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color w:val="auto"/>
                <w:w w:val="87"/>
              </w:rPr>
              <w:t>11,133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Weighted average exercise price</w:t>
            </w:r>
          </w:p>
        </w:tc>
        <w:tc>
          <w:tcPr>
            <w:tcW w:w="1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20.28</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21.59</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Restricted Stock:</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4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8"/>
              </w:rPr>
              <w:t>Weighted average number, in thousands</w:t>
            </w:r>
          </w:p>
        </w:tc>
        <w:tc>
          <w:tcPr>
            <w:tcW w:w="1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196</w:t>
            </w: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125</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Convertible Debt:</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4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8"/>
              </w:rPr>
              <w:t>Weighted average number, in thousands</w:t>
            </w:r>
          </w:p>
        </w:tc>
        <w:tc>
          <w:tcPr>
            <w:tcW w:w="1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6,611</w:t>
            </w: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6,611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Conversion price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30.25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30.25</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20" w:type="dxa"/>
            <w:vAlign w:val="bottom"/>
          </w:tcPr>
          <w:p>
            <w:pPr>
              <w:jc w:val="right"/>
              <w:ind w:right="71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2"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93"/>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Weighted average number, in thousands</w:t>
            </w:r>
          </w:p>
        </w:tc>
        <w:tc>
          <w:tcPr>
            <w:tcW w:w="28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10,141</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87"/>
              </w:rPr>
              <w:t>11,332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exercise price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23.85</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Restricted Stock:</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in thousands</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3</w:t>
            </w: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Convertible Debt:</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in thousands</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6,611</w:t>
            </w: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Conversion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30.25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Employee Compensation</w:t>
      </w:r>
    </w:p>
    <w:p>
      <w:pPr>
        <w:spacing w:after="0" w:line="229" w:lineRule="exact"/>
        <w:rPr>
          <w:rFonts w:ascii="Arial" w:cs="Arial" w:eastAsia="Arial" w:hAnsi="Arial"/>
          <w:sz w:val="18"/>
          <w:szCs w:val="18"/>
          <w:b w:val="1"/>
          <w:bCs w:val="1"/>
          <w:color w:val="auto"/>
        </w:rPr>
      </w:pPr>
    </w:p>
    <w:p>
      <w:pPr>
        <w:ind w:left="2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accompanying financial position and results of operations of the Company have been prepared in accordance with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p>
    <w:p>
      <w:pPr>
        <w:spacing w:after="0" w:line="170" w:lineRule="exact"/>
        <w:rPr>
          <w:rFonts w:ascii="Arial" w:cs="Arial" w:eastAsia="Arial" w:hAnsi="Arial"/>
          <w:sz w:val="18"/>
          <w:szCs w:val="18"/>
          <w:b w:val="1"/>
          <w:bCs w:val="1"/>
          <w:color w:val="auto"/>
        </w:rPr>
      </w:pPr>
    </w:p>
    <w:p>
      <w:pPr>
        <w:ind w:left="2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tables illustrate the effect on the Company’s net income (loss) and net income (loss) per share had compensation costs for the Company’s stock-based incentive plans been determined in accordance with the fair value based method of accounting for stock-based compensation as prescribed by Statement of Financial Accounting Standards No. 123, </w:t>
      </w:r>
      <w:r>
        <w:rPr>
          <w:rFonts w:ascii="Arial" w:cs="Arial" w:eastAsia="Arial" w:hAnsi="Arial"/>
          <w:sz w:val="18"/>
          <w:szCs w:val="18"/>
          <w:i w:val="1"/>
          <w:iCs w:val="1"/>
          <w:color w:val="auto"/>
        </w:rPr>
        <w:t>Accounting for Stock-Based Compensation.</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00" w:type="dxa"/>
            <w:vAlign w:val="bottom"/>
            <w:vMerge w:val="restart"/>
          </w:tcPr>
          <w:p>
            <w:pPr>
              <w:spacing w:after="0"/>
              <w:rPr>
                <w:sz w:val="6"/>
                <w:szCs w:val="6"/>
                <w:color w:val="auto"/>
              </w:rPr>
            </w:pPr>
          </w:p>
        </w:tc>
        <w:tc>
          <w:tcPr>
            <w:tcW w:w="4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11,076)</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8"/>
              </w:rPr>
              <w:t>27,400)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included in reported net loss</w:t>
            </w: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822</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45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Total stock-based employee compensation</w:t>
            </w:r>
          </w:p>
        </w:tc>
        <w:tc>
          <w:tcPr>
            <w:tcW w:w="3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50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9"/>
              </w:rPr>
              <w:t>expense determined under fair value based method for</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45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all awards</w:t>
            </w:r>
          </w:p>
        </w:tc>
        <w:tc>
          <w:tcPr>
            <w:tcW w:w="300" w:type="dxa"/>
            <w:vAlign w:val="bottom"/>
            <w:tcBorders>
              <w:right w:val="single" w:sz="8" w:color="EEEEEE"/>
            </w:tcBorders>
            <w:shd w:val="clear" w:color="auto" w:fill="EEEEEE"/>
          </w:tcPr>
          <w:p>
            <w:pPr>
              <w:spacing w:after="0"/>
              <w:rPr>
                <w:sz w:val="20"/>
                <w:szCs w:val="20"/>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1"/>
              </w:rPr>
              <w:t>(8,655)</w:t>
            </w:r>
          </w:p>
        </w:tc>
        <w:tc>
          <w:tcPr>
            <w:tcW w:w="7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9"/>
              </w:rPr>
              <w:t>(11,341)</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300" w:type="dxa"/>
            <w:vAlign w:val="bottom"/>
            <w:tcBorders>
              <w:right w:val="single" w:sz="8" w:color="808080"/>
            </w:tcBorders>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500" w:type="dxa"/>
            <w:vAlign w:val="bottom"/>
            <w:gridSpan w:val="2"/>
          </w:tcPr>
          <w:p>
            <w:pPr>
              <w:ind w:left="2000"/>
              <w:spacing w:after="0"/>
              <w:rPr>
                <w:sz w:val="20"/>
                <w:szCs w:val="20"/>
                <w:color w:val="auto"/>
              </w:rPr>
            </w:pPr>
            <w:r>
              <w:rPr>
                <w:rFonts w:ascii="Arial" w:cs="Arial" w:eastAsia="Arial" w:hAnsi="Arial"/>
                <w:sz w:val="18"/>
                <w:szCs w:val="18"/>
                <w:color w:val="auto"/>
              </w:rPr>
              <w:t>Pro forma net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19,113)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37,919)</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0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5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 forma</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0.34)</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0.72)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500" w:type="dxa"/>
            <w:vAlign w:val="bottom"/>
            <w:gridSpan w:val="2"/>
          </w:tcPr>
          <w:p>
            <w:pPr>
              <w:jc w:val="right"/>
              <w:ind w:right="65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53"/>
        </w:trPr>
        <w:tc>
          <w:tcPr>
            <w:tcW w:w="56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r>
      <w:tr>
        <w:trPr>
          <w:trHeight w:val="238"/>
        </w:trPr>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0"/>
                <w:szCs w:val="20"/>
                <w:color w:val="auto"/>
              </w:rPr>
            </w:pPr>
          </w:p>
        </w:tc>
      </w:tr>
      <w:tr>
        <w:trPr>
          <w:trHeight w:val="53"/>
        </w:trPr>
        <w:tc>
          <w:tcPr>
            <w:tcW w:w="56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r>
      <w:tr>
        <w:trPr>
          <w:trHeight w:val="75"/>
        </w:trPr>
        <w:tc>
          <w:tcPr>
            <w:tcW w:w="5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as reported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38,907</w:t>
            </w: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88,081)</w:t>
            </w: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6"/>
              </w:rPr>
              <w:t>Add: Stock-based employee compensation expense included in reported</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1,917</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1,954</w:t>
            </w:r>
          </w:p>
        </w:tc>
        <w:tc>
          <w:tcPr>
            <w:tcW w:w="260" w:type="dxa"/>
            <w:vAlign w:val="bottom"/>
          </w:tcPr>
          <w:p>
            <w:pPr>
              <w:spacing w:after="0"/>
              <w:rPr>
                <w:sz w:val="20"/>
                <w:szCs w:val="20"/>
                <w:color w:val="auto"/>
              </w:rPr>
            </w:pPr>
          </w:p>
        </w:tc>
      </w:tr>
      <w:tr>
        <w:trPr>
          <w:trHeight w:val="202"/>
        </w:trPr>
        <w:tc>
          <w:tcPr>
            <w:tcW w:w="56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Deduct: Total stock-based employee compensation expense determined</w:t>
            </w: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r>
      <w:tr>
        <w:trPr>
          <w:trHeight w:val="230"/>
        </w:trPr>
        <w:tc>
          <w:tcPr>
            <w:tcW w:w="5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under fair value based method for all awards</w:t>
            </w:r>
          </w:p>
        </w:tc>
        <w:tc>
          <w:tcPr>
            <w:tcW w:w="28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9"/>
              </w:rPr>
              <w:t>(27,464)</w:t>
            </w:r>
          </w:p>
        </w:tc>
        <w:tc>
          <w:tcPr>
            <w:tcW w:w="7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5"/>
              </w:rPr>
              <w:t>(33,923)</w:t>
            </w:r>
          </w:p>
        </w:tc>
      </w:tr>
      <w:tr>
        <w:trPr>
          <w:trHeight w:val="20"/>
        </w:trPr>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3"/>
        </w:trPr>
        <w:tc>
          <w:tcPr>
            <w:tcW w:w="5600" w:type="dxa"/>
            <w:vAlign w:val="bottom"/>
          </w:tcPr>
          <w:p>
            <w:pPr>
              <w:spacing w:after="0"/>
              <w:rPr>
                <w:sz w:val="20"/>
                <w:szCs w:val="20"/>
                <w:color w:val="auto"/>
              </w:rPr>
            </w:pPr>
            <w:r>
              <w:rPr>
                <w:rFonts w:ascii="Arial" w:cs="Arial" w:eastAsia="Arial" w:hAnsi="Arial"/>
                <w:sz w:val="18"/>
                <w:szCs w:val="18"/>
                <w:color w:val="auto"/>
              </w:rPr>
              <w:t>Pro forma net income (loss), basic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13,360</w:t>
            </w: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120,050)</w:t>
            </w:r>
          </w:p>
        </w:tc>
      </w:tr>
      <w:tr>
        <w:trPr>
          <w:trHeight w:val="61"/>
        </w:trPr>
        <w:tc>
          <w:tcPr>
            <w:tcW w:w="5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r>
      <w:tr>
        <w:trPr>
          <w:trHeight w:val="24"/>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Basic net income (loss) per share amounts: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r>
      <w:tr>
        <w:trPr>
          <w:trHeight w:val="216"/>
        </w:trPr>
        <w:tc>
          <w:tcPr>
            <w:tcW w:w="560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r>
      <w:tr>
        <w:trPr>
          <w:trHeight w:val="216"/>
        </w:trPr>
        <w:tc>
          <w:tcPr>
            <w:tcW w:w="5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 forma</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Diluted net income (loss) per share amounts: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As reported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0.69</w:t>
            </w: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1.80)</w:t>
            </w: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Pro forma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r>
    </w:tbl>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purpose of the pro forma calculation, the fair value of each option granted from the Company’s stock-based incentive plans during the three and nine months ended September 30, 2004 and 2003 was estimated on the date of grant using the Black-Scholes option-pricing model. The weighted-average fair value of the options granted during the three months ended September 30, 2004 and 2003 was $6.72 and $14.43, respectively. The weighted-average fair value of the options granted during the nine months ended September 30, 2004 and 2003 was $9.68 and $13.96, respectively. The following tables summarize the assumptions used in computing the fair value of option grants.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4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2004</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404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80%</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1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Expected lives</w:t>
            </w:r>
          </w:p>
        </w:tc>
        <w:tc>
          <w:tcPr>
            <w:tcW w:w="276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5 years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years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404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40" w:type="dxa"/>
            <w:vAlign w:val="bottom"/>
            <w:gridSpan w:val="2"/>
          </w:tcPr>
          <w:p>
            <w:pPr>
              <w:jc w:val="right"/>
              <w:ind w:right="59"/>
              <w:spacing w:after="0"/>
              <w:rPr>
                <w:sz w:val="20"/>
                <w:szCs w:val="20"/>
                <w:color w:val="auto"/>
              </w:rPr>
            </w:pPr>
            <w:r>
              <w:rPr>
                <w:rFonts w:ascii="Arial" w:cs="Arial" w:eastAsia="Arial" w:hAnsi="Arial"/>
                <w:sz w:val="18"/>
                <w:szCs w:val="18"/>
                <w:color w:val="auto"/>
              </w:rPr>
              <w:t>3.95%-4.55%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3.02%-3.90%</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Nine months ended September 30,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gridSpan w:val="2"/>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4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2004</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4040" w:type="dxa"/>
            <w:vAlign w:val="bottom"/>
            <w:gridSpan w:val="2"/>
          </w:tcPr>
          <w:p>
            <w:pPr>
              <w:spacing w:after="0"/>
              <w:rPr>
                <w:sz w:val="5"/>
                <w:szCs w:val="5"/>
                <w:color w:val="auto"/>
              </w:rPr>
            </w:pPr>
          </w:p>
        </w:tc>
        <w:tc>
          <w:tcPr>
            <w:tcW w:w="148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80" w:type="dxa"/>
            <w:vAlign w:val="bottom"/>
            <w:tcBorders>
              <w:top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Borders>
              <w:top w:val="single" w:sz="8" w:color="808080"/>
            </w:tcBorders>
          </w:tcPr>
          <w:p>
            <w:pPr>
              <w:spacing w:after="0"/>
              <w:rPr>
                <w:sz w:val="5"/>
                <w:szCs w:val="5"/>
                <w:color w:val="auto"/>
              </w:rPr>
            </w:pPr>
          </w:p>
        </w:tc>
        <w:tc>
          <w:tcPr>
            <w:tcW w:w="140" w:type="dxa"/>
            <w:vAlign w:val="bottom"/>
            <w:tcBorders>
              <w:top w:val="single" w:sz="8" w:color="808080"/>
            </w:tcBorders>
            <w:vMerge w:val="restart"/>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404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80%</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1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Expected lives</w:t>
            </w:r>
          </w:p>
        </w:tc>
        <w:tc>
          <w:tcPr>
            <w:tcW w:w="276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5 years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years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404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40" w:type="dxa"/>
            <w:vAlign w:val="bottom"/>
            <w:gridSpan w:val="2"/>
          </w:tcPr>
          <w:p>
            <w:pPr>
              <w:jc w:val="right"/>
              <w:ind w:right="59"/>
              <w:spacing w:after="0"/>
              <w:rPr>
                <w:sz w:val="20"/>
                <w:szCs w:val="20"/>
                <w:color w:val="auto"/>
              </w:rPr>
            </w:pPr>
            <w:r>
              <w:rPr>
                <w:rFonts w:ascii="Arial" w:cs="Arial" w:eastAsia="Arial" w:hAnsi="Arial"/>
                <w:sz w:val="18"/>
                <w:szCs w:val="18"/>
                <w:color w:val="auto"/>
              </w:rPr>
              <w:t>3.38%-4.55%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3.01%-4.01%</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60" w:type="dxa"/>
            <w:vAlign w:val="bottom"/>
          </w:tcPr>
          <w:p>
            <w:pPr>
              <w:jc w:val="right"/>
              <w:ind w:right="1194"/>
              <w:spacing w:after="0"/>
              <w:rPr>
                <w:sz w:val="20"/>
                <w:szCs w:val="20"/>
                <w:color w:val="auto"/>
              </w:rPr>
            </w:pPr>
            <w:r>
              <w:rPr>
                <w:rFonts w:ascii="Arial" w:cs="Arial" w:eastAsia="Arial" w:hAnsi="Arial"/>
                <w:sz w:val="18"/>
                <w:szCs w:val="18"/>
                <w:color w:val="auto"/>
              </w:rPr>
              <w:t>10</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260" w:right="40"/>
        <w:spacing w:after="0" w:line="272" w:lineRule="auto"/>
        <w:rPr>
          <w:sz w:val="20"/>
          <w:szCs w:val="20"/>
          <w:color w:val="auto"/>
        </w:rPr>
      </w:pPr>
      <w:r>
        <w:rPr>
          <w:rFonts w:ascii="Arial" w:cs="Arial" w:eastAsia="Arial" w:hAnsi="Arial"/>
          <w:sz w:val="17"/>
          <w:szCs w:val="17"/>
          <w:color w:val="auto"/>
        </w:rPr>
        <w:t>Under the Regeneron Pharmaceuticals, Inc. 2000 Long-Term Incentive Plan, the Company awards shares of restricted stock. Restrictions on these shares generally lapse with respect to 25% of the shares every six months over approximately a two-year period. In accordance with generally accepted accounting principles, the Company records unearned compensation in Stockholders’ Equity related to these awards. The amount is based on the fair market value of shares of Common Stock on the grant date of the restricted stock award and is expensed, on a pro rata basis, over the period that the restrictions lapse. For the three months ended September 30, 2004 and 2003, the Company recognized compensation expense related to restricted stock awards of $618 and $559, respectively. For the nine months ended September 30, 2004 and 2003, the Company recognized compensation expense related to restricted stock awards of $1,917 and $1,691, respectively.</w:t>
      </w:r>
    </w:p>
    <w:p>
      <w:pPr>
        <w:spacing w:after="0" w:line="174"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25" w:lineRule="exact"/>
        <w:rPr>
          <w:rFonts w:ascii="Arial" w:cs="Arial" w:eastAsia="Arial" w:hAnsi="Arial"/>
          <w:sz w:val="18"/>
          <w:szCs w:val="18"/>
          <w:b w:val="1"/>
          <w:bCs w:val="1"/>
          <w:color w:val="auto"/>
        </w:rPr>
      </w:pPr>
    </w:p>
    <w:p>
      <w:pPr>
        <w:ind w:left="2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September 30, 2004 and December 31, 2003 are $648 and $752, respectively, of accrued capital expenditures. Included in accounts payable and accrued expenses at September 30, 2003 and December 31, 2002 are $694 and $13,490, respectively, of accrued capital expenditures.</w:t>
      </w:r>
    </w:p>
    <w:p>
      <w:pPr>
        <w:spacing w:after="0" w:line="181" w:lineRule="exact"/>
        <w:rPr>
          <w:rFonts w:ascii="Arial" w:cs="Arial" w:eastAsia="Arial" w:hAnsi="Arial"/>
          <w:sz w:val="18"/>
          <w:szCs w:val="18"/>
          <w:b w:val="1"/>
          <w:bCs w:val="1"/>
          <w:color w:val="auto"/>
        </w:rPr>
      </w:pPr>
    </w:p>
    <w:p>
      <w:pPr>
        <w:jc w:val="both"/>
        <w:ind w:lef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December 31, 2003 and 2002 are $917 and $747, respectively, of accrued Company 401(k) Savings Plan contribution expense. In the first quarter of both 2004 and 2003, the Company contributed 64,333 and 42,543 shares, respectively, of Common Stock to the 401(k) Savings Plan in satisfaction of these obligations.</w:t>
      </w:r>
    </w:p>
    <w:p>
      <w:pPr>
        <w:spacing w:after="0" w:line="181" w:lineRule="exact"/>
        <w:rPr>
          <w:rFonts w:ascii="Arial" w:cs="Arial" w:eastAsia="Arial" w:hAnsi="Arial"/>
          <w:sz w:val="18"/>
          <w:szCs w:val="18"/>
          <w:b w:val="1"/>
          <w:bCs w:val="1"/>
          <w:color w:val="auto"/>
        </w:rPr>
      </w:pPr>
    </w:p>
    <w:p>
      <w:pPr>
        <w:ind w:left="260"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Included in marketable securities at September 30, 2004 and December 31, 2003 are $1,602 and $878, respectively, of accrued interest income. Included in marketable securities at September 30, 2003 and December 31, 2002 are $437 and $2,013, respectively, of accrued interest income.</w:t>
      </w:r>
    </w:p>
    <w:p>
      <w:pPr>
        <w:spacing w:after="0" w:line="142" w:lineRule="exact"/>
        <w:rPr>
          <w:rFonts w:ascii="Arial" w:cs="Arial" w:eastAsia="Arial" w:hAnsi="Arial"/>
          <w:sz w:val="18"/>
          <w:szCs w:val="18"/>
          <w:b w:val="1"/>
          <w:bCs w:val="1"/>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as of September 30, 2004 and December 31, 2003 consist of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Aventis, a part of the sanofi aventis Group</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$20,222</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8,917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Receivable from Novartis Pharma AG</w:t>
            </w:r>
          </w:p>
        </w:tc>
        <w:tc>
          <w:tcPr>
            <w:tcW w:w="3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The Procter &amp; Gamble Company</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2,753</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Receivable from Merck &amp; Co., Inc.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1,891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$24,866</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15,529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740" w:type="dxa"/>
            <w:vAlign w:val="bottom"/>
            <w:tcBorders>
              <w:top w:val="single" w:sz="8" w:color="EEEEEE"/>
            </w:tcBorders>
          </w:tcPr>
          <w:p>
            <w:pPr>
              <w:spacing w:after="0"/>
              <w:rPr>
                <w:sz w:val="3"/>
                <w:szCs w:val="3"/>
                <w:color w:val="auto"/>
              </w:rPr>
            </w:pPr>
          </w:p>
        </w:tc>
        <w:tc>
          <w:tcPr>
            <w:tcW w:w="360" w:type="dxa"/>
            <w:vAlign w:val="bottom"/>
            <w:tcBorders>
              <w:top w:val="single" w:sz="8" w:color="EEEEEE"/>
              <w:right w:val="single" w:sz="8" w:color="808080"/>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2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consist of raw materials and other direct and indirect costs associated with production of an intermediate for a Merck &amp; Co., Inc. (“Merck”) pediatric vaccine under a long-term manufacturing agreement.</w:t>
      </w:r>
    </w:p>
    <w:p>
      <w:pPr>
        <w:spacing w:after="0" w:line="170"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Inventories as of September 30, 2004 and December 31, 2003 consist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8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8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w:t>
            </w:r>
          </w:p>
        </w:tc>
        <w:tc>
          <w:tcPr>
            <w:tcW w:w="34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3840" w:type="dxa"/>
            <w:vAlign w:val="bottom"/>
          </w:tcPr>
          <w:p>
            <w:pPr>
              <w:spacing w:after="0"/>
              <w:rPr>
                <w:sz w:val="20"/>
                <w:szCs w:val="20"/>
                <w:color w:val="auto"/>
              </w:rPr>
            </w:pPr>
            <w:r>
              <w:rPr>
                <w:rFonts w:ascii="Arial" w:cs="Arial" w:eastAsia="Arial" w:hAnsi="Arial"/>
                <w:sz w:val="1"/>
                <w:szCs w:val="1"/>
                <w:color w:val="auto"/>
              </w:rPr>
              <w:t>Work-in-process</w:t>
            </w:r>
          </w:p>
        </w:tc>
        <w:tc>
          <w:tcPr>
            <w:tcW w:w="340" w:type="dxa"/>
            <w:vAlign w:val="bottom"/>
          </w:tcPr>
          <w:p>
            <w:pPr>
              <w:spacing w:after="0" w:line="20" w:lineRule="exact"/>
              <w:rPr>
                <w:sz w:val="1"/>
                <w:szCs w:val="1"/>
                <w:color w:val="auto"/>
              </w:rPr>
            </w:pPr>
          </w:p>
        </w:tc>
        <w:tc>
          <w:tcPr>
            <w:tcW w:w="420" w:type="dxa"/>
            <w:vAlign w:val="bottom"/>
          </w:tcPr>
          <w:p>
            <w:pPr>
              <w:jc w:val="right"/>
              <w:spacing w:after="0"/>
              <w:rPr>
                <w:sz w:val="20"/>
                <w:szCs w:val="20"/>
                <w:color w:val="auto"/>
              </w:rPr>
            </w:pPr>
            <w:r>
              <w:rPr>
                <w:rFonts w:ascii="Arial" w:cs="Arial" w:eastAsia="Arial" w:hAnsi="Arial"/>
                <w:sz w:val="1"/>
                <w:szCs w:val="1"/>
                <w:color w:val="auto"/>
              </w:rPr>
              <w:t>609</w:t>
            </w: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jc w:val="right"/>
              <w:spacing w:after="0"/>
              <w:rPr>
                <w:sz w:val="20"/>
                <w:szCs w:val="20"/>
                <w:color w:val="auto"/>
              </w:rPr>
            </w:pPr>
            <w:r>
              <w:rPr>
                <w:rFonts w:ascii="Arial" w:cs="Arial" w:eastAsia="Arial" w:hAnsi="Arial"/>
                <w:sz w:val="1"/>
                <w:szCs w:val="1"/>
                <w:color w:val="auto"/>
              </w:rPr>
              <w:t>—</w:t>
            </w:r>
          </w:p>
        </w:tc>
        <w:tc>
          <w:tcPr>
            <w:tcW w:w="340" w:type="dxa"/>
            <w:vAlign w:val="bottom"/>
            <w:vMerge w:val="restart"/>
          </w:tcPr>
          <w:p>
            <w:pPr>
              <w:jc w:val="right"/>
              <w:ind w:right="105"/>
              <w:spacing w:after="0"/>
              <w:rPr>
                <w:sz w:val="20"/>
                <w:szCs w:val="20"/>
                <w:color w:val="auto"/>
              </w:rPr>
            </w:pPr>
            <w:r>
              <w:rPr>
                <w:rFonts w:ascii="Arial" w:cs="Arial" w:eastAsia="Arial" w:hAnsi="Arial"/>
                <w:sz w:val="15"/>
                <w:szCs w:val="15"/>
                <w:color w:val="auto"/>
                <w:w w:val="76"/>
              </w:rPr>
              <w:t>(2)</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3,253</w:t>
            </w:r>
          </w:p>
        </w:tc>
        <w:tc>
          <w:tcPr>
            <w:tcW w:w="3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8,618</w:t>
            </w:r>
          </w:p>
        </w:tc>
        <w:tc>
          <w:tcPr>
            <w:tcW w:w="3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Borders>
              <w:right w:val="single" w:sz="8" w:color="808080"/>
            </w:tcBorders>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4,266</w:t>
            </w:r>
          </w:p>
        </w:tc>
        <w:tc>
          <w:tcPr>
            <w:tcW w:w="3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9,006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60" w:hanging="281"/>
        <w:spacing w:after="0"/>
        <w:tabs>
          <w:tab w:leader="none" w:pos="560" w:val="left"/>
        </w:tabs>
        <w:numPr>
          <w:ilvl w:val="1"/>
          <w:numId w:val="5"/>
        </w:numPr>
        <w:rPr>
          <w:rFonts w:ascii="Arial" w:cs="Arial" w:eastAsia="Arial" w:hAnsi="Arial"/>
          <w:sz w:val="30"/>
          <w:szCs w:val="30"/>
          <w:color w:val="auto"/>
          <w:vertAlign w:val="superscript"/>
        </w:rPr>
      </w:pPr>
      <w:r>
        <w:rPr>
          <w:rFonts w:ascii="Arial" w:cs="Arial" w:eastAsia="Arial" w:hAnsi="Arial"/>
          <w:sz w:val="18"/>
          <w:szCs w:val="18"/>
          <w:color w:val="auto"/>
        </w:rPr>
        <w:t>Net of reserves of $256.</w:t>
      </w:r>
    </w:p>
    <w:p>
      <w:pPr>
        <w:spacing w:after="0" w:line="1" w:lineRule="exact"/>
        <w:rPr>
          <w:rFonts w:ascii="Arial" w:cs="Arial" w:eastAsia="Arial" w:hAnsi="Arial"/>
          <w:sz w:val="30"/>
          <w:szCs w:val="30"/>
          <w:color w:val="auto"/>
          <w:vertAlign w:val="superscript"/>
        </w:rPr>
      </w:pPr>
    </w:p>
    <w:p>
      <w:pPr>
        <w:ind w:left="560" w:hanging="281"/>
        <w:spacing w:after="0" w:line="186" w:lineRule="auto"/>
        <w:tabs>
          <w:tab w:leader="none" w:pos="560" w:val="left"/>
        </w:tabs>
        <w:numPr>
          <w:ilvl w:val="1"/>
          <w:numId w:val="5"/>
        </w:numPr>
        <w:rPr>
          <w:rFonts w:ascii="Arial" w:cs="Arial" w:eastAsia="Arial" w:hAnsi="Arial"/>
          <w:sz w:val="24"/>
          <w:szCs w:val="24"/>
          <w:color w:val="auto"/>
          <w:vertAlign w:val="superscript"/>
        </w:rPr>
      </w:pPr>
      <w:r>
        <w:rPr>
          <w:rFonts w:ascii="Arial" w:cs="Arial" w:eastAsia="Arial" w:hAnsi="Arial"/>
          <w:sz w:val="15"/>
          <w:szCs w:val="15"/>
          <w:color w:val="auto"/>
        </w:rPr>
        <w:t>Net of reserves of $195.</w:t>
      </w:r>
    </w:p>
    <w:p>
      <w:pPr>
        <w:spacing w:after="0" w:line="198" w:lineRule="exact"/>
        <w:rPr>
          <w:rFonts w:ascii="Arial" w:cs="Arial" w:eastAsia="Arial" w:hAnsi="Arial"/>
          <w:sz w:val="24"/>
          <w:szCs w:val="24"/>
          <w:color w:val="auto"/>
          <w:vertAlign w:val="superscript"/>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September 30, 2004 and December 31, 2003 consist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00" w:type="dxa"/>
            <w:vAlign w:val="bottom"/>
            <w:vMerge w:val="restart"/>
          </w:tcPr>
          <w:p>
            <w:pPr>
              <w:spacing w:after="0"/>
              <w:rPr>
                <w:sz w:val="6"/>
                <w:szCs w:val="6"/>
                <w:color w:val="auto"/>
              </w:rPr>
            </w:pPr>
          </w:p>
        </w:tc>
        <w:tc>
          <w:tcPr>
            <w:tcW w:w="3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1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5,185</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3,878</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5,125</w:t>
            </w: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16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2,136</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expenses, other</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3,762</w:t>
            </w: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Interest payable on convertible notes</w:t>
            </w:r>
          </w:p>
        </w:tc>
        <w:tc>
          <w:tcPr>
            <w:tcW w:w="16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5,042</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20,284</w:t>
            </w:r>
          </w:p>
        </w:tc>
        <w:tc>
          <w:tcPr>
            <w:tcW w:w="3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18,933</w:t>
            </w: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620" w:type="dxa"/>
            <w:vAlign w:val="bottom"/>
            <w:vMerge w:val="restart"/>
          </w:tcPr>
          <w:p>
            <w:pPr>
              <w:jc w:val="right"/>
              <w:ind w:right="870"/>
              <w:spacing w:after="0"/>
              <w:rPr>
                <w:sz w:val="20"/>
                <w:szCs w:val="20"/>
                <w:color w:val="auto"/>
              </w:rPr>
            </w:pPr>
            <w:r>
              <w:rPr>
                <w:rFonts w:ascii="Arial" w:cs="Arial" w:eastAsia="Arial" w:hAnsi="Arial"/>
                <w:sz w:val="18"/>
                <w:szCs w:val="18"/>
                <w:color w:val="auto"/>
              </w:rPr>
              <w:t>12</w:t>
            </w:r>
          </w:p>
        </w:tc>
        <w:tc>
          <w:tcPr>
            <w:tcW w:w="3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rFonts w:ascii="Arial" w:cs="Arial" w:eastAsia="Arial" w:hAnsi="Arial"/>
          <w:sz w:val="18"/>
          <w:szCs w:val="18"/>
          <w:b w:val="1"/>
          <w:bCs w:val="1"/>
          <w:color w:val="auto"/>
        </w:rPr>
      </w:pPr>
    </w:p>
    <w:p>
      <w:pPr>
        <w:ind w:lef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or loss on marketable securities. The net effect of income taxes on comprehensive income (loss) is immaterial. For the three months ended September 30, 2004 and 2003, the components of comprehensive loss are:</w:t>
      </w:r>
    </w:p>
    <w:p>
      <w:pPr>
        <w:spacing w:after="0" w:line="395"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47625</wp:posOffset>
            </wp:positionV>
            <wp:extent cx="1217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14"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6"/>
                <w:szCs w:val="16"/>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w w:val="90"/>
              </w:rPr>
              <w:t>($11,076)</w:t>
            </w:r>
          </w:p>
        </w:tc>
        <w:tc>
          <w:tcPr>
            <w:tcW w:w="11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($27,400)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comprehensive loss</w:t>
            </w:r>
          </w:p>
        </w:tc>
        <w:tc>
          <w:tcPr>
            <w:tcW w:w="8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w w:val="90"/>
              </w:rPr>
              <w:t>($11,067)</w:t>
            </w:r>
          </w:p>
        </w:tc>
        <w:tc>
          <w:tcPr>
            <w:tcW w:w="11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($27,568)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nine months ended September 30, 2004 and 2003, the components of comprehensive income (loss) are:</w:t>
      </w:r>
    </w:p>
    <w:p>
      <w:pPr>
        <w:spacing w:after="0" w:line="200" w:lineRule="exact"/>
        <w:rPr>
          <w:sz w:val="20"/>
          <w:szCs w:val="20"/>
          <w:color w:val="auto"/>
        </w:rPr>
      </w:pPr>
    </w:p>
    <w:p>
      <w:pPr>
        <w:spacing w:after="0" w:line="233"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47625</wp:posOffset>
            </wp:positionV>
            <wp:extent cx="1200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14"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$38,907</w:t>
            </w:r>
          </w:p>
        </w:tc>
        <w:tc>
          <w:tcPr>
            <w:tcW w:w="14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($88,081)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comprehensive income (loss)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$38,601</w:t>
            </w:r>
          </w:p>
        </w:tc>
        <w:tc>
          <w:tcPr>
            <w:tcW w:w="140" w:type="dxa"/>
            <w:vAlign w:val="bottom"/>
            <w:shd w:val="clear" w:color="auto" w:fill="EEEEEE"/>
          </w:tcPr>
          <w:p>
            <w:pPr>
              <w:spacing w:after="0"/>
              <w:rPr>
                <w:sz w:val="19"/>
                <w:szCs w:val="19"/>
                <w:color w:val="auto"/>
              </w:rPr>
            </w:pPr>
          </w:p>
        </w:tc>
        <w:tc>
          <w:tcPr>
            <w:tcW w:w="11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($88,496)</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 – Novartis Pharma AG</w:t>
      </w:r>
    </w:p>
    <w:p>
      <w:pPr>
        <w:spacing w:after="0" w:line="229" w:lineRule="exact"/>
        <w:rPr>
          <w:rFonts w:ascii="Arial" w:cs="Arial" w:eastAsia="Arial" w:hAnsi="Arial"/>
          <w:sz w:val="18"/>
          <w:szCs w:val="18"/>
          <w:b w:val="1"/>
          <w:bCs w:val="1"/>
          <w:color w:val="auto"/>
        </w:rPr>
      </w:pPr>
    </w:p>
    <w:p>
      <w:pPr>
        <w:ind w:left="2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March 2003, the Company entered into a collaboration agreement with Novartis Pharma AG (“Novartis”) to jointly develop and commercialize the Company’s Interleukin-1 Trap (“IL-1 Trap”). In connection with this agreement, Novartis made a non-refundable up-front payment of $27.0 million and purchased $48.0 million of newly issued unregistered shares of the Company’s Common Stock.</w:t>
      </w:r>
    </w:p>
    <w:p>
      <w:pPr>
        <w:spacing w:after="0" w:line="181" w:lineRule="exact"/>
        <w:rPr>
          <w:sz w:val="20"/>
          <w:szCs w:val="20"/>
          <w:color w:val="auto"/>
        </w:rPr>
      </w:pPr>
    </w:p>
    <w:p>
      <w:pPr>
        <w:ind w:left="260" w:right="60"/>
        <w:spacing w:after="0" w:line="286" w:lineRule="auto"/>
        <w:rPr>
          <w:sz w:val="20"/>
          <w:szCs w:val="20"/>
          <w:color w:val="auto"/>
        </w:rPr>
      </w:pPr>
      <w:r>
        <w:rPr>
          <w:rFonts w:ascii="Arial" w:cs="Arial" w:eastAsia="Arial" w:hAnsi="Arial"/>
          <w:sz w:val="17"/>
          <w:szCs w:val="17"/>
          <w:color w:val="auto"/>
        </w:rPr>
        <w:t>Development expenses incurred in 2003 were shared equally by the Company and Novartis. Regeneron funded its share of 2003 development expenses through loans from Novartis. In March 2004, Novartis forgave its outstanding loans to Regeneron totaling $17.8 million, including accrued interest, based on Regeneron’s achieving a pre-defined development milestone, which was recognized as a research progress payment.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In February 2004, Novartis provided notice of its intention not to proceed with the joint development of the IL-1 Trap. In March 2004, Novartis agreed to pay the Company $42.75 million to satisfy its obligation to fund development costs for the IL-1 Trap for the nine month period following its notification and for the two months prior to that notice. The Company recorded the $42.75 million as other contract income in the first quarter of 2004. In addition, the Company recognized contract research and development revenue of $22.1 million, which represents the remaining amount of the March 2003 up-front payment from Novartis that had previously been deferred. Regeneron and Novartis each retain rights under the collaboration agreement to elect to collaborate in the future on the development and commercialization of certain other IL-1 antagonists.</w:t>
      </w:r>
    </w:p>
    <w:p>
      <w:pPr>
        <w:spacing w:after="0" w:line="174" w:lineRule="exact"/>
        <w:rPr>
          <w:sz w:val="20"/>
          <w:szCs w:val="20"/>
          <w:color w:val="auto"/>
        </w:rPr>
      </w:pPr>
    </w:p>
    <w:p>
      <w:pPr>
        <w:ind w:left="340" w:hanging="327"/>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of Common Stock</w:t>
      </w:r>
    </w:p>
    <w:p>
      <w:pPr>
        <w:spacing w:after="0" w:line="229" w:lineRule="exact"/>
        <w:rPr>
          <w:rFonts w:ascii="Arial" w:cs="Arial" w:eastAsia="Arial" w:hAnsi="Arial"/>
          <w:sz w:val="18"/>
          <w:szCs w:val="18"/>
          <w:b w:val="1"/>
          <w:bCs w:val="1"/>
          <w:color w:val="auto"/>
        </w:rPr>
      </w:pPr>
    </w:p>
    <w:p>
      <w:pPr>
        <w:ind w:left="34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August 19, 2004, the Company repurchased and subsequently retired 109,450 shares of Regeneron Common Stock held by Merck that were issued to Merck in August 2003 in connection with a patent license agreement. The shares were acquired for a purchase price of $888 based on the fair market value of the shares on August 19, 2004. Regeneron also made a cash payment of $612 to Merck as required under the patent license agreement.</w:t>
      </w:r>
    </w:p>
    <w:p>
      <w:pPr>
        <w:spacing w:after="0" w:line="142" w:lineRule="exact"/>
        <w:rPr>
          <w:rFonts w:ascii="Arial" w:cs="Arial" w:eastAsia="Arial" w:hAnsi="Arial"/>
          <w:sz w:val="18"/>
          <w:szCs w:val="18"/>
          <w:b w:val="1"/>
          <w:bCs w:val="1"/>
          <w:color w:val="auto"/>
        </w:rPr>
      </w:pPr>
    </w:p>
    <w:p>
      <w:pPr>
        <w:ind w:left="340" w:hanging="317"/>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25" w:lineRule="exact"/>
        <w:rPr>
          <w:rFonts w:ascii="Arial" w:cs="Arial" w:eastAsia="Arial" w:hAnsi="Arial"/>
          <w:sz w:val="18"/>
          <w:szCs w:val="18"/>
          <w:b w:val="1"/>
          <w:bCs w:val="1"/>
          <w:color w:val="auto"/>
        </w:rPr>
      </w:pPr>
    </w:p>
    <w:p>
      <w:pPr>
        <w:ind w:left="3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Includes all activities related to the discovery of potential therapeutics for human medical conditions, and the development and 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w:t>
      </w:r>
    </w:p>
    <w:p>
      <w:pPr>
        <w:spacing w:after="0" w:line="186" w:lineRule="exact"/>
        <w:rPr>
          <w:rFonts w:ascii="Arial" w:cs="Arial" w:eastAsia="Arial" w:hAnsi="Arial"/>
          <w:sz w:val="18"/>
          <w:szCs w:val="18"/>
          <w:b w:val="1"/>
          <w:bCs w:val="1"/>
          <w:color w:val="auto"/>
        </w:rPr>
      </w:pPr>
    </w:p>
    <w:p>
      <w:pPr>
        <w:ind w:left="340" w:right="9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Contract manufacturing: Includes all revenues and expenses related to the commercial production of products under contract manufacturing arrangements. The Company produces an intermediate for a Merck pediatric vaccine under a long-term manufacturing agreement.</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table below presents information about reported segments for the three and nine months ended September 30, 2004 and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14"/>
          </w:tcPr>
          <w:p>
            <w:pPr>
              <w:jc w:val="right"/>
              <w:ind w:right="120"/>
              <w:spacing w:after="0"/>
              <w:rPr>
                <w:sz w:val="20"/>
                <w:szCs w:val="20"/>
                <w:color w:val="auto"/>
              </w:rPr>
            </w:pPr>
            <w:r>
              <w:rPr>
                <w:rFonts w:ascii="Arial" w:cs="Arial" w:eastAsia="Arial" w:hAnsi="Arial"/>
                <w:sz w:val="14"/>
                <w:szCs w:val="14"/>
                <w:b w:val="1"/>
                <w:bCs w:val="1"/>
                <w:color w:val="auto"/>
                <w:w w:val="91"/>
              </w:rPr>
              <w:t>Three months ended September 30, 2004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Research &amp;</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Reconciling</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Manufacturing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Items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EEEEEE"/>
          </w:tcPr>
          <w:p>
            <w:pPr>
              <w:jc w:val="right"/>
              <w:ind w:right="126"/>
              <w:spacing w:after="0"/>
              <w:rPr>
                <w:sz w:val="20"/>
                <w:szCs w:val="20"/>
                <w:color w:val="auto"/>
              </w:rPr>
            </w:pPr>
            <w:r>
              <w:rPr>
                <w:rFonts w:ascii="Arial" w:cs="Arial" w:eastAsia="Arial" w:hAnsi="Arial"/>
                <w:sz w:val="18"/>
                <w:szCs w:val="18"/>
                <w:color w:val="auto"/>
              </w:rPr>
              <w:t>$ 25,621</w:t>
            </w:r>
          </w:p>
        </w:tc>
        <w:tc>
          <w:tcPr>
            <w:tcW w:w="20" w:type="dxa"/>
            <w:vAlign w:val="bottom"/>
            <w:shd w:val="clear" w:color="auto" w:fill="EEEEEE"/>
          </w:tcPr>
          <w:p>
            <w:pPr>
              <w:spacing w:after="0"/>
              <w:rPr>
                <w:sz w:val="18"/>
                <w:szCs w:val="18"/>
                <w:color w:val="auto"/>
              </w:rPr>
            </w:pPr>
          </w:p>
        </w:tc>
        <w:tc>
          <w:tcPr>
            <w:tcW w:w="150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$10,898</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$ 36,519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126"/>
              <w:spacing w:after="0"/>
              <w:rPr>
                <w:sz w:val="20"/>
                <w:szCs w:val="20"/>
                <w:color w:val="auto"/>
              </w:rPr>
            </w:pPr>
            <w:r>
              <w:rPr>
                <w:rFonts w:ascii="Arial" w:cs="Arial" w:eastAsia="Arial" w:hAnsi="Arial"/>
                <w:sz w:val="18"/>
                <w:szCs w:val="18"/>
                <w:color w:val="auto"/>
              </w:rPr>
              <w:t>3,615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420" w:type="dxa"/>
            <w:vAlign w:val="bottom"/>
            <w:gridSpan w:val="5"/>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38"/>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1080" w:type="dxa"/>
            <w:vAlign w:val="bottom"/>
            <w:gridSpan w:val="4"/>
          </w:tcPr>
          <w:p>
            <w:pPr>
              <w:jc w:val="right"/>
              <w:ind w:right="48"/>
              <w:spacing w:after="0"/>
              <w:rPr>
                <w:sz w:val="20"/>
                <w:szCs w:val="20"/>
                <w:color w:val="auto"/>
              </w:rPr>
            </w:pPr>
            <w:r>
              <w:rPr>
                <w:rFonts w:ascii="Arial" w:cs="Arial" w:eastAsia="Arial" w:hAnsi="Arial"/>
                <w:sz w:val="18"/>
                <w:szCs w:val="18"/>
                <w:color w:val="auto"/>
              </w:rPr>
              <w:t>3,876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w w:val="97"/>
              </w:rPr>
              <w:t>3,014</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3,014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80" w:type="dxa"/>
            <w:vAlign w:val="bottom"/>
            <w:gridSpan w:val="2"/>
          </w:tcPr>
          <w:p>
            <w:pPr>
              <w:jc w:val="right"/>
              <w:ind w:right="66"/>
              <w:spacing w:after="0"/>
              <w:rPr>
                <w:sz w:val="20"/>
                <w:szCs w:val="20"/>
                <w:color w:val="auto"/>
              </w:rPr>
            </w:pPr>
            <w:r>
              <w:rPr>
                <w:rFonts w:ascii="Arial" w:cs="Arial" w:eastAsia="Arial" w:hAnsi="Arial"/>
                <w:sz w:val="18"/>
                <w:szCs w:val="18"/>
                <w:color w:val="auto"/>
              </w:rPr>
              <w:t>(11,391)</w:t>
            </w:r>
          </w:p>
        </w:tc>
        <w:tc>
          <w:tcPr>
            <w:tcW w:w="20" w:type="dxa"/>
            <w:vAlign w:val="bottom"/>
          </w:tcPr>
          <w:p>
            <w:pPr>
              <w:spacing w:after="0"/>
              <w:rPr>
                <w:sz w:val="22"/>
                <w:szCs w:val="22"/>
                <w:color w:val="auto"/>
              </w:rPr>
            </w:pPr>
          </w:p>
        </w:tc>
        <w:tc>
          <w:tcPr>
            <w:tcW w:w="1500" w:type="dxa"/>
            <w:vAlign w:val="bottom"/>
            <w:gridSpan w:val="6"/>
          </w:tcPr>
          <w:p>
            <w:pPr>
              <w:jc w:val="right"/>
              <w:ind w:right="180"/>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spacing w:after="0" w:line="256" w:lineRule="exact"/>
              <w:rPr>
                <w:sz w:val="20"/>
                <w:szCs w:val="20"/>
                <w:color w:val="auto"/>
              </w:rPr>
            </w:pPr>
            <w:r>
              <w:rPr>
                <w:rFonts w:ascii="Arial" w:cs="Arial" w:eastAsia="Arial" w:hAnsi="Arial"/>
                <w:sz w:val="18"/>
                <w:szCs w:val="18"/>
                <w:color w:val="auto"/>
                <w:w w:val="84"/>
              </w:rPr>
              <w:t>(1,597)</w:t>
            </w:r>
            <w:r>
              <w:rPr>
                <w:rFonts w:ascii="Arial" w:cs="Arial" w:eastAsia="Arial" w:hAnsi="Arial"/>
                <w:sz w:val="29"/>
                <w:szCs w:val="29"/>
                <w:color w:val="auto"/>
                <w:w w:val="84"/>
                <w:vertAlign w:val="superscript"/>
              </w:rPr>
              <w:t>(2)</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(11,076)</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gridSpan w:val="2"/>
            <w:shd w:val="clear" w:color="auto" w:fill="EEEEEE"/>
          </w:tcPr>
          <w:p>
            <w:pPr>
              <w:jc w:val="right"/>
              <w:ind w:right="126"/>
              <w:spacing w:after="0"/>
              <w:rPr>
                <w:sz w:val="20"/>
                <w:szCs w:val="20"/>
                <w:color w:val="auto"/>
              </w:rPr>
            </w:pPr>
            <w:r>
              <w:rPr>
                <w:rFonts w:ascii="Arial" w:cs="Arial" w:eastAsia="Arial" w:hAnsi="Arial"/>
                <w:sz w:val="18"/>
                <w:szCs w:val="18"/>
                <w:color w:val="auto"/>
              </w:rPr>
              <w:t>1,844</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1,844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14"/>
          </w:tcPr>
          <w:p>
            <w:pPr>
              <w:jc w:val="right"/>
              <w:ind w:right="100"/>
              <w:spacing w:after="0"/>
              <w:rPr>
                <w:sz w:val="20"/>
                <w:szCs w:val="20"/>
                <w:color w:val="auto"/>
              </w:rPr>
            </w:pPr>
            <w:r>
              <w:rPr>
                <w:rFonts w:ascii="Arial" w:cs="Arial" w:eastAsia="Arial" w:hAnsi="Arial"/>
                <w:sz w:val="14"/>
                <w:szCs w:val="14"/>
                <w:b w:val="1"/>
                <w:bCs w:val="1"/>
                <w:color w:val="auto"/>
                <w:w w:val="92"/>
              </w:rPr>
              <w:t>Three months ended September 30, 2003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left="86"/>
              <w:spacing w:after="0"/>
              <w:rPr>
                <w:sz w:val="20"/>
                <w:szCs w:val="20"/>
                <w:color w:val="auto"/>
              </w:rPr>
            </w:pPr>
            <w:r>
              <w:rPr>
                <w:rFonts w:ascii="Arial" w:cs="Arial" w:eastAsia="Arial" w:hAnsi="Arial"/>
                <w:sz w:val="14"/>
                <w:szCs w:val="14"/>
                <w:b w:val="1"/>
                <w:bCs w:val="1"/>
                <w:color w:val="auto"/>
                <w:w w:val="93"/>
              </w:rPr>
              <w:t>Research &amp;</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Reconciling</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left="86"/>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Manufacturing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Items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bottom w:val="single" w:sz="8" w:color="808080"/>
            </w:tcBorders>
            <w:gridSpan w:val="2"/>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EEEEEE"/>
          </w:tcPr>
          <w:p>
            <w:pPr>
              <w:jc w:val="right"/>
              <w:ind w:right="66"/>
              <w:spacing w:after="0"/>
              <w:rPr>
                <w:sz w:val="20"/>
                <w:szCs w:val="20"/>
                <w:color w:val="auto"/>
              </w:rPr>
            </w:pPr>
            <w:r>
              <w:rPr>
                <w:rFonts w:ascii="Arial" w:cs="Arial" w:eastAsia="Arial" w:hAnsi="Arial"/>
                <w:sz w:val="18"/>
                <w:szCs w:val="18"/>
                <w:color w:val="auto"/>
              </w:rPr>
              <w:t>$ 10,882</w:t>
            </w:r>
          </w:p>
        </w:tc>
        <w:tc>
          <w:tcPr>
            <w:tcW w:w="20" w:type="dxa"/>
            <w:vAlign w:val="bottom"/>
            <w:shd w:val="clear" w:color="auto" w:fill="EEEEEE"/>
          </w:tcPr>
          <w:p>
            <w:pPr>
              <w:spacing w:after="0"/>
              <w:rPr>
                <w:sz w:val="18"/>
                <w:szCs w:val="18"/>
                <w:color w:val="auto"/>
              </w:rPr>
            </w:pPr>
          </w:p>
        </w:tc>
        <w:tc>
          <w:tcPr>
            <w:tcW w:w="150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$ 17,392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1440" w:type="dxa"/>
            <w:vAlign w:val="bottom"/>
          </w:tcPr>
          <w:p>
            <w:pPr>
              <w:spacing w:after="0" w:line="20" w:lineRule="exact"/>
              <w:rPr>
                <w:sz w:val="1"/>
                <w:szCs w:val="1"/>
                <w:color w:val="auto"/>
              </w:rPr>
            </w:pPr>
          </w:p>
        </w:tc>
        <w:tc>
          <w:tcPr>
            <w:tcW w:w="3620" w:type="dxa"/>
            <w:vAlign w:val="bottom"/>
            <w:gridSpan w:val="2"/>
          </w:tcPr>
          <w:p>
            <w:pPr>
              <w:spacing w:after="0"/>
              <w:rPr>
                <w:sz w:val="20"/>
                <w:szCs w:val="20"/>
                <w:color w:val="auto"/>
              </w:rPr>
            </w:pPr>
            <w:r>
              <w:rPr>
                <w:rFonts w:ascii="Arial" w:cs="Arial" w:eastAsia="Arial" w:hAnsi="Arial"/>
                <w:sz w:val="1"/>
                <w:szCs w:val="1"/>
                <w:color w:val="auto"/>
              </w:rPr>
              <w:t>Depreciation and amortization</w:t>
            </w:r>
          </w:p>
        </w:tc>
        <w:tc>
          <w:tcPr>
            <w:tcW w:w="1080" w:type="dxa"/>
            <w:vAlign w:val="bottom"/>
            <w:gridSpan w:val="2"/>
          </w:tcPr>
          <w:p>
            <w:pPr>
              <w:jc w:val="right"/>
              <w:ind w:right="66"/>
              <w:spacing w:after="0"/>
              <w:rPr>
                <w:sz w:val="20"/>
                <w:szCs w:val="20"/>
                <w:color w:val="auto"/>
              </w:rPr>
            </w:pPr>
            <w:r>
              <w:rPr>
                <w:rFonts w:ascii="Arial" w:cs="Arial" w:eastAsia="Arial" w:hAnsi="Arial"/>
                <w:sz w:val="1"/>
                <w:szCs w:val="1"/>
                <w:color w:val="auto"/>
              </w:rPr>
              <w:t>3,395</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
                <w:szCs w:val="1"/>
                <w:color w:val="auto"/>
              </w:rPr>
              <w:t>—</w:t>
            </w:r>
          </w:p>
        </w:tc>
        <w:tc>
          <w:tcPr>
            <w:tcW w:w="420" w:type="dxa"/>
            <w:vAlign w:val="bottom"/>
            <w:gridSpan w:val="5"/>
          </w:tcPr>
          <w:p>
            <w:pPr>
              <w:jc w:val="right"/>
              <w:spacing w:after="0"/>
              <w:rPr>
                <w:sz w:val="20"/>
                <w:szCs w:val="20"/>
                <w:color w:val="auto"/>
              </w:rPr>
            </w:pPr>
            <w:r>
              <w:rPr>
                <w:rFonts w:ascii="Arial" w:cs="Arial" w:eastAsia="Arial" w:hAnsi="Arial"/>
                <w:sz w:val="1"/>
                <w:szCs w:val="1"/>
                <w:color w:val="auto"/>
              </w:rPr>
              <w:t>$</w:t>
            </w:r>
          </w:p>
        </w:tc>
        <w:tc>
          <w:tcPr>
            <w:tcW w:w="680" w:type="dxa"/>
            <w:vAlign w:val="bottom"/>
          </w:tcPr>
          <w:p>
            <w:pPr>
              <w:jc w:val="right"/>
              <w:ind w:right="158"/>
              <w:spacing w:after="0"/>
              <w:rPr>
                <w:sz w:val="20"/>
                <w:szCs w:val="20"/>
                <w:color w:val="auto"/>
              </w:rPr>
            </w:pPr>
            <w:r>
              <w:rPr>
                <w:rFonts w:ascii="Arial" w:cs="Arial" w:eastAsia="Arial" w:hAnsi="Arial"/>
                <w:sz w:val="1"/>
                <w:szCs w:val="1"/>
                <w:color w:val="auto"/>
              </w:rPr>
              <w:t>261</w:t>
            </w:r>
          </w:p>
        </w:tc>
        <w:tc>
          <w:tcPr>
            <w:tcW w:w="20" w:type="dxa"/>
            <w:vAlign w:val="bottom"/>
          </w:tcPr>
          <w:p>
            <w:pPr>
              <w:spacing w:after="0" w:line="20" w:lineRule="exact"/>
              <w:rPr>
                <w:sz w:val="1"/>
                <w:szCs w:val="1"/>
                <w:color w:val="auto"/>
              </w:rPr>
            </w:pPr>
          </w:p>
        </w:tc>
        <w:tc>
          <w:tcPr>
            <w:tcW w:w="1080" w:type="dxa"/>
            <w:vAlign w:val="bottom"/>
            <w:gridSpan w:val="4"/>
          </w:tcPr>
          <w:p>
            <w:pPr>
              <w:jc w:val="right"/>
              <w:ind w:right="48"/>
              <w:spacing w:after="0"/>
              <w:rPr>
                <w:sz w:val="20"/>
                <w:szCs w:val="20"/>
                <w:color w:val="auto"/>
              </w:rPr>
            </w:pPr>
            <w:r>
              <w:rPr>
                <w:rFonts w:ascii="Arial" w:cs="Arial" w:eastAsia="Arial" w:hAnsi="Arial"/>
                <w:sz w:val="1"/>
                <w:szCs w:val="1"/>
                <w:color w:val="auto"/>
              </w:rPr>
              <w:t>3,656</w:t>
            </w: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6"/>
          </w:tcPr>
          <w:p>
            <w:pPr>
              <w:jc w:val="center"/>
              <w:ind w:left="1047"/>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shd w:val="clear" w:color="auto" w:fill="EEEEEE"/>
          </w:tcPr>
          <w:p>
            <w:pPr>
              <w:jc w:val="right"/>
              <w:ind w:right="66"/>
              <w:spacing w:after="0"/>
              <w:rPr>
                <w:sz w:val="20"/>
                <w:szCs w:val="20"/>
                <w:color w:val="auto"/>
              </w:rPr>
            </w:pPr>
            <w:r>
              <w:rPr>
                <w:rFonts w:ascii="Arial" w:cs="Arial" w:eastAsia="Arial" w:hAnsi="Arial"/>
                <w:sz w:val="18"/>
                <w:szCs w:val="18"/>
                <w:color w:val="auto"/>
              </w:rPr>
              <w:t>58</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8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w w:val="93"/>
              </w:rPr>
              <w:t>2,924</w:t>
            </w:r>
          </w:p>
        </w:tc>
        <w:tc>
          <w:tcPr>
            <w:tcW w:w="20" w:type="dxa"/>
            <w:vAlign w:val="bottom"/>
            <w:shd w:val="clear" w:color="auto" w:fill="EEEEEE"/>
          </w:tcPr>
          <w:p>
            <w:pPr>
              <w:spacing w:after="0"/>
              <w:rPr>
                <w:sz w:val="19"/>
                <w:szCs w:val="19"/>
                <w:color w:val="auto"/>
              </w:rPr>
            </w:pP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2,982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80" w:type="dxa"/>
            <w:vAlign w:val="bottom"/>
            <w:gridSpan w:val="2"/>
          </w:tcPr>
          <w:p>
            <w:pPr>
              <w:jc w:val="right"/>
              <w:ind w:right="6"/>
              <w:spacing w:after="0"/>
              <w:rPr>
                <w:sz w:val="20"/>
                <w:szCs w:val="20"/>
                <w:color w:val="auto"/>
              </w:rPr>
            </w:pPr>
            <w:r>
              <w:rPr>
                <w:rFonts w:ascii="Arial" w:cs="Arial" w:eastAsia="Arial" w:hAnsi="Arial"/>
                <w:sz w:val="18"/>
                <w:szCs w:val="18"/>
                <w:color w:val="auto"/>
              </w:rPr>
              <w:t>(27,427)</w:t>
            </w:r>
          </w:p>
        </w:tc>
        <w:tc>
          <w:tcPr>
            <w:tcW w:w="20" w:type="dxa"/>
            <w:vAlign w:val="bottom"/>
          </w:tcPr>
          <w:p>
            <w:pPr>
              <w:spacing w:after="0"/>
              <w:rPr>
                <w:sz w:val="22"/>
                <w:szCs w:val="22"/>
                <w:color w:val="auto"/>
              </w:rPr>
            </w:pPr>
          </w:p>
        </w:tc>
        <w:tc>
          <w:tcPr>
            <w:tcW w:w="1500" w:type="dxa"/>
            <w:vAlign w:val="bottom"/>
            <w:gridSpan w:val="6"/>
          </w:tcPr>
          <w:p>
            <w:pPr>
              <w:jc w:val="right"/>
              <w:ind w:right="20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6"/>
          </w:tcPr>
          <w:p>
            <w:pPr>
              <w:jc w:val="right"/>
              <w:spacing w:after="0" w:line="256" w:lineRule="exact"/>
              <w:rPr>
                <w:sz w:val="20"/>
                <w:szCs w:val="20"/>
                <w:color w:val="auto"/>
              </w:rPr>
            </w:pPr>
            <w:r>
              <w:rPr>
                <w:rFonts w:ascii="Arial" w:cs="Arial" w:eastAsia="Arial" w:hAnsi="Arial"/>
                <w:sz w:val="18"/>
                <w:szCs w:val="18"/>
                <w:color w:val="auto"/>
              </w:rPr>
              <w:t>(1,639)</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(27,400)</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gridSpan w:val="2"/>
            <w:shd w:val="clear" w:color="auto" w:fill="EEEEEE"/>
          </w:tcPr>
          <w:p>
            <w:pPr>
              <w:jc w:val="right"/>
              <w:ind w:right="66"/>
              <w:spacing w:after="0"/>
              <w:rPr>
                <w:sz w:val="20"/>
                <w:szCs w:val="20"/>
                <w:color w:val="auto"/>
              </w:rPr>
            </w:pPr>
            <w:r>
              <w:rPr>
                <w:rFonts w:ascii="Arial" w:cs="Arial" w:eastAsia="Arial" w:hAnsi="Arial"/>
                <w:sz w:val="18"/>
                <w:szCs w:val="18"/>
                <w:color w:val="auto"/>
              </w:rPr>
              <w:t>2,742</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2,742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5"/>
          </w:tcPr>
          <w:p>
            <w:pPr>
              <w:jc w:val="center"/>
              <w:ind w:right="160"/>
              <w:spacing w:after="0"/>
              <w:rPr>
                <w:sz w:val="20"/>
                <w:szCs w:val="20"/>
                <w:color w:val="auto"/>
              </w:rPr>
            </w:pPr>
            <w:r>
              <w:rPr>
                <w:rFonts w:ascii="Arial" w:cs="Arial" w:eastAsia="Arial" w:hAnsi="Arial"/>
                <w:sz w:val="14"/>
                <w:szCs w:val="14"/>
                <w:b w:val="1"/>
                <w:bCs w:val="1"/>
                <w:color w:val="auto"/>
                <w:w w:val="91"/>
              </w:rPr>
              <w:t>Nine months ended September 30, 2004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gridSpan w:val="4"/>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Research &amp;</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Reconciling</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Manufacturing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Items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3"/>
          </w:tcPr>
          <w:p>
            <w:pPr>
              <w:spacing w:after="0"/>
              <w:rPr>
                <w:sz w:val="4"/>
                <w:szCs w:val="4"/>
                <w:color w:val="auto"/>
              </w:rPr>
            </w:pPr>
          </w:p>
        </w:tc>
        <w:tc>
          <w:tcPr>
            <w:tcW w:w="126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gridSpan w:val="3"/>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102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1060" w:type="dxa"/>
            <w:vAlign w:val="bottom"/>
            <w:tcBorders>
              <w:top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680" w:type="dxa"/>
            <w:vAlign w:val="bottom"/>
            <w:tcBorders>
              <w:top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800" w:type="dxa"/>
            <w:vAlign w:val="bottom"/>
            <w:tcBorders>
              <w:top w:val="single" w:sz="8" w:color="808080"/>
            </w:tcBorders>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EEEEEE"/>
          </w:tcPr>
          <w:p>
            <w:pPr>
              <w:jc w:val="right"/>
              <w:ind w:right="246"/>
              <w:spacing w:after="0"/>
              <w:rPr>
                <w:sz w:val="20"/>
                <w:szCs w:val="20"/>
                <w:color w:val="auto"/>
              </w:rPr>
            </w:pPr>
            <w:r>
              <w:rPr>
                <w:rFonts w:ascii="Arial" w:cs="Arial" w:eastAsia="Arial" w:hAnsi="Arial"/>
                <w:sz w:val="18"/>
                <w:szCs w:val="18"/>
                <w:color w:val="auto"/>
                <w:w w:val="98"/>
              </w:rPr>
              <w:t>$112,147</w:t>
            </w:r>
          </w:p>
        </w:tc>
        <w:tc>
          <w:tcPr>
            <w:tcW w:w="20" w:type="dxa"/>
            <w:vAlign w:val="bottom"/>
            <w:shd w:val="clear" w:color="auto" w:fill="EEEEEE"/>
          </w:tcPr>
          <w:p>
            <w:pPr>
              <w:spacing w:after="0"/>
              <w:rPr>
                <w:sz w:val="18"/>
                <w:szCs w:val="18"/>
                <w:color w:val="auto"/>
              </w:rPr>
            </w:pPr>
          </w:p>
        </w:tc>
        <w:tc>
          <w:tcPr>
            <w:tcW w:w="1500" w:type="dxa"/>
            <w:vAlign w:val="bottom"/>
            <w:gridSpan w:val="6"/>
            <w:shd w:val="clear" w:color="auto" w:fill="EEEEEE"/>
          </w:tcPr>
          <w:p>
            <w:pPr>
              <w:jc w:val="right"/>
              <w:ind w:right="300"/>
              <w:spacing w:after="0"/>
              <w:rPr>
                <w:sz w:val="20"/>
                <w:szCs w:val="20"/>
                <w:color w:val="auto"/>
              </w:rPr>
            </w:pPr>
            <w:r>
              <w:rPr>
                <w:rFonts w:ascii="Arial" w:cs="Arial" w:eastAsia="Arial" w:hAnsi="Arial"/>
                <w:sz w:val="18"/>
                <w:szCs w:val="18"/>
                <w:color w:val="auto"/>
              </w:rPr>
              <w:t>$14,780</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$126,927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246"/>
              <w:spacing w:after="0"/>
              <w:rPr>
                <w:sz w:val="20"/>
                <w:szCs w:val="20"/>
                <w:color w:val="auto"/>
              </w:rPr>
            </w:pPr>
            <w:r>
              <w:rPr>
                <w:rFonts w:ascii="Arial" w:cs="Arial" w:eastAsia="Arial" w:hAnsi="Arial"/>
                <w:sz w:val="18"/>
                <w:szCs w:val="18"/>
                <w:color w:val="auto"/>
              </w:rPr>
              <w:t>10,663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420" w:type="dxa"/>
            <w:vAlign w:val="bottom"/>
            <w:gridSpan w:val="5"/>
          </w:tcPr>
          <w:p>
            <w:pPr>
              <w:jc w:val="right"/>
              <w:ind w:right="6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8"/>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18"/>
                <w:szCs w:val="18"/>
                <w:color w:val="auto"/>
              </w:rPr>
            </w:pPr>
          </w:p>
        </w:tc>
        <w:tc>
          <w:tcPr>
            <w:tcW w:w="1080" w:type="dxa"/>
            <w:vAlign w:val="bottom"/>
            <w:gridSpan w:val="4"/>
          </w:tcPr>
          <w:p>
            <w:pPr>
              <w:jc w:val="right"/>
              <w:ind w:right="48"/>
              <w:spacing w:after="0"/>
              <w:rPr>
                <w:sz w:val="20"/>
                <w:szCs w:val="20"/>
                <w:color w:val="auto"/>
              </w:rPr>
            </w:pPr>
            <w:r>
              <w:rPr>
                <w:rFonts w:ascii="Arial" w:cs="Arial" w:eastAsia="Arial" w:hAnsi="Arial"/>
                <w:sz w:val="18"/>
                <w:szCs w:val="18"/>
                <w:color w:val="auto"/>
              </w:rPr>
              <w:t>11,446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shd w:val="clear" w:color="auto" w:fill="EEEEEE"/>
          </w:tcPr>
          <w:p>
            <w:pPr>
              <w:jc w:val="right"/>
              <w:ind w:right="246"/>
              <w:spacing w:after="0"/>
              <w:rPr>
                <w:sz w:val="20"/>
                <w:szCs w:val="20"/>
                <w:color w:val="auto"/>
              </w:rPr>
            </w:pPr>
            <w:r>
              <w:rPr>
                <w:rFonts w:ascii="Arial" w:cs="Arial" w:eastAsia="Arial" w:hAnsi="Arial"/>
                <w:sz w:val="18"/>
                <w:szCs w:val="18"/>
                <w:color w:val="auto"/>
              </w:rPr>
              <w:t>126</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w w:val="93"/>
              </w:rPr>
              <w:t>9,035</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9,161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 contract income</w:t>
            </w:r>
          </w:p>
        </w:tc>
        <w:tc>
          <w:tcPr>
            <w:tcW w:w="1080" w:type="dxa"/>
            <w:vAlign w:val="bottom"/>
            <w:gridSpan w:val="2"/>
          </w:tcPr>
          <w:p>
            <w:pPr>
              <w:jc w:val="right"/>
              <w:ind w:right="246"/>
              <w:spacing w:after="0"/>
              <w:rPr>
                <w:sz w:val="20"/>
                <w:szCs w:val="20"/>
                <w:color w:val="auto"/>
              </w:rPr>
            </w:pPr>
            <w:r>
              <w:rPr>
                <w:rFonts w:ascii="Arial" w:cs="Arial" w:eastAsia="Arial" w:hAnsi="Arial"/>
                <w:sz w:val="18"/>
                <w:szCs w:val="18"/>
                <w:color w:val="auto"/>
              </w:rPr>
              <w:t>42,750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48"/>
              <w:spacing w:after="0"/>
              <w:rPr>
                <w:sz w:val="20"/>
                <w:szCs w:val="20"/>
                <w:color w:val="auto"/>
              </w:rPr>
            </w:pPr>
            <w:r>
              <w:rPr>
                <w:rFonts w:ascii="Arial" w:cs="Arial" w:eastAsia="Arial" w:hAnsi="Arial"/>
                <w:sz w:val="18"/>
                <w:szCs w:val="18"/>
                <w:color w:val="auto"/>
              </w:rPr>
              <w:t>42,750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shd w:val="clear" w:color="auto" w:fill="EEEEEE"/>
          </w:tcPr>
          <w:p>
            <w:pPr>
              <w:jc w:val="right"/>
              <w:ind w:right="246"/>
              <w:spacing w:after="0"/>
              <w:rPr>
                <w:sz w:val="20"/>
                <w:szCs w:val="20"/>
                <w:color w:val="auto"/>
              </w:rPr>
            </w:pPr>
            <w:r>
              <w:rPr>
                <w:rFonts w:ascii="Arial" w:cs="Arial" w:eastAsia="Arial" w:hAnsi="Arial"/>
                <w:sz w:val="18"/>
                <w:szCs w:val="18"/>
                <w:color w:val="auto"/>
              </w:rPr>
              <w:t>41,256</w:t>
            </w:r>
          </w:p>
        </w:tc>
        <w:tc>
          <w:tcPr>
            <w:tcW w:w="20" w:type="dxa"/>
            <w:vAlign w:val="bottom"/>
            <w:shd w:val="clear" w:color="auto" w:fill="EEEEEE"/>
          </w:tcPr>
          <w:p>
            <w:pPr>
              <w:spacing w:after="0"/>
              <w:rPr>
                <w:sz w:val="22"/>
                <w:szCs w:val="22"/>
                <w:color w:val="auto"/>
              </w:rPr>
            </w:pPr>
          </w:p>
        </w:tc>
        <w:tc>
          <w:tcPr>
            <w:tcW w:w="1500" w:type="dxa"/>
            <w:vAlign w:val="bottom"/>
            <w:gridSpan w:val="6"/>
            <w:shd w:val="clear" w:color="auto" w:fill="EEEEEE"/>
          </w:tcPr>
          <w:p>
            <w:pPr>
              <w:jc w:val="right"/>
              <w:ind w:right="300"/>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EEEEEE"/>
          </w:tcPr>
          <w:p>
            <w:pPr>
              <w:spacing w:after="0"/>
              <w:rPr>
                <w:sz w:val="22"/>
                <w:szCs w:val="22"/>
                <w:color w:val="auto"/>
              </w:rPr>
            </w:pPr>
          </w:p>
        </w:tc>
        <w:tc>
          <w:tcPr>
            <w:tcW w:w="20" w:type="dxa"/>
            <w:vAlign w:val="bottom"/>
            <w:shd w:val="clear" w:color="auto" w:fill="EEEEEE"/>
          </w:tcPr>
          <w:p>
            <w:pPr>
              <w:spacing w:after="0"/>
              <w:rPr>
                <w:sz w:val="22"/>
                <w:szCs w:val="22"/>
                <w:color w:val="auto"/>
              </w:rPr>
            </w:pPr>
          </w:p>
        </w:tc>
        <w:tc>
          <w:tcPr>
            <w:tcW w:w="1100" w:type="dxa"/>
            <w:vAlign w:val="bottom"/>
            <w:gridSpan w:val="6"/>
            <w:shd w:val="clear" w:color="auto" w:fill="EEEEEE"/>
          </w:tcPr>
          <w:p>
            <w:pPr>
              <w:jc w:val="right"/>
              <w:spacing w:after="0" w:line="256" w:lineRule="exact"/>
              <w:rPr>
                <w:sz w:val="20"/>
                <w:szCs w:val="20"/>
                <w:color w:val="auto"/>
              </w:rPr>
            </w:pPr>
            <w:r>
              <w:rPr>
                <w:rFonts w:ascii="Arial" w:cs="Arial" w:eastAsia="Arial" w:hAnsi="Arial"/>
                <w:sz w:val="18"/>
                <w:szCs w:val="18"/>
                <w:color w:val="auto"/>
              </w:rPr>
              <w:t>(5,389)</w:t>
            </w:r>
            <w:r>
              <w:rPr>
                <w:rFonts w:ascii="Arial" w:cs="Arial" w:eastAsia="Arial" w:hAnsi="Arial"/>
                <w:sz w:val="29"/>
                <w:szCs w:val="29"/>
                <w:color w:val="auto"/>
                <w:vertAlign w:val="superscript"/>
              </w:rPr>
              <w:t>(2)</w:t>
            </w:r>
          </w:p>
        </w:tc>
        <w:tc>
          <w:tcPr>
            <w:tcW w:w="20" w:type="dxa"/>
            <w:vAlign w:val="bottom"/>
            <w:shd w:val="clear" w:color="auto" w:fill="EEEEEE"/>
          </w:tcPr>
          <w:p>
            <w:pPr>
              <w:spacing w:after="0"/>
              <w:rPr>
                <w:sz w:val="22"/>
                <w:szCs w:val="22"/>
                <w:color w:val="auto"/>
              </w:rPr>
            </w:pP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38,907</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gridSpan w:val="2"/>
          </w:tcPr>
          <w:p>
            <w:pPr>
              <w:jc w:val="right"/>
              <w:ind w:right="246"/>
              <w:spacing w:after="0"/>
              <w:rPr>
                <w:sz w:val="20"/>
                <w:szCs w:val="20"/>
                <w:color w:val="auto"/>
              </w:rPr>
            </w:pPr>
            <w:r>
              <w:rPr>
                <w:rFonts w:ascii="Arial" w:cs="Arial" w:eastAsia="Arial" w:hAnsi="Arial"/>
                <w:sz w:val="18"/>
                <w:szCs w:val="18"/>
                <w:color w:val="auto"/>
              </w:rPr>
              <w:t>4,743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48"/>
              <w:spacing w:after="0"/>
              <w:rPr>
                <w:sz w:val="20"/>
                <w:szCs w:val="20"/>
                <w:color w:val="auto"/>
              </w:rPr>
            </w:pPr>
            <w:r>
              <w:rPr>
                <w:rFonts w:ascii="Arial" w:cs="Arial" w:eastAsia="Arial" w:hAnsi="Arial"/>
                <w:sz w:val="18"/>
                <w:szCs w:val="18"/>
                <w:color w:val="auto"/>
              </w:rPr>
              <w:t>4,743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1440" w:type="dxa"/>
            <w:vAlign w:val="bottom"/>
          </w:tcPr>
          <w:p>
            <w:pPr>
              <w:spacing w:after="0" w:line="20" w:lineRule="exact"/>
              <w:rPr>
                <w:sz w:val="1"/>
                <w:szCs w:val="1"/>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
                <w:szCs w:val="1"/>
                <w:color w:val="auto"/>
              </w:rPr>
              <w:t>Total assets</w:t>
            </w:r>
          </w:p>
        </w:tc>
        <w:tc>
          <w:tcPr>
            <w:tcW w:w="1080" w:type="dxa"/>
            <w:vAlign w:val="bottom"/>
            <w:gridSpan w:val="2"/>
            <w:shd w:val="clear" w:color="auto" w:fill="EEEEEE"/>
          </w:tcPr>
          <w:p>
            <w:pPr>
              <w:jc w:val="right"/>
              <w:ind w:right="246"/>
              <w:spacing w:after="0"/>
              <w:rPr>
                <w:sz w:val="20"/>
                <w:szCs w:val="20"/>
                <w:color w:val="auto"/>
              </w:rPr>
            </w:pPr>
            <w:r>
              <w:rPr>
                <w:rFonts w:ascii="Arial" w:cs="Arial" w:eastAsia="Arial" w:hAnsi="Arial"/>
                <w:sz w:val="1"/>
                <w:szCs w:val="1"/>
                <w:color w:val="auto"/>
              </w:rPr>
              <w:t>94,658</w:t>
            </w:r>
          </w:p>
        </w:tc>
        <w:tc>
          <w:tcPr>
            <w:tcW w:w="20" w:type="dxa"/>
            <w:vAlign w:val="bottom"/>
            <w:shd w:val="clear" w:color="auto" w:fill="EEEEEE"/>
          </w:tcPr>
          <w:p>
            <w:pPr>
              <w:spacing w:after="0" w:line="20" w:lineRule="exact"/>
              <w:rPr>
                <w:sz w:val="1"/>
                <w:szCs w:val="1"/>
                <w:color w:val="auto"/>
              </w:rPr>
            </w:pPr>
          </w:p>
        </w:tc>
        <w:tc>
          <w:tcPr>
            <w:tcW w:w="1500" w:type="dxa"/>
            <w:vAlign w:val="bottom"/>
            <w:gridSpan w:val="6"/>
            <w:shd w:val="clear" w:color="auto" w:fill="EEEEEE"/>
          </w:tcPr>
          <w:p>
            <w:pPr>
              <w:jc w:val="right"/>
              <w:ind w:right="300"/>
              <w:spacing w:after="0"/>
              <w:rPr>
                <w:sz w:val="20"/>
                <w:szCs w:val="20"/>
                <w:color w:val="auto"/>
              </w:rPr>
            </w:pPr>
            <w:r>
              <w:rPr>
                <w:rFonts w:ascii="Arial" w:cs="Arial" w:eastAsia="Arial" w:hAnsi="Arial"/>
                <w:sz w:val="1"/>
                <w:szCs w:val="1"/>
                <w:color w:val="auto"/>
              </w:rPr>
              <w:t>8,416</w:t>
            </w:r>
          </w:p>
        </w:tc>
        <w:tc>
          <w:tcPr>
            <w:tcW w:w="100" w:type="dxa"/>
            <w:vAlign w:val="bottom"/>
            <w:shd w:val="clear" w:color="auto" w:fill="EEEEEE"/>
          </w:tcPr>
          <w:p>
            <w:pPr>
              <w:spacing w:after="0" w:line="20" w:lineRule="exact"/>
              <w:rPr>
                <w:sz w:val="1"/>
                <w:szCs w:val="1"/>
                <w:color w:val="auto"/>
              </w:rPr>
            </w:pPr>
          </w:p>
        </w:tc>
        <w:tc>
          <w:tcPr>
            <w:tcW w:w="20" w:type="dxa"/>
            <w:vAlign w:val="bottom"/>
            <w:shd w:val="clear" w:color="auto" w:fill="EEEEEE"/>
          </w:tcPr>
          <w:p>
            <w:pPr>
              <w:spacing w:after="0" w:line="20" w:lineRule="exact"/>
              <w:rPr>
                <w:sz w:val="1"/>
                <w:szCs w:val="1"/>
                <w:color w:val="auto"/>
              </w:rPr>
            </w:pPr>
          </w:p>
        </w:tc>
        <w:tc>
          <w:tcPr>
            <w:tcW w:w="1100" w:type="dxa"/>
            <w:vAlign w:val="bottom"/>
            <w:gridSpan w:val="6"/>
            <w:shd w:val="clear" w:color="auto" w:fill="EEEEEE"/>
          </w:tcPr>
          <w:p>
            <w:pPr>
              <w:jc w:val="right"/>
              <w:ind w:right="158"/>
              <w:spacing w:after="0"/>
              <w:rPr>
                <w:sz w:val="20"/>
                <w:szCs w:val="20"/>
                <w:color w:val="auto"/>
              </w:rPr>
            </w:pPr>
            <w:r>
              <w:rPr>
                <w:rFonts w:ascii="Arial" w:cs="Arial" w:eastAsia="Arial" w:hAnsi="Arial"/>
                <w:sz w:val="1"/>
                <w:szCs w:val="1"/>
                <w:color w:val="auto"/>
              </w:rPr>
              <w:t>369,611</w:t>
            </w:r>
          </w:p>
        </w:tc>
        <w:tc>
          <w:tcPr>
            <w:tcW w:w="20" w:type="dxa"/>
            <w:vAlign w:val="bottom"/>
            <w:shd w:val="clear" w:color="auto" w:fill="EEEEEE"/>
          </w:tcPr>
          <w:p>
            <w:pPr>
              <w:spacing w:after="0" w:line="20" w:lineRule="exact"/>
              <w:rPr>
                <w:sz w:val="1"/>
                <w:szCs w:val="1"/>
                <w:color w:val="auto"/>
              </w:rPr>
            </w:pP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
                <w:szCs w:val="1"/>
                <w:color w:val="auto"/>
              </w:rPr>
              <w:t>472,685</w:t>
            </w: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440" w:type="dxa"/>
            <w:vAlign w:val="bottom"/>
          </w:tcPr>
          <w:p>
            <w:pPr>
              <w:spacing w:after="0"/>
              <w:rPr>
                <w:sz w:val="17"/>
                <w:szCs w:val="17"/>
                <w:color w:val="auto"/>
              </w:rPr>
            </w:pPr>
          </w:p>
        </w:tc>
        <w:tc>
          <w:tcPr>
            <w:tcW w:w="34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5"/>
          </w:tcPr>
          <w:p>
            <w:pPr>
              <w:jc w:val="center"/>
              <w:ind w:right="160"/>
              <w:spacing w:after="0"/>
              <w:rPr>
                <w:sz w:val="20"/>
                <w:szCs w:val="20"/>
                <w:color w:val="auto"/>
              </w:rPr>
            </w:pPr>
            <w:r>
              <w:rPr>
                <w:rFonts w:ascii="Arial" w:cs="Arial" w:eastAsia="Arial" w:hAnsi="Arial"/>
                <w:sz w:val="14"/>
                <w:szCs w:val="14"/>
                <w:b w:val="1"/>
                <w:bCs w:val="1"/>
                <w:color w:val="auto"/>
                <w:w w:val="91"/>
              </w:rPr>
              <w:t>Nine months ended September 30, 2003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gridSpan w:val="4"/>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Research &amp;</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Reconciling</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Manufacturing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Items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620" w:type="dxa"/>
            <w:vAlign w:val="bottom"/>
            <w:gridSpan w:val="2"/>
          </w:tcPr>
          <w:p>
            <w:pPr>
              <w:spacing w:after="0"/>
              <w:rPr>
                <w:sz w:val="4"/>
                <w:szCs w:val="4"/>
                <w:color w:val="auto"/>
              </w:rPr>
            </w:pPr>
          </w:p>
        </w:tc>
        <w:tc>
          <w:tcPr>
            <w:tcW w:w="10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3"/>
          </w:tcPr>
          <w:p>
            <w:pPr>
              <w:spacing w:after="0"/>
              <w:rPr>
                <w:sz w:val="4"/>
                <w:szCs w:val="4"/>
                <w:color w:val="auto"/>
              </w:rPr>
            </w:pPr>
          </w:p>
        </w:tc>
        <w:tc>
          <w:tcPr>
            <w:tcW w:w="126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080" w:type="dxa"/>
            <w:vAlign w:val="bottom"/>
            <w:gridSpan w:val="4"/>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1020" w:type="dxa"/>
            <w:vAlign w:val="bottom"/>
            <w:tcBorders>
              <w:top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1060" w:type="dxa"/>
            <w:vAlign w:val="bottom"/>
            <w:tcBorders>
              <w:top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12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680" w:type="dxa"/>
            <w:vAlign w:val="bottom"/>
            <w:tcBorders>
              <w:top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800" w:type="dxa"/>
            <w:vAlign w:val="bottom"/>
            <w:tcBorders>
              <w:top w:val="single" w:sz="8" w:color="808080"/>
            </w:tcBorders>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EEEEEE"/>
          </w:tcPr>
          <w:p>
            <w:pPr>
              <w:jc w:val="right"/>
              <w:ind w:right="246"/>
              <w:spacing w:after="0"/>
              <w:rPr>
                <w:sz w:val="20"/>
                <w:szCs w:val="20"/>
                <w:color w:val="auto"/>
              </w:rPr>
            </w:pPr>
            <w:r>
              <w:rPr>
                <w:rFonts w:ascii="Arial" w:cs="Arial" w:eastAsia="Arial" w:hAnsi="Arial"/>
                <w:sz w:val="18"/>
                <w:szCs w:val="18"/>
                <w:color w:val="auto"/>
              </w:rPr>
              <w:t>$ 28,245</w:t>
            </w:r>
          </w:p>
        </w:tc>
        <w:tc>
          <w:tcPr>
            <w:tcW w:w="20" w:type="dxa"/>
            <w:vAlign w:val="bottom"/>
            <w:shd w:val="clear" w:color="auto" w:fill="EEEEEE"/>
          </w:tcPr>
          <w:p>
            <w:pPr>
              <w:spacing w:after="0"/>
              <w:rPr>
                <w:sz w:val="18"/>
                <w:szCs w:val="18"/>
                <w:color w:val="auto"/>
              </w:rPr>
            </w:pPr>
          </w:p>
        </w:tc>
        <w:tc>
          <w:tcPr>
            <w:tcW w:w="1500" w:type="dxa"/>
            <w:vAlign w:val="bottom"/>
            <w:gridSpan w:val="6"/>
            <w:shd w:val="clear" w:color="auto" w:fill="EEEEEE"/>
          </w:tcPr>
          <w:p>
            <w:pPr>
              <w:jc w:val="right"/>
              <w:ind w:right="300"/>
              <w:spacing w:after="0"/>
              <w:rPr>
                <w:sz w:val="20"/>
                <w:szCs w:val="20"/>
                <w:color w:val="auto"/>
              </w:rPr>
            </w:pPr>
            <w:r>
              <w:rPr>
                <w:rFonts w:ascii="Arial" w:cs="Arial" w:eastAsia="Arial" w:hAnsi="Arial"/>
                <w:sz w:val="18"/>
                <w:szCs w:val="18"/>
                <w:color w:val="auto"/>
              </w:rPr>
              <w:t>$ 7,980</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$ 36,225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246"/>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ind w:right="158"/>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18"/>
                <w:szCs w:val="18"/>
                <w:color w:val="auto"/>
              </w:rPr>
            </w:pPr>
          </w:p>
        </w:tc>
        <w:tc>
          <w:tcPr>
            <w:tcW w:w="1080" w:type="dxa"/>
            <w:vAlign w:val="bottom"/>
            <w:gridSpan w:val="4"/>
          </w:tcPr>
          <w:p>
            <w:pPr>
              <w:jc w:val="right"/>
              <w:ind w:right="48"/>
              <w:spacing w:after="0"/>
              <w:rPr>
                <w:sz w:val="20"/>
                <w:szCs w:val="20"/>
                <w:color w:val="auto"/>
              </w:rPr>
            </w:pPr>
            <w:r>
              <w:rPr>
                <w:rFonts w:ascii="Arial" w:cs="Arial" w:eastAsia="Arial" w:hAnsi="Arial"/>
                <w:sz w:val="18"/>
                <w:szCs w:val="18"/>
                <w:color w:val="auto"/>
              </w:rPr>
              <w:t>8,623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shd w:val="clear" w:color="auto" w:fill="EEEEEE"/>
          </w:tcPr>
          <w:p>
            <w:pPr>
              <w:jc w:val="right"/>
              <w:ind w:right="246"/>
              <w:spacing w:after="0"/>
              <w:rPr>
                <w:sz w:val="20"/>
                <w:szCs w:val="20"/>
                <w:color w:val="auto"/>
              </w:rPr>
            </w:pPr>
            <w:r>
              <w:rPr>
                <w:rFonts w:ascii="Arial" w:cs="Arial" w:eastAsia="Arial" w:hAnsi="Arial"/>
                <w:sz w:val="18"/>
                <w:szCs w:val="18"/>
                <w:color w:val="auto"/>
              </w:rPr>
              <w:t>66</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w w:val="93"/>
              </w:rPr>
              <w:t>8,760</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8,826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80" w:type="dxa"/>
            <w:vAlign w:val="bottom"/>
            <w:gridSpan w:val="2"/>
          </w:tcPr>
          <w:p>
            <w:pPr>
              <w:jc w:val="right"/>
              <w:ind w:right="186"/>
              <w:spacing w:after="0"/>
              <w:rPr>
                <w:sz w:val="20"/>
                <w:szCs w:val="20"/>
                <w:color w:val="auto"/>
              </w:rPr>
            </w:pPr>
            <w:r>
              <w:rPr>
                <w:rFonts w:ascii="Arial" w:cs="Arial" w:eastAsia="Arial" w:hAnsi="Arial"/>
                <w:sz w:val="18"/>
                <w:szCs w:val="18"/>
                <w:color w:val="auto"/>
              </w:rPr>
              <w:t>(85,126)</w:t>
            </w:r>
          </w:p>
        </w:tc>
        <w:tc>
          <w:tcPr>
            <w:tcW w:w="20" w:type="dxa"/>
            <w:vAlign w:val="bottom"/>
          </w:tcPr>
          <w:p>
            <w:pPr>
              <w:spacing w:after="0"/>
              <w:rPr>
                <w:sz w:val="22"/>
                <w:szCs w:val="22"/>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6"/>
          </w:tcPr>
          <w:p>
            <w:pPr>
              <w:jc w:val="right"/>
              <w:spacing w:after="0" w:line="256" w:lineRule="exact"/>
              <w:rPr>
                <w:sz w:val="20"/>
                <w:szCs w:val="20"/>
                <w:color w:val="auto"/>
              </w:rPr>
            </w:pPr>
            <w:r>
              <w:rPr>
                <w:rFonts w:ascii="Arial" w:cs="Arial" w:eastAsia="Arial" w:hAnsi="Arial"/>
                <w:sz w:val="18"/>
                <w:szCs w:val="18"/>
                <w:color w:val="auto"/>
              </w:rPr>
              <w:t>(5,166)</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(88,081)</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gridSpan w:val="2"/>
            <w:shd w:val="clear" w:color="auto" w:fill="EEEEEE"/>
          </w:tcPr>
          <w:p>
            <w:pPr>
              <w:jc w:val="right"/>
              <w:ind w:right="246"/>
              <w:spacing w:after="0"/>
              <w:rPr>
                <w:sz w:val="20"/>
                <w:szCs w:val="20"/>
                <w:color w:val="auto"/>
              </w:rPr>
            </w:pPr>
            <w:r>
              <w:rPr>
                <w:rFonts w:ascii="Arial" w:cs="Arial" w:eastAsia="Arial" w:hAnsi="Arial"/>
                <w:sz w:val="18"/>
                <w:szCs w:val="18"/>
                <w:color w:val="auto"/>
              </w:rPr>
              <w:t>15,596</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48"/>
              <w:spacing w:after="0"/>
              <w:rPr>
                <w:sz w:val="20"/>
                <w:szCs w:val="20"/>
                <w:color w:val="auto"/>
              </w:rPr>
            </w:pPr>
            <w:r>
              <w:rPr>
                <w:rFonts w:ascii="Arial" w:cs="Arial" w:eastAsia="Arial" w:hAnsi="Arial"/>
                <w:sz w:val="18"/>
                <w:szCs w:val="18"/>
                <w:color w:val="auto"/>
              </w:rPr>
              <w:t>15,596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1440" w:type="dxa"/>
            <w:vAlign w:val="bottom"/>
          </w:tcPr>
          <w:p>
            <w:pPr>
              <w:spacing w:after="0" w:line="20" w:lineRule="exact"/>
              <w:rPr>
                <w:sz w:val="1"/>
                <w:szCs w:val="1"/>
                <w:color w:val="auto"/>
              </w:rPr>
            </w:pPr>
          </w:p>
        </w:tc>
        <w:tc>
          <w:tcPr>
            <w:tcW w:w="3620" w:type="dxa"/>
            <w:vAlign w:val="bottom"/>
            <w:gridSpan w:val="2"/>
          </w:tcPr>
          <w:p>
            <w:pPr>
              <w:spacing w:after="0"/>
              <w:rPr>
                <w:sz w:val="20"/>
                <w:szCs w:val="20"/>
                <w:color w:val="auto"/>
              </w:rPr>
            </w:pPr>
            <w:r>
              <w:rPr>
                <w:rFonts w:ascii="Arial" w:cs="Arial" w:eastAsia="Arial" w:hAnsi="Arial"/>
                <w:sz w:val="1"/>
                <w:szCs w:val="1"/>
                <w:color w:val="auto"/>
              </w:rPr>
              <w:t>Total assets</w:t>
            </w:r>
          </w:p>
        </w:tc>
        <w:tc>
          <w:tcPr>
            <w:tcW w:w="1080" w:type="dxa"/>
            <w:vAlign w:val="bottom"/>
            <w:gridSpan w:val="2"/>
          </w:tcPr>
          <w:p>
            <w:pPr>
              <w:jc w:val="right"/>
              <w:ind w:right="246"/>
              <w:spacing w:after="0"/>
              <w:rPr>
                <w:sz w:val="20"/>
                <w:szCs w:val="20"/>
                <w:color w:val="auto"/>
              </w:rPr>
            </w:pPr>
            <w:r>
              <w:rPr>
                <w:rFonts w:ascii="Arial" w:cs="Arial" w:eastAsia="Arial" w:hAnsi="Arial"/>
                <w:sz w:val="1"/>
                <w:szCs w:val="1"/>
                <w:color w:val="auto"/>
              </w:rPr>
              <w:t>88,543</w:t>
            </w:r>
          </w:p>
        </w:tc>
        <w:tc>
          <w:tcPr>
            <w:tcW w:w="20" w:type="dxa"/>
            <w:vAlign w:val="bottom"/>
          </w:tcPr>
          <w:p>
            <w:pPr>
              <w:spacing w:after="0" w:line="20" w:lineRule="exact"/>
              <w:rPr>
                <w:sz w:val="1"/>
                <w:szCs w:val="1"/>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
                <w:szCs w:val="1"/>
                <w:color w:val="auto"/>
              </w:rPr>
              <w:t>12,067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6"/>
          </w:tcPr>
          <w:p>
            <w:pPr>
              <w:jc w:val="right"/>
              <w:ind w:right="158"/>
              <w:spacing w:after="0"/>
              <w:rPr>
                <w:sz w:val="20"/>
                <w:szCs w:val="20"/>
                <w:color w:val="auto"/>
              </w:rPr>
            </w:pPr>
            <w:r>
              <w:rPr>
                <w:rFonts w:ascii="Arial" w:cs="Arial" w:eastAsia="Arial" w:hAnsi="Arial"/>
                <w:sz w:val="1"/>
                <w:szCs w:val="1"/>
                <w:color w:val="auto"/>
              </w:rPr>
              <w:t>399,891</w:t>
            </w:r>
          </w:p>
        </w:tc>
        <w:tc>
          <w:tcPr>
            <w:tcW w:w="20" w:type="dxa"/>
            <w:vAlign w:val="bottom"/>
          </w:tcPr>
          <w:p>
            <w:pPr>
              <w:spacing w:after="0" w:line="20" w:lineRule="exact"/>
              <w:rPr>
                <w:sz w:val="1"/>
                <w:szCs w:val="1"/>
                <w:color w:val="auto"/>
              </w:rPr>
            </w:pPr>
          </w:p>
        </w:tc>
        <w:tc>
          <w:tcPr>
            <w:tcW w:w="1080" w:type="dxa"/>
            <w:vAlign w:val="bottom"/>
            <w:gridSpan w:val="4"/>
          </w:tcPr>
          <w:p>
            <w:pPr>
              <w:jc w:val="right"/>
              <w:ind w:right="48"/>
              <w:spacing w:after="0"/>
              <w:rPr>
                <w:sz w:val="20"/>
                <w:szCs w:val="20"/>
                <w:color w:val="auto"/>
              </w:rPr>
            </w:pPr>
            <w:r>
              <w:rPr>
                <w:rFonts w:ascii="Arial" w:cs="Arial" w:eastAsia="Arial" w:hAnsi="Arial"/>
                <w:sz w:val="1"/>
                <w:szCs w:val="1"/>
                <w:color w:val="auto"/>
              </w:rPr>
              <w:t>500,501</w:t>
            </w: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left="141"/>
              <w:spacing w:after="0"/>
              <w:rPr>
                <w:sz w:val="20"/>
                <w:szCs w:val="20"/>
                <w:color w:val="auto"/>
              </w:rPr>
            </w:pPr>
            <w:r>
              <w:rPr>
                <w:rFonts w:ascii="Arial" w:cs="Arial" w:eastAsia="Arial" w:hAnsi="Arial"/>
                <w:sz w:val="18"/>
                <w:szCs w:val="18"/>
                <w:color w:val="auto"/>
                <w:w w:val="89"/>
              </w:rPr>
              <w:t>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560" w:right="180" w:hanging="281"/>
        <w:spacing w:after="0" w:line="194" w:lineRule="auto"/>
        <w:tabs>
          <w:tab w:leader="none" w:pos="560" w:val="left"/>
        </w:tabs>
        <w:numPr>
          <w:ilvl w:val="1"/>
          <w:numId w:val="10"/>
        </w:numPr>
        <w:rPr>
          <w:rFonts w:ascii="Arial" w:cs="Arial" w:eastAsia="Arial" w:hAnsi="Arial"/>
          <w:sz w:val="30"/>
          <w:szCs w:val="30"/>
          <w:color w:val="auto"/>
          <w:vertAlign w:val="superscript"/>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ind w:left="560" w:hanging="281"/>
        <w:spacing w:after="0" w:line="180" w:lineRule="auto"/>
        <w:tabs>
          <w:tab w:leader="none" w:pos="560" w:val="left"/>
        </w:tabs>
        <w:numPr>
          <w:ilvl w:val="1"/>
          <w:numId w:val="10"/>
        </w:numPr>
        <w:rPr>
          <w:rFonts w:ascii="Arial" w:cs="Arial" w:eastAsia="Arial" w:hAnsi="Arial"/>
          <w:sz w:val="25"/>
          <w:szCs w:val="25"/>
          <w:color w:val="auto"/>
          <w:vertAlign w:val="superscript"/>
        </w:rPr>
      </w:pPr>
      <w:r>
        <w:rPr>
          <w:rFonts w:ascii="Arial" w:cs="Arial" w:eastAsia="Arial" w:hAnsi="Arial"/>
          <w:sz w:val="16"/>
          <w:szCs w:val="16"/>
          <w:color w:val="auto"/>
        </w:rPr>
        <w:t>Represents investment income, net of interest expense primarily related to convertible notes issued in October 2001.</w:t>
      </w:r>
    </w:p>
    <w:p>
      <w:pPr>
        <w:spacing w:after="0" w:line="2" w:lineRule="exact"/>
        <w:rPr>
          <w:rFonts w:ascii="Arial" w:cs="Arial" w:eastAsia="Arial" w:hAnsi="Arial"/>
          <w:sz w:val="25"/>
          <w:szCs w:val="25"/>
          <w:color w:val="auto"/>
          <w:vertAlign w:val="superscript"/>
        </w:rPr>
      </w:pPr>
    </w:p>
    <w:p>
      <w:pPr>
        <w:ind w:left="560" w:hanging="281"/>
        <w:spacing w:after="0" w:line="186" w:lineRule="auto"/>
        <w:tabs>
          <w:tab w:leader="none" w:pos="560" w:val="left"/>
        </w:tabs>
        <w:numPr>
          <w:ilvl w:val="1"/>
          <w:numId w:val="10"/>
        </w:numPr>
        <w:rPr>
          <w:rFonts w:ascii="Arial" w:cs="Arial" w:eastAsia="Arial" w:hAnsi="Arial"/>
          <w:sz w:val="24"/>
          <w:szCs w:val="24"/>
          <w:color w:val="auto"/>
          <w:vertAlign w:val="superscript"/>
        </w:rPr>
      </w:pPr>
      <w:r>
        <w:rPr>
          <w:rFonts w:ascii="Arial" w:cs="Arial" w:eastAsia="Arial" w:hAnsi="Arial"/>
          <w:sz w:val="15"/>
          <w:szCs w:val="15"/>
          <w:color w:val="auto"/>
        </w:rPr>
        <w:t>Includes cash and cash equivalents, marketable securities, restricted marketable securities, prepaid expenses and other current assets, and other assets.</w:t>
      </w:r>
    </w:p>
    <w:p>
      <w:pPr>
        <w:spacing w:after="0" w:line="198" w:lineRule="exact"/>
        <w:rPr>
          <w:rFonts w:ascii="Arial" w:cs="Arial" w:eastAsia="Arial" w:hAnsi="Arial"/>
          <w:sz w:val="24"/>
          <w:szCs w:val="24"/>
          <w:color w:val="auto"/>
          <w:vertAlign w:val="superscript"/>
        </w:rPr>
      </w:pPr>
    </w:p>
    <w:p>
      <w:pPr>
        <w:ind w:left="340" w:hanging="327"/>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3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currently expects to recognize a tax loss for the year ended December 31, 2004. Accordingly, no provision for income taxes has been recorded in the accompanying financial statements.</w:t>
      </w:r>
    </w:p>
    <w:p>
      <w:pPr>
        <w:spacing w:after="0" w:line="166" w:lineRule="exact"/>
        <w:rPr>
          <w:rFonts w:ascii="Arial" w:cs="Arial" w:eastAsia="Arial" w:hAnsi="Arial"/>
          <w:sz w:val="18"/>
          <w:szCs w:val="18"/>
          <w:b w:val="1"/>
          <w:bCs w:val="1"/>
          <w:color w:val="auto"/>
        </w:rPr>
      </w:pPr>
    </w:p>
    <w:p>
      <w:pPr>
        <w:ind w:left="340" w:hanging="327"/>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rFonts w:ascii="Arial" w:cs="Arial" w:eastAsia="Arial" w:hAnsi="Arial"/>
          <w:sz w:val="18"/>
          <w:szCs w:val="18"/>
          <w:b w:val="1"/>
          <w:bCs w:val="1"/>
          <w:color w:val="auto"/>
        </w:rPr>
      </w:pPr>
    </w:p>
    <w:p>
      <w:pPr>
        <w:ind w:left="340" w:right="40"/>
        <w:spacing w:after="0" w:line="254" w:lineRule="auto"/>
        <w:rPr>
          <w:rFonts w:ascii="Arial" w:cs="Arial" w:eastAsia="Arial" w:hAnsi="Arial"/>
          <w:sz w:val="18"/>
          <w:szCs w:val="18"/>
          <w:b w:val="1"/>
          <w:bCs w:val="1"/>
          <w:color w:val="auto"/>
        </w:rPr>
      </w:pPr>
      <w:r>
        <w:rPr>
          <w:rFonts w:ascii="Arial" w:cs="Arial" w:eastAsia="Arial" w:hAnsi="Arial"/>
          <w:sz w:val="17"/>
          <w:szCs w:val="17"/>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w:t>
      </w:r>
      <w:r>
        <w:rPr>
          <w:rFonts w:ascii="Arial" w:cs="Arial" w:eastAsia="Arial" w:hAnsi="Arial"/>
          <w:sz w:val="28"/>
          <w:szCs w:val="28"/>
          <w:color w:val="auto"/>
          <w:vertAlign w:val="superscript"/>
        </w:rPr>
        <w:t>®</w:t>
      </w:r>
      <w:r>
        <w:rPr>
          <w:rFonts w:ascii="Arial" w:cs="Arial" w:eastAsia="Arial" w:hAnsi="Arial"/>
          <w:sz w:val="17"/>
          <w:szCs w:val="17"/>
          <w:color w:val="auto"/>
        </w:rPr>
        <w:t>, in violation of Sections 10(b) and 20(a) of the Securities and Exchange Act of 1934 and Rule 10b-5 promulgated thereunder. Damages are sought in an unspecified amount. The Company’s management believes that the complaint is without merit, and in December 2003 the Company filed a motion to dismiss the lawsuit. The ultimate outcome of this matter cannot presently be determined. Accordingly, no provision for any liability that may result upon the resolution of this matter has been made in the accompanying financial statements.</w:t>
      </w:r>
    </w:p>
    <w:p>
      <w:pPr>
        <w:spacing w:after="0" w:line="196" w:lineRule="exact"/>
        <w:rPr>
          <w:rFonts w:ascii="Arial" w:cs="Arial" w:eastAsia="Arial" w:hAnsi="Arial"/>
          <w:sz w:val="18"/>
          <w:szCs w:val="18"/>
          <w:b w:val="1"/>
          <w:bCs w:val="1"/>
          <w:color w:val="auto"/>
        </w:rPr>
      </w:pPr>
    </w:p>
    <w:p>
      <w:pPr>
        <w:ind w:left="340" w:right="2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from time to time, has been subject to other legal claims arising in connection with its business. While the ultimate results of the legal claims cannot be predicted with certainty, at September 30, 2004 there were no asserted claims against the Company which, in the opinion of management, if adversely decided would have a material adverse effect on the Company’s financial position, results of operations, and cash flows.</w:t>
      </w:r>
    </w:p>
    <w:p>
      <w:pPr>
        <w:spacing w:after="0" w:line="142" w:lineRule="exact"/>
        <w:rPr>
          <w:rFonts w:ascii="Arial" w:cs="Arial" w:eastAsia="Arial" w:hAnsi="Arial"/>
          <w:sz w:val="18"/>
          <w:szCs w:val="18"/>
          <w:b w:val="1"/>
          <w:bCs w:val="1"/>
          <w:color w:val="auto"/>
        </w:rPr>
      </w:pPr>
    </w:p>
    <w:p>
      <w:pPr>
        <w:ind w:left="340" w:hanging="327"/>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Future Impact of Recently Issued Accounting Standards</w:t>
      </w:r>
    </w:p>
    <w:p>
      <w:pPr>
        <w:spacing w:after="0" w:line="229" w:lineRule="exact"/>
        <w:rPr>
          <w:rFonts w:ascii="Arial" w:cs="Arial" w:eastAsia="Arial" w:hAnsi="Arial"/>
          <w:sz w:val="18"/>
          <w:szCs w:val="18"/>
          <w:b w:val="1"/>
          <w:bCs w:val="1"/>
          <w:color w:val="auto"/>
        </w:rPr>
      </w:pPr>
    </w:p>
    <w:p>
      <w:pPr>
        <w:ind w:left="34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In April 2004, the Emerging Issues Task Force issued Statement No. 03-6, </w:t>
      </w:r>
      <w:r>
        <w:rPr>
          <w:rFonts w:ascii="Arial" w:cs="Arial" w:eastAsia="Arial" w:hAnsi="Arial"/>
          <w:sz w:val="18"/>
          <w:szCs w:val="18"/>
          <w:i w:val="1"/>
          <w:iCs w:val="1"/>
          <w:color w:val="auto"/>
        </w:rPr>
        <w:t>Participating Securities and the Two-Class Method under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128, Earnings per Share </w:t>
      </w:r>
      <w:r>
        <w:rPr>
          <w:rFonts w:ascii="Arial" w:cs="Arial" w:eastAsia="Arial" w:hAnsi="Arial"/>
          <w:sz w:val="18"/>
          <w:szCs w:val="18"/>
          <w:color w:val="auto"/>
        </w:rPr>
        <w:t>(EITF 03-6). EITF 03-6 addresses a number of questions regarding the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220"/>
        <w:spacing w:after="0" w:line="273" w:lineRule="auto"/>
        <w:rPr>
          <w:sz w:val="20"/>
          <w:szCs w:val="20"/>
          <w:color w:val="auto"/>
        </w:rPr>
      </w:pPr>
      <w:r>
        <w:rPr>
          <w:rFonts w:ascii="Arial" w:cs="Arial" w:eastAsia="Arial" w:hAnsi="Arial"/>
          <w:sz w:val="17"/>
          <w:szCs w:val="17"/>
          <w:color w:val="auto"/>
        </w:rPr>
        <w:t>computation of earnings per share (“EPS”) by companies that have issued securities other than common stock that contractually entitle the holder to participate in dividends and earnings of the company when, and if, it declares dividends on its common stock. EITF 03-6 defines participation rights based solely on whether the holder would be entitled to receive any dividends if the entity declared them during the period and requires the use of the two-class method for computing basic EPS when participating convertible securities exist. In addition, EITF 03-6 expands the use of the two-class method to encompass other forms of participating securities and is effective for fiscal periods beginning after March 31, 2004. Since the Company has no participating securities, the Company’s adoption of EITF 03-6 did not have an impact on the Company’s financial statements.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2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16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Here is a summary of the clinical status of our clinical candidates as of September 30, 2004:</w:t>
      </w:r>
    </w:p>
    <w:p>
      <w:pPr>
        <w:spacing w:after="0" w:line="221" w:lineRule="exact"/>
        <w:rPr>
          <w:sz w:val="20"/>
          <w:szCs w:val="20"/>
          <w:color w:val="auto"/>
        </w:rPr>
      </w:pPr>
    </w:p>
    <w:p>
      <w:pPr>
        <w:ind w:left="560" w:right="120" w:hanging="169"/>
        <w:spacing w:after="0" w:line="277" w:lineRule="auto"/>
        <w:tabs>
          <w:tab w:leader="none" w:pos="5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VEGF TRAP: </w:t>
      </w:r>
      <w:r>
        <w:rPr>
          <w:rFonts w:ascii="Arial" w:cs="Arial" w:eastAsia="Arial" w:hAnsi="Arial"/>
          <w:sz w:val="17"/>
          <w:szCs w:val="17"/>
          <w:color w:val="auto"/>
        </w:rPr>
        <w:t>Protein-based product candidate designed to bind Vascular Endothelial Growth Factor (called VEGF, also known as Vascular</w:t>
      </w:r>
      <w:r>
        <w:rPr>
          <w:rFonts w:ascii="Arial" w:cs="Arial" w:eastAsia="Arial" w:hAnsi="Arial"/>
          <w:sz w:val="17"/>
          <w:szCs w:val="17"/>
          <w:b w:val="1"/>
          <w:bCs w:val="1"/>
          <w:color w:val="auto"/>
        </w:rPr>
        <w:t xml:space="preserve"> </w:t>
      </w:r>
      <w:r>
        <w:rPr>
          <w:rFonts w:ascii="Arial" w:cs="Arial" w:eastAsia="Arial" w:hAnsi="Arial"/>
          <w:sz w:val="17"/>
          <w:szCs w:val="17"/>
          <w:color w:val="auto"/>
        </w:rPr>
        <w:t>Permeability Factor or VPF) and the related Placental Growth Factor (called PlGF), and prevent their interaction with cell surface receptors. VEGF (and to a less validated degree, PlGF) is required for the growth of new blood vessels that are needed for tumors to grow and is a potent regulator of vascular permeability and leakage. In 2001, we initiated a dose-escalation phase 1 clinical trial designed to assess the safety and tolerability of the VEGF Trap in subjects with advanced solid tumor malignancies. The preliminary results of this study were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line="232" w:lineRule="auto"/>
        <w:rPr>
          <w:sz w:val="20"/>
          <w:szCs w:val="20"/>
          <w:color w:val="auto"/>
        </w:rPr>
      </w:pPr>
      <w:r>
        <w:rPr>
          <w:rFonts w:ascii="Arial" w:cs="Arial" w:eastAsia="Arial" w:hAnsi="Arial"/>
          <w:sz w:val="18"/>
          <w:szCs w:val="18"/>
          <w:color w:val="auto"/>
        </w:rPr>
        <w:t>announced at the annual meeting of the American Society of Clinical Oncology (ASCO) in June 2004 and we updated these results in a poster session at the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EORTC-NCI-AACR Symposium on Molecular Targets and Cancer Therapeutics in September 2004. The phase 1 trial was an open label, dose-escalation study conducted at three sites in the United States. The study enrolled and treated 38 patients with incurable, relapsed or refractory solid tumors, with subcutaneous injections of VEGF Trap. In total, the trial enrolled patients with 15 different types of cancer. Preliminary results of this study indicated that:</w:t>
      </w:r>
    </w:p>
    <w:p>
      <w:pPr>
        <w:spacing w:after="0" w:line="203" w:lineRule="exact"/>
        <w:rPr>
          <w:sz w:val="20"/>
          <w:szCs w:val="20"/>
          <w:color w:val="auto"/>
        </w:rPr>
      </w:pPr>
    </w:p>
    <w:p>
      <w:pPr>
        <w:ind w:left="800" w:hanging="177"/>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VEGF Trap was generally well-tolerated at the dose levels studied, and</w:t>
      </w:r>
    </w:p>
    <w:p>
      <w:pPr>
        <w:spacing w:after="0" w:line="225" w:lineRule="exact"/>
        <w:rPr>
          <w:rFonts w:ascii="Arial" w:cs="Arial" w:eastAsia="Arial" w:hAnsi="Arial"/>
          <w:sz w:val="18"/>
          <w:szCs w:val="18"/>
          <w:color w:val="auto"/>
        </w:rPr>
      </w:pPr>
    </w:p>
    <w:p>
      <w:pPr>
        <w:ind w:left="800" w:right="280" w:hanging="177"/>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circulating levels of the VEGF Trap at the highest dose (1.6 mg/kg per week) were consistent with levels observed to be effective in preclinical models.</w:t>
      </w:r>
    </w:p>
    <w:p>
      <w:pPr>
        <w:spacing w:after="0" w:line="170" w:lineRule="exact"/>
        <w:rPr>
          <w:sz w:val="20"/>
          <w:szCs w:val="20"/>
          <w:color w:val="auto"/>
        </w:rPr>
      </w:pPr>
    </w:p>
    <w:p>
      <w:pPr>
        <w:ind w:left="560" w:right="140"/>
        <w:spacing w:after="0" w:line="264" w:lineRule="auto"/>
        <w:rPr>
          <w:sz w:val="20"/>
          <w:szCs w:val="20"/>
          <w:color w:val="auto"/>
        </w:rPr>
      </w:pPr>
      <w:r>
        <w:rPr>
          <w:rFonts w:ascii="Arial" w:cs="Arial" w:eastAsia="Arial" w:hAnsi="Arial"/>
          <w:sz w:val="18"/>
          <w:szCs w:val="18"/>
          <w:color w:val="auto"/>
        </w:rPr>
        <w:t>Detailed results of the trial are expected to be submitted for publication in a peer-reviewed journal once all patients complete the extended treatment phase available to patients who maintained stable disease after the initial 10-week treatment period and the full results of the extension phase have been analyzed.</w:t>
      </w:r>
    </w:p>
    <w:p>
      <w:pPr>
        <w:spacing w:after="0" w:line="181"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color w:val="auto"/>
        </w:rPr>
        <w:t>During the third quarter of 2004, the U.S. Food and Drug Administration (FDA) granted Fast Track designation to the VEGF Trap for a specific niche cancer indication. As a result of the FDA’s decision, Regeneron and Aventis, a part of the sanofi-aventis Group, plan to initiate a clinical trial in that indication in 2005.</w:t>
      </w:r>
    </w:p>
    <w:p>
      <w:pPr>
        <w:spacing w:after="0" w:line="181"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color w:val="auto"/>
        </w:rPr>
        <w:t>A second phase 1 trial, which commenced in April 2004, is studying higher VEGF Trap exposures through intravenous administration. This study is also designed to evaluate the safety, tolerability, and pharmacokinetics of intravenous VEGF Trap in advanced cancer patients.</w:t>
      </w:r>
    </w:p>
    <w:p>
      <w:pPr>
        <w:spacing w:after="0" w:line="147" w:lineRule="exact"/>
        <w:rPr>
          <w:sz w:val="20"/>
          <w:szCs w:val="20"/>
          <w:color w:val="auto"/>
        </w:rPr>
      </w:pPr>
    </w:p>
    <w:p>
      <w:pPr>
        <w:ind w:left="560" w:right="40"/>
        <w:spacing w:after="0" w:line="254" w:lineRule="auto"/>
        <w:rPr>
          <w:sz w:val="20"/>
          <w:szCs w:val="20"/>
          <w:color w:val="auto"/>
        </w:rPr>
      </w:pPr>
      <w:r>
        <w:rPr>
          <w:rFonts w:ascii="Arial" w:cs="Arial" w:eastAsia="Arial" w:hAnsi="Arial"/>
          <w:sz w:val="18"/>
          <w:szCs w:val="18"/>
          <w:color w:val="auto"/>
        </w:rPr>
        <w:t>The VEGF Trap clinical development program has been expanded by initiating two separate phase 1 clinical trials of the VEGF Trap for the potential treatment of certain eye diseases. The first trial includes patients with the neovascular or “wet” form of age-related macular degeneration (AMD) a major cause of severe vision impairment and blindness in adults over the age of 55. Regeneron and Aventis have also started a phase 1 trial of the VEGF Trap delivered systemically by intravenous injections in patients with diabetic macular edema (DME). DME is a complication of diabetic retinopathy, a disease affecting the blood vessels of the retina. Diabetic retinopathy, in its late stages, can cause multiple problems involving blood vessels, including excess blood vessel growth. A major cause of vision loss in patients with diabetes, DME affects nearly 500,000 people in the United States. In addition to existing programs, we will also explore the possibility of studying the use of the VEGF Trap delivered through intravitreal administration.</w:t>
      </w:r>
    </w:p>
    <w:p>
      <w:pPr>
        <w:spacing w:after="0" w:line="192"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In September 2003, we entered into a collaboration agreement with Aventis to jointly develop and commercialize the VEGF Trap in multiple oncology, ophthalmology, and possibly other indications throughout the world with the exception of Japan, where product rights remain with us. Under the collaboration agreement, agreed upon development expenses incurred by both companies during the term of the agreement will be funded by Aventis. If the collaboration becomes profitable, we will reimburse Aventis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for 50 percent of the VEGF Trap development expenses in accordance with a formula based on the amount of development expenses and our share of the collaboration profits, or at a faster rate at our option.</w:t>
      </w:r>
    </w:p>
    <w:p>
      <w:pPr>
        <w:spacing w:after="0" w:line="166" w:lineRule="exact"/>
        <w:rPr>
          <w:sz w:val="20"/>
          <w:szCs w:val="20"/>
          <w:color w:val="auto"/>
        </w:rPr>
      </w:pPr>
    </w:p>
    <w:p>
      <w:pPr>
        <w:ind w:left="560" w:right="20" w:hanging="169"/>
        <w:spacing w:after="0" w:line="273" w:lineRule="auto"/>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INTERLEUKIN-1 TRAP (IL-1 Trap): </w:t>
      </w:r>
      <w:r>
        <w:rPr>
          <w:rFonts w:ascii="Arial" w:cs="Arial" w:eastAsia="Arial" w:hAnsi="Arial"/>
          <w:sz w:val="17"/>
          <w:szCs w:val="17"/>
          <w:color w:val="auto"/>
        </w:rPr>
        <w:t>Protein-based product candidate designed to bind the interleukin-1 (called IL-1) cytokine and prevent its</w:t>
      </w:r>
      <w:r>
        <w:rPr>
          <w:rFonts w:ascii="Arial" w:cs="Arial" w:eastAsia="Arial" w:hAnsi="Arial"/>
          <w:sz w:val="17"/>
          <w:szCs w:val="17"/>
          <w:b w:val="1"/>
          <w:bCs w:val="1"/>
          <w:color w:val="auto"/>
        </w:rPr>
        <w:t xml:space="preserve"> </w:t>
      </w:r>
      <w:r>
        <w:rPr>
          <w:rFonts w:ascii="Arial" w:cs="Arial" w:eastAsia="Arial" w:hAnsi="Arial"/>
          <w:sz w:val="17"/>
          <w:szCs w:val="17"/>
          <w:color w:val="auto"/>
        </w:rPr>
        <w:t>interaction with cell surface receptors. IL-1 is thought to play an important role in rheumatoid arthritis and other inflammatory diseases. In October 2003, we announced that the IL-1 Trap demonstrated evidence of clinical activity and safety in patients with rheumatoid arthritis (RA) in a phase 2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serious drug-related adverse events.</w:t>
      </w:r>
    </w:p>
    <w:p>
      <w:pPr>
        <w:spacing w:after="0" w:line="176" w:lineRule="exact"/>
        <w:rPr>
          <w:rFonts w:ascii="Arial" w:cs="Arial" w:eastAsia="Arial" w:hAnsi="Arial"/>
          <w:sz w:val="17"/>
          <w:szCs w:val="17"/>
          <w:color w:val="auto"/>
        </w:rPr>
      </w:pPr>
    </w:p>
    <w:p>
      <w:pPr>
        <w:ind w:left="560"/>
        <w:spacing w:after="0" w:line="273" w:lineRule="auto"/>
        <w:rPr>
          <w:rFonts w:ascii="Arial" w:cs="Arial" w:eastAsia="Arial" w:hAnsi="Arial"/>
          <w:sz w:val="17"/>
          <w:szCs w:val="17"/>
          <w:color w:val="auto"/>
        </w:rPr>
      </w:pPr>
      <w:r>
        <w:rPr>
          <w:rFonts w:ascii="Arial" w:cs="Arial" w:eastAsia="Arial" w:hAnsi="Arial"/>
          <w:sz w:val="17"/>
          <w:szCs w:val="17"/>
          <w:color w:val="auto"/>
        </w:rPr>
        <w:t>We plan to initiate additional studies of the IL-1 Trap in patients with rheumatoid arthritis in the next twelve months. The studies will be conducted in a larger patient population, testing higher doses and for a longer period of time than in the previous phase 2 trial. In addition, we intend to conduct studies of the IL-1 Trap in a variety of other diseases, such as osteoarthritis and cardiovascular disease, where interleukin-1 may play an important role. We have developed new product formulations that would allow delivery of higher doses of IL-1 Trap either through subcutaneous or intravenous administration. Initial, single-dose tolerability studies in healthy volunteers have been completed successfully and we plan to evaluate the new formulations in subsequent studies commencing in the fourth quarter of 2004.</w:t>
      </w:r>
    </w:p>
    <w:p>
      <w:pPr>
        <w:spacing w:after="0" w:line="178" w:lineRule="exact"/>
        <w:rPr>
          <w:rFonts w:ascii="Arial" w:cs="Arial" w:eastAsia="Arial" w:hAnsi="Arial"/>
          <w:sz w:val="17"/>
          <w:szCs w:val="17"/>
          <w:color w:val="auto"/>
        </w:rPr>
      </w:pPr>
    </w:p>
    <w:p>
      <w:pPr>
        <w:ind w:left="560" w:right="40"/>
        <w:spacing w:after="0" w:line="293" w:lineRule="auto"/>
        <w:rPr>
          <w:rFonts w:ascii="Arial" w:cs="Arial" w:eastAsia="Arial" w:hAnsi="Arial"/>
          <w:sz w:val="17"/>
          <w:szCs w:val="17"/>
          <w:color w:val="auto"/>
        </w:rPr>
      </w:pPr>
      <w:r>
        <w:rPr>
          <w:rFonts w:ascii="Arial" w:cs="Arial" w:eastAsia="Arial" w:hAnsi="Arial"/>
          <w:sz w:val="16"/>
          <w:szCs w:val="16"/>
          <w:color w:val="auto"/>
        </w:rPr>
        <w:t>In March 2003, we began collaborating with Novartis Pharma AG on the development of the IL-1 Trap. On February 27, 2004, Novartis provided notice of its intention not to proceed with the joint development of the IL-1 Trap. In March 2004, Novartis agreed to pay us $42.75 million to satisfy its obligation to fund development costs for the nine month period following its notification and for the two months prior to that notice. Novartis paid us the $42.75 million in April 2004. All rights to the IL-1 Trap have reverted to Regeneron. Novartis and we retain rights under the collaboration agreement to elect to collaborate in the future on the development and commercialization of certain other IL-1 antagonists. In March 2004, we also achieved a pre-defined development milestone and Novartis forgave all its outstanding loans to us, totaling $17.8 million.</w:t>
      </w:r>
    </w:p>
    <w:p>
      <w:pPr>
        <w:spacing w:after="0" w:line="160" w:lineRule="exact"/>
        <w:rPr>
          <w:rFonts w:ascii="Arial" w:cs="Arial" w:eastAsia="Arial" w:hAnsi="Arial"/>
          <w:sz w:val="17"/>
          <w:szCs w:val="17"/>
          <w:color w:val="auto"/>
        </w:rPr>
      </w:pPr>
    </w:p>
    <w:p>
      <w:pPr>
        <w:ind w:left="560" w:right="80" w:hanging="169"/>
        <w:spacing w:after="0" w:line="277" w:lineRule="auto"/>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INTERLEUKIN-4/INTERLEUKIN-13 TRAP (IL-4/13 Trap): </w:t>
      </w:r>
      <w:r>
        <w:rPr>
          <w:rFonts w:ascii="Arial" w:cs="Arial" w:eastAsia="Arial" w:hAnsi="Arial"/>
          <w:sz w:val="17"/>
          <w:szCs w:val="17"/>
          <w:color w:val="auto"/>
        </w:rPr>
        <w:t>Protein-based product candidate designed to bind both the interleukin-4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interleukin-13 (called IL-4 and IL-13) cytokines and prevent their interaction with cell surface receptors. IL-4 and IL-13 are thought to play a major role in diseases such as asthma, allergic disorders, and other inflammatory diseases. In October 2002, we initiated a phase 1 trial for the IL-4/13 Trap in adult subjects with mild to moderate asthma. This placebo-controlled, double-blind, dose escalation study was designed to assess the safety and tolerability of the IL-4/13 Trap delivered by subcutaneous injections. The trial was completed in the first quarter of</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right="20"/>
        <w:spacing w:after="0" w:line="342" w:lineRule="auto"/>
        <w:rPr>
          <w:sz w:val="20"/>
          <w:szCs w:val="20"/>
          <w:color w:val="auto"/>
        </w:rPr>
      </w:pPr>
      <w:r>
        <w:rPr>
          <w:rFonts w:ascii="Arial" w:cs="Arial" w:eastAsia="Arial" w:hAnsi="Arial"/>
          <w:sz w:val="16"/>
          <w:szCs w:val="16"/>
          <w:color w:val="auto"/>
        </w:rPr>
        <w:t>2004, and the results were presented at a scientific conference during the second quarter of 2004. The IL-4/13 Trap was generally safe and well tolerated at the doses tested in this phase 1 trial. We plan to conduct additional studies to evaluate the safety and potential efficacy of the IL-4/13 Trap.</w:t>
      </w:r>
    </w:p>
    <w:p>
      <w:pPr>
        <w:spacing w:after="0" w:line="124" w:lineRule="exact"/>
        <w:rPr>
          <w:sz w:val="20"/>
          <w:szCs w:val="20"/>
          <w:color w:val="auto"/>
        </w:rPr>
      </w:pPr>
    </w:p>
    <w:p>
      <w:pPr>
        <w:ind w:left="560" w:right="20" w:hanging="169"/>
        <w:spacing w:after="0" w:line="250" w:lineRule="auto"/>
        <w:tabs>
          <w:tab w:leader="none" w:pos="560" w:val="left"/>
        </w:tabs>
        <w:numPr>
          <w:ilvl w:val="0"/>
          <w:numId w:val="15"/>
        </w:numPr>
        <w:rPr>
          <w:rFonts w:ascii="Arial" w:cs="Arial" w:eastAsia="Arial" w:hAnsi="Arial"/>
          <w:sz w:val="34"/>
          <w:szCs w:val="34"/>
          <w:color w:val="auto"/>
          <w:vertAlign w:val="superscript"/>
        </w:rPr>
      </w:pPr>
      <w:r>
        <w:rPr>
          <w:rFonts w:ascii="Arial" w:cs="Arial" w:eastAsia="Arial" w:hAnsi="Arial"/>
          <w:sz w:val="17"/>
          <w:szCs w:val="17"/>
          <w:b w:val="1"/>
          <w:bCs w:val="1"/>
          <w:color w:val="auto"/>
        </w:rPr>
        <w:t>AXOKINE</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Protein-based product candidate designed to act on the brain region regulating appetite and energy expenditure. AXOKINE is being</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developed for the treatment of obesity. In March 2003, we reported data from the 12-month treatment period of our initial phase 3 pivotal trial of AXOKINE. The double-blind treatment period in this study was followed by a twelve-month open-label extension phase, during which all study subjects received AXOKINE. The extension phase was completed in the first quarter of 2004. In the third quarter of 2004, we completed two randomized double-blind trials that were designed to evaluate the safety of intermittent treatment of AXOKINE and to study maintenance of weight loss following short-term treatment regimens. Participants in the two trials were given AXOKINE or placebo for three or six months and then observed for another six or nine months off-treatment. At the end of the initial 12-month treatment and observation period of the two studies, participants again received AXOKINE or placebo for a brief retreatment period. Each study included approximately 300 obese or overweight subjects. Subjects treated with AXOKINE lost more weight on average than those treated with placebo. However, these trials were designed before we had access to the data from the completed phase 3 AXOKINE trial and, therefore, did not enroll enough patients to detect a difference in the proportion of AXOKINE versus placebo treated patients who lost 5% of their initial body weight after twelve months. The preliminary findings from the studies were as follows:</w:t>
      </w:r>
    </w:p>
    <w:p>
      <w:pPr>
        <w:spacing w:after="0" w:line="202" w:lineRule="exact"/>
        <w:rPr>
          <w:rFonts w:ascii="Arial" w:cs="Arial" w:eastAsia="Arial" w:hAnsi="Arial"/>
          <w:sz w:val="34"/>
          <w:szCs w:val="34"/>
          <w:color w:val="auto"/>
          <w:vertAlign w:val="superscript"/>
        </w:rPr>
      </w:pPr>
    </w:p>
    <w:p>
      <w:pPr>
        <w:ind w:left="900" w:hanging="169"/>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Intermittent AXOKINE treatment appeared to be safe and generally well tolerated.</w:t>
      </w:r>
    </w:p>
    <w:p>
      <w:pPr>
        <w:spacing w:after="0" w:line="225" w:lineRule="exact"/>
        <w:rPr>
          <w:rFonts w:ascii="Arial" w:cs="Arial" w:eastAsia="Arial" w:hAnsi="Arial"/>
          <w:sz w:val="18"/>
          <w:szCs w:val="18"/>
          <w:color w:val="auto"/>
        </w:rPr>
      </w:pPr>
    </w:p>
    <w:p>
      <w:pPr>
        <w:ind w:left="900" w:hanging="169"/>
        <w:spacing w:after="0" w:line="276"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the intermittent treatment trial where participants were given AXOKINE or placebo for six months, and then observed for another six months off-treatment, a higher proportion of AXOKINE treated subjects lost 5% of their initial body weight at twelve months compared to placebo-treated subjects (24.5% vs. 16.9%, p= 0.11). Moreover, after the six-month treatment period, participants receiving AXOKINE experienced a greater average weight loss than those receiving placebo (3.96 kg vs. 2.27 kg, p = .004), and this superiority of AXOKINE over placebo in weight loss was maintained at month twelve following the six-month off-treatment period (2.86kg vs. 1.41 kg, p=.047).</w:t>
      </w:r>
    </w:p>
    <w:p>
      <w:pPr>
        <w:spacing w:after="0" w:line="172" w:lineRule="exact"/>
        <w:rPr>
          <w:rFonts w:ascii="Arial" w:cs="Arial" w:eastAsia="Arial" w:hAnsi="Arial"/>
          <w:sz w:val="17"/>
          <w:szCs w:val="17"/>
          <w:color w:val="auto"/>
        </w:rPr>
      </w:pPr>
    </w:p>
    <w:p>
      <w:pPr>
        <w:jc w:val="both"/>
        <w:ind w:left="900" w:right="460" w:hanging="169"/>
        <w:spacing w:after="0" w:line="279"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the intermittent treatment trial where participants were given AXOKINE or placebo for three months, and then observed for another nine months off-treatment, a higher proportion of AXOKINE treated subjects lost 5% of their initial body weight at twelve months compared to placebo-treated subjects (17.4% versus 14.1%, p=0.5). Moreover, after the three-month treatment period, participants receiving AXOKINE experienced a greater average weight loss than those receiving placebo (2.73 kg vs. 1.71 kg, p = .022).</w:t>
      </w:r>
    </w:p>
    <w:p>
      <w:pPr>
        <w:spacing w:after="0" w:line="171"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We are continuing research on AXOKINE and evaluating its commercial potential. No new phase 3 clinical trials of AXOKINE are planned at this time.</w:t>
      </w:r>
    </w:p>
    <w:p>
      <w:pPr>
        <w:spacing w:after="0" w:line="170" w:lineRule="exact"/>
        <w:rPr>
          <w:sz w:val="20"/>
          <w:szCs w:val="20"/>
          <w:color w:val="auto"/>
        </w:rPr>
      </w:pPr>
    </w:p>
    <w:p>
      <w:pPr>
        <w:ind w:right="60" w:firstLine="225"/>
        <w:spacing w:after="0" w:line="269" w:lineRule="auto"/>
        <w:rPr>
          <w:sz w:val="20"/>
          <w:szCs w:val="20"/>
          <w:color w:val="auto"/>
        </w:rPr>
      </w:pPr>
      <w:r>
        <w:rPr>
          <w:rFonts w:ascii="Arial" w:cs="Arial" w:eastAsia="Arial" w:hAnsi="Arial"/>
          <w:sz w:val="18"/>
          <w:szCs w:val="18"/>
          <w:color w:val="auto"/>
        </w:rPr>
        <w:t>In addition to our clinical programs, we have research programs focused on angiogenesis, metabolic diseases, muscle atrophy and related disorders, inflammatory conditions, and other diseases and disorders. We also use our Velocigene® and Trap technology platforms to discover and develop new product candidates and are developing our Velocimmune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 to create fully human, therapeutic antibodies.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31"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From inception on January 8, 1988 through September 30, 2004, we have had a cumulative loss of $492.6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VEGF Trap, IL-1 Trap, IL-4/13 Trap, and AXOKINE; advance new product candidates into clinical development from our existing research programs; continue our research and development programs; and commercialize product candidates that receive regulatory approval, if any.</w:t>
      </w:r>
    </w:p>
    <w:p>
      <w:pPr>
        <w:spacing w:after="0" w:line="118"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14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four clinical programs, 2004 clinical events and plans anticipated for the next twelve months include: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tcPr>
          <w:p>
            <w:pPr>
              <w:ind w:left="94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2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Next Twelve-Month Plans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40" w:type="dxa"/>
            <w:vAlign w:val="bottom"/>
          </w:tcPr>
          <w:p>
            <w:pPr>
              <w:ind w:left="720"/>
              <w:spacing w:after="0"/>
              <w:rPr>
                <w:sz w:val="20"/>
                <w:szCs w:val="20"/>
                <w:color w:val="auto"/>
              </w:rPr>
            </w:pPr>
            <w:r>
              <w:rPr>
                <w:rFonts w:ascii="Arial" w:cs="Arial" w:eastAsia="Arial" w:hAnsi="Arial"/>
                <w:sz w:val="14"/>
                <w:szCs w:val="14"/>
                <w:b w:val="1"/>
                <w:bCs w:val="1"/>
                <w:color w:val="auto"/>
              </w:rPr>
              <w:t>September 30, 2004 Events</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6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VEGF Trap</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440" w:type="dxa"/>
            <w:vAlign w:val="bottom"/>
          </w:tcPr>
          <w:p>
            <w:pPr>
              <w:ind w:left="300"/>
              <w:spacing w:after="0"/>
              <w:rPr>
                <w:sz w:val="20"/>
                <w:szCs w:val="20"/>
                <w:color w:val="auto"/>
              </w:rPr>
            </w:pPr>
            <w:r>
              <w:rPr>
                <w:rFonts w:ascii="Arial" w:cs="Arial" w:eastAsia="Arial" w:hAnsi="Arial"/>
                <w:sz w:val="18"/>
                <w:szCs w:val="18"/>
                <w:color w:val="auto"/>
              </w:rPr>
              <w:t>Completed phase 1 subcutaneous</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20" w:type="dxa"/>
            <w:vAlign w:val="bottom"/>
          </w:tcPr>
          <w:p>
            <w:pPr>
              <w:ind w:left="280"/>
              <w:spacing w:after="0"/>
              <w:rPr>
                <w:sz w:val="20"/>
                <w:szCs w:val="20"/>
                <w:color w:val="auto"/>
              </w:rPr>
            </w:pPr>
            <w:r>
              <w:rPr>
                <w:rFonts w:ascii="Arial" w:cs="Arial" w:eastAsia="Arial" w:hAnsi="Arial"/>
                <w:sz w:val="18"/>
                <w:szCs w:val="18"/>
                <w:color w:val="auto"/>
                <w:w w:val="94"/>
              </w:rPr>
              <w:t>Commence additional single-agent and combination trials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Pr>
          <w:p>
            <w:pPr>
              <w:ind w:left="300"/>
              <w:spacing w:after="0"/>
              <w:rPr>
                <w:sz w:val="20"/>
                <w:szCs w:val="20"/>
                <w:color w:val="auto"/>
              </w:rPr>
            </w:pPr>
            <w:r>
              <w:rPr>
                <w:rFonts w:ascii="Arial" w:cs="Arial" w:eastAsia="Arial" w:hAnsi="Arial"/>
                <w:sz w:val="18"/>
                <w:szCs w:val="18"/>
                <w:color w:val="auto"/>
              </w:rPr>
              <w:t>single-agent trial in cancer</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20" w:type="dxa"/>
            <w:vAlign w:val="bottom"/>
          </w:tcPr>
          <w:p>
            <w:pPr>
              <w:ind w:left="280"/>
              <w:spacing w:after="0"/>
              <w:rPr>
                <w:sz w:val="20"/>
                <w:szCs w:val="20"/>
                <w:color w:val="auto"/>
              </w:rPr>
            </w:pPr>
            <w:r>
              <w:rPr>
                <w:rFonts w:ascii="Arial" w:cs="Arial" w:eastAsia="Arial" w:hAnsi="Arial"/>
                <w:sz w:val="18"/>
                <w:szCs w:val="18"/>
                <w:color w:val="auto"/>
              </w:rPr>
              <w:t>in cancer</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440" w:type="dxa"/>
            <w:vAlign w:val="bottom"/>
          </w:tcPr>
          <w:p>
            <w:pPr>
              <w:ind w:left="300"/>
              <w:spacing w:after="0"/>
              <w:rPr>
                <w:sz w:val="20"/>
                <w:szCs w:val="20"/>
                <w:color w:val="auto"/>
              </w:rPr>
            </w:pPr>
            <w:r>
              <w:rPr>
                <w:rFonts w:ascii="Arial" w:cs="Arial" w:eastAsia="Arial" w:hAnsi="Arial"/>
                <w:sz w:val="18"/>
                <w:szCs w:val="18"/>
                <w:color w:val="auto"/>
              </w:rPr>
              <w:t>Commenced phase 1 intravenous</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20" w:type="dxa"/>
            <w:vAlign w:val="bottom"/>
          </w:tcPr>
          <w:p>
            <w:pPr>
              <w:ind w:left="280"/>
              <w:spacing w:after="0"/>
              <w:rPr>
                <w:sz w:val="20"/>
                <w:szCs w:val="20"/>
                <w:color w:val="auto"/>
              </w:rPr>
            </w:pPr>
            <w:r>
              <w:rPr>
                <w:rFonts w:ascii="Arial" w:cs="Arial" w:eastAsia="Arial" w:hAnsi="Arial"/>
                <w:sz w:val="18"/>
                <w:szCs w:val="18"/>
                <w:color w:val="auto"/>
              </w:rPr>
              <w:t>Commence additional studies in eye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Pr>
          <w:p>
            <w:pPr>
              <w:ind w:left="300"/>
              <w:spacing w:after="0"/>
              <w:rPr>
                <w:sz w:val="20"/>
                <w:szCs w:val="20"/>
                <w:color w:val="auto"/>
              </w:rPr>
            </w:pPr>
            <w:r>
              <w:rPr>
                <w:rFonts w:ascii="Arial" w:cs="Arial" w:eastAsia="Arial" w:hAnsi="Arial"/>
                <w:sz w:val="18"/>
                <w:szCs w:val="18"/>
                <w:color w:val="auto"/>
              </w:rPr>
              <w:t>single-agent trial in cancer</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20" w:type="dxa"/>
            <w:vAlign w:val="bottom"/>
          </w:tcPr>
          <w:p>
            <w:pPr>
              <w:ind w:left="280"/>
              <w:spacing w:after="0"/>
              <w:rPr>
                <w:sz w:val="20"/>
                <w:szCs w:val="20"/>
                <w:color w:val="auto"/>
              </w:rPr>
            </w:pPr>
            <w:r>
              <w:rPr>
                <w:rFonts w:ascii="Arial" w:cs="Arial" w:eastAsia="Arial" w:hAnsi="Arial"/>
                <w:sz w:val="18"/>
                <w:szCs w:val="18"/>
                <w:color w:val="auto"/>
              </w:rPr>
              <w:t>diseases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440" w:type="dxa"/>
            <w:vAlign w:val="bottom"/>
          </w:tcPr>
          <w:p>
            <w:pPr>
              <w:ind w:left="300"/>
              <w:spacing w:after="0"/>
              <w:rPr>
                <w:sz w:val="20"/>
                <w:szCs w:val="20"/>
                <w:color w:val="auto"/>
              </w:rPr>
            </w:pPr>
            <w:r>
              <w:rPr>
                <w:rFonts w:ascii="Arial" w:cs="Arial" w:eastAsia="Arial" w:hAnsi="Arial"/>
                <w:sz w:val="18"/>
                <w:szCs w:val="18"/>
                <w:color w:val="auto"/>
                <w:w w:val="95"/>
              </w:rPr>
              <w:t>Commenced phase 1 trial in neovascular</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Pr>
          <w:p>
            <w:pPr>
              <w:ind w:left="300"/>
              <w:spacing w:after="0"/>
              <w:rPr>
                <w:sz w:val="20"/>
                <w:szCs w:val="20"/>
                <w:color w:val="auto"/>
              </w:rPr>
            </w:pPr>
            <w:r>
              <w:rPr>
                <w:rFonts w:ascii="Arial" w:cs="Arial" w:eastAsia="Arial" w:hAnsi="Arial"/>
                <w:sz w:val="18"/>
                <w:szCs w:val="18"/>
                <w:color w:val="auto"/>
              </w:rPr>
              <w:t>age-related macular degeneration</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440" w:type="dxa"/>
            <w:vAlign w:val="bottom"/>
          </w:tcPr>
          <w:p>
            <w:pPr>
              <w:ind w:left="300"/>
              <w:spacing w:after="0"/>
              <w:rPr>
                <w:sz w:val="20"/>
                <w:szCs w:val="20"/>
                <w:color w:val="auto"/>
              </w:rPr>
            </w:pPr>
            <w:r>
              <w:rPr>
                <w:rFonts w:ascii="Arial" w:cs="Arial" w:eastAsia="Arial" w:hAnsi="Arial"/>
                <w:sz w:val="18"/>
                <w:szCs w:val="18"/>
                <w:color w:val="auto"/>
              </w:rPr>
              <w:t>Commenced phase 1 intravenous</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ind w:left="300"/>
              <w:spacing w:after="0"/>
              <w:rPr>
                <w:sz w:val="20"/>
                <w:szCs w:val="20"/>
                <w:color w:val="auto"/>
              </w:rPr>
            </w:pPr>
            <w:r>
              <w:rPr>
                <w:rFonts w:ascii="Arial" w:cs="Arial" w:eastAsia="Arial" w:hAnsi="Arial"/>
                <w:sz w:val="18"/>
                <w:szCs w:val="18"/>
                <w:color w:val="auto"/>
              </w:rPr>
              <w:t>single-agent trial in diabetic macular</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Pr>
          <w:p>
            <w:pPr>
              <w:ind w:left="300"/>
              <w:spacing w:after="0"/>
              <w:rPr>
                <w:sz w:val="20"/>
                <w:szCs w:val="20"/>
                <w:color w:val="auto"/>
              </w:rPr>
            </w:pPr>
            <w:r>
              <w:rPr>
                <w:rFonts w:ascii="Arial" w:cs="Arial" w:eastAsia="Arial" w:hAnsi="Arial"/>
                <w:sz w:val="18"/>
                <w:szCs w:val="18"/>
                <w:color w:val="auto"/>
              </w:rPr>
              <w:t>edema</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tcPr>
          <w:p>
            <w:pPr>
              <w:ind w:left="3220"/>
              <w:spacing w:after="0"/>
              <w:rPr>
                <w:sz w:val="20"/>
                <w:szCs w:val="20"/>
                <w:color w:val="auto"/>
              </w:rPr>
            </w:pPr>
            <w:r>
              <w:rPr>
                <w:rFonts w:ascii="Arial" w:cs="Arial" w:eastAsia="Arial" w:hAnsi="Arial"/>
                <w:sz w:val="18"/>
                <w:szCs w:val="18"/>
                <w:color w:val="auto"/>
                <w:w w:val="99"/>
              </w:rPr>
              <w:t>22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4020" w:type="dxa"/>
            <w:vAlign w:val="bottom"/>
          </w:tcPr>
          <w:p>
            <w:pPr>
              <w:jc w:val="center"/>
              <w:ind w:right="668"/>
              <w:spacing w:after="0"/>
              <w:rPr>
                <w:sz w:val="20"/>
                <w:szCs w:val="20"/>
                <w:color w:val="auto"/>
              </w:rPr>
            </w:pPr>
            <w:r>
              <w:rPr>
                <w:rFonts w:ascii="Arial" w:cs="Arial" w:eastAsia="Arial" w:hAnsi="Arial"/>
                <w:sz w:val="14"/>
                <w:szCs w:val="14"/>
                <w:b w:val="1"/>
                <w:bCs w:val="1"/>
                <w:color w:val="auto"/>
                <w:w w:val="92"/>
              </w:rPr>
              <w:t>Nine Months ended</w:t>
            </w:r>
          </w:p>
        </w:tc>
        <w:tc>
          <w:tcPr>
            <w:tcW w:w="3120" w:type="dxa"/>
            <w:vAlign w:val="bottom"/>
            <w:vMerge w:val="restart"/>
          </w:tcPr>
          <w:p>
            <w:pPr>
              <w:ind w:left="1540"/>
              <w:spacing w:after="0"/>
              <w:rPr>
                <w:sz w:val="20"/>
                <w:szCs w:val="20"/>
                <w:color w:val="auto"/>
              </w:rPr>
            </w:pPr>
            <w:r>
              <w:rPr>
                <w:rFonts w:ascii="Arial" w:cs="Arial" w:eastAsia="Arial" w:hAnsi="Arial"/>
                <w:sz w:val="14"/>
                <w:szCs w:val="14"/>
                <w:b w:val="1"/>
                <w:bCs w:val="1"/>
                <w:color w:val="auto"/>
                <w:w w:val="92"/>
              </w:rPr>
              <w:t>Next Twelve-Month Plans</w:t>
            </w:r>
          </w:p>
        </w:tc>
        <w:tc>
          <w:tcPr>
            <w:tcW w:w="0" w:type="dxa"/>
            <w:vAlign w:val="bottom"/>
          </w:tcPr>
          <w:p>
            <w:pPr>
              <w:spacing w:after="0"/>
              <w:rPr>
                <w:sz w:val="1"/>
                <w:szCs w:val="1"/>
                <w:color w:val="auto"/>
              </w:rPr>
            </w:pPr>
          </w:p>
        </w:tc>
      </w:tr>
      <w:tr>
        <w:trPr>
          <w:trHeight w:val="186"/>
        </w:trPr>
        <w:tc>
          <w:tcPr>
            <w:tcW w:w="2000" w:type="dxa"/>
            <w:vAlign w:val="bottom"/>
            <w:vMerge w:val="continue"/>
          </w:tcPr>
          <w:p>
            <w:pPr>
              <w:spacing w:after="0"/>
              <w:rPr>
                <w:sz w:val="16"/>
                <w:szCs w:val="16"/>
                <w:color w:val="auto"/>
              </w:rPr>
            </w:pPr>
          </w:p>
        </w:tc>
        <w:tc>
          <w:tcPr>
            <w:tcW w:w="4020" w:type="dxa"/>
            <w:vAlign w:val="bottom"/>
          </w:tcPr>
          <w:p>
            <w:pPr>
              <w:jc w:val="center"/>
              <w:ind w:right="648"/>
              <w:spacing w:after="0"/>
              <w:rPr>
                <w:sz w:val="20"/>
                <w:szCs w:val="20"/>
                <w:color w:val="auto"/>
              </w:rPr>
            </w:pPr>
            <w:r>
              <w:rPr>
                <w:rFonts w:ascii="Arial" w:cs="Arial" w:eastAsia="Arial" w:hAnsi="Arial"/>
                <w:sz w:val="14"/>
                <w:szCs w:val="14"/>
                <w:b w:val="1"/>
                <w:bCs w:val="1"/>
                <w:color w:val="auto"/>
                <w:w w:val="91"/>
              </w:rPr>
              <w:t>September 30, 2004 Events</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41910</wp:posOffset>
            </wp:positionV>
            <wp:extent cx="68776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p>
      <w:pPr>
        <w:spacing w:after="0" w:line="133" w:lineRule="exact"/>
        <w:rPr>
          <w:sz w:val="20"/>
          <w:szCs w:val="20"/>
          <w:color w:val="auto"/>
        </w:rPr>
      </w:pPr>
    </w:p>
    <w:p>
      <w:pPr>
        <w:ind w:left="300"/>
        <w:spacing w:after="0"/>
        <w:tabs>
          <w:tab w:leader="none" w:pos="2040" w:val="left"/>
          <w:tab w:leader="none" w:pos="2680" w:val="left"/>
        </w:tabs>
        <w:rPr>
          <w:sz w:val="20"/>
          <w:szCs w:val="20"/>
          <w:color w:val="auto"/>
        </w:rPr>
      </w:pPr>
      <w:r>
        <w:rPr>
          <w:rFonts w:ascii="Arial" w:cs="Arial" w:eastAsia="Arial" w:hAnsi="Arial"/>
          <w:sz w:val="18"/>
          <w:szCs w:val="18"/>
          <w:color w:val="auto"/>
        </w:rPr>
        <w:t>IL-1 Trap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Planned for phase 2 trial in rheumatoid</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arthritis</w:t>
      </w:r>
    </w:p>
    <w:p>
      <w:pPr>
        <w:spacing w:after="0" w:line="211" w:lineRule="exact"/>
        <w:rPr>
          <w:sz w:val="20"/>
          <w:szCs w:val="20"/>
          <w:color w:val="auto"/>
        </w:rPr>
      </w:pPr>
    </w:p>
    <w:p>
      <w:pPr>
        <w:ind w:left="2060"/>
        <w:spacing w:after="0"/>
        <w:tabs>
          <w:tab w:leader="none" w:pos="2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Completed treatment phase of single-dose</w:t>
      </w:r>
    </w:p>
    <w:p>
      <w:pPr>
        <w:spacing w:after="0" w:line="4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patient tolerability studies to evaluate new</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formulations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1026160</wp:posOffset>
            </wp:positionV>
            <wp:extent cx="68776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640" w:right="1560" w:hanging="640"/>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 additional trials in rheumatoid arthritis</w:t>
      </w:r>
    </w:p>
    <w:p>
      <w:pPr>
        <w:spacing w:after="0" w:line="170" w:lineRule="exact"/>
        <w:rPr>
          <w:rFonts w:ascii="Arial" w:cs="Arial" w:eastAsia="Arial" w:hAnsi="Arial"/>
          <w:sz w:val="18"/>
          <w:szCs w:val="18"/>
          <w:color w:val="auto"/>
        </w:rPr>
      </w:pPr>
    </w:p>
    <w:p>
      <w:pPr>
        <w:ind w:left="640" w:right="2680" w:hanging="640"/>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 clinical trial in osteoarthritis</w:t>
      </w:r>
    </w:p>
    <w:p>
      <w:pPr>
        <w:spacing w:after="0" w:line="386" w:lineRule="exact"/>
        <w:rPr>
          <w:rFonts w:ascii="Arial" w:cs="Arial" w:eastAsia="Arial" w:hAnsi="Arial"/>
          <w:sz w:val="18"/>
          <w:szCs w:val="18"/>
          <w:color w:val="auto"/>
        </w:rPr>
      </w:pPr>
    </w:p>
    <w:p>
      <w:pPr>
        <w:ind w:left="640" w:right="2200" w:hanging="640"/>
        <w:spacing w:after="0" w:line="34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Commence exploratory proof of concept trials in other indications</w:t>
      </w:r>
    </w:p>
    <w:p>
      <w:pPr>
        <w:spacing w:after="0" w:line="123" w:lineRule="exact"/>
        <w:rPr>
          <w:rFonts w:ascii="Arial" w:cs="Arial" w:eastAsia="Arial" w:hAnsi="Arial"/>
          <w:sz w:val="16"/>
          <w:szCs w:val="16"/>
          <w:color w:val="auto"/>
        </w:rPr>
      </w:pPr>
    </w:p>
    <w:p>
      <w:pPr>
        <w:ind w:left="640" w:right="1600" w:hanging="640"/>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IL-1 Trap in other inflammatory conditions</w:t>
      </w:r>
    </w:p>
    <w:p>
      <w:pPr>
        <w:spacing w:after="0" w:line="200" w:lineRule="exact"/>
        <w:rPr>
          <w:sz w:val="20"/>
          <w:szCs w:val="20"/>
          <w:color w:val="auto"/>
        </w:rPr>
      </w:pPr>
    </w:p>
    <w:p>
      <w:pPr>
        <w:sectPr>
          <w:pgSz w:w="11900" w:h="16838" w:orient="portrait"/>
          <w:cols w:equalWidth="0" w:num="2">
            <w:col w:w="5740" w:space="420"/>
            <w:col w:w="5240"/>
          </w:cols>
          <w:pgMar w:left="240" w:top="419" w:right="25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300"/>
              <w:spacing w:after="0"/>
              <w:rPr>
                <w:sz w:val="20"/>
                <w:szCs w:val="20"/>
                <w:color w:val="auto"/>
              </w:rPr>
            </w:pPr>
            <w:r>
              <w:rPr>
                <w:rFonts w:ascii="Arial" w:cs="Arial" w:eastAsia="Arial" w:hAnsi="Arial"/>
                <w:sz w:val="18"/>
                <w:szCs w:val="18"/>
                <w:color w:val="auto"/>
              </w:rPr>
              <w:t>IL-4/13 Trap</w:t>
            </w:r>
          </w:p>
        </w:tc>
        <w:tc>
          <w:tcPr>
            <w:tcW w:w="16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6"/>
                <w:szCs w:val="16"/>
                <w:color w:val="auto"/>
                <w:w w:val="70"/>
              </w:rPr>
              <w:t>•</w:t>
            </w:r>
          </w:p>
        </w:tc>
        <w:tc>
          <w:tcPr>
            <w:tcW w:w="3820" w:type="dxa"/>
            <w:vAlign w:val="bottom"/>
          </w:tcPr>
          <w:p>
            <w:pPr>
              <w:ind w:left="580"/>
              <w:spacing w:after="0"/>
              <w:rPr>
                <w:sz w:val="20"/>
                <w:szCs w:val="20"/>
                <w:color w:val="auto"/>
              </w:rPr>
            </w:pPr>
            <w:r>
              <w:rPr>
                <w:rFonts w:ascii="Arial" w:cs="Arial" w:eastAsia="Arial" w:hAnsi="Arial"/>
                <w:sz w:val="18"/>
                <w:szCs w:val="18"/>
                <w:color w:val="auto"/>
              </w:rPr>
              <w:t>Completed phase 1 trial in asthma</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4620" w:type="dxa"/>
            <w:vAlign w:val="bottom"/>
            <w:gridSpan w:val="9"/>
          </w:tcPr>
          <w:p>
            <w:pPr>
              <w:ind w:left="280"/>
              <w:spacing w:after="0"/>
              <w:rPr>
                <w:sz w:val="20"/>
                <w:szCs w:val="20"/>
                <w:color w:val="auto"/>
              </w:rPr>
            </w:pPr>
            <w:r>
              <w:rPr>
                <w:rFonts w:ascii="Arial" w:cs="Arial" w:eastAsia="Arial" w:hAnsi="Arial"/>
                <w:sz w:val="18"/>
                <w:szCs w:val="18"/>
                <w:color w:val="auto"/>
              </w:rPr>
              <w:t>Commence clinical trial in asthma or</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gridSpan w:val="4"/>
          </w:tcPr>
          <w:p>
            <w:pPr>
              <w:ind w:left="280"/>
              <w:spacing w:after="0"/>
              <w:rPr>
                <w:sz w:val="20"/>
                <w:szCs w:val="20"/>
                <w:color w:val="auto"/>
              </w:rPr>
            </w:pPr>
            <w:r>
              <w:rPr>
                <w:rFonts w:ascii="Arial" w:cs="Arial" w:eastAsia="Arial" w:hAnsi="Arial"/>
                <w:sz w:val="18"/>
                <w:szCs w:val="18"/>
                <w:color w:val="auto"/>
              </w:rPr>
              <w:t>other indication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07"/>
        </w:trPr>
        <w:tc>
          <w:tcPr>
            <w:tcW w:w="1840" w:type="dxa"/>
            <w:vAlign w:val="bottom"/>
            <w:gridSpan w:val="2"/>
          </w:tcPr>
          <w:p>
            <w:pPr>
              <w:ind w:left="300"/>
              <w:spacing w:after="0"/>
              <w:rPr>
                <w:sz w:val="20"/>
                <w:szCs w:val="20"/>
                <w:color w:val="auto"/>
              </w:rPr>
            </w:pPr>
            <w:r>
              <w:rPr>
                <w:rFonts w:ascii="Arial" w:cs="Arial" w:eastAsia="Arial" w:hAnsi="Arial"/>
                <w:sz w:val="18"/>
                <w:szCs w:val="18"/>
                <w:color w:val="auto"/>
              </w:rPr>
              <w:t>AXOKINE</w:t>
            </w:r>
          </w:p>
        </w:tc>
        <w:tc>
          <w:tcPr>
            <w:tcW w:w="16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6"/>
                <w:szCs w:val="16"/>
                <w:color w:val="auto"/>
                <w:w w:val="70"/>
              </w:rPr>
              <w:t>•</w:t>
            </w:r>
          </w:p>
        </w:tc>
        <w:tc>
          <w:tcPr>
            <w:tcW w:w="3820" w:type="dxa"/>
            <w:vAlign w:val="bottom"/>
          </w:tcPr>
          <w:p>
            <w:pPr>
              <w:ind w:left="580"/>
              <w:spacing w:after="0"/>
              <w:rPr>
                <w:sz w:val="20"/>
                <w:szCs w:val="20"/>
                <w:color w:val="auto"/>
              </w:rPr>
            </w:pPr>
            <w:r>
              <w:rPr>
                <w:rFonts w:ascii="Arial" w:cs="Arial" w:eastAsia="Arial" w:hAnsi="Arial"/>
                <w:sz w:val="18"/>
                <w:szCs w:val="18"/>
                <w:color w:val="auto"/>
              </w:rPr>
              <w:t>Completed intermittent treatment trials</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4620" w:type="dxa"/>
            <w:vAlign w:val="bottom"/>
            <w:gridSpan w:val="9"/>
          </w:tcPr>
          <w:p>
            <w:pPr>
              <w:ind w:left="280"/>
              <w:spacing w:after="0"/>
              <w:rPr>
                <w:sz w:val="20"/>
                <w:szCs w:val="20"/>
                <w:color w:val="auto"/>
              </w:rPr>
            </w:pPr>
            <w:r>
              <w:rPr>
                <w:rFonts w:ascii="Arial" w:cs="Arial" w:eastAsia="Arial" w:hAnsi="Arial"/>
                <w:sz w:val="18"/>
                <w:szCs w:val="18"/>
                <w:color w:val="auto"/>
              </w:rPr>
              <w:t>Make decision on further development of AXOKINE</w:t>
            </w: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6"/>
                <w:szCs w:val="16"/>
                <w:color w:val="auto"/>
                <w:w w:val="70"/>
              </w:rPr>
              <w:t>•</w:t>
            </w:r>
          </w:p>
        </w:tc>
        <w:tc>
          <w:tcPr>
            <w:tcW w:w="3820" w:type="dxa"/>
            <w:vAlign w:val="bottom"/>
          </w:tcPr>
          <w:p>
            <w:pPr>
              <w:ind w:left="580"/>
              <w:spacing w:after="0"/>
              <w:rPr>
                <w:sz w:val="20"/>
                <w:szCs w:val="20"/>
                <w:color w:val="auto"/>
              </w:rPr>
            </w:pPr>
            <w:r>
              <w:rPr>
                <w:rFonts w:ascii="Arial" w:cs="Arial" w:eastAsia="Arial" w:hAnsi="Arial"/>
                <w:sz w:val="18"/>
                <w:szCs w:val="18"/>
                <w:color w:val="auto"/>
                <w:w w:val="96"/>
              </w:rPr>
              <w:t>Additional research and development and</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4620" w:type="dxa"/>
            <w:vAlign w:val="bottom"/>
            <w:gridSpan w:val="9"/>
          </w:tcPr>
          <w:p>
            <w:pPr>
              <w:ind w:left="280"/>
              <w:spacing w:after="0"/>
              <w:rPr>
                <w:sz w:val="20"/>
                <w:szCs w:val="20"/>
                <w:color w:val="auto"/>
              </w:rPr>
            </w:pPr>
            <w:r>
              <w:rPr>
                <w:rFonts w:ascii="Arial" w:cs="Arial" w:eastAsia="Arial" w:hAnsi="Arial"/>
                <w:sz w:val="18"/>
                <w:szCs w:val="18"/>
                <w:color w:val="auto"/>
              </w:rPr>
              <w:t>No new phase 3 trials planned at this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ind w:left="580"/>
              <w:spacing w:after="0"/>
              <w:rPr>
                <w:sz w:val="20"/>
                <w:szCs w:val="20"/>
                <w:color w:val="auto"/>
              </w:rPr>
            </w:pPr>
            <w:r>
              <w:rPr>
                <w:rFonts w:ascii="Arial" w:cs="Arial" w:eastAsia="Arial" w:hAnsi="Arial"/>
                <w:sz w:val="18"/>
                <w:szCs w:val="18"/>
                <w:color w:val="auto"/>
              </w:rPr>
              <w:t>market research activities</w:t>
            </w:r>
          </w:p>
        </w:tc>
        <w:tc>
          <w:tcPr>
            <w:tcW w:w="580" w:type="dxa"/>
            <w:vAlign w:val="bottom"/>
          </w:tcPr>
          <w:p>
            <w:pPr>
              <w:spacing w:after="0"/>
              <w:rPr>
                <w:sz w:val="20"/>
                <w:szCs w:val="20"/>
                <w:color w:val="auto"/>
              </w:rPr>
            </w:pPr>
          </w:p>
        </w:tc>
        <w:tc>
          <w:tcPr>
            <w:tcW w:w="1960" w:type="dxa"/>
            <w:vAlign w:val="bottom"/>
            <w:gridSpan w:val="4"/>
          </w:tcPr>
          <w:p>
            <w:pPr>
              <w:ind w:left="280"/>
              <w:spacing w:after="0"/>
              <w:rPr>
                <w:sz w:val="20"/>
                <w:szCs w:val="20"/>
                <w:color w:val="auto"/>
              </w:rPr>
            </w:pPr>
            <w:r>
              <w:rPr>
                <w:rFonts w:ascii="Arial" w:cs="Arial" w:eastAsia="Arial" w:hAnsi="Arial"/>
                <w:sz w:val="18"/>
                <w:szCs w:val="18"/>
                <w:color w:val="auto"/>
              </w:rPr>
              <w:t>time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7"/>
              </w:rPr>
              <w:t>Results of Operations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Three Months Ended September 30, 2004 and 2003</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80" w:type="dxa"/>
            <w:vAlign w:val="bottom"/>
            <w:gridSpan w:val="10"/>
          </w:tcPr>
          <w:p>
            <w:pPr>
              <w:ind w:left="240"/>
              <w:spacing w:after="0"/>
              <w:rPr>
                <w:sz w:val="20"/>
                <w:szCs w:val="20"/>
                <w:color w:val="auto"/>
              </w:rPr>
            </w:pPr>
            <w:r>
              <w:rPr>
                <w:rFonts w:ascii="Arial" w:cs="Arial" w:eastAsia="Arial" w:hAnsi="Arial"/>
                <w:sz w:val="18"/>
                <w:szCs w:val="18"/>
                <w:color w:val="auto"/>
              </w:rPr>
              <w:t>Revenues in the three months ended September 30, 2004 and 2003 consist of the following:</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7"/>
          </w:tcPr>
          <w:p>
            <w:pPr>
              <w:ind w:left="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94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Aventis</w:t>
            </w:r>
          </w:p>
        </w:tc>
        <w:tc>
          <w:tcPr>
            <w:tcW w:w="58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20" w:type="dxa"/>
            <w:vAlign w:val="bottom"/>
            <w:shd w:val="clear" w:color="auto" w:fill="EEEEEE"/>
          </w:tcPr>
          <w:p>
            <w:pPr>
              <w:ind w:left="20"/>
              <w:spacing w:after="0"/>
              <w:rPr>
                <w:sz w:val="20"/>
                <w:szCs w:val="20"/>
                <w:color w:val="auto"/>
              </w:rPr>
            </w:pPr>
            <w:r>
              <w:rPr>
                <w:rFonts w:ascii="Arial" w:cs="Arial" w:eastAsia="Arial" w:hAnsi="Arial"/>
                <w:sz w:val="18"/>
                <w:szCs w:val="18"/>
                <w:color w:val="auto"/>
              </w:rPr>
              <w:t>Novartis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Procter &amp; Gamble</w:t>
            </w:r>
          </w:p>
        </w:tc>
        <w:tc>
          <w:tcPr>
            <w:tcW w:w="58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20" w:type="dxa"/>
            <w:vAlign w:val="bottom"/>
            <w:shd w:val="clear" w:color="auto" w:fill="EEEEEE"/>
          </w:tcPr>
          <w:p>
            <w:pPr>
              <w:ind w:left="2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w w:val="95"/>
              </w:rPr>
              <w:t>Total contract research &amp; development revenue</w:t>
            </w:r>
          </w:p>
        </w:tc>
        <w:tc>
          <w:tcPr>
            <w:tcW w:w="5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 manufacturing revenue</w:t>
            </w:r>
          </w:p>
        </w:tc>
        <w:tc>
          <w:tcPr>
            <w:tcW w:w="5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5"/>
              </w:rPr>
              <w:t>10.9</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5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17.4</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Our total revenue increased to $36.5 million in the third quarter of 2004 from $17.4 million for the same period in 2003 primarily from revenue related to our collaboration with Aventis on the VEGF Trap, which commenced in September 2003. Contract research and development revenue from collaborators consists partly of reimbursement for research and development expenses and partly of the recognition of revenue related to non refundable, up-front payments. Non-refundable, up-front payments are recorded as deferred revenue and recognized ratably over the period over which we are obligated to perform services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(SAB 104). In the third quarter of 2004 and 2003, in connection with the collaboration with Aventis, we recognized $19.4 million and $1.7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respectively, in reimbursement for research and development expenses and $2.7 million and $0.9 million, respectively, in revenue related to an $80.0 million up-front non-refundable payment which was received in September of 2003. In the third quarter of 2003, in connection with our collaboration agreement with Novartis on the IL-1 Trap, we recognized $3.9 million in reimbursement for development expenses and $1.3 million in revenue related to a $27.0 million up-front non-refundable payment. In the first quarter of 2004, Novartis provided notice of its intention not to proceed with the joint development of the IL-1 Trap. As a result, we do not expect to recognize any future contract research and development revenue from Novartis.</w:t>
      </w:r>
    </w:p>
    <w:p>
      <w:pPr>
        <w:spacing w:after="0" w:line="146"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Contract manufacturing revenue relates primarily to our long-term agreement with Merck &amp; Co., Inc. to manufacture a vaccine intermediate at our Rensselaer, New York facility. This agreement expires in October 2005, unless extended by mutual agreement. Contract manufacturing revenue increased to $10.9 million in the third quarter of 2004 from $6.5 million for the same period in 2003, principally from an increase in product shipments to Merck in 2004 compared to the same period in 2003. Revenue and the related manufacturing expense are recognized as product is shipped, after acceptance by Merck. Included in contract manufacturing revenue in the third quarter of 2004 and 2003 was $2.4 million and $1.3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Research and development (R&amp;D) expenses decreased to $32.8 million in the third quarter of 2004 from $34.7 million for the same period of 2003, due primarily to a $4.1 million decrease in clinical trial expenses associated primarily with completion of the double-blind treatment portion of our AXOKINE phase 3 trial in 2003, the completion of other AXOKINE trials in the second quarter of 2004, and the completion of our IL-1 Trap phase 2 clinical trial in 2003. This decrease was partly offset by (i) a $1.3 million increase in payroll related expenses, resulting primarily from hiring additional research personnel, and (ii) a $0.9 million increase in other R&amp;D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85"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Contract manufacturing expenses increased to $9.0 million in the third quarter of 2004 compared to $4.8 million in the same period in 2003, primarily because we shipped more product to Merck.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General and administrative expenses increased to $4.2 million in the third quarter of 2004 from $3.6 million in the same period of 2003, due primarily to increases in professional fees principally related to our efforts to comply with the requirements of Section 404 of the Sarbanes-Oxley Act of 2002 and other accounting and professional services.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98"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Investment income increased slightly to $1.4 million in the third quarter of 2004 from $1.3 million in the same period of 2003, due primarily to higher effective interest rates on investment securities. Interest expense is attributable principally to $200.0 million of convertible notes issued in October 2001, which mature in 2008 and bear interest at 5.5% per annum. Interest expense remained relatively unchanged at $3.0 million for both the third quarter of 2004 and 2003.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in the nine months ended September 30, 2004 and 2003 consist of the following:</w:t>
      </w:r>
    </w:p>
    <w:p>
      <w:pPr>
        <w:spacing w:after="0" w:line="392"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Aventis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Novartis</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17.1</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Procter &amp; Gamble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EEEEE"/>
          </w:tcPr>
          <w:p>
            <w:pPr>
              <w:spacing w:after="0"/>
              <w:rPr>
                <w:sz w:val="18"/>
                <w:szCs w:val="18"/>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Total contract research &amp; development revenue</w:t>
            </w: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Research progress payment</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120" w:type="dxa"/>
            <w:vAlign w:val="bottom"/>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80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127.0</w:t>
            </w:r>
          </w:p>
        </w:tc>
        <w:tc>
          <w:tcPr>
            <w:tcW w:w="120" w:type="dxa"/>
            <w:vAlign w:val="bottom"/>
            <w:tcBorders>
              <w:bottom w:val="single" w:sz="8" w:color="EEEEEE"/>
            </w:tcBorders>
            <w:shd w:val="clear" w:color="auto" w:fill="EEEEEE"/>
          </w:tcPr>
          <w:p>
            <w:pPr>
              <w:spacing w:after="0"/>
              <w:rPr>
                <w:sz w:val="22"/>
                <w:szCs w:val="22"/>
                <w:color w:val="auto"/>
              </w:rPr>
            </w:pPr>
          </w:p>
        </w:tc>
        <w:tc>
          <w:tcPr>
            <w:tcW w:w="4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5"/>
              </w:rPr>
              <w:t>36.2</w:t>
            </w:r>
          </w:p>
        </w:tc>
        <w:tc>
          <w:tcPr>
            <w:tcW w:w="1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Our total revenue increased to $127.0 million in the first nine months of 2004 from $36.2 million for the same period in 2003 primarily from revenue related to our collaboration with Aventis on the VEGF Trap, which commenced in September 2003, and our collaboration with Novartis on the IL-1 Trap, which commenced in March 2003. Contract research and development revenue from our principal collaborators for the first nine months of 2004, as detailed below, consists partly of reimbursement for research and development expenses and partly of the recognition of revenue related to non-refundable, up-front payments. Non-refundable, up-front payments are recorded as deferred revenue and recognized ratably over the period which we are obligated to perform services in accordance with SAB 104. In the first quarter of 2004, Novartis provided notice of its intention not to proceed with the joint development of the IL-1 Trap and the remaining balance of the March 2003 $27.0 million up-front payment from Novartis was recognized as contract research and development revenue.</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2004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millions)</w:t>
      </w:r>
    </w:p>
    <w:p>
      <w:pPr>
        <w:spacing w:after="0" w:line="392"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7"/>
          </w:tcPr>
          <w:p>
            <w:pPr>
              <w:ind w:left="240"/>
              <w:spacing w:after="0"/>
              <w:rPr>
                <w:sz w:val="20"/>
                <w:szCs w:val="20"/>
                <w:color w:val="auto"/>
              </w:rPr>
            </w:pPr>
            <w:r>
              <w:rPr>
                <w:rFonts w:ascii="Arial" w:cs="Arial" w:eastAsia="Arial" w:hAnsi="Arial"/>
                <w:sz w:val="14"/>
                <w:szCs w:val="14"/>
                <w:b w:val="1"/>
                <w:bCs w:val="1"/>
                <w:color w:val="auto"/>
              </w:rPr>
              <w:t>Up-front Payment</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7"/>
                <w:szCs w:val="17"/>
                <w:color w:val="auto"/>
              </w:rPr>
            </w:pPr>
          </w:p>
        </w:tc>
        <w:tc>
          <w:tcPr>
            <w:tcW w:w="1300" w:type="dxa"/>
            <w:vAlign w:val="bottom"/>
            <w:gridSpan w:val="3"/>
          </w:tcPr>
          <w:p>
            <w:pPr>
              <w:ind w:left="360"/>
              <w:spacing w:after="0"/>
              <w:rPr>
                <w:sz w:val="20"/>
                <w:szCs w:val="20"/>
                <w:color w:val="auto"/>
              </w:rPr>
            </w:pPr>
            <w:r>
              <w:rPr>
                <w:rFonts w:ascii="Arial" w:cs="Arial" w:eastAsia="Arial" w:hAnsi="Arial"/>
                <w:sz w:val="14"/>
                <w:szCs w:val="14"/>
                <w:b w:val="1"/>
                <w:bCs w:val="1"/>
                <w:color w:val="auto"/>
              </w:rPr>
              <w:t>Deferred</w:t>
            </w:r>
          </w:p>
        </w:tc>
        <w:tc>
          <w:tcPr>
            <w:tcW w:w="160" w:type="dxa"/>
            <w:vAlign w:val="bottom"/>
          </w:tcPr>
          <w:p>
            <w:pPr>
              <w:spacing w:after="0"/>
              <w:rPr>
                <w:sz w:val="17"/>
                <w:szCs w:val="17"/>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Original</w:t>
            </w: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Revenue at</w:t>
            </w: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Payment</w:t>
            </w:r>
          </w:p>
        </w:tc>
        <w:tc>
          <w:tcPr>
            <w:tcW w:w="16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Recognized</w:t>
            </w:r>
          </w:p>
        </w:tc>
        <w:tc>
          <w:tcPr>
            <w:tcW w:w="180" w:type="dxa"/>
            <w:vAlign w:val="bottom"/>
          </w:tcPr>
          <w:p>
            <w:pPr>
              <w:spacing w:after="0"/>
              <w:rPr>
                <w:sz w:val="16"/>
                <w:szCs w:val="16"/>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 2004</w:t>
            </w:r>
          </w:p>
        </w:tc>
        <w:tc>
          <w:tcPr>
            <w:tcW w:w="16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Reimbursement</w:t>
            </w:r>
          </w:p>
        </w:tc>
        <w:tc>
          <w:tcPr>
            <w:tcW w:w="16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Aventis</w:t>
            </w:r>
          </w:p>
        </w:tc>
        <w:tc>
          <w:tcPr>
            <w:tcW w:w="120" w:type="dxa"/>
            <w:vAlign w:val="bottom"/>
            <w:tcBorders>
              <w:right w:val="single" w:sz="8" w:color="EEEEEE"/>
            </w:tcBorders>
            <w:shd w:val="clear" w:color="auto" w:fill="EEEEEE"/>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ind w:left="580"/>
              <w:spacing w:after="0"/>
              <w:rPr>
                <w:sz w:val="20"/>
                <w:szCs w:val="20"/>
                <w:color w:val="auto"/>
              </w:rPr>
            </w:pPr>
            <w:r>
              <w:rPr>
                <w:rFonts w:ascii="Arial" w:cs="Arial" w:eastAsia="Arial" w:hAnsi="Arial"/>
                <w:sz w:val="18"/>
                <w:szCs w:val="18"/>
                <w:color w:val="auto"/>
                <w:w w:val="84"/>
              </w:rPr>
              <w:t>$68.2</w:t>
            </w:r>
          </w:p>
        </w:tc>
        <w:tc>
          <w:tcPr>
            <w:tcW w:w="5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$53.8</w:t>
            </w:r>
          </w:p>
        </w:tc>
        <w:tc>
          <w:tcPr>
            <w:tcW w:w="4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Novartis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Procter &amp; Gamble</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bottom w:val="single" w:sz="8" w:color="808080"/>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4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107.0</w:t>
            </w:r>
          </w:p>
        </w:tc>
        <w:tc>
          <w:tcPr>
            <w:tcW w:w="100" w:type="dxa"/>
            <w:vAlign w:val="bottom"/>
          </w:tcPr>
          <w:p>
            <w:pPr>
              <w:spacing w:after="0"/>
              <w:rPr>
                <w:sz w:val="20"/>
                <w:szCs w:val="20"/>
                <w:color w:val="auto"/>
              </w:rPr>
            </w:pPr>
          </w:p>
        </w:tc>
        <w:tc>
          <w:tcPr>
            <w:tcW w:w="46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30.3</w:t>
            </w:r>
          </w:p>
        </w:tc>
        <w:tc>
          <w:tcPr>
            <w:tcW w:w="280" w:type="dxa"/>
            <w:vAlign w:val="bottom"/>
          </w:tcPr>
          <w:p>
            <w:pPr>
              <w:spacing w:after="0"/>
              <w:rPr>
                <w:sz w:val="20"/>
                <w:szCs w:val="20"/>
                <w:color w:val="auto"/>
              </w:rPr>
            </w:pPr>
          </w:p>
        </w:tc>
        <w:tc>
          <w:tcPr>
            <w:tcW w:w="980" w:type="dxa"/>
            <w:vAlign w:val="bottom"/>
            <w:gridSpan w:val="3"/>
          </w:tcPr>
          <w:p>
            <w:pPr>
              <w:ind w:left="580"/>
              <w:spacing w:after="0"/>
              <w:rPr>
                <w:sz w:val="20"/>
                <w:szCs w:val="20"/>
                <w:color w:val="auto"/>
              </w:rPr>
            </w:pPr>
            <w:r>
              <w:rPr>
                <w:rFonts w:ascii="Arial" w:cs="Arial" w:eastAsia="Arial" w:hAnsi="Arial"/>
                <w:sz w:val="18"/>
                <w:szCs w:val="18"/>
                <w:color w:val="auto"/>
                <w:w w:val="84"/>
              </w:rPr>
              <w:t>$68.2</w:t>
            </w:r>
          </w:p>
        </w:tc>
        <w:tc>
          <w:tcPr>
            <w:tcW w:w="5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$61.9</w:t>
            </w:r>
          </w:p>
        </w:tc>
        <w:tc>
          <w:tcPr>
            <w:tcW w:w="4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the first nine months of 2003, we recognized $1.7 million in revenue related to the reimbursement of research and development expenses by Aventis and $0.9 million in revenue related to the $80.0 million up-front payment received from Aventis in September 2003. We also recognized $13.1 million in revenue related to the reimbursement of research and development expenses by Novartis and $4.0 million in revenue related to the $27.0 million, up-front payment received from Novartis in March 2003.</w:t>
      </w:r>
    </w:p>
    <w:p>
      <w:pPr>
        <w:spacing w:after="0" w:line="146"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In March 2004, Novartis forgave all its outstanding loans, including accrued interest, to Regeneron totaling $17.8 million, based upon Regeneron’s achieving a pre-defined development milestone, which was recognized as a research progress payment.</w:t>
      </w:r>
    </w:p>
    <w:p>
      <w:pPr>
        <w:spacing w:after="0" w:line="14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Contract manufacturing revenue increased to $14.8 million in the first nine months of 2004 from $8.0 million for the same period in 2003, principally from an increase in product shipments to Merck in 2004 compared to the same period in 2003. Revenue and the related manufacturing expense are recognized as product is shipped, after acceptance by Merck. Included in contract manufacturing revenue in the first nine months of 2004 and 2003 was $3.0 million and $1.3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manufacturing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Research and development (R&amp;D) expenses decreased slightly to $101.3 million in the first nine months of 2004 from $102.8 million for the same period of 2003, due primarily to a $12.6 million decrease in clinical trial expenses associated primarily with the completion of the double-blind treatment portion of our AXOKINE phase 3 clinical trial in 2003, the completion of other AXOKINE trials in 2004, and the completion of our IL-1 Trap phase 2 clinical trial in 2003. This decrease was offset by (i) a $2.9 million increase in depreciation expense, primarily related to our expanded Rensselaer facility, (ii) a $3.4 million increase in payroll related expenses, resulting primarily from hiring additional research personnel, and (iii) a $4.8 million increase in other R&amp;D expenses, primarily related to the VEGF Trap and IL-1 Trap.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98"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Contract manufacturing expenses increased to $11.7 million in the first nine months of 2004, compared to $5.8 million in the same period in 2003, primarily because we shipped more product to Merck.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General and administrative expenses increased to $12.2 million in the first nine months of 2004 from $10.5 million in the same period of 2003, due primarily to professional fees principally related to our efforts to comply with the requirements of Section 404 of the Sarbanes-Oxley Act of 2002 and other accounting and professional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85"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the first quarter of 2004, Novartis notified us of its decision to forgo its right under the collaboration to jointly develop the IL-1 Trap and agreed to pay us $42.75 million to satisfy its obligation to fund development costs for the IL-1 Trap for the nine-month period following its notification and for the two months prior to that notice. The $42.75 million was included in other contract income in the first quarter of 2004.</w:t>
      </w:r>
    </w:p>
    <w:p>
      <w:pPr>
        <w:spacing w:after="0" w:line="14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Investment income remained relatively unchanged at $3.6 million for the first nine months of both 2004 and 2003. Interest expense is attributable principally to $200.0 million of convertible notes issued in October 2001, which mature in 2008 and bear interest at 5.5% per annum. Interest expense increased to $9.2 million in the first nine months of 2004 from $8.8 million in the same period of 2003 due, in part, to interest incurred in the first quarter of 2004 on loans from Novartis to fund our share of 2003 IL-1 Trap development costs. (These Novartis loans were forgiven in March 2004 as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revenue earned under our agreements with Aventis, Novartis, Merck, Procter &amp; Gamble, Serono, and other companies, and investment income.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2004 and 2003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Operations:</w:t>
      </w:r>
    </w:p>
    <w:p>
      <w:pPr>
        <w:spacing w:after="0" w:line="185" w:lineRule="exact"/>
        <w:rPr>
          <w:sz w:val="20"/>
          <w:szCs w:val="20"/>
          <w:color w:val="auto"/>
        </w:rPr>
      </w:pPr>
    </w:p>
    <w:p>
      <w:pPr>
        <w:jc w:val="both"/>
        <w:ind w:right="60" w:firstLine="215"/>
        <w:spacing w:after="0" w:line="312" w:lineRule="auto"/>
        <w:rPr>
          <w:sz w:val="20"/>
          <w:szCs w:val="20"/>
          <w:color w:val="auto"/>
        </w:rPr>
      </w:pPr>
      <w:r>
        <w:rPr>
          <w:rFonts w:ascii="Arial" w:cs="Arial" w:eastAsia="Arial" w:hAnsi="Arial"/>
          <w:sz w:val="16"/>
          <w:szCs w:val="16"/>
          <w:color w:val="auto"/>
        </w:rPr>
        <w:t>At September 30, 2004, we had $361.2 million in cash, cash equivalents, marketable securities, and restricted marketable securities. Restricted marketable securities consisted of pledged U.S. government securities which were sufficient upon receipt of scheduled principal and interest payments to provide for the payment in full of the interest payments on the convertible senior subordinated notes through October, 2004. In the first nine months of 2004,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net income was $38.9 million but we used $4.7 million of cash in operations. The difference between net income and cash usage was primarily due to the recognition of $39.9 million of non-cash deferred and research progress payment revenue related to the Novartis collaboration and $8.2 million of non-cash deferred revenue related to the Aventis collaboration. In the first nine months of 2003, our net loss was $88.1 million but we generated $22.3 million of cash in operations, principally due to the receipt of an $80.0 million non-refundable, up-front payment from Aventis in the third quarter of 2004 and a $27.0 million non-refundable, up-front payment from Novartis in the first quarter of 2003.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185"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Net cash used in investing activities was $12.2 million in the first nine months of 2004, primarily because purchases of marketable securities exceeded cash proceeds from sales or maturities of marketable securities during this period. Net cash provided by investing activities was $92.6 million in the first nine months of 2003, as cash proceeds from sales or maturities of marketable securities substantially exceeded cash invested to purchase marketable securities. In addition, during the first nine months of 2004, payments for capital expenditures decreased $23.5 million compared to the same period in 2003, due primarily to the completion of the expansion of our Rensselaer, New York plant in 2003.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98"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Cash provided by financing activities decreased to $3.6 million in the first nine months of 2004 compared to $103.6 million in the same period in 2003. In connection with our collaboration agreements, we sold $45.0 million of newly issued unregistered shares of our Common Stock to Aventis in September 2003 and $48.0 million of newly issued unregistered shares of our Common Stock to Novartis in March 2003.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Aventis Agreement:</w:t>
      </w:r>
    </w:p>
    <w:p>
      <w:pPr>
        <w:spacing w:after="0" w:line="185"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Under the collaboration agreement with Aventis, we and Aventis will share co-promotion rights and profits on sales, if any, of the VEGF Trap. Aventis has agreed to make a $25.0 million payment to us upon achievement of an early-stage clinical milestone. We expect to achieve this milestone within approximately the next six months. We may also receive up to $360.0 million in additional milestone payments upon receipt of specified marketing approvals for up to eight VEGF Trap indications in Europe or the United States.</w:t>
      </w:r>
    </w:p>
    <w:p>
      <w:pPr>
        <w:spacing w:after="0" w:line="160" w:lineRule="exact"/>
        <w:rPr>
          <w:sz w:val="20"/>
          <w:szCs w:val="20"/>
          <w:color w:val="auto"/>
        </w:rPr>
      </w:pPr>
    </w:p>
    <w:p>
      <w:pPr>
        <w:jc w:val="both"/>
        <w:ind w:right="80" w:firstLine="222"/>
        <w:spacing w:after="0" w:line="259" w:lineRule="auto"/>
        <w:rPr>
          <w:sz w:val="20"/>
          <w:szCs w:val="20"/>
          <w:color w:val="auto"/>
        </w:rPr>
      </w:pPr>
      <w:r>
        <w:rPr>
          <w:rFonts w:ascii="Arial" w:cs="Arial" w:eastAsia="Arial" w:hAnsi="Arial"/>
          <w:sz w:val="18"/>
          <w:szCs w:val="18"/>
          <w:color w:val="auto"/>
        </w:rPr>
        <w:t>We have agreed to continue to manufacture clinical supplies of the VEGF Trap at our plant in Rensselaer, New York. Aventis has agreed to be responsible for providing commercial scale manufacturing capacity for the VEGF Trap. Under the collaboration agreement, agreed upon development expenses incurred by both companies during the term of the agreement, including costs associated with the manufacture of clinical drug supply, will be funded by Aventis. We have the option to conduct additional pre-phase 3 studies at our own expense.</w:t>
      </w:r>
    </w:p>
    <w:p>
      <w:pPr>
        <w:spacing w:after="0" w:line="146"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In 2004, we and Aventis increased research and development spending to expand the development of the VEGF Trap. Over the next 12 months, the broad based development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program is anticipated to include multiple studies to evaluate the VEGF Trap in single agent and in combination with other cancer treatments.</w:t>
      </w:r>
    </w:p>
    <w:p>
      <w:pPr>
        <w:spacing w:after="0" w:line="198" w:lineRule="exact"/>
        <w:rPr>
          <w:sz w:val="20"/>
          <w:szCs w:val="20"/>
          <w:color w:val="auto"/>
        </w:rPr>
      </w:pPr>
    </w:p>
    <w:p>
      <w:pPr>
        <w:ind w:right="140" w:firstLine="215"/>
        <w:spacing w:after="0" w:line="264" w:lineRule="auto"/>
        <w:rPr>
          <w:sz w:val="20"/>
          <w:szCs w:val="20"/>
          <w:color w:val="auto"/>
        </w:rPr>
      </w:pPr>
      <w:r>
        <w:rPr>
          <w:rFonts w:ascii="Arial" w:cs="Arial" w:eastAsia="Arial" w:hAnsi="Arial"/>
          <w:sz w:val="18"/>
          <w:szCs w:val="18"/>
          <w:color w:val="auto"/>
        </w:rPr>
        <w:t>Also, under the terms of the Aventis collaboration agreement,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 from Merck:</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August 19, 2004, we repurchased and subsequently retired 109,450 shares of our Common Stock held by Merck that were issued to Merck in August 2003 in connection with a patent license agreement. The shares were acquired for a purchase price of $0.9 million, based on the fair market value of the shares on August 19, 2004. We also made a cash payment of $0.6 million to Merck as required under the patent license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additions to property, plant, and equipment totaled $4.7 million and $15.6 million for the first nine months of 2004 and 2003, respectively. During the remainder of 2004, we expect to incur approximately $1.5 million to $2.5 million in capital expenditures, related primarily to equipment for our expanded manufacturing, research, and development activities.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expect to continue to incur substantial funding requirements primarily for research and development activities (including preclinical and clinical testing). We currently anticipate that approximately 50-55% of our expenditures for 2004 will be directed toward the preclinical and clinical development of product candidates, including the VEGF Trap, IL-1 Trap, IL-4/13 Trap, and AXOKINE; approximately 20-25% of our expenditures for 2004 will be applied to our basic research activities and the continued development of our novel technology platforms; and the remainder of our expenditures for 2004 will be used for capital expenditures and general corporate purposes, including working capital. In connection with our funding requirements, there has been no significant change in our contractual obligations for leases and long-term debt since December 31, 2003 except with regard to our loan payable to Novartis, which was forgiven in March 2004 (as described above). In addition in January 2004, we amended our Tarrytown, New York lease and exercised our option to extend the lease for certain parts of the leased space through December 2009. The effect of this extension was to increase our operating lease obligations to a total of $16.1 million for the years 2005 to 2007 and a total of $3.5 million for the years 2008 and 2009. The amended Tarrytown lease contains renewal options for certain parts of the leased space through December 2014.</w:t>
      </w:r>
    </w:p>
    <w:p>
      <w:pPr>
        <w:spacing w:after="0" w:line="137"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amount we need to fund operations will depend on various factors, including the status of competitive products, the success of our research and development programs, the potential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(including those with Aventis and Procter &amp; Gamble).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 Also, under the terms of the Aventis collaboration agreement,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56"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30"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We believe that our existing capital resources will enable us to meet operating needs through at least the end of 2006 and expect to end 2004 with a cash balance of $325 to $350 million.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September 30, 2004,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0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In April 2004, the Emerging Issues Task Force issued Statement No. 03-6, </w:t>
      </w:r>
      <w:r>
        <w:rPr>
          <w:rFonts w:ascii="Arial" w:cs="Arial" w:eastAsia="Arial" w:hAnsi="Arial"/>
          <w:sz w:val="18"/>
          <w:szCs w:val="18"/>
          <w:i w:val="1"/>
          <w:iCs w:val="1"/>
          <w:color w:val="auto"/>
        </w:rPr>
        <w:t>Participating Securities and the Two-Class Method under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128, Earnings per Share </w:t>
      </w:r>
      <w:r>
        <w:rPr>
          <w:rFonts w:ascii="Arial" w:cs="Arial" w:eastAsia="Arial" w:hAnsi="Arial"/>
          <w:sz w:val="18"/>
          <w:szCs w:val="18"/>
          <w:color w:val="auto"/>
        </w:rPr>
        <w:t>(EITF 03-6). EITF 03-6 addresses a number of questions regarding the computation of earnings per share (EPS) by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have issued securities other than common stock that contractually entitle the holder to participate in dividends and earnings of the company when, and if, it declares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dividends on its common stock. EITF 03-6 defines participation rights based solely on whether the holder would be entitled to receive any dividends if the entity declared them during the period and requires the use of the two-class method for computing basic EPS when participating convertible securities exist. In addition, EITF 03-6 expands the use of the two-class method to encompass other forms of participating securities and is effective for fiscal periods beginning after March 31, 2004. Since we have no participating securities, our adoption of EITF 03-6 did not have a material impact on our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included under other captions in this report and our Annual Report on Form 10-K and should be considered by our investors.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130"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From inception on January 8, 1988 through September 30, 2004, we had a cumulative loss of $492.6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and contract research and development revenue from our agreements with Procter &amp; Gamble and Serono. All three of these agreements are scheduled to expire, unless extended by mutual agreement, before the end of 2005. We can provide no assurance that all or any of these agreements will be extended. Failure to extend those agreements may negatively impact our business, financial condition, or results of operations.</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143"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will need to expend substantial resources for research and development, including costs associated with clinical testing of our product candidates. We believe our existing capital resources will enable us to meet operating needs through at least the end of 2006;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financing through the sale of equity or convertible debt securities, such sales may be dilutive to our shareholders. Debt financing arrangements may require us to pledge certain assets or enter into covenants that would restrict certain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130"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85"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candidates. Our product candidates are delivered either by intravenous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12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9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must conduct extensive testing of our product candidates before we can obtain regulatory approval to market and sell them. We need to conduct both preclinical animal testing and human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also fail because it did not include a sufficient number of patients to detect the endpoint being measured or reach statistical significance. For example, the trials studying the maintenance of weight loss following short-term treatment regimens with AXOKINE did not enroll a sufficient number of patients to detect statistically significant differences between patients treated with AXOKINE and those taking placebo. These trials were designed before we had access to the data from the completed pivotal phase 3 AXOKINE trial, which demonstrated that the magnitude of the average difference in weight loss observed between all AXOKINE-treated subjects and those taking placebo was small.</w:t>
      </w:r>
    </w:p>
    <w:p>
      <w:pPr>
        <w:spacing w:after="0" w:line="140"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our desired indications could harm the development of the product candidate, and our business, financial condition, and results of operations may be materially harmed.</w:t>
      </w:r>
    </w:p>
    <w:p>
      <w:pPr>
        <w:spacing w:after="0" w:line="1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13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5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Our VEGF Trap is being studied for the potential treatment of certain types of cancer and diseases of the eye. There are many potential safety concerns associated with significant blockade of vascular endothelial growth factor, or VEGF. These safety concerns may limit our ability to successfully develop the VEGF Trap.</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Genentech and Eyetech are developing VEGF inhibiting molecules for certain diseases of the eye that will be delivered by direct administration to the eye. We plan to study the VEGF Trap for the potential treatment of certain diseases of the eye through intravitreal injections in the eye and are conducting trials of the VEGF Trap utilizing systemic administration through intravenous infusions or subcutaneous injections. Although we believe that there are potential clinical advantages to systemic administration over injections directly in the eye (including patient comfort and acceptance), there are unique potential risks to patients associated with the systemic blockade of VEGF by intravenous infusions or subcutaneous injections that could limit or end the VEGF Trap development program. These risks, based on the clinical and preclinical experience of systemically delivered VEGF inhibitors, include bleeding, hypertension, and proteinuria. Certain of these serious side effects and other serious side effects have been reported in our VEGF Trap studies. In addition, patients given infusions of any protein, including the VEGF Trap, may develop severe hypersensitivity reactions, referred to as infusion reactions. There may be additional complications or side effects that could harm the development of the VEGF Trap for either the treatment of cancer or diseases of the eye.</w:t>
      </w:r>
    </w:p>
    <w:p>
      <w:pPr>
        <w:spacing w:after="0" w:line="14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3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3 study developed neutralizing antibodies. In addition, subjects who received the IL-1 Trap in clinical trials have developed antibodies. It is possible that as we test the VEGF Trap in different patient populations and larger clinical trials, subjects given the VEGF Trap will develop antibodies to the product candidate.</w:t>
      </w:r>
    </w:p>
    <w:p>
      <w:pPr>
        <w:spacing w:after="0" w:line="12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previous phase 3 study evaluating AXOKINE demonstrated modest average weight loss over a 12-month period. In addition, a completed phase 2 study evaluating the IL-1 Trap in patients with rheumatoid arthritis failed to achieve its primary endpoint.</w:t>
      </w:r>
    </w:p>
    <w:p>
      <w:pPr>
        <w:spacing w:after="0" w:line="143"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In March 2003, we reported data from the 12-month treatment period of our initial phase 3 pivotal trial of AXOKINE. Although the phase 3 study met its primary endpoints and many individuals achieved a medically meaningful weight loss, the average weight loss was small and limited by the development of antibodies.</w:t>
      </w:r>
    </w:p>
    <w:p>
      <w:pPr>
        <w:spacing w:after="0" w:line="141"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In October 2003, we reported results from the first phase 2 trial of our IL-1 Trap. While patients treated with the highest dose, 100 milligrams of the IL-1 Trap once a week, exhibited improvements in the primary endpoint of the trial, the proportion of ACR 20 responses versus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placebo, the results did not achieve statistical significance. We plan to conduct a phase 2b study of the IL-1 Trap in a larger patient population, testing higher doses than were tested in the previous phase 2 trial for a longer period of time. We plan to study higher doses of the IL-1 Trap through subcutaneous injections and intravenous delivery. However, higher doses may not lead to better results than were demonstrated in the previous phase 2 trial. In addition, safety or tolerability concerns may arise which limit our ability to deliver higher doses of the IL-1 Trap to patients. The dose levels that will be tested are substantially higher than the dose levels of other biological therapeutics currently approved for the treatment of rheumatoid arthritis. Either approach may affect the safety and/or tolerability of the IL-1 Trap, which may limit its commercial potential if the product candidate is ever approved for marketing and sale.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85"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1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8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48"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Sections 10(b) and 20(a) of the Securities and Exchange Act of 1934, and Rule 10b-5 promulgated thereunder. Damages are sought in an unspecified amount. No reserve for damages has been established because we do not believe that a loss is probable. However, if the outcome of the litigation is adverse to us, we could be subject to significant liability, which could exceed our insurance coverage.</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30"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On February 27, 2004, Novartis provided notice to us that they would not participate in the continued development and commercialization of the IL-1 Trap under our collaboration agreement. This may harm our ability to develop and commercialize the IL-1 Trap.</w:t>
      </w:r>
    </w:p>
    <w:p>
      <w:pPr>
        <w:spacing w:after="0" w:line="83" w:lineRule="exact"/>
        <w:rPr>
          <w:sz w:val="20"/>
          <w:szCs w:val="20"/>
          <w:color w:val="auto"/>
        </w:rPr>
      </w:pPr>
    </w:p>
    <w:p>
      <w:pPr>
        <w:ind w:right="200" w:firstLine="222"/>
        <w:spacing w:after="0" w:line="276" w:lineRule="auto"/>
        <w:rPr>
          <w:sz w:val="20"/>
          <w:szCs w:val="20"/>
          <w:color w:val="auto"/>
        </w:rPr>
      </w:pPr>
      <w:r>
        <w:rPr>
          <w:rFonts w:ascii="Arial" w:cs="Arial" w:eastAsia="Arial" w:hAnsi="Arial"/>
          <w:sz w:val="17"/>
          <w:szCs w:val="17"/>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which could result in significant delays in the development and potential commercialization of the IL-1 Trap. In addition, we will have to fund the development and commercialization of the IL-1 Trap without Novartis’ long-term commitment, which will require substantially greater expenditures on our part.</w:t>
      </w:r>
    </w:p>
    <w:p>
      <w:pPr>
        <w:spacing w:after="0" w:line="1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collaboration with Aventis for the VEGF Trap is terminated, our ability to develop and commercialize the VEGF Trap in the time expected, or at all, and our business operations would be harmed.</w:t>
      </w:r>
    </w:p>
    <w:p>
      <w:pPr>
        <w:spacing w:after="0" w:line="143"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We rely heavily on Aventis to assist with the development of the VEGF Trap. If the VEGF Trap program continues, we will rely on Aventis to assist with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Aventis does not perform its obligations in a timely manner, or at all, our ability to develop, manufacture, and commercialize the VEGF Trap will be significantly adversely affected. Aventis has the right to terminate its collaboration agreement with us at any time. If Aventis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Aventis collaboration agreement would create new and additional risks to the successful development of the VEGF Trap.</w:t>
      </w:r>
    </w:p>
    <w:p>
      <w:pPr>
        <w:spacing w:after="0" w:line="16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Sanofi-Synthelabo recently acquired Aventis, forming the sanofi-aventis Group. At present, it is unclear what impact, if any, this business combination will have on the VEGF Trap collaboration, including the possibility of a termination of the collaboration agreement and a delay in, or disruption to, the VEGF Trap development program.</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r>
        <w:rPr>
          <w:rFonts w:ascii="Arial" w:cs="Arial" w:eastAsia="Arial" w:hAnsi="Arial"/>
          <w:sz w:val="18"/>
          <w:szCs w:val="18"/>
          <w:b w:val="1"/>
          <w:bCs w:val="1"/>
          <w:color w:val="auto"/>
        </w:rPr>
        <w:t>.</w:t>
      </w:r>
    </w:p>
    <w:p>
      <w:pPr>
        <w:spacing w:after="0" w:line="130"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depend upon third-party collaborators, including 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would experience additional costs, delays, and difficulties in the development or ultimate commercialization of our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62"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43"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53" w:lineRule="exact"/>
        <w:rPr>
          <w:sz w:val="20"/>
          <w:szCs w:val="20"/>
          <w:color w:val="auto"/>
        </w:rPr>
      </w:pPr>
    </w:p>
    <w:p>
      <w:pPr>
        <w:ind w:right="22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98"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maintain an 8,000 square foot manufacturing facility in Tarrytown, New York and have large-scale manufacturing operations in Rensselaer, New York. Under a long-term manufacturing agreement with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219"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operating results.</w:t>
      </w:r>
    </w:p>
    <w:p>
      <w:pPr>
        <w:spacing w:after="0" w:line="131" w:lineRule="exact"/>
        <w:rPr>
          <w:sz w:val="20"/>
          <w:szCs w:val="20"/>
          <w:color w:val="auto"/>
        </w:rPr>
      </w:pPr>
    </w:p>
    <w:p>
      <w:pPr>
        <w:jc w:val="both"/>
        <w:ind w:right="220" w:firstLine="215"/>
        <w:spacing w:after="0" w:line="264"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these sources to comply with</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European regulatory requirements, our clinical development activities may be delayed or interrupted.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130"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the agreement, we currently rely on Aventis for sales, marketing, and distribution of the VEGF Trap, should it be approved in the future for marketing by regulatory authorities. We will have to rely on a third party or devote significant resources to develop our own sales, marketing and distribution capabilities for our other product candidates and we may be unsuccessful in developing our own sales, marketing, and distribution organization.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VEGF Trap, IL-1 Trap, IL-4/13 Trap and AXOKINE, we may be unable to supply necessary materials for our clinical trials, which would delay the development of our product candidates. Similarly, if we are unable to supply sufficient quantities of product or develop product formulations suitable for commercial use, we will not be able to successfully commercialize our product candidates. For example, we are in the process of developing formulations that would allow delivery of higher doses of the IL-1 Trap to test in clinical trials. The dose levels that will be tested are substantially higher than the dose levels of other biological therapeutics currently approved for treatment of rheumatoid arthritis. Separate new formulations will be used for subcutaneous and intravenous administration of the higher dose therapeutic. If we are unable to develop or manufacture such a higher dose formulation that can be produced in a cost-effective manner, potential future IL-1 Trap sales and profitability may be limited.</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 Genentech has an approved VEGF antagonist on the market and many different pharmaceutical and biotechnology companies are working to develop competing VEGF antagonists, including Novartis and Pfizer. Many of these molecules are farther along in development than the VEGF Trap and may offer competitive advantages over our molecule. The marketing</w:t>
      </w:r>
    </w:p>
    <w:p>
      <w:pPr>
        <w:spacing w:after="0" w:line="3" w:lineRule="exact"/>
        <w:rPr>
          <w:sz w:val="20"/>
          <w:szCs w:val="20"/>
          <w:color w:val="auto"/>
        </w:rPr>
      </w:pPr>
    </w:p>
    <w:p>
      <w:pPr>
        <w:ind w:right="180"/>
        <w:spacing w:after="0" w:line="205" w:lineRule="auto"/>
        <w:rPr>
          <w:sz w:val="20"/>
          <w:szCs w:val="20"/>
          <w:color w:val="auto"/>
        </w:rPr>
      </w:pPr>
      <w:r>
        <w:rPr>
          <w:rFonts w:ascii="Arial" w:cs="Arial" w:eastAsia="Arial" w:hAnsi="Arial"/>
          <w:sz w:val="18"/>
          <w:szCs w:val="18"/>
          <w:color w:val="auto"/>
        </w:rPr>
        <w:t>approval for Genentech’s VEGF antagonist, Avastin</w:t>
      </w:r>
      <w:r>
        <w:rPr>
          <w:rFonts w:ascii="Arial" w:cs="Arial" w:eastAsia="Arial" w:hAnsi="Arial"/>
          <w:sz w:val="30"/>
          <w:szCs w:val="30"/>
          <w:color w:val="auto"/>
          <w:vertAlign w:val="superscript"/>
        </w:rPr>
        <w:t>TM</w:t>
      </w:r>
      <w:r>
        <w:rPr>
          <w:rFonts w:ascii="Arial" w:cs="Arial" w:eastAsia="Arial" w:hAnsi="Arial"/>
          <w:sz w:val="18"/>
          <w:szCs w:val="18"/>
          <w:color w:val="auto"/>
        </w:rPr>
        <w:t>, may make it more difficult for us to enroll patients in clinical trials to support the VEGF Trap. This may delay or impair our ability to successfully develop and commercialize the VEGF Trap.</w:t>
      </w:r>
    </w:p>
    <w:p>
      <w:pPr>
        <w:spacing w:after="0" w:line="176" w:lineRule="exact"/>
        <w:rPr>
          <w:sz w:val="20"/>
          <w:szCs w:val="20"/>
          <w:color w:val="auto"/>
        </w:rPr>
      </w:pPr>
    </w:p>
    <w:p>
      <w:pPr>
        <w:ind w:right="80" w:firstLine="222"/>
        <w:spacing w:after="0" w:line="287" w:lineRule="auto"/>
        <w:rPr>
          <w:sz w:val="20"/>
          <w:szCs w:val="20"/>
          <w:color w:val="auto"/>
        </w:rPr>
      </w:pPr>
      <w:r>
        <w:rPr>
          <w:rFonts w:ascii="Arial" w:cs="Arial" w:eastAsia="Arial" w:hAnsi="Arial"/>
          <w:sz w:val="16"/>
          <w:szCs w:val="16"/>
          <w:color w:val="auto"/>
        </w:rPr>
        <w:t>The markets for both rheumatoid arthritis and asthma are both very competitive. Several highly successful medicines are available for these diseases. Examples include the TNF-antagonists Enbrel® (a registered trademark of Amgen), Remicade® (a registered trademark of Centocor), and Humira® (a registered trademark of Abbott)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since it will be difficult to enroll patients with rheumatoid arthritis to participate in clinical trials of the IL-1 Trap. This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Moreover, these approved therapeutics may offer competitive advantages over the IL-1 Trap, such as requiring fewer injections. In addition, there are both small molecules and antibodies in development by third parties that are designed to block the synthesis of interleukin-1 or inhibit the signaling of interleukin-1. These drug candidates could offer competitive advantages over the IL-1 Trap. The successful development of these competing molecules could delay or impair our ability to successfully develop and commercialize the IL-1 Trap.</w:t>
      </w:r>
    </w:p>
    <w:p>
      <w:pPr>
        <w:spacing w:after="0" w:line="132"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There is also substantial competition in the discovery and development of treatments for obesity, as well as established, cost-effective, and emerging surgical, prescription, and over-the-counter treatments for the disease that may offer competitive advantages over AXOKINE. AXOKINE is available only in injectable form, while the currently available marketed medicines for the treatment of obesity, and a late-stage product candidate in development by sanofi-aventis Group, are delivered in pill form, which is generally favored over injectable medicines. Therefore, even if AXOKINE is approved for sale, the fact that it must be delivered by injection may severely limit its market acceptance among patients and physicians.</w:t>
      </w:r>
    </w:p>
    <w:p>
      <w:pPr>
        <w:spacing w:after="0" w:line="13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143"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increasingly challenge the price and examining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30" w:lineRule="exact"/>
        <w:rPr>
          <w:sz w:val="20"/>
          <w:szCs w:val="20"/>
          <w:color w:val="auto"/>
        </w:rPr>
      </w:pPr>
    </w:p>
    <w:p>
      <w:pPr>
        <w:jc w:val="both"/>
        <w:ind w:firstLine="222"/>
        <w:spacing w:after="0" w:line="288"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w:t>
      </w:r>
    </w:p>
    <w:p>
      <w:pPr>
        <w:ind w:right="880"/>
        <w:spacing w:after="0" w:line="323" w:lineRule="auto"/>
        <w:rPr>
          <w:sz w:val="20"/>
          <w:szCs w:val="20"/>
          <w:color w:val="auto"/>
        </w:rPr>
      </w:pPr>
      <w:r>
        <w:rPr>
          <w:rFonts w:ascii="Arial" w:cs="Arial" w:eastAsia="Arial" w:hAnsi="Arial"/>
          <w:sz w:val="16"/>
          <w:szCs w:val="16"/>
          <w:color w:val="auto"/>
        </w:rPr>
        <w:t>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3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expensive and time consuming.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proprietary rights of third parties. Other parties may allege to have blocking patents to our Trap products in clinical development, either because they claim to hold proprietary rights to fusion proteins or proprietary rights to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151"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148"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185"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47" w:lineRule="exact"/>
        <w:rPr>
          <w:sz w:val="20"/>
          <w:szCs w:val="20"/>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progress, delays, or adverse results in clinical trials;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our product candidates;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w:t>
      </w:r>
    </w:p>
    <w:p>
      <w:pPr>
        <w:spacing w:after="0" w:line="185" w:lineRule="exact"/>
        <w:rPr>
          <w:sz w:val="20"/>
          <w:szCs w:val="20"/>
          <w:color w:val="auto"/>
        </w:rPr>
      </w:pPr>
    </w:p>
    <w:p>
      <w:pPr>
        <w:ind w:right="460" w:firstLine="215"/>
        <w:spacing w:after="0" w:line="312" w:lineRule="auto"/>
        <w:rPr>
          <w:sz w:val="20"/>
          <w:szCs w:val="20"/>
          <w:color w:val="auto"/>
        </w:rPr>
      </w:pPr>
      <w:r>
        <w:rPr>
          <w:rFonts w:ascii="Arial" w:cs="Arial" w:eastAsia="Arial" w:hAnsi="Arial"/>
          <w:sz w:val="16"/>
          <w:szCs w:val="16"/>
          <w:color w:val="auto"/>
        </w:rPr>
        <w:t>A number of our shareholders own a substantial amount of our Common Stock. If our significant shareholders or we sell substantial amounts of our Common Stock in the public market, the market price of our Common Stock could fall. Sales by our significant shareholders, including Aventis, and Novartis, also might make it more difficult for us to sell equity or equity-related securities in the future at a time and price that we deemed appropriate.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0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 that a one percent change in interest rates would have resulted in an approximately $1.8 million and $1.4 million change in the fair market value of our investment portfolio at September 30, 2004 and December 31, 2003, respectively. The increase is due primarily to the longer duration of our investment portfolio as of September 30, 2004 in comparison to December 31, 2003.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conducted an evaluation of the effectiveness of our disclosure controls and procedures as of the end of the period covered by this Quarterly Report on Form 10-Q. The evaluation was conducted under the supervision and with the participation of Leonard S. Schleifer, our President and Chief Executive Officer, and Murray A. Goldberg, our Chief Financial Officer. Based upon this evaluation, each of Dr. Schleifer and Mr. Goldberg concluded that our disclosure controls and procedures are effective in timely alerting them to material information required to be included in our filings under the Securities Exchange Act of 1934. There has been no significant change in our internal controls over financial reporting during the period covered by this report that has materially affected, or is reasonably likely to materially affect, our internal control over financial reporting.</w:t>
      </w:r>
    </w:p>
    <w:p>
      <w:pPr>
        <w:spacing w:after="0" w:line="15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order to achieve compliance with Section 404 of the Sarbanes-Oxley Act of 2002, we have been engaged in a process to document and evaluate our internal control over financial reporting. In this regard, under the review and approval of the Audit Committee, management has dedicated internal resources and engaged outside consultants to adopt a work plan to (i) assess the adequacy of our internal control over financial reporting, (ii) take steps to improve control</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processes, where appropriate, and (iii) validate through testing that controls are functioning as documented. During the third quarter of 2004, we implemented and tested many new procedures and controls. If we are not able to implement the requirements of Section 404 in a timely manner or with adequate compliance, we might be subject to sanctions or investigation by regulatory authorities, such as the Securities and Exchange Commission. Any such action could adversely affect our financial results and the market price of our Common Stock.</w:t>
      </w:r>
    </w:p>
    <w:p>
      <w:pPr>
        <w:spacing w:after="0" w:line="160"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While we believe that our disclosure controls and procedures have been effective, in light of the foregoing, we intend to continue to examine and refine our disclosure controls and procedures and monitor ongoing developments in this area.</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 is without merit and in December 2003, we filed a motion to dismiss the lawsuit. Because we do not believe that a loss is probable, no legal reserve has been established.</w:t>
      </w:r>
    </w:p>
    <w:p>
      <w:pPr>
        <w:spacing w:after="0" w:line="124"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From time to time we are a party to other legal proceedings in the course of our business. We do not expect any other legal proceedings to have a material adverse effect on our business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On August 19, 2004, we repurchased and subsequently retired 109,450 shares of our Common Stock held by Merck that were issued to Merck in August 2003 in connection with a patent license agreement. The shares were acquired for a purchase price of $0.9 million (or $8.12 per share) based on the fair market value of the shares on August 19, 2004.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2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4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80" w:type="dxa"/>
            <w:vAlign w:val="bottom"/>
          </w:tcPr>
          <w:p>
            <w:pPr>
              <w:jc w:val="right"/>
              <w:ind w:right="76"/>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0"/>
              </w:rPr>
              <w:t>(a)</w:t>
            </w:r>
          </w:p>
        </w:tc>
        <w:tc>
          <w:tcPr>
            <w:tcW w:w="10420" w:type="dxa"/>
            <w:vAlign w:val="bottom"/>
          </w:tcPr>
          <w:p>
            <w:pPr>
              <w:ind w:left="60"/>
              <w:spacing w:after="0"/>
              <w:rPr>
                <w:sz w:val="20"/>
                <w:szCs w:val="20"/>
                <w:color w:val="auto"/>
              </w:rPr>
            </w:pPr>
            <w:r>
              <w:rPr>
                <w:rFonts w:ascii="Arial" w:cs="Arial" w:eastAsia="Arial" w:hAnsi="Arial"/>
                <w:sz w:val="18"/>
                <w:szCs w:val="18"/>
                <w:color w:val="auto"/>
              </w:rPr>
              <w:t>- Restated Certificate of Incorporation of Regeneron Pharmaceuticals, Inc., dated as of June 21, 1991.</w:t>
            </w:r>
          </w:p>
        </w:tc>
        <w:tc>
          <w:tcPr>
            <w:tcW w:w="0" w:type="dxa"/>
            <w:vAlign w:val="bottom"/>
          </w:tcPr>
          <w:p>
            <w:pPr>
              <w:spacing w:after="0"/>
              <w:rPr>
                <w:sz w:val="1"/>
                <w:szCs w:val="1"/>
                <w:color w:val="auto"/>
              </w:rPr>
            </w:pPr>
          </w:p>
        </w:tc>
      </w:tr>
      <w:tr>
        <w:trPr>
          <w:trHeight w:val="432"/>
        </w:trPr>
        <w:tc>
          <w:tcPr>
            <w:tcW w:w="580" w:type="dxa"/>
            <w:vAlign w:val="bottom"/>
          </w:tcPr>
          <w:p>
            <w:pPr>
              <w:jc w:val="right"/>
              <w:ind w:right="76"/>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10420" w:type="dxa"/>
            <w:vAlign w:val="bottom"/>
          </w:tcPr>
          <w:p>
            <w:pPr>
              <w:ind w:left="60"/>
              <w:spacing w:after="0"/>
              <w:rPr>
                <w:sz w:val="20"/>
                <w:szCs w:val="20"/>
                <w:color w:val="auto"/>
              </w:rPr>
            </w:pPr>
            <w:r>
              <w:rPr>
                <w:rFonts w:ascii="Arial" w:cs="Arial" w:eastAsia="Arial" w:hAnsi="Arial"/>
                <w:sz w:val="18"/>
                <w:szCs w:val="18"/>
                <w:color w:val="auto"/>
                <w:w w:val="94"/>
              </w:rPr>
              <w:t>- Certificate of Amendment of the Restated Certificate of Incorporation of Regeneron Pharmaceuticals, Inc., dated as of October 18, 1996.</w:t>
            </w:r>
          </w:p>
        </w:tc>
        <w:tc>
          <w:tcPr>
            <w:tcW w:w="0" w:type="dxa"/>
            <w:vAlign w:val="bottom"/>
          </w:tcPr>
          <w:p>
            <w:pPr>
              <w:spacing w:after="0"/>
              <w:rPr>
                <w:sz w:val="1"/>
                <w:szCs w:val="1"/>
                <w:color w:val="auto"/>
              </w:rPr>
            </w:pPr>
          </w:p>
        </w:tc>
      </w:tr>
      <w:tr>
        <w:trPr>
          <w:trHeight w:val="432"/>
        </w:trPr>
        <w:tc>
          <w:tcPr>
            <w:tcW w:w="580" w:type="dxa"/>
            <w:vAlign w:val="bottom"/>
          </w:tcPr>
          <w:p>
            <w:pPr>
              <w:jc w:val="right"/>
              <w:ind w:right="7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5"/>
              </w:rPr>
              <w:t>(c)</w:t>
            </w:r>
          </w:p>
        </w:tc>
        <w:tc>
          <w:tcPr>
            <w:tcW w:w="10420" w:type="dxa"/>
            <w:vAlign w:val="bottom"/>
          </w:tcPr>
          <w:p>
            <w:pPr>
              <w:ind w:left="60"/>
              <w:spacing w:after="0"/>
              <w:rPr>
                <w:sz w:val="20"/>
                <w:szCs w:val="20"/>
                <w:color w:val="auto"/>
              </w:rPr>
            </w:pPr>
            <w:r>
              <w:rPr>
                <w:rFonts w:ascii="Arial" w:cs="Arial" w:eastAsia="Arial" w:hAnsi="Arial"/>
                <w:sz w:val="18"/>
                <w:szCs w:val="18"/>
                <w:color w:val="auto"/>
                <w:w w:val="99"/>
              </w:rPr>
              <w:t>- Certificate of Amendment of the Certificate of Incorporation of Regeneron Pharmaceuticals, Inc., dated as of December 17, 2001.</w:t>
            </w:r>
          </w:p>
        </w:tc>
        <w:tc>
          <w:tcPr>
            <w:tcW w:w="0" w:type="dxa"/>
            <w:vAlign w:val="bottom"/>
          </w:tcPr>
          <w:p>
            <w:pPr>
              <w:spacing w:after="0"/>
              <w:rPr>
                <w:sz w:val="1"/>
                <w:szCs w:val="1"/>
                <w:color w:val="auto"/>
              </w:rPr>
            </w:pPr>
          </w:p>
        </w:tc>
      </w:tr>
      <w:tr>
        <w:trPr>
          <w:trHeight w:val="432"/>
        </w:trPr>
        <w:tc>
          <w:tcPr>
            <w:tcW w:w="580" w:type="dxa"/>
            <w:vAlign w:val="bottom"/>
          </w:tcPr>
          <w:p>
            <w:pPr>
              <w:jc w:val="right"/>
              <w:ind w:right="7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0"/>
              </w:rPr>
              <w:t>(d)</w:t>
            </w:r>
          </w:p>
        </w:tc>
        <w:tc>
          <w:tcPr>
            <w:tcW w:w="10420" w:type="dxa"/>
            <w:vAlign w:val="bottom"/>
          </w:tcPr>
          <w:p>
            <w:pPr>
              <w:ind w:left="60"/>
              <w:spacing w:after="0"/>
              <w:rPr>
                <w:sz w:val="20"/>
                <w:szCs w:val="20"/>
                <w:color w:val="auto"/>
              </w:rPr>
            </w:pPr>
            <w:r>
              <w:rPr>
                <w:rFonts w:ascii="Arial" w:cs="Arial" w:eastAsia="Arial" w:hAnsi="Arial"/>
                <w:sz w:val="18"/>
                <w:szCs w:val="18"/>
                <w:color w:val="auto"/>
              </w:rPr>
              <w:t>- By-Laws of the Company, currently in effect (amended as of January 22, 1995).</w:t>
            </w: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20" w:type="dxa"/>
            <w:vAlign w:val="bottom"/>
          </w:tcPr>
          <w:p>
            <w:pPr>
              <w:ind w:left="46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00" w:type="dxa"/>
            <w:vAlign w:val="bottom"/>
            <w:vMerge w:val="restart"/>
          </w:tcPr>
          <w:p>
            <w:pPr>
              <w:ind w:left="25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1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3" w:lineRule="exact"/>
        <w:rPr>
          <w:sz w:val="20"/>
          <w:szCs w:val="20"/>
          <w:color w:val="auto"/>
        </w:rPr>
      </w:pPr>
    </w:p>
    <w:p>
      <w:pPr>
        <w:ind w:left="960" w:hanging="75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Certification of CEO and CFO pursuant to Rule 13a-14(a) under the Securities and Exchange Act of 1934.</w:t>
      </w:r>
    </w:p>
    <w:p>
      <w:pPr>
        <w:spacing w:after="0" w:line="225" w:lineRule="exact"/>
        <w:rPr>
          <w:rFonts w:ascii="Arial" w:cs="Arial" w:eastAsia="Arial" w:hAnsi="Arial"/>
          <w:sz w:val="18"/>
          <w:szCs w:val="18"/>
          <w:color w:val="auto"/>
        </w:rPr>
      </w:pPr>
    </w:p>
    <w:p>
      <w:pPr>
        <w:ind w:left="960" w:hanging="75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Certification of CEO and CFO pursuant to 18 U.S.C. Section 1350.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Description:</w:t>
      </w:r>
    </w:p>
    <w:p>
      <w:pPr>
        <w:spacing w:after="0" w:line="229" w:lineRule="exact"/>
        <w:rPr>
          <w:sz w:val="20"/>
          <w:szCs w:val="20"/>
          <w:color w:val="auto"/>
        </w:rPr>
      </w:pPr>
    </w:p>
    <w:p>
      <w:pPr>
        <w:ind w:left="660" w:hanging="298"/>
        <w:spacing w:after="0"/>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1991, filed August 13, 1991.</w:t>
      </w:r>
    </w:p>
    <w:p>
      <w:pPr>
        <w:spacing w:after="0" w:line="248" w:lineRule="exact"/>
        <w:rPr>
          <w:rFonts w:ascii="Arial" w:cs="Arial" w:eastAsia="Arial" w:hAnsi="Arial"/>
          <w:sz w:val="16"/>
          <w:szCs w:val="16"/>
          <w:color w:val="auto"/>
        </w:rPr>
      </w:pPr>
    </w:p>
    <w:p>
      <w:pPr>
        <w:ind w:left="660" w:hanging="30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Incorporated by reference from the Form 10-Q for Regeneron Pharmaceuticals, Inc. for the quarter ended September 30, 1996, filed November 5, 1996.</w:t>
      </w:r>
    </w:p>
    <w:p>
      <w:pPr>
        <w:spacing w:after="0" w:line="170" w:lineRule="exact"/>
        <w:rPr>
          <w:rFonts w:ascii="Arial" w:cs="Arial" w:eastAsia="Arial" w:hAnsi="Arial"/>
          <w:sz w:val="18"/>
          <w:szCs w:val="18"/>
          <w:color w:val="auto"/>
        </w:rPr>
      </w:pPr>
    </w:p>
    <w:p>
      <w:pPr>
        <w:ind w:left="660" w:hanging="29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Incorporated by reference from the Form 10-K for Regeneron Pharmaceuticals, Inc. for the fiscal year ended December 31, 2001, filed March 22, 2002.</w:t>
      </w:r>
    </w:p>
    <w:p>
      <w:pPr>
        <w:spacing w:after="0" w:line="170" w:lineRule="exact"/>
        <w:rPr>
          <w:rFonts w:ascii="Arial" w:cs="Arial" w:eastAsia="Arial" w:hAnsi="Arial"/>
          <w:sz w:val="18"/>
          <w:szCs w:val="18"/>
          <w:color w:val="auto"/>
        </w:rPr>
      </w:pPr>
    </w:p>
    <w:p>
      <w:pPr>
        <w:ind w:left="660" w:hanging="30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Incorporated by reference from the Form 10-K for Regeneron Pharmaceuticals, Inc. for the fiscal year ended December 31, 1994, filed March 30, 1995.</w:t>
      </w:r>
    </w:p>
    <w:p>
      <w:pPr>
        <w:spacing w:after="0" w:line="170" w:lineRule="exact"/>
        <w:rPr>
          <w:rFonts w:ascii="Arial" w:cs="Arial" w:eastAsia="Arial" w:hAnsi="Arial"/>
          <w:sz w:val="18"/>
          <w:szCs w:val="18"/>
          <w:color w:val="auto"/>
        </w:rPr>
      </w:pPr>
    </w:p>
    <w:p>
      <w:pPr>
        <w:ind w:left="340" w:hanging="326"/>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Form 8-K, filed October 28, 2004: On October 28, 2004, we issued a press release announcing our third quarter 2004 financial and operating results.</w:t>
      </w: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November 8,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Secretary</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419"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60" w:hanging="252"/>
        <w:spacing w:after="0" w:line="342"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240" w:hanging="252"/>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20" w:right="80" w:hanging="252"/>
        <w:spacing w:after="0" w:line="264"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400" w:hanging="262"/>
        <w:spacing w:after="0" w:line="342" w:lineRule="auto"/>
        <w:tabs>
          <w:tab w:leader="none" w:pos="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20" w:right="160" w:hanging="252"/>
        <w:spacing w:after="0" w:line="342" w:lineRule="auto"/>
        <w:tabs>
          <w:tab w:leader="none" w:pos="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ind w:left="220"/>
        <w:spacing w:after="0"/>
        <w:rPr>
          <w:sz w:val="20"/>
          <w:szCs w:val="20"/>
          <w:color w:val="auto"/>
        </w:rPr>
      </w:pPr>
      <w:r>
        <w:rPr>
          <w:rFonts w:ascii="Arial" w:cs="Arial" w:eastAsia="Arial" w:hAnsi="Arial"/>
          <w:sz w:val="18"/>
          <w:szCs w:val="18"/>
          <w:color w:val="auto"/>
        </w:rPr>
        <w:t>auditors and the audit committee of registrant’s board of directors (or persons performing the equivalent functions):</w:t>
      </w:r>
    </w:p>
    <w:p>
      <w:pPr>
        <w:spacing w:after="0" w:line="225" w:lineRule="exact"/>
        <w:rPr>
          <w:sz w:val="20"/>
          <w:szCs w:val="20"/>
          <w:color w:val="auto"/>
        </w:rPr>
      </w:pPr>
    </w:p>
    <w:p>
      <w:pPr>
        <w:ind w:left="620" w:hanging="252"/>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40" w:hanging="262"/>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November 8,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60" w:hanging="252"/>
        <w:spacing w:after="0" w:line="342" w:lineRule="auto"/>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240" w:hanging="252"/>
        <w:spacing w:after="0" w:line="308"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20" w:right="80" w:hanging="252"/>
        <w:spacing w:after="0" w:line="264" w:lineRule="auto"/>
        <w:tabs>
          <w:tab w:leader="none" w:pos="6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400" w:hanging="262"/>
        <w:spacing w:after="0" w:line="342" w:lineRule="auto"/>
        <w:tabs>
          <w:tab w:leader="none" w:pos="620" w:val="left"/>
        </w:tabs>
        <w:numPr>
          <w:ilvl w:val="2"/>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20" w:right="160" w:hanging="252"/>
        <w:spacing w:after="0" w:line="342" w:lineRule="auto"/>
        <w:tabs>
          <w:tab w:leader="none" w:pos="620" w:val="left"/>
        </w:tabs>
        <w:numPr>
          <w:ilvl w:val="2"/>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00" w:right="60" w:hanging="245"/>
        <w:spacing w:after="0" w:line="277" w:lineRule="auto"/>
        <w:tabs>
          <w:tab w:leader="none" w:pos="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ind w:left="620" w:hanging="262"/>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November 8,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Finance &amp;</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Administration, Chief Financial</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Officer, Treasurer, and Assistant Secretary</w:t>
      </w:r>
    </w:p>
    <w:p>
      <w:pPr>
        <w:sectPr>
          <w:pgSz w:w="11900" w:h="16838" w:orient="portrait"/>
          <w:cols w:equalWidth="0" w:num="1">
            <w:col w:w="11340"/>
          </w:cols>
          <w:pgMar w:left="240" w:top="935" w:right="3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ending September 30, 2004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46" w:lineRule="exact"/>
        <w:rPr>
          <w:sz w:val="20"/>
          <w:szCs w:val="20"/>
          <w:color w:val="auto"/>
        </w:rPr>
      </w:pPr>
    </w:p>
    <w:p>
      <w:pPr>
        <w:ind w:left="480" w:hanging="247"/>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277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27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2004</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3"/>
    </w:lvl>
  </w:abstractNum>
  <w:abstractNum w:abstractNumId="2">
    <w:nsid w:val="DED7263"/>
    <w:multiLevelType w:val="hybridMultilevel"/>
    <w:lvl w:ilvl="0">
      <w:lvlJc w:val="left"/>
      <w:lvlText w:val="%1."/>
      <w:numFmt w:val="decimal"/>
      <w:start w:val="4"/>
    </w:lvl>
  </w:abstractNum>
  <w:abstractNum w:abstractNumId="3">
    <w:nsid w:val="7FDCC233"/>
    <w:multiLevelType w:val="hybridMultilevel"/>
    <w:lvl w:ilvl="0">
      <w:lvlJc w:val="left"/>
      <w:lvlText w:val="%1."/>
      <w:numFmt w:val="decimal"/>
      <w:start w:val="6"/>
    </w:lvl>
  </w:abstractNum>
  <w:abstractNum w:abstractNumId="4">
    <w:nsid w:val="1BEFD79F"/>
    <w:multiLevelType w:val="hybridMultilevel"/>
    <w:lvl w:ilvl="0">
      <w:lvlJc w:val="left"/>
      <w:lvlText w:val="%1"/>
      <w:numFmt w:val="decimal"/>
      <w:start w:val="1"/>
    </w:lvl>
    <w:lvl w:ilvl="1">
      <w:lvlJc w:val="left"/>
      <w:lvlText w:val="(%2)"/>
      <w:numFmt w:val="decimal"/>
      <w:start w:val="1"/>
    </w:lvl>
  </w:abstractNum>
  <w:abstractNum w:abstractNumId="5">
    <w:nsid w:val="41A7C4C9"/>
    <w:multiLevelType w:val="hybridMultilevel"/>
    <w:lvl w:ilvl="0">
      <w:lvlJc w:val="left"/>
      <w:lvlText w:val="%1."/>
      <w:numFmt w:val="decimal"/>
      <w:start w:val="7"/>
    </w:lvl>
    <w:lvl w:ilvl="1">
      <w:lvlJc w:val="left"/>
      <w:lvlText w:val="%2"/>
      <w:numFmt w:val="decimal"/>
      <w:start w:val="1"/>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
    </w:lvl>
    <w:lvl w:ilvl="1">
      <w:lvlJc w:val="left"/>
      <w:lvlText w:val="(%2)"/>
      <w:numFmt w:val="decimal"/>
      <w:start w:val="1"/>
    </w:lvl>
  </w:abstractNum>
  <w:abstractNum w:abstractNumId="10">
    <w:nsid w:val="431BD7B7"/>
    <w:multiLevelType w:val="hybridMultilevel"/>
    <w:lvl w:ilvl="0">
      <w:lvlJc w:val="left"/>
      <w:lvlText w:val="%1."/>
      <w:numFmt w:val="decimal"/>
      <w:start w:val="12"/>
    </w:lvl>
    <w:lvl w:ilvl="1">
      <w:lvlJc w:val="left"/>
      <w:lvlText w:val="%2"/>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31"/>
    </w:lvl>
  </w:abstractNum>
  <w:abstractNum w:abstractNumId="18">
    <w:nsid w:val="721DA317"/>
    <w:multiLevelType w:val="hybridMultilevel"/>
    <w:lvl w:ilvl="0">
      <w:lvlJc w:val="left"/>
      <w:lvlText w:val="%1"/>
      <w:numFmt w:val="lowerLetter"/>
      <w:start w:val="1"/>
    </w:lvl>
    <w:lvl w:ilvl="1">
      <w:lvlJc w:val="left"/>
      <w:lvlText w:val="(%2)"/>
      <w:numFmt w:val="lowerLetter"/>
      <w:start w:val="1"/>
    </w:lvl>
  </w:abstractNum>
  <w:abstractNum w:abstractNumId="19">
    <w:nsid w:val="2443A858"/>
    <w:multiLevelType w:val="hybridMultilevel"/>
    <w:lvl w:ilvl="0">
      <w:lvlJc w:val="left"/>
      <w:lvlText w:val="(%1)"/>
      <w:numFmt w:val="lowerLetter"/>
      <w:start w:val="2"/>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2019-12-20T02:18:08Z</dcterms:created>
  <dcterms:modified xsi:type="dcterms:W3CDTF">2019-12-20T02:18:08Z</dcterms:modified>
</cp:coreProperties>
</file>