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60356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6035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restart"/>
          </w:tcPr>
          <w:p>
            <w:pPr>
              <w:spacing w:after="0" w:line="23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6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6"/>
                </w:rPr>
                <w:t>LAROSA JOSEPH J</w:t>
              </w:r>
            </w:hyperlink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>REGENERON PHARMACEUTICALS,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spacing w:after="0" w:line="21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  <w:bottom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tcBorders>
              <w:top w:val="single" w:sz="8" w:color="EEEEEE"/>
              <w:bottom w:val="single" w:sz="8" w:color="EEEEEE"/>
            </w:tcBorders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General Counsel and Secret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640" w:type="dxa"/>
            <w:vAlign w:val="bottom"/>
            <w:gridSpan w:val="6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03/23/2023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03/23/2023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270.43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34,213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03/23/2023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6,742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801.59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27,471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5,320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335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270.43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03/23/2023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12/13/2023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stock option award vests in four equal annual installments, commencing one year after the date of grant.</w:t>
      </w:r>
    </w:p>
    <w:p>
      <w:pPr>
        <w:spacing w:after="0" w:line="5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/s/** Joseph LaRosa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03/27/2023</w:t>
            </w: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8303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2023-03-27T19:03:46Z</dcterms:created>
  <dcterms:modified xsi:type="dcterms:W3CDTF">2023-03-27T19:03:46Z</dcterms:modified>
</cp:coreProperties>
</file>