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148590</wp:posOffset>
            </wp:positionH>
            <wp:positionV relativeFrom="page">
              <wp:posOffset>156210</wp:posOffset>
            </wp:positionV>
            <wp:extent cx="726440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148590</wp:posOffset>
            </wp:positionH>
            <wp:positionV relativeFrom="page">
              <wp:posOffset>193675</wp:posOffset>
            </wp:positionV>
            <wp:extent cx="726440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199390</wp:posOffset>
            </wp:positionV>
            <wp:extent cx="15303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214630</wp:posOffset>
            </wp:positionV>
            <wp:extent cx="15303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CURRENT REPORT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</w:t>
      </w: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reported): March 4, 2014 (March 4, 2014)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205740</wp:posOffset>
            </wp:positionV>
            <wp:extent cx="15303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auto"/>
        </w:rPr>
        <w:t>REGENERON PHARMACEUTICALS,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203200</wp:posOffset>
            </wp:positionV>
            <wp:extent cx="15303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New York</w:t>
      </w:r>
    </w:p>
    <w:p>
      <w:pPr>
        <w:jc w:val="center"/>
        <w:ind w:right="-85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or other jurisdiction</w:t>
      </w:r>
    </w:p>
    <w:p>
      <w:pPr>
        <w:jc w:val="center"/>
        <w:ind w:right="-85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tbl>
      <w:tblPr>
        <w:tblLayout w:type="fixed"/>
        <w:tblInd w:w="112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6940" w:type="dxa"/>
            <w:vAlign w:val="bottom"/>
          </w:tcPr>
          <w:p>
            <w:pPr>
              <w:jc w:val="center"/>
              <w:ind w:right="3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13-3444607</w:t>
            </w:r>
          </w:p>
        </w:tc>
      </w:tr>
      <w:tr>
        <w:trPr>
          <w:trHeight w:val="129"/>
        </w:trPr>
        <w:tc>
          <w:tcPr>
            <w:tcW w:w="6940" w:type="dxa"/>
            <w:vAlign w:val="bottom"/>
          </w:tcPr>
          <w:p>
            <w:pPr>
              <w:jc w:val="center"/>
              <w:ind w:right="33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7"/>
              </w:rPr>
              <w:t>(Commission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0"/>
              </w:rPr>
              <w:t>(I.R.S. Employer</w:t>
            </w:r>
          </w:p>
        </w:tc>
      </w:tr>
      <w:tr>
        <w:trPr>
          <w:trHeight w:val="162"/>
        </w:trPr>
        <w:tc>
          <w:tcPr>
            <w:tcW w:w="6940" w:type="dxa"/>
            <w:vAlign w:val="bottom"/>
          </w:tcPr>
          <w:p>
            <w:pPr>
              <w:jc w:val="center"/>
              <w:ind w:right="3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0"/>
              </w:rPr>
              <w:t>File Number)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356"/>
        </w:trPr>
        <w:tc>
          <w:tcPr>
            <w:tcW w:w="6940" w:type="dxa"/>
            <w:vAlign w:val="bottom"/>
          </w:tcPr>
          <w:p>
            <w:pPr>
              <w:jc w:val="center"/>
              <w:ind w:right="3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2"/>
              </w:rPr>
              <w:t>777 Old Saw Mill River Road, Tarrytown, New York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8"/>
              </w:rPr>
              <w:t>10591-6707</w:t>
            </w:r>
          </w:p>
        </w:tc>
      </w:tr>
      <w:tr>
        <w:trPr>
          <w:trHeight w:val="162"/>
        </w:trPr>
        <w:tc>
          <w:tcPr>
            <w:tcW w:w="6940" w:type="dxa"/>
            <w:vAlign w:val="bottom"/>
          </w:tcPr>
          <w:p>
            <w:pPr>
              <w:jc w:val="center"/>
              <w:ind w:right="3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0"/>
              </w:rPr>
              <w:t>(Zip Code)</w:t>
            </w:r>
          </w:p>
        </w:tc>
      </w:tr>
      <w:tr>
        <w:trPr>
          <w:trHeight w:val="363"/>
        </w:trPr>
        <w:tc>
          <w:tcPr>
            <w:tcW w:w="694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9"/>
              </w:rPr>
              <w:t>Registrant’s telephone number, including area code: (914) 847-7000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2867025</wp:posOffset>
            </wp:positionH>
            <wp:positionV relativeFrom="paragraph">
              <wp:posOffset>194945</wp:posOffset>
            </wp:positionV>
            <wp:extent cx="15303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6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1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6" w:hanging="446"/>
        <w:spacing w:after="0"/>
        <w:tabs>
          <w:tab w:leader="none" w:pos="44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137795</wp:posOffset>
            </wp:positionV>
            <wp:extent cx="72644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72644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6"/>
          </w:cols>
          <w:pgMar w:left="234" w:top="338" w:right="31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Regulation FD Disclosure.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457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March 4, 2014, at the annual meeting of the American Academy of Allergy, Asthma &amp; Immunology (AAAAI) held in San Diego, California, data from a Phase 2a trial evaluating dupilumab, a human monoclonal antibody, in patients with atopic dermatitis were presented at an oral session by Prof. Diamant Thaçi, University of Lübeck, Germany. A copy of the slides is furnished as Exhibit 99.1 to this Current Report on Form 8-K and is incorporated by reference herein.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9.01.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Financial Statements and Exhibits.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(d) Exhibits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80" w:right="380" w:hanging="693"/>
        <w:spacing w:after="0" w:line="265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Presentation entitled “Dupilumab Monotherapy in Adults with Moderate-to-Severe Atopic Dermatitis: A 12-Week, Randomized, Double-Blind, Placebo-Controlled Study.”</w:t>
      </w:r>
    </w:p>
    <w:p>
      <w:pPr>
        <w:sectPr>
          <w:pgSz w:w="11900" w:h="16838" w:orient="portrait"/>
          <w:cols w:equalWidth="0" w:num="1">
            <w:col w:w="11340"/>
          </w:cols>
          <w:pgMar w:left="240" w:top="252" w:right="319" w:bottom="1440" w:gutter="0" w:footer="0" w:header="0"/>
        </w:sectPr>
      </w:pPr>
    </w:p>
    <w:bookmarkStart w:id="2" w:name="page3"/>
    <w:bookmarkEnd w:id="2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firstLine="915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REGENERON PHARMACEUTICALS, INC.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4356100</wp:posOffset>
            </wp:positionH>
            <wp:positionV relativeFrom="paragraph">
              <wp:posOffset>10795</wp:posOffset>
            </wp:positionV>
            <wp:extent cx="2904490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Joseph J. LaRosa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Senior Vice President, General Counsel and Secretary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March 4, 2014</w:t>
      </w:r>
    </w:p>
    <w:p>
      <w:pPr>
        <w:sectPr>
          <w:pgSz w:w="11900" w:h="16838" w:orient="portrait"/>
          <w:cols w:equalWidth="0" w:num="1">
            <w:col w:w="11300"/>
          </w:cols>
          <w:pgMar w:left="240" w:top="252" w:right="35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40" w:type="dxa"/>
            <w:vAlign w:val="bottom"/>
            <w:gridSpan w:val="3"/>
          </w:tcPr>
          <w:p>
            <w:pPr>
              <w:ind w:left="4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42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85"/>
              </w:rPr>
              <w:t>Number</w:t>
            </w: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108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Presentation entitled “Dupilumab Monotherapy in Adults with Moderate-to-Severe Atopic Dermatitis: A 12-Week, Randomized, Double-Blind, Placebo-Controlled</w:t>
            </w:r>
          </w:p>
        </w:tc>
      </w:tr>
      <w:tr>
        <w:trPr>
          <w:trHeight w:val="20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Study.”</w:t>
            </w:r>
          </w:p>
        </w:tc>
      </w:tr>
    </w:tbl>
    <w:p>
      <w:pPr>
        <w:ind w:left="560"/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280"/>
          </w:cols>
          <w:pgMar w:left="240" w:top="252" w:right="37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223520</wp:posOffset>
            </wp:positionH>
            <wp:positionV relativeFrom="page">
              <wp:posOffset>163830</wp:posOffset>
            </wp:positionV>
            <wp:extent cx="7174865" cy="5390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9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70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t>Dupilumab Monotherapy in Adults with Moderate-to-Severe Atopic Dermatitis: A 12-Week, Randomized, Double-Blind, Placebo-Controlled Study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right"/>
        <w:ind w:left="420" w:right="102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auto"/>
        </w:rPr>
        <w:t>Thomas Bieber,</w:t>
      </w:r>
      <w:r>
        <w:rPr>
          <w:rFonts w:ascii="Arial" w:cs="Arial" w:eastAsia="Arial" w:hAnsi="Arial"/>
          <w:sz w:val="17"/>
          <w:szCs w:val="17"/>
          <w:color w:val="auto"/>
        </w:rPr>
        <w:t>1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Diamant Thaçi,</w:t>
      </w:r>
      <w:r>
        <w:rPr>
          <w:rFonts w:ascii="Arial" w:cs="Arial" w:eastAsia="Arial" w:hAnsi="Arial"/>
          <w:sz w:val="17"/>
          <w:szCs w:val="17"/>
          <w:color w:val="auto"/>
        </w:rPr>
        <w:t>2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Neil Graham,</w:t>
      </w:r>
      <w:r>
        <w:rPr>
          <w:rFonts w:ascii="Arial" w:cs="Arial" w:eastAsia="Arial" w:hAnsi="Arial"/>
          <w:sz w:val="17"/>
          <w:szCs w:val="17"/>
          <w:color w:val="auto"/>
        </w:rPr>
        <w:t>3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Gianluca Pirozzi,</w:t>
      </w:r>
      <w:r>
        <w:rPr>
          <w:rFonts w:ascii="Arial" w:cs="Arial" w:eastAsia="Arial" w:hAnsi="Arial"/>
          <w:sz w:val="17"/>
          <w:szCs w:val="17"/>
          <w:color w:val="auto"/>
        </w:rPr>
        <w:t>4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Ariel Teper, </w:t>
      </w:r>
      <w:r>
        <w:rPr>
          <w:rFonts w:ascii="Arial" w:cs="Arial" w:eastAsia="Arial" w:hAnsi="Arial"/>
          <w:sz w:val="17"/>
          <w:szCs w:val="17"/>
          <w:color w:val="auto"/>
        </w:rPr>
        <w:t>4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Haobo Ren,</w:t>
      </w:r>
      <w:r>
        <w:rPr>
          <w:rFonts w:ascii="Arial" w:cs="Arial" w:eastAsia="Arial" w:hAnsi="Arial"/>
          <w:sz w:val="17"/>
          <w:szCs w:val="17"/>
          <w:color w:val="auto"/>
        </w:rPr>
        <w:t>3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Neil Stahl,</w:t>
      </w:r>
      <w:r>
        <w:rPr>
          <w:rFonts w:ascii="Arial" w:cs="Arial" w:eastAsia="Arial" w:hAnsi="Arial"/>
          <w:sz w:val="17"/>
          <w:szCs w:val="17"/>
          <w:color w:val="auto"/>
        </w:rPr>
        <w:t>3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George Yancopoulos,</w:t>
      </w:r>
      <w:r>
        <w:rPr>
          <w:rFonts w:ascii="Arial" w:cs="Arial" w:eastAsia="Arial" w:hAnsi="Arial"/>
          <w:sz w:val="17"/>
          <w:szCs w:val="17"/>
          <w:color w:val="auto"/>
        </w:rPr>
        <w:t>3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Allen Radin</w:t>
      </w:r>
      <w:r>
        <w:rPr>
          <w:rFonts w:ascii="Arial" w:cs="Arial" w:eastAsia="Arial" w:hAnsi="Arial"/>
          <w:sz w:val="17"/>
          <w:szCs w:val="17"/>
          <w:color w:val="auto"/>
        </w:rPr>
        <w:t>3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auto"/>
          <w:vertAlign w:val="superscript"/>
        </w:rPr>
        <w:t>1</w:t>
      </w:r>
      <w:r>
        <w:rPr>
          <w:rFonts w:ascii="Arial" w:cs="Arial" w:eastAsia="Arial" w:hAnsi="Arial"/>
          <w:sz w:val="25"/>
          <w:szCs w:val="25"/>
          <w:color w:val="auto"/>
        </w:rPr>
        <w:t>Department of Dermatology and Allergy, Friedrich-Wilhelms University of Bonn, Bonn,</w:t>
      </w:r>
    </w:p>
    <w:p>
      <w:pPr>
        <w:jc w:val="center"/>
        <w:ind w:right="620"/>
        <w:spacing w:after="0" w:line="2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 xml:space="preserve">Germany; </w:t>
      </w:r>
      <w:r>
        <w:rPr>
          <w:rFonts w:ascii="Arial" w:cs="Arial" w:eastAsia="Arial" w:hAnsi="Arial"/>
          <w:sz w:val="35"/>
          <w:szCs w:val="35"/>
          <w:color w:val="auto"/>
          <w:vertAlign w:val="superscript"/>
        </w:rPr>
        <w:t>2</w:t>
      </w:r>
      <w:r>
        <w:rPr>
          <w:rFonts w:ascii="Arial" w:cs="Arial" w:eastAsia="Arial" w:hAnsi="Arial"/>
          <w:sz w:val="25"/>
          <w:szCs w:val="25"/>
          <w:color w:val="auto"/>
        </w:rPr>
        <w:t xml:space="preserve">Comprehensive Center Inflammation Medicine, University of Lübeck, Lübeck, Germany; </w:t>
      </w:r>
      <w:r>
        <w:rPr>
          <w:rFonts w:ascii="Arial" w:cs="Arial" w:eastAsia="Arial" w:hAnsi="Arial"/>
          <w:sz w:val="35"/>
          <w:szCs w:val="35"/>
          <w:color w:val="auto"/>
          <w:vertAlign w:val="superscript"/>
        </w:rPr>
        <w:t>3</w:t>
      </w:r>
      <w:r>
        <w:rPr>
          <w:rFonts w:ascii="Arial" w:cs="Arial" w:eastAsia="Arial" w:hAnsi="Arial"/>
          <w:sz w:val="25"/>
          <w:szCs w:val="25"/>
          <w:color w:val="auto"/>
        </w:rPr>
        <w:t xml:space="preserve">Regeneron Pharmaceuticals, Inc., Tarrytown, United States; </w:t>
      </w:r>
      <w:r>
        <w:rPr>
          <w:rFonts w:ascii="Arial" w:cs="Arial" w:eastAsia="Arial" w:hAnsi="Arial"/>
          <w:sz w:val="35"/>
          <w:szCs w:val="35"/>
          <w:color w:val="auto"/>
          <w:vertAlign w:val="superscript"/>
        </w:rPr>
        <w:t>4</w:t>
      </w:r>
      <w:r>
        <w:rPr>
          <w:rFonts w:ascii="Arial" w:cs="Arial" w:eastAsia="Arial" w:hAnsi="Arial"/>
          <w:sz w:val="25"/>
          <w:szCs w:val="25"/>
          <w:color w:val="auto"/>
        </w:rPr>
        <w:t>Sanofi, Bridgewater, United States</w:t>
      </w:r>
    </w:p>
    <w:p>
      <w:pPr>
        <w:sectPr>
          <w:pgSz w:w="11900" w:h="16838" w:orient="portrait"/>
          <w:cols w:equalWidth="0" w:num="1">
            <w:col w:w="10240"/>
          </w:cols>
          <w:pgMar w:left="1240" w:top="615" w:right="419" w:bottom="1440" w:gutter="0" w:footer="0" w:header="0"/>
        </w:sectPr>
      </w:pPr>
    </w:p>
    <w:bookmarkStart w:id="5" w:name="page6"/>
    <w:bookmarkEnd w:id="5"/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Disclosures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20" w:right="1460" w:hanging="415"/>
        <w:spacing w:after="0" w:line="239" w:lineRule="auto"/>
        <w:tabs>
          <w:tab w:leader="none" w:pos="420" w:val="left"/>
        </w:tabs>
        <w:numPr>
          <w:ilvl w:val="0"/>
          <w:numId w:val="2"/>
        </w:numPr>
        <w:rPr>
          <w:rFonts w:ascii="Arial" w:cs="Arial" w:eastAsia="Arial" w:hAnsi="Arial"/>
          <w:sz w:val="34"/>
          <w:szCs w:val="34"/>
          <w:color w:val="948A54"/>
        </w:rPr>
      </w:pPr>
      <w:r>
        <w:rPr>
          <w:rFonts w:ascii="Arial" w:cs="Arial" w:eastAsia="Arial" w:hAnsi="Arial"/>
          <w:sz w:val="38"/>
          <w:szCs w:val="38"/>
          <w:color w:val="auto"/>
        </w:rPr>
        <w:t>D Thaçi is a consultant for Astellas, Novartis, Regeneron, Celgene, Abbott, Pfizer, Janssen-Cilag, MSD, Leo-Pharma</w:t>
      </w:r>
    </w:p>
    <w:p>
      <w:pPr>
        <w:spacing w:after="0" w:line="81" w:lineRule="exact"/>
        <w:rPr>
          <w:rFonts w:ascii="Arial" w:cs="Arial" w:eastAsia="Arial" w:hAnsi="Arial"/>
          <w:sz w:val="34"/>
          <w:szCs w:val="34"/>
          <w:color w:val="948A54"/>
        </w:rPr>
      </w:pPr>
    </w:p>
    <w:p>
      <w:pPr>
        <w:ind w:left="420" w:right="680" w:hanging="415"/>
        <w:spacing w:after="0" w:line="239" w:lineRule="auto"/>
        <w:tabs>
          <w:tab w:leader="none" w:pos="420" w:val="left"/>
        </w:tabs>
        <w:numPr>
          <w:ilvl w:val="0"/>
          <w:numId w:val="2"/>
        </w:numPr>
        <w:rPr>
          <w:rFonts w:ascii="Arial" w:cs="Arial" w:eastAsia="Arial" w:hAnsi="Arial"/>
          <w:sz w:val="34"/>
          <w:szCs w:val="34"/>
          <w:color w:val="948A54"/>
        </w:rPr>
      </w:pPr>
      <w:r>
        <w:rPr>
          <w:rFonts w:ascii="Arial" w:cs="Arial" w:eastAsia="Arial" w:hAnsi="Arial"/>
          <w:sz w:val="38"/>
          <w:szCs w:val="38"/>
          <w:color w:val="auto"/>
        </w:rPr>
        <w:t>T Bieber is a consultant for Regeneron, Basilea, L’Oréal, Oxagen, Bioalliance, Stern Biologics and a speaker for Astellas</w:t>
      </w:r>
    </w:p>
    <w:p>
      <w:pPr>
        <w:spacing w:after="0" w:line="70" w:lineRule="exact"/>
        <w:rPr>
          <w:rFonts w:ascii="Arial" w:cs="Arial" w:eastAsia="Arial" w:hAnsi="Arial"/>
          <w:sz w:val="34"/>
          <w:szCs w:val="34"/>
          <w:color w:val="948A54"/>
        </w:rPr>
      </w:pPr>
    </w:p>
    <w:p>
      <w:pPr>
        <w:ind w:left="420" w:right="1120" w:hanging="415"/>
        <w:spacing w:after="0" w:line="260" w:lineRule="auto"/>
        <w:tabs>
          <w:tab w:leader="none" w:pos="420" w:val="left"/>
        </w:tabs>
        <w:numPr>
          <w:ilvl w:val="0"/>
          <w:numId w:val="2"/>
        </w:numPr>
        <w:rPr>
          <w:rFonts w:ascii="Arial" w:cs="Arial" w:eastAsia="Arial" w:hAnsi="Arial"/>
          <w:sz w:val="33"/>
          <w:szCs w:val="33"/>
          <w:color w:val="948A54"/>
        </w:rPr>
      </w:pPr>
      <w:r>
        <w:rPr>
          <w:rFonts w:ascii="Arial" w:cs="Arial" w:eastAsia="Arial" w:hAnsi="Arial"/>
          <w:sz w:val="37"/>
          <w:szCs w:val="37"/>
          <w:color w:val="auto"/>
        </w:rPr>
        <w:t>N Graham, H Ren, N Stahl, G Yancopoulos, and A Radin are employees and shareholders of Regeneron</w:t>
      </w:r>
    </w:p>
    <w:p>
      <w:pPr>
        <w:spacing w:after="0" w:line="30" w:lineRule="exact"/>
        <w:rPr>
          <w:rFonts w:ascii="Arial" w:cs="Arial" w:eastAsia="Arial" w:hAnsi="Arial"/>
          <w:sz w:val="33"/>
          <w:szCs w:val="33"/>
          <w:color w:val="948A54"/>
        </w:rPr>
      </w:pPr>
    </w:p>
    <w:p>
      <w:pPr>
        <w:ind w:left="420" w:right="820" w:hanging="415"/>
        <w:spacing w:after="0" w:line="247" w:lineRule="auto"/>
        <w:tabs>
          <w:tab w:leader="none" w:pos="420" w:val="left"/>
        </w:tabs>
        <w:numPr>
          <w:ilvl w:val="0"/>
          <w:numId w:val="2"/>
        </w:numPr>
        <w:rPr>
          <w:rFonts w:ascii="Arial" w:cs="Arial" w:eastAsia="Arial" w:hAnsi="Arial"/>
          <w:sz w:val="34"/>
          <w:szCs w:val="34"/>
          <w:color w:val="948A54"/>
        </w:rPr>
      </w:pPr>
      <w:r>
        <w:rPr>
          <w:rFonts w:ascii="Arial" w:cs="Arial" w:eastAsia="Arial" w:hAnsi="Arial"/>
          <w:sz w:val="38"/>
          <w:szCs w:val="38"/>
          <w:color w:val="auto"/>
        </w:rPr>
        <w:t>G Pirozzi and A Teper are employees and shareholders of Sanofi</w:t>
      </w:r>
    </w:p>
    <w:p>
      <w:pPr>
        <w:spacing w:after="0" w:line="52" w:lineRule="exact"/>
        <w:rPr>
          <w:rFonts w:ascii="Arial" w:cs="Arial" w:eastAsia="Arial" w:hAnsi="Arial"/>
          <w:sz w:val="34"/>
          <w:szCs w:val="34"/>
          <w:color w:val="948A54"/>
        </w:rPr>
      </w:pPr>
    </w:p>
    <w:p>
      <w:pPr>
        <w:ind w:left="420" w:right="2580" w:hanging="415"/>
        <w:spacing w:after="0" w:line="260" w:lineRule="auto"/>
        <w:tabs>
          <w:tab w:leader="none" w:pos="420" w:val="left"/>
        </w:tabs>
        <w:numPr>
          <w:ilvl w:val="0"/>
          <w:numId w:val="2"/>
        </w:numPr>
        <w:rPr>
          <w:rFonts w:ascii="Arial" w:cs="Arial" w:eastAsia="Arial" w:hAnsi="Arial"/>
          <w:sz w:val="33"/>
          <w:szCs w:val="33"/>
          <w:color w:val="948A54"/>
        </w:rPr>
      </w:pPr>
      <w:r>
        <w:rPr>
          <w:rFonts w:ascii="Arial" w:cs="Arial" w:eastAsia="Arial" w:hAnsi="Arial"/>
          <w:sz w:val="37"/>
          <w:szCs w:val="37"/>
          <w:color w:val="auto"/>
        </w:rPr>
        <w:t>Study (NCT01548404) funded by Regeneron Pharmaceuticals, Inc. and Sanofi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2</w:t>
      </w:r>
    </w:p>
    <w:p>
      <w:pPr>
        <w:sectPr>
          <w:pgSz w:w="11900" w:h="16838" w:orient="portrait"/>
          <w:cols w:equalWidth="0" w:num="1">
            <w:col w:w="10500"/>
          </w:cols>
          <w:pgMar w:left="1040" w:top="685" w:right="359" w:bottom="1440" w:gutter="0" w:footer="0" w:header="0"/>
        </w:sectPr>
      </w:pPr>
    </w:p>
    <w:bookmarkStart w:id="6" w:name="page7"/>
    <w:bookmarkEnd w:id="6"/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Introduction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285" w:right="4900" w:hanging="285"/>
        <w:spacing w:after="0" w:line="365" w:lineRule="auto"/>
        <w:tabs>
          <w:tab w:leader="none" w:pos="285" w:val="left"/>
        </w:tabs>
        <w:numPr>
          <w:ilvl w:val="0"/>
          <w:numId w:val="3"/>
        </w:numPr>
        <w:rPr>
          <w:rFonts w:ascii="Arial" w:cs="Arial" w:eastAsia="Arial" w:hAnsi="Arial"/>
          <w:sz w:val="29"/>
          <w:szCs w:val="29"/>
          <w:color w:val="948A54"/>
        </w:rPr>
      </w:pPr>
      <w:r>
        <w:rPr>
          <w:rFonts w:ascii="Arial" w:cs="Arial" w:eastAsia="Arial" w:hAnsi="Arial"/>
          <w:sz w:val="29"/>
          <w:szCs w:val="29"/>
          <w:color w:val="auto"/>
        </w:rPr>
        <w:t>Moderate-to-severe atopic dermatitis (AD) is characterized by eczematous dermatitis with intractable pruritus associated with sleep disturbance and lower quality-of-life</w:t>
      </w:r>
    </w:p>
    <w:p>
      <w:pPr>
        <w:spacing w:after="0" w:line="200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spacing w:after="0" w:line="200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spacing w:after="0" w:line="263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ind w:left="285" w:right="5460" w:hanging="285"/>
        <w:spacing w:after="0" w:line="367" w:lineRule="auto"/>
        <w:tabs>
          <w:tab w:leader="none" w:pos="285" w:val="left"/>
        </w:tabs>
        <w:numPr>
          <w:ilvl w:val="0"/>
          <w:numId w:val="3"/>
        </w:numPr>
        <w:rPr>
          <w:rFonts w:ascii="Arial" w:cs="Arial" w:eastAsia="Arial" w:hAnsi="Arial"/>
          <w:sz w:val="29"/>
          <w:szCs w:val="29"/>
          <w:color w:val="948A54"/>
        </w:rPr>
      </w:pPr>
      <w:r>
        <w:rPr>
          <w:rFonts w:ascii="Arial" w:cs="Arial" w:eastAsia="Arial" w:hAnsi="Arial"/>
          <w:sz w:val="29"/>
          <w:szCs w:val="29"/>
          <w:color w:val="auto"/>
        </w:rPr>
        <w:t>For many patients, current therapies are inadequate and can be associated with unwanted side effects</w:t>
      </w:r>
    </w:p>
    <w:p>
      <w:pPr>
        <w:spacing w:after="0" w:line="200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spacing w:after="0" w:line="200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spacing w:after="0" w:line="257" w:lineRule="exact"/>
        <w:rPr>
          <w:rFonts w:ascii="Arial" w:cs="Arial" w:eastAsia="Arial" w:hAnsi="Arial"/>
          <w:sz w:val="29"/>
          <w:szCs w:val="29"/>
          <w:color w:val="948A54"/>
        </w:rPr>
      </w:pPr>
    </w:p>
    <w:p>
      <w:pPr>
        <w:jc w:val="both"/>
        <w:ind w:left="285" w:right="4900" w:hanging="285"/>
        <w:spacing w:after="0" w:line="367" w:lineRule="auto"/>
        <w:tabs>
          <w:tab w:leader="none" w:pos="285" w:val="left"/>
        </w:tabs>
        <w:numPr>
          <w:ilvl w:val="0"/>
          <w:numId w:val="3"/>
        </w:numPr>
        <w:rPr>
          <w:rFonts w:ascii="Arial" w:cs="Arial" w:eastAsia="Arial" w:hAnsi="Arial"/>
          <w:sz w:val="29"/>
          <w:szCs w:val="29"/>
          <w:color w:val="948A54"/>
        </w:rPr>
      </w:pPr>
      <w:r>
        <w:rPr>
          <w:rFonts w:ascii="Arial" w:cs="Arial" w:eastAsia="Arial" w:hAnsi="Arial"/>
          <w:sz w:val="29"/>
          <w:szCs w:val="29"/>
          <w:color w:val="auto"/>
        </w:rPr>
        <w:t>IL-4 and IL-13 are thought to be central to T-helper 2 (Th2) inflammation, which mediates many features of AD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3</w:t>
      </w:r>
    </w:p>
    <w:p>
      <w:pPr>
        <w:sectPr>
          <w:pgSz w:w="11900" w:h="16838" w:orient="portrait"/>
          <w:cols w:equalWidth="0" w:num="1">
            <w:col w:w="10965"/>
          </w:cols>
          <w:pgMar w:left="575" w:top="685" w:right="359" w:bottom="1440" w:gutter="0" w:footer="0" w:header="0"/>
        </w:sectPr>
      </w:pPr>
    </w:p>
    <w:bookmarkStart w:id="7" w:name="page8"/>
    <w:bookmarkEnd w:id="7"/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Introduction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85" w:right="4340" w:hanging="285"/>
        <w:spacing w:after="0" w:line="308" w:lineRule="auto"/>
        <w:tabs>
          <w:tab w:leader="none" w:pos="285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28"/>
          <w:szCs w:val="28"/>
          <w:color w:val="auto"/>
        </w:rPr>
        <w:t>Dupilumab is a fully human monoclonal antibody targeting the IL-4 receptor alpha subunit (IL-4R ), thus blocking the intracellular signaling of both IL-4 and IL-13</w:t>
      </w:r>
    </w:p>
    <w:p>
      <w:pPr>
        <w:spacing w:after="0" w:line="200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spacing w:after="0" w:line="381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5" w:right="4420" w:hanging="285"/>
        <w:spacing w:after="0" w:line="305" w:lineRule="auto"/>
        <w:tabs>
          <w:tab w:leader="none" w:pos="285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28"/>
          <w:szCs w:val="28"/>
          <w:color w:val="auto"/>
        </w:rPr>
        <w:t>Earlier clinical trials indicated that dupilumab monotherapy had an acceptable safety profile and was efficacious in patients with moderate-to-severe AD who cannot be adequately controlled with topical medications</w:t>
      </w:r>
    </w:p>
    <w:p>
      <w:pPr>
        <w:spacing w:after="0" w:line="200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spacing w:after="0" w:line="387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5" w:right="4680" w:hanging="285"/>
        <w:spacing w:after="0" w:line="308" w:lineRule="auto"/>
        <w:tabs>
          <w:tab w:leader="none" w:pos="285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28"/>
          <w:szCs w:val="28"/>
          <w:color w:val="auto"/>
        </w:rPr>
        <w:t>We assessed the clinical efficacy of repeated subcutaneous doses of dupilumab monotherapy for 12 weeks in adult patients with moderate-to-severe AD poorly controlled by topical agents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4</w:t>
      </w:r>
    </w:p>
    <w:p>
      <w:pPr>
        <w:sectPr>
          <w:pgSz w:w="11900" w:h="16838" w:orient="portrait"/>
          <w:cols w:equalWidth="0" w:num="1">
            <w:col w:w="10965"/>
          </w:cols>
          <w:pgMar w:left="575" w:top="685" w:right="359" w:bottom="1440" w:gutter="0" w:footer="0" w:header="0"/>
        </w:sectPr>
      </w:pPr>
    </w:p>
    <w:bookmarkStart w:id="8" w:name="page9"/>
    <w:bookmarkEnd w:id="8"/>
    <w:p>
      <w:pPr>
        <w:jc w:val="center"/>
        <w:ind w:right="8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 (anti-IL-4R ) blocks the IL-4/IL-13 receptor/ligand system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58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IL-4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IL-13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380"/>
        <w:spacing w:after="0"/>
        <w:tabs>
          <w:tab w:leader="none" w:pos="3480" w:val="left"/>
          <w:tab w:leader="none" w:pos="5120" w:val="left"/>
          <w:tab w:leader="none" w:pos="7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IL-4R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IL-4R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IL-13R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1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900" w:type="dxa"/>
            <w:vAlign w:val="bottom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Type I Receptor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Type II Receptor</w:t>
            </w:r>
          </w:p>
        </w:tc>
      </w:tr>
      <w:tr>
        <w:trPr>
          <w:trHeight w:val="305"/>
        </w:trPr>
        <w:tc>
          <w:tcPr>
            <w:tcW w:w="2900" w:type="dxa"/>
            <w:vAlign w:val="bottom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</w:rPr>
              <w:t>B cells, T cells, Monocytes,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</w:rPr>
              <w:t>Epithelial cells, Smooth muscle</w:t>
            </w:r>
          </w:p>
        </w:tc>
      </w:tr>
      <w:tr>
        <w:trPr>
          <w:trHeight w:val="212"/>
        </w:trPr>
        <w:tc>
          <w:tcPr>
            <w:tcW w:w="2900" w:type="dxa"/>
            <w:vAlign w:val="bottom"/>
          </w:tcPr>
          <w:p>
            <w:pPr>
              <w:jc w:val="center"/>
              <w:ind w:right="5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</w:rPr>
              <w:t>Eosinophils, Fibroblasts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42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</w:rPr>
              <w:t>cells, Fibroblasts, Monocytes,</w:t>
            </w:r>
          </w:p>
        </w:tc>
      </w:tr>
      <w:tr>
        <w:trPr>
          <w:trHeight w:val="22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</w:rPr>
              <w:t>Activated B cells</w:t>
            </w:r>
          </w:p>
        </w:tc>
      </w:tr>
    </w:tbl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5</w:t>
      </w:r>
    </w:p>
    <w:p>
      <w:pPr>
        <w:sectPr>
          <w:pgSz w:w="11900" w:h="16838" w:orient="portrait"/>
          <w:cols w:equalWidth="0" w:num="1">
            <w:col w:w="10180"/>
          </w:cols>
          <w:pgMar w:left="1360" w:top="392" w:right="359" w:bottom="1440" w:gutter="0" w:footer="0" w:header="0"/>
        </w:sectPr>
      </w:pPr>
    </w:p>
    <w:bookmarkStart w:id="9" w:name="page10"/>
    <w:bookmarkEnd w:id="9"/>
    <w:p>
      <w:pPr>
        <w:jc w:val="center"/>
        <w:ind w:right="22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Dupilumab Monotherapy in Adults with Moderate-to-Severe Atopic Dermatitis: A European 12-Week, Randomized, Double-Blind, Placebo-Controlled Phase 2a Study (NCT01548404)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7"/>
        </w:trPr>
        <w:tc>
          <w:tcPr>
            <w:tcW w:w="2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Screening</w:t>
            </w:r>
          </w:p>
        </w:tc>
        <w:tc>
          <w:tcPr>
            <w:tcW w:w="5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  <w:w w:val="99"/>
              </w:rPr>
              <w:t>Study treatment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  <w:w w:val="99"/>
              </w:rPr>
              <w:t>Safety follow-up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(adult patients</w:t>
            </w: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with moderate-to-</w:t>
            </w:r>
          </w:p>
        </w:tc>
        <w:tc>
          <w:tcPr>
            <w:tcW w:w="5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  <w:w w:val="99"/>
              </w:rPr>
              <w:t>(weekly SC injection for 12 wks)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  <w:w w:val="98"/>
              </w:rPr>
              <w:t>(16 wks)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severe AD)</w:t>
            </w: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C0504D"/>
              </w:rPr>
              <w:t>Dupilumab 300 mg (n=55)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auto"/>
              </w:rPr>
              <w:t>n=109</w:t>
            </w:r>
          </w:p>
        </w:tc>
        <w:tc>
          <w:tcPr>
            <w:tcW w:w="52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4F81BD"/>
              </w:rPr>
              <w:t>Placebo (n=54)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 xml:space="preserve">Primary endpoint: </w:t>
      </w:r>
      <w:r>
        <w:rPr>
          <w:rFonts w:ascii="Arial" w:cs="Arial" w:eastAsia="Arial" w:hAnsi="Arial"/>
          <w:sz w:val="32"/>
          <w:szCs w:val="32"/>
          <w:color w:val="auto"/>
        </w:rPr>
        <w:t>Percent change in EASI from baseline to week 12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40" w:right="108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 xml:space="preserve">Secondary endpoints: </w:t>
      </w:r>
      <w:r>
        <w:rPr>
          <w:rFonts w:ascii="Arial" w:cs="Arial" w:eastAsia="Arial" w:hAnsi="Arial"/>
          <w:sz w:val="32"/>
          <w:szCs w:val="32"/>
          <w:color w:val="auto"/>
        </w:rPr>
        <w:t>Changes from baseline to week 12 in EASI,</w:t>
      </w: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32"/>
          <w:szCs w:val="32"/>
          <w:color w:val="auto"/>
        </w:rPr>
        <w:t>SCORAD, %BSA, pruritus NRS, 5-D pruritus scale, proportion of patients achieving EASI-50/75, IGA 0-1; and safety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EASI=Eczema Area Severity Index; SCORAD=scoring of atopic dermatitis; BSA = baseline body surface area;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3560" w:val="left"/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NRS=numeric rating scale; EASI-50</w:t>
        <w:tab/>
        <w:t>50% reduction in EASI score; EASI-75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75% reduction in EASI score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IGA 0-1=Investigator’s Global Assessment score of 0 (“clear”) or 1 (“almost clear”)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6</w:t>
      </w:r>
    </w:p>
    <w:p>
      <w:pPr>
        <w:sectPr>
          <w:pgSz w:w="11900" w:h="16838" w:orient="portrait"/>
          <w:cols w:equalWidth="0" w:num="1">
            <w:col w:w="10980"/>
          </w:cols>
          <w:pgMar w:left="560" w:top="483" w:right="359" w:bottom="1440" w:gutter="0" w:footer="0" w:header="0"/>
        </w:sectPr>
      </w:pPr>
    </w:p>
    <w:bookmarkStart w:id="10" w:name="page11"/>
    <w:bookmarkEnd w:id="10"/>
    <w:p>
      <w:pPr>
        <w:ind w:lef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Key inclusion/exclusion criteria</w:t>
      </w:r>
    </w:p>
    <w:p>
      <w:pPr>
        <w:sectPr>
          <w:pgSz w:w="11900" w:h="16838" w:orient="portrait"/>
          <w:cols w:equalWidth="0" w:num="1">
            <w:col w:w="10389"/>
          </w:cols>
          <w:pgMar w:left="1151" w:top="685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Inclusion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9"/>
        <w:spacing w:after="0"/>
        <w:tabs>
          <w:tab w:leader="none" w:pos="266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948A54"/>
        </w:rPr>
        <w:t xml:space="preserve">• </w:t>
      </w:r>
      <w:r>
        <w:rPr>
          <w:rFonts w:ascii="Arial" w:cs="Arial" w:eastAsia="Arial" w:hAnsi="Arial"/>
          <w:sz w:val="31"/>
          <w:szCs w:val="31"/>
          <w:color w:val="000000"/>
        </w:rPr>
        <w:t>Male or female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1"/>
          <w:szCs w:val="31"/>
          <w:color w:val="auto"/>
        </w:rPr>
        <w:t>18 yrs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9"/>
        <w:spacing w:after="0"/>
        <w:tabs>
          <w:tab w:leader="none" w:pos="222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948A54"/>
        </w:rPr>
        <w:t xml:space="preserve">• </w:t>
      </w:r>
      <w:r>
        <w:rPr>
          <w:rFonts w:ascii="Arial" w:cs="Arial" w:eastAsia="Arial" w:hAnsi="Arial"/>
          <w:sz w:val="31"/>
          <w:szCs w:val="31"/>
          <w:color w:val="000000"/>
        </w:rPr>
        <w:t>Chronic AD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2"/>
          <w:szCs w:val="32"/>
          <w:color w:val="auto"/>
        </w:rPr>
        <w:t>3 yrs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89" w:hanging="289"/>
        <w:spacing w:after="0"/>
        <w:tabs>
          <w:tab w:leader="none" w:pos="289" w:val="left"/>
        </w:tabs>
        <w:numPr>
          <w:ilvl w:val="0"/>
          <w:numId w:val="5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EASI  16</w:t>
      </w:r>
    </w:p>
    <w:p>
      <w:pPr>
        <w:spacing w:after="0" w:line="208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9" w:hanging="289"/>
        <w:spacing w:after="0"/>
        <w:tabs>
          <w:tab w:leader="none" w:pos="289" w:val="left"/>
        </w:tabs>
        <w:numPr>
          <w:ilvl w:val="0"/>
          <w:numId w:val="5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IGA  3</w:t>
      </w:r>
    </w:p>
    <w:p>
      <w:pPr>
        <w:spacing w:after="0" w:line="219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9" w:right="1880" w:hanging="289"/>
        <w:spacing w:after="0" w:line="239" w:lineRule="auto"/>
        <w:tabs>
          <w:tab w:leader="none" w:pos="559" w:val="left"/>
        </w:tabs>
        <w:numPr>
          <w:ilvl w:val="0"/>
          <w:numId w:val="5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10% BSA of AD involvement</w:t>
      </w:r>
    </w:p>
    <w:p>
      <w:pPr>
        <w:spacing w:after="0" w:line="207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9" w:hanging="289"/>
        <w:spacing w:after="0" w:line="243" w:lineRule="auto"/>
        <w:tabs>
          <w:tab w:leader="none" w:pos="289" w:val="left"/>
        </w:tabs>
        <w:numPr>
          <w:ilvl w:val="0"/>
          <w:numId w:val="5"/>
        </w:numPr>
        <w:rPr>
          <w:rFonts w:ascii="Arial" w:cs="Arial" w:eastAsia="Arial" w:hAnsi="Arial"/>
          <w:sz w:val="27"/>
          <w:szCs w:val="27"/>
          <w:color w:val="948A54"/>
        </w:rPr>
      </w:pPr>
      <w:r>
        <w:rPr>
          <w:rFonts w:ascii="Arial" w:cs="Arial" w:eastAsia="Arial" w:hAnsi="Arial"/>
          <w:sz w:val="31"/>
          <w:szCs w:val="31"/>
          <w:color w:val="auto"/>
        </w:rPr>
        <w:t>History of inadequate response to a stable ( 1 month) regimen of topical corticosteroids or calcineurin inhibitors within 3 months prior to screening visit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Exclusion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286" w:hanging="286"/>
        <w:spacing w:after="0"/>
        <w:tabs>
          <w:tab w:leader="none" w:pos="286" w:val="left"/>
        </w:tabs>
        <w:numPr>
          <w:ilvl w:val="0"/>
          <w:numId w:val="6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Prior treatment with dupilumab</w:t>
      </w:r>
    </w:p>
    <w:p>
      <w:pPr>
        <w:spacing w:after="0" w:line="208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6" w:hanging="286"/>
        <w:spacing w:after="0"/>
        <w:tabs>
          <w:tab w:leader="none" w:pos="286" w:val="left"/>
        </w:tabs>
        <w:numPr>
          <w:ilvl w:val="0"/>
          <w:numId w:val="6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Acute or chronic infections</w:t>
      </w:r>
    </w:p>
    <w:p>
      <w:pPr>
        <w:spacing w:after="0" w:line="219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286" w:right="640" w:hanging="286"/>
        <w:spacing w:after="0" w:line="245" w:lineRule="auto"/>
        <w:tabs>
          <w:tab w:leader="none" w:pos="286" w:val="left"/>
        </w:tabs>
        <w:numPr>
          <w:ilvl w:val="0"/>
          <w:numId w:val="6"/>
        </w:numPr>
        <w:rPr>
          <w:rFonts w:ascii="Arial" w:cs="Arial" w:eastAsia="Arial" w:hAnsi="Arial"/>
          <w:sz w:val="27"/>
          <w:szCs w:val="27"/>
          <w:color w:val="948A54"/>
        </w:rPr>
      </w:pPr>
      <w:r>
        <w:rPr>
          <w:rFonts w:ascii="Arial" w:cs="Arial" w:eastAsia="Arial" w:hAnsi="Arial"/>
          <w:sz w:val="31"/>
          <w:szCs w:val="31"/>
          <w:color w:val="auto"/>
        </w:rPr>
        <w:t>Recent treatment with topical corticosteroids, calcineurin inhibitors, immunosuppressive/ immunomodulating drugs</w:t>
      </w:r>
    </w:p>
    <w:p>
      <w:pPr>
        <w:spacing w:after="0" w:line="190" w:lineRule="exact"/>
        <w:rPr>
          <w:rFonts w:ascii="Arial" w:cs="Arial" w:eastAsia="Arial" w:hAnsi="Arial"/>
          <w:sz w:val="27"/>
          <w:szCs w:val="27"/>
          <w:color w:val="948A54"/>
        </w:rPr>
      </w:pPr>
    </w:p>
    <w:p>
      <w:pPr>
        <w:ind w:left="286" w:right="600" w:hanging="286"/>
        <w:spacing w:after="0" w:line="246" w:lineRule="auto"/>
        <w:tabs>
          <w:tab w:leader="none" w:pos="286" w:val="left"/>
        </w:tabs>
        <w:numPr>
          <w:ilvl w:val="0"/>
          <w:numId w:val="6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Significant co-morbidities or lab abnormalities</w:t>
      </w:r>
    </w:p>
    <w:p>
      <w:pPr>
        <w:spacing w:after="0" w:line="17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69" w:space="434"/>
            <w:col w:w="5286"/>
          </w:cols>
          <w:pgMar w:left="1151" w:top="685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30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7</w:t>
      </w:r>
    </w:p>
    <w:p>
      <w:pPr>
        <w:sectPr>
          <w:pgSz w:w="11900" w:h="16838" w:orient="portrait"/>
          <w:cols w:equalWidth="0" w:num="1">
            <w:col w:w="10389"/>
          </w:cols>
          <w:pgMar w:left="1151" w:top="685" w:right="359" w:bottom="1440" w:gutter="0" w:footer="0" w:header="0"/>
          <w:type w:val="continuous"/>
        </w:sectPr>
      </w:pPr>
    </w:p>
    <w:bookmarkStart w:id="11" w:name="page12"/>
    <w:bookmarkEnd w:id="11"/>
    <w:p>
      <w:pPr>
        <w:jc w:val="center"/>
        <w:ind w:left="660" w:right="114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Baseline demographics and disease characteristics*</w:t>
      </w:r>
    </w:p>
    <w:p>
      <w:pPr>
        <w:sectPr>
          <w:pgSz w:w="11900" w:h="16838" w:orient="portrait"/>
          <w:cols w:equalWidth="0" w:num="1">
            <w:col w:w="10500"/>
          </w:cols>
          <w:pgMar w:left="1040" w:top="464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Age, yrs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Caucasian, n (%)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Men, n (%)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BMI, kg/m</w:t>
      </w:r>
      <w:r>
        <w:rPr>
          <w:rFonts w:ascii="Arial" w:cs="Arial" w:eastAsia="Arial" w:hAnsi="Arial"/>
          <w:sz w:val="37"/>
          <w:szCs w:val="37"/>
          <w:b w:val="1"/>
          <w:bCs w:val="1"/>
          <w:color w:val="auto"/>
          <w:vertAlign w:val="superscript"/>
        </w:rPr>
        <w:t>2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0" w:right="132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AD diagnosis age, yrs EASI score (0-72) IGA score (0-5) SCORAD score (0-103) %BSA of AD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Pruritus (NRS) score (0-10)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5-D Pruritus Scale (5-25)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9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Dupilumab</w:t>
            </w:r>
          </w:p>
        </w:tc>
      </w:tr>
      <w:tr>
        <w:trPr>
          <w:trHeight w:val="317"/>
        </w:trPr>
        <w:tc>
          <w:tcPr>
            <w:tcW w:w="2080" w:type="dxa"/>
            <w:vAlign w:val="bottom"/>
            <w:gridSpan w:val="3"/>
          </w:tcPr>
          <w:p>
            <w:pPr>
              <w:jc w:val="center"/>
              <w:ind w:right="45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Placebo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ind w:right="13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300 mg</w:t>
            </w:r>
          </w:p>
        </w:tc>
      </w:tr>
      <w:tr>
        <w:trPr>
          <w:trHeight w:val="375"/>
        </w:trPr>
        <w:tc>
          <w:tcPr>
            <w:tcW w:w="2080" w:type="dxa"/>
            <w:vAlign w:val="bottom"/>
            <w:gridSpan w:val="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(n=54)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(n=55)</w:t>
            </w:r>
          </w:p>
        </w:tc>
      </w:tr>
      <w:tr>
        <w:trPr>
          <w:trHeight w:val="576"/>
        </w:trPr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39.4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(12.3)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33.7 (10.4)</w:t>
            </w:r>
          </w:p>
        </w:tc>
      </w:tr>
      <w:tr>
        <w:trPr>
          <w:trHeight w:val="400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54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(100)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55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(100)</w:t>
            </w:r>
          </w:p>
        </w:tc>
      </w:tr>
      <w:tr>
        <w:trPr>
          <w:trHeight w:val="400"/>
        </w:trPr>
        <w:tc>
          <w:tcPr>
            <w:tcW w:w="2080" w:type="dxa"/>
            <w:vAlign w:val="bottom"/>
            <w:gridSpan w:val="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27 (50.0)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31 (56.4)</w:t>
            </w:r>
          </w:p>
        </w:tc>
      </w:tr>
      <w:tr>
        <w:trPr>
          <w:trHeight w:val="388"/>
        </w:trPr>
        <w:tc>
          <w:tcPr>
            <w:tcW w:w="2080" w:type="dxa"/>
            <w:vAlign w:val="bottom"/>
            <w:gridSpan w:val="3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24.51 (4.64)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25.89 (4.84)</w:t>
            </w:r>
          </w:p>
        </w:tc>
      </w:tr>
      <w:tr>
        <w:trPr>
          <w:trHeight w:val="388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5"/>
              </w:rPr>
              <w:t>14.4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(18.35)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6.6 (10.52)</w:t>
            </w:r>
          </w:p>
        </w:tc>
      </w:tr>
      <w:tr>
        <w:trPr>
          <w:trHeight w:val="400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5"/>
              </w:rPr>
              <w:t>30.8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(13.63)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28.4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(13.57)</w:t>
            </w:r>
          </w:p>
        </w:tc>
      </w:tr>
      <w:tr>
        <w:trPr>
          <w:trHeight w:val="388"/>
        </w:trPr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4.0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(0.69)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3.9 (0.67)</w:t>
            </w:r>
          </w:p>
        </w:tc>
      </w:tr>
      <w:tr>
        <w:trPr>
          <w:trHeight w:val="388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5"/>
              </w:rPr>
              <w:t>69.1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(13.38)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66.7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(13.82)</w:t>
            </w:r>
          </w:p>
        </w:tc>
      </w:tr>
      <w:tr>
        <w:trPr>
          <w:trHeight w:val="388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5"/>
              </w:rPr>
              <w:t>50.8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(24.14)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46.8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(24.55)</w:t>
            </w:r>
          </w:p>
        </w:tc>
      </w:tr>
      <w:tr>
        <w:trPr>
          <w:trHeight w:val="388"/>
        </w:trPr>
        <w:tc>
          <w:tcPr>
            <w:tcW w:w="2080" w:type="dxa"/>
            <w:vAlign w:val="bottom"/>
            <w:gridSpan w:val="3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5.00 (1.40)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6.43 (2.00)</w:t>
            </w:r>
          </w:p>
        </w:tc>
      </w:tr>
      <w:tr>
        <w:trPr>
          <w:trHeight w:val="388"/>
        </w:trPr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18.7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(3.50)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18.4 (3.04)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440" w:space="720"/>
            <w:col w:w="5340"/>
          </w:cols>
          <w:pgMar w:left="1040" w:top="464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12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*Values shown are mean (SD) or n (%). </w:t>
      </w:r>
      <w:r>
        <w:rPr>
          <w:rFonts w:ascii="Arial" w:cs="Arial" w:eastAsia="Arial" w:hAnsi="Arial"/>
          <w:sz w:val="18"/>
          <w:szCs w:val="18"/>
          <w:color w:val="auto"/>
        </w:rPr>
        <w:t>EASI=Eczema Area Severity Index (range 0-72);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IGA=Investigator’s Global Assessment (range 0-5); SCORAD=scoring of atopic dermatitis (range 0-103); BSA = baseline body surface area; NRS=numeric rating scale (range 0-10); 5-D Pruritus Scale (range 5-25)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8</w:t>
      </w:r>
    </w:p>
    <w:p>
      <w:pPr>
        <w:sectPr>
          <w:pgSz w:w="11900" w:h="16838" w:orient="portrait"/>
          <w:cols w:equalWidth="0" w:num="1">
            <w:col w:w="10500"/>
          </w:cols>
          <w:pgMar w:left="1040" w:top="464" w:right="359" w:bottom="1440" w:gutter="0" w:footer="0" w:header="0"/>
          <w:type w:val="continuous"/>
        </w:sectPr>
      </w:pPr>
    </w:p>
    <w:bookmarkStart w:id="12" w:name="page13"/>
    <w:bookmarkEnd w:id="1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Percent change in EASI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-67945</wp:posOffset>
            </wp:positionH>
            <wp:positionV relativeFrom="paragraph">
              <wp:posOffset>-403860</wp:posOffset>
            </wp:positionV>
            <wp:extent cx="7174865" cy="53828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t>SCORAD scores over 12 weeks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40" w:type="dxa"/>
            <w:vAlign w:val="bottom"/>
          </w:tcPr>
          <w:p>
            <w:pPr>
              <w:jc w:val="right"/>
              <w:ind w:righ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3"/>
        </w:trPr>
        <w:tc>
          <w:tcPr>
            <w:tcW w:w="9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</w:tr>
      <w:tr>
        <w:trPr>
          <w:trHeight w:val="170"/>
        </w:trPr>
        <w:tc>
          <w:tcPr>
            <w:tcW w:w="940" w:type="dxa"/>
            <w:vAlign w:val="bottom"/>
          </w:tcPr>
          <w:p>
            <w:pPr>
              <w:jc w:val="right"/>
              <w:ind w:righ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3360" w:type="dxa"/>
            <w:vAlign w:val="bottom"/>
            <w:vMerge w:val="restart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-10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-10</w:t>
            </w:r>
          </w:p>
        </w:tc>
        <w:tc>
          <w:tcPr>
            <w:tcW w:w="13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3366CC"/>
              </w:rPr>
              <w:t>-14.3%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4F81BD"/>
              </w:rPr>
              <w:t>Placebo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3366CC"/>
              </w:rPr>
              <w:t>-23.3%</w:t>
            </w: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360" w:type="dxa"/>
            <w:vAlign w:val="bottom"/>
            <w:vMerge w:val="restart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-20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-20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360" w:type="dxa"/>
            <w:vAlign w:val="bottom"/>
            <w:vMerge w:val="restart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-30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3366CC"/>
              </w:rPr>
              <w:t>Placebo</w:t>
            </w:r>
          </w:p>
        </w:tc>
        <w:tc>
          <w:tcPr>
            <w:tcW w:w="4240" w:type="dxa"/>
            <w:vAlign w:val="bottom"/>
            <w:vMerge w:val="restart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-30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**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P&lt;0.0001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*p&lt;0.001,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360" w:type="dxa"/>
            <w:vAlign w:val="bottom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-40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-40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60" w:type="dxa"/>
            <w:vAlign w:val="bottom"/>
            <w:vMerge w:val="restart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-50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†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p&lt;0.002,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**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P&lt;0.0001</w:t>
            </w:r>
          </w:p>
        </w:tc>
        <w:tc>
          <w:tcPr>
            <w:tcW w:w="4240" w:type="dxa"/>
            <w:vAlign w:val="bottom"/>
            <w:vMerge w:val="restart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-50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C00000"/>
              </w:rPr>
              <w:t>-53.6%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360" w:type="dxa"/>
            <w:vAlign w:val="bottom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-60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-60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C0504D"/>
                <w:w w:val="98"/>
              </w:rPr>
              <w:t>300 mg dupilumab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360" w:type="dxa"/>
            <w:vAlign w:val="bottom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-70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C00000"/>
              </w:rPr>
              <w:t>-</w:t>
            </w:r>
            <w:r>
              <w:rPr>
                <w:rFonts w:ascii="Arial" w:cs="Arial" w:eastAsia="Arial" w:hAnsi="Arial"/>
                <w:sz w:val="18"/>
                <w:szCs w:val="18"/>
                <w:color w:val="C00000"/>
              </w:rPr>
              <w:t>74.0</w:t>
            </w:r>
            <w:r>
              <w:rPr>
                <w:rFonts w:ascii="Arial" w:cs="Arial" w:eastAsia="Arial" w:hAnsi="Arial"/>
                <w:sz w:val="25"/>
                <w:szCs w:val="25"/>
                <w:color w:val="C00000"/>
              </w:rPr>
              <w:t>%</w:t>
            </w:r>
          </w:p>
        </w:tc>
        <w:tc>
          <w:tcPr>
            <w:tcW w:w="4240" w:type="dxa"/>
            <w:vAlign w:val="bottom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-70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60" w:type="dxa"/>
            <w:vAlign w:val="bottom"/>
            <w:vMerge w:val="restart"/>
          </w:tcPr>
          <w:p>
            <w:pPr>
              <w:jc w:val="right"/>
              <w:ind w:right="2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-80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</w:tcPr>
          <w:p>
            <w:pPr>
              <w:jc w:val="right"/>
              <w:ind w:right="3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-80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C00000"/>
              </w:rPr>
              <w:t>300 mg dupilumab</w:t>
            </w: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36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Study Day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right"/>
              <w:ind w:right="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Study Day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Study drug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Study drug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administration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administration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*, †**(LOCF)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9</w:t>
      </w:r>
    </w:p>
    <w:p>
      <w:pPr>
        <w:sectPr>
          <w:pgSz w:w="11900" w:h="16838" w:orient="portrait"/>
          <w:cols w:equalWidth="0" w:num="1">
            <w:col w:w="11080"/>
          </w:cols>
          <w:pgMar w:left="460" w:top="380" w:right="359" w:bottom="1440" w:gutter="0" w:footer="0" w:header="0"/>
        </w:sectPr>
      </w:pPr>
    </w:p>
    <w:bookmarkStart w:id="13" w:name="page14"/>
    <w:bookmarkEnd w:id="13"/>
    <w:p>
      <w:pPr>
        <w:ind w:left="760" w:right="760" w:firstLine="8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Proportion of patients who achieve EASI-50 and EASI-75 over 12 weeks</w:t>
      </w:r>
    </w:p>
    <w:p>
      <w:pPr>
        <w:sectPr>
          <w:pgSz w:w="11900" w:h="16838" w:orient="portrait"/>
          <w:cols w:equalWidth="0" w:num="1">
            <w:col w:w="11080"/>
          </w:cols>
          <w:pgMar w:left="460" w:top="392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100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90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80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70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60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50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30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20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10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right="260"/>
        <w:spacing w:after="0" w:line="3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Study drug administration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2280" w:val="left"/>
          <w:tab w:leader="none" w:pos="1980" w:val="left"/>
          <w:tab w:leader="none" w:pos="1600" w:val="left"/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7"/>
          <w:szCs w:val="37"/>
          <w:color w:val="auto"/>
          <w:vertAlign w:val="superscript"/>
        </w:rPr>
        <w:t>**  **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8"/>
          <w:szCs w:val="38"/>
          <w:color w:val="auto"/>
          <w:vertAlign w:val="superscript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**</w:t>
        <w:tab/>
        <w:t>** **  **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** </w:t>
      </w:r>
      <w:r>
        <w:rPr>
          <w:rFonts w:ascii="Arial" w:cs="Arial" w:eastAsia="Arial" w:hAnsi="Arial"/>
          <w:sz w:val="29"/>
          <w:szCs w:val="29"/>
          <w:color w:val="C00000"/>
          <w:vertAlign w:val="subscript"/>
        </w:rPr>
        <w:t>85.5%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C0504D"/>
        </w:rPr>
        <w:t>300 mg dupilumab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*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†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p&lt;0.01, *p&lt;0.001,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**</w:t>
      </w:r>
      <w:r>
        <w:rPr>
          <w:rFonts w:ascii="Arial" w:cs="Arial" w:eastAsia="Arial" w:hAnsi="Arial"/>
          <w:sz w:val="14"/>
          <w:szCs w:val="14"/>
          <w:color w:val="auto"/>
        </w:rPr>
        <w:t>P&lt;0.0001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3366CC"/>
        </w:rPr>
        <w:t>35.2%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4F81BD"/>
        </w:rPr>
        <w:t>Placebo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  <w:tab w:leader="none" w:pos="840" w:val="left"/>
          <w:tab w:leader="none" w:pos="1280" w:val="left"/>
          <w:tab w:leader="none" w:pos="1720" w:val="left"/>
          <w:tab w:leader="none" w:pos="2140" w:val="left"/>
          <w:tab w:leader="none" w:pos="2580" w:val="left"/>
          <w:tab w:leader="none" w:pos="3000" w:val="left"/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20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30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40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50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60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70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80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90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Study Day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4"/>
              </w:rPr>
              <w:t>**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C00000"/>
                <w:w w:val="97"/>
              </w:rPr>
              <w:t>61.8%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C0504D"/>
              </w:rPr>
              <w:t>300 mg dupilumab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4"/>
              </w:rPr>
              <w:t>**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8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  <w:vertAlign w:val="superscript"/>
              </w:rPr>
              <w:t>†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p&lt;0.01, *p&lt;0.001,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**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P&lt;0.0001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3366CC"/>
                <w:w w:val="97"/>
              </w:rPr>
              <w:t>14.8%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4F81BD"/>
                <w:w w:val="98"/>
              </w:rPr>
              <w:t>Placebo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Study Day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Study drug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administration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*, †**(LOCF)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920" w:space="320"/>
            <w:col w:w="4040" w:space="180"/>
            <w:col w:w="5620"/>
          </w:cols>
          <w:pgMar w:left="460" w:top="392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700" w:val="left"/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EASI-50</w:t>
        <w:tab/>
        <w:t>50% reduction in EASI score; EASI-75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75% reduction in EASI score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10</w:t>
      </w:r>
    </w:p>
    <w:p>
      <w:pPr>
        <w:sectPr>
          <w:pgSz w:w="11900" w:h="16838" w:orient="portrait"/>
          <w:cols w:equalWidth="0" w:num="1">
            <w:col w:w="11080"/>
          </w:cols>
          <w:pgMar w:left="460" w:top="392" w:right="359" w:bottom="1440" w:gutter="0" w:footer="0" w:header="0"/>
          <w:type w:val="continuous"/>
        </w:sectPr>
      </w:pPr>
    </w:p>
    <w:bookmarkStart w:id="14" w:name="page15"/>
    <w:bookmarkEnd w:id="14"/>
    <w:p>
      <w:pPr>
        <w:jc w:val="center"/>
        <w:ind w:left="241" w:right="8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Percent patients achieving IGA 0-1 and mean BSA(%) at day 85</w:t>
      </w:r>
    </w:p>
    <w:p>
      <w:pPr>
        <w:sectPr>
          <w:pgSz w:w="11900" w:h="16838" w:orient="portrait"/>
          <w:cols w:equalWidth="0" w:num="1">
            <w:col w:w="10401"/>
          </w:cols>
          <w:pgMar w:left="1139" w:top="392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254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**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44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40.0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04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7.4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681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Placebo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8"/>
          <w:szCs w:val="28"/>
          <w:color w:val="auto"/>
        </w:rPr>
        <w:t>300 mg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right"/>
        <w:ind w:righ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dupilumab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01" w:hanging="201"/>
        <w:spacing w:after="0"/>
        <w:tabs>
          <w:tab w:leader="none" w:pos="201" w:val="left"/>
        </w:tabs>
        <w:numPr>
          <w:ilvl w:val="0"/>
          <w:numId w:val="7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p&lt;0.0001; LOCF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Placebo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300 mg</w:t>
      </w:r>
    </w:p>
    <w:p>
      <w:pPr>
        <w:ind w:left="140"/>
        <w:spacing w:after="0"/>
        <w:tabs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7"/>
          <w:szCs w:val="37"/>
          <w:color w:val="FFFFFF"/>
          <w:vertAlign w:val="subscript"/>
        </w:rPr>
        <w:t>50.8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dupilumab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46.8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41.8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**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FFFFFF"/>
        </w:rPr>
        <w:t>19.4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Baseline</w:t>
        <w:tab/>
        <w:t>Day 85</w:t>
      </w:r>
    </w:p>
    <w:p>
      <w:pPr>
        <w:spacing w:after="0" w:line="9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41" w:space="720"/>
            <w:col w:w="4140"/>
          </w:cols>
          <w:pgMar w:left="1139" w:top="392" w:right="359" w:bottom="1440" w:gutter="0" w:footer="0" w:header="0"/>
          <w:type w:val="continuous"/>
        </w:sectPr>
      </w:pP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024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11</w:t>
      </w:r>
    </w:p>
    <w:p>
      <w:pPr>
        <w:sectPr>
          <w:pgSz w:w="11900" w:h="16838" w:orient="portrait"/>
          <w:cols w:equalWidth="0" w:num="1">
            <w:col w:w="10401"/>
          </w:cols>
          <w:pgMar w:left="1139" w:top="392" w:right="359" w:bottom="1440" w:gutter="0" w:footer="0" w:header="0"/>
          <w:type w:val="continuous"/>
        </w:sectPr>
      </w:pPr>
    </w:p>
    <w:bookmarkStart w:id="15" w:name="page16"/>
    <w:bookmarkEnd w:id="15"/>
    <w:p>
      <w:pPr>
        <w:ind w:left="1060" w:right="900" w:hanging="187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Percent change in NRS and 5-D pruritus scores over 12 weeks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-67945</wp:posOffset>
            </wp:positionH>
            <wp:positionV relativeFrom="paragraph">
              <wp:posOffset>-1006475</wp:posOffset>
            </wp:positionV>
            <wp:extent cx="7174865" cy="53828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332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10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-10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-20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-30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-40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-50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-60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-70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1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Study drug administration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8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6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-10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3366CC"/>
              </w:rPr>
              <w:t>-9.9%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3366CC"/>
              </w:rPr>
              <w:t>-15.1%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-15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4F81BD"/>
              </w:rPr>
              <w:t>Placebo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4F81BD"/>
              </w:rPr>
              <w:t>Placebo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-20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54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4"/>
              </w:rPr>
              <w:t>**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**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P&lt;0.0001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-25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**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P&lt;0.0001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-30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jc w:val="right"/>
              <w:ind w:right="19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-35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2860" w:type="dxa"/>
            <w:vAlign w:val="bottom"/>
            <w:vMerge w:val="restart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C00000"/>
              </w:rPr>
              <w:t>-55.7%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-40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jc w:val="right"/>
              <w:ind w:right="1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C00000"/>
                <w:w w:val="94"/>
              </w:rPr>
              <w:t>-39.7%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  **  **  **  **  ** **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-45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jc w:val="right"/>
              <w:ind w:right="7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C0504D"/>
              </w:rPr>
              <w:t>300 mg dupilumab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C0504D"/>
              </w:rPr>
              <w:t>300 mg dupilumab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-50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**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Study Day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Study Day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Study drug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administration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0" w:space="360"/>
            <w:col w:w="9960"/>
          </w:cols>
          <w:pgMar w:left="460" w:top="332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**(LOCF)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NRS=numeric rating scale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12</w:t>
      </w:r>
    </w:p>
    <w:p>
      <w:pPr>
        <w:sectPr>
          <w:pgSz w:w="11900" w:h="16838" w:orient="portrait"/>
          <w:cols w:equalWidth="0" w:num="1">
            <w:col w:w="11080"/>
          </w:cols>
          <w:pgMar w:left="460" w:top="332" w:right="359" w:bottom="1440" w:gutter="0" w:footer="0" w:header="0"/>
          <w:type w:val="continuous"/>
        </w:sectPr>
      </w:pPr>
    </w:p>
    <w:bookmarkStart w:id="16" w:name="page17"/>
    <w:bookmarkEnd w:id="16"/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Treatment emergent adverse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-296545</wp:posOffset>
            </wp:positionH>
            <wp:positionV relativeFrom="paragraph">
              <wp:posOffset>-417830</wp:posOffset>
            </wp:positionV>
            <wp:extent cx="7174865" cy="53828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t>events over 28 weeks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9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Placebo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Dupilumab 300 mg</w:t>
            </w:r>
          </w:p>
        </w:tc>
      </w:tr>
      <w:tr>
        <w:trPr>
          <w:trHeight w:val="375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(n = 54)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(n = 55)</w:t>
            </w:r>
          </w:p>
        </w:tc>
      </w:tr>
      <w:tr>
        <w:trPr>
          <w:trHeight w:val="402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Total number of AEs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159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9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5"/>
              </w:rPr>
              <w:t>163</w:t>
            </w:r>
          </w:p>
        </w:tc>
      </w:tr>
      <w:tr>
        <w:trPr>
          <w:trHeight w:val="38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Total number of AEs related to study drug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3"/>
              </w:rPr>
              <w:t>45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9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49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Total number of serious AEs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3"/>
              </w:rPr>
              <w:t>11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9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85"/>
              </w:rPr>
              <w:t>1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Deaths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9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85"/>
              </w:rPr>
              <w:t>0</w:t>
            </w:r>
          </w:p>
        </w:tc>
      </w:tr>
      <w:tr>
        <w:trPr>
          <w:trHeight w:val="423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Number (%) of patients discontinued from study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5"/>
        </w:trPr>
        <w:tc>
          <w:tcPr>
            <w:tcW w:w="606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Due to AE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(5.6)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(1.8)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Due to Lack of Efficacy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23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(42.6)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9"/>
              </w:rPr>
              <w:t>7 (12.7)</w:t>
            </w:r>
          </w:p>
        </w:tc>
      </w:tr>
      <w:tr>
        <w:trPr>
          <w:trHeight w:val="38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Infections and infestations*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(57.4)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31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(56.4)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Most common AEs (  10%)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Nasopharyngitis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(18.5)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22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(40.0)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Headache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7"/>
              </w:rPr>
              <w:t>7 (13.0)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9"/>
              </w:rPr>
              <w:t>9 (16.4)</w:t>
            </w:r>
          </w:p>
        </w:tc>
      </w:tr>
      <w:tr>
        <w:trPr>
          <w:trHeight w:val="400"/>
        </w:trPr>
        <w:tc>
          <w:tcPr>
            <w:tcW w:w="60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Conjunctivitis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(3.7)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9"/>
              </w:rPr>
              <w:t>7 (12.7)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* System Organ Class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13</w:t>
      </w:r>
    </w:p>
    <w:p>
      <w:pPr>
        <w:sectPr>
          <w:pgSz w:w="11900" w:h="16838" w:orient="portrait"/>
          <w:cols w:equalWidth="0" w:num="1">
            <w:col w:w="10720"/>
          </w:cols>
          <w:pgMar w:left="820" w:top="332" w:right="359" w:bottom="1440" w:gutter="0" w:footer="0" w:header="0"/>
        </w:sectPr>
      </w:pPr>
    </w:p>
    <w:bookmarkStart w:id="17" w:name="page18"/>
    <w:bookmarkEnd w:id="17"/>
    <w:p>
      <w:pPr>
        <w:jc w:val="center"/>
        <w:ind w:right="42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Skin infections were less frequent with dupilumab treatment compared to placebo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4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jc w:val="right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Placebo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8"/>
              </w:rPr>
              <w:t>Dupilumab 300 mg</w:t>
            </w:r>
          </w:p>
        </w:tc>
      </w:tr>
      <w:tr>
        <w:trPr>
          <w:trHeight w:val="32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jc w:val="right"/>
              <w:ind w:righ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(n = 54)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9"/>
              </w:rPr>
              <w:t>(n = 55)</w:t>
            </w:r>
          </w:p>
        </w:tc>
      </w:tr>
      <w:tr>
        <w:trPr>
          <w:trHeight w:val="43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Total number of patients (%)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</w:rPr>
              <w:t>13 (24.1%)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  <w:w w:val="99"/>
              </w:rPr>
              <w:t>3 (5.5%)</w:t>
            </w:r>
          </w:p>
        </w:tc>
      </w:tr>
      <w:tr>
        <w:trPr>
          <w:trHeight w:val="327"/>
        </w:trPr>
        <w:tc>
          <w:tcPr>
            <w:tcW w:w="4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with skin infections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3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Total number of skin infections*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14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Impetigo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Skin bacterial infection</w:t>
            </w:r>
          </w:p>
        </w:tc>
        <w:tc>
          <w:tcPr>
            <w:tcW w:w="2460" w:type="dxa"/>
            <w:vAlign w:val="bottom"/>
          </w:tcPr>
          <w:p>
            <w:pPr>
              <w:jc w:val="right"/>
              <w:ind w:right="8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3**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Eczema herpeticum</w:t>
            </w:r>
          </w:p>
        </w:tc>
        <w:tc>
          <w:tcPr>
            <w:tcW w:w="2460" w:type="dxa"/>
            <w:vAlign w:val="bottom"/>
          </w:tcPr>
          <w:p>
            <w:pPr>
              <w:jc w:val="right"/>
              <w:ind w:right="8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2**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Skin infection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2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23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Anorectal cellulitis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Cellulitis</w:t>
            </w:r>
          </w:p>
        </w:tc>
        <w:tc>
          <w:tcPr>
            <w:tcW w:w="2460" w:type="dxa"/>
            <w:vAlign w:val="bottom"/>
          </w:tcPr>
          <w:p>
            <w:pPr>
              <w:jc w:val="right"/>
              <w:ind w:right="8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1**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Infected dermatitis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Folliculitis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Infected blister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</w:tr>
      <w:tr>
        <w:trPr>
          <w:trHeight w:val="423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Pustular rash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0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1</w:t>
            </w:r>
          </w:p>
        </w:tc>
      </w:tr>
    </w:tbl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*based on Standardized MedDRA Query; **one occurrence considered both severe and serious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14</w:t>
      </w:r>
    </w:p>
    <w:p>
      <w:pPr>
        <w:sectPr>
          <w:pgSz w:w="11900" w:h="16838" w:orient="portrait"/>
          <w:cols w:equalWidth="0" w:num="1">
            <w:col w:w="10640"/>
          </w:cols>
          <w:pgMar w:left="900" w:top="747" w:right="359" w:bottom="1440" w:gutter="0" w:footer="0" w:header="0"/>
        </w:sectPr>
      </w:pPr>
    </w:p>
    <w:bookmarkStart w:id="18" w:name="page19"/>
    <w:bookmarkEnd w:id="18"/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Serious Adverse Events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7"/>
              </w:rPr>
              <w:t>Placebo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8"/>
              </w:rPr>
              <w:t>Dupilumab 300 mg</w:t>
            </w:r>
          </w:p>
        </w:tc>
      </w:tr>
      <w:tr>
        <w:trPr>
          <w:trHeight w:val="327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7"/>
              </w:rPr>
              <w:t>(n = 54)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7"/>
              </w:rPr>
              <w:t>(n = 55)</w:t>
            </w:r>
          </w:p>
        </w:tc>
      </w:tr>
      <w:tr>
        <w:trPr>
          <w:trHeight w:val="823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Number of SAEs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7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11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Patients with SAE*, n (%)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7 (13.0%)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7"/>
              </w:rPr>
              <w:t>1 (1.8%)</w:t>
            </w:r>
          </w:p>
        </w:tc>
      </w:tr>
      <w:tr>
        <w:trPr>
          <w:trHeight w:val="600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Facial bones fracture [traumatic]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85"/>
              </w:rPr>
              <w:t>0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7"/>
              </w:rPr>
              <w:t>1 (1.8%)</w:t>
            </w:r>
          </w:p>
        </w:tc>
      </w:tr>
      <w:tr>
        <w:trPr>
          <w:trHeight w:val="423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Angina pectoris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Cellulitis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Eczema herpeticum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Skin bacterial infection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Renal failure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23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Asthmatic crisis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Lung disorder [pneumopathy]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1 (1.9%)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  <w:tr>
        <w:trPr>
          <w:trHeight w:val="412"/>
        </w:trPr>
        <w:tc>
          <w:tcPr>
            <w:tcW w:w="4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Dermatitis Atopic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4 (7.4%)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ind w:lef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* MedDRA Preferred Term; all SAEs were classified as such due to hospitalization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15</w:t>
      </w:r>
    </w:p>
    <w:p>
      <w:pPr>
        <w:sectPr>
          <w:pgSz w:w="11900" w:h="16838" w:orient="portrait"/>
          <w:cols w:equalWidth="0" w:num="1">
            <w:col w:w="10500"/>
          </w:cols>
          <w:pgMar w:left="1040" w:top="935" w:right="359" w:bottom="1440" w:gutter="0" w:footer="0" w:header="0"/>
        </w:sectPr>
      </w:pPr>
    </w:p>
    <w:bookmarkStart w:id="19" w:name="page20"/>
    <w:bookmarkEnd w:id="19"/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Summary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420" w:right="740" w:hanging="415"/>
        <w:spacing w:after="0" w:line="236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In this Phase 2a study of 109 European adults with moderate-to-severe AD, dupilumab (anti-IL-4R ) 300 mg SC weekly was associated with rapid and marked sustained improvement in EASI, SCORAD, IGA, and BSA%, and pruritus</w:t>
      </w:r>
    </w:p>
    <w:p>
      <w:pPr>
        <w:spacing w:after="0" w:line="175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420" w:right="600" w:hanging="415"/>
        <w:spacing w:after="0" w:line="236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At 12 weeks, the dupilumab group achieved statistically superior clinical outcomes compared to the placebo group in all measures of disease activity and pruritus</w:t>
      </w:r>
    </w:p>
    <w:p>
      <w:pPr>
        <w:spacing w:after="0" w:line="172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jc w:val="both"/>
        <w:ind w:left="420" w:right="940" w:hanging="415"/>
        <w:spacing w:after="0" w:line="254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7"/>
          <w:szCs w:val="27"/>
          <w:color w:val="948A54"/>
        </w:rPr>
      </w:pPr>
      <w:r>
        <w:rPr>
          <w:rFonts w:ascii="Arial" w:cs="Arial" w:eastAsia="Arial" w:hAnsi="Arial"/>
          <w:sz w:val="31"/>
          <w:szCs w:val="31"/>
          <w:color w:val="auto"/>
        </w:rPr>
        <w:t>There were notably fewer patients with skin infections associated with dupilumab (5.5%) treatment compared with placebo (24.1%)</w:t>
      </w:r>
    </w:p>
    <w:p>
      <w:pPr>
        <w:spacing w:after="0" w:line="139" w:lineRule="exact"/>
        <w:rPr>
          <w:rFonts w:ascii="Arial" w:cs="Arial" w:eastAsia="Arial" w:hAnsi="Arial"/>
          <w:sz w:val="27"/>
          <w:szCs w:val="27"/>
          <w:color w:val="948A54"/>
        </w:rPr>
      </w:pPr>
    </w:p>
    <w:p>
      <w:pPr>
        <w:ind w:left="420" w:right="720" w:hanging="415"/>
        <w:spacing w:after="0" w:line="246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There were no infection related SAEs or eczema herpeticum in the dupilumab group</w:t>
      </w:r>
    </w:p>
    <w:p>
      <w:pPr>
        <w:spacing w:after="0" w:line="150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420" w:right="800" w:hanging="415"/>
        <w:spacing w:after="0" w:line="239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In the placebo group, 3 patients with skin infections and 4 patients with AD exacerbations required hospitalization</w:t>
      </w:r>
    </w:p>
    <w:p>
      <w:pPr>
        <w:spacing w:after="0" w:line="172" w:lineRule="exact"/>
        <w:rPr>
          <w:rFonts w:ascii="Arial" w:cs="Arial" w:eastAsia="Arial" w:hAnsi="Arial"/>
          <w:sz w:val="28"/>
          <w:szCs w:val="28"/>
          <w:color w:val="948A54"/>
        </w:rPr>
      </w:pPr>
    </w:p>
    <w:p>
      <w:pPr>
        <w:ind w:left="420" w:right="1000" w:hanging="415"/>
        <w:spacing w:after="0" w:line="239" w:lineRule="auto"/>
        <w:tabs>
          <w:tab w:leader="none" w:pos="420" w:val="left"/>
        </w:tabs>
        <w:numPr>
          <w:ilvl w:val="0"/>
          <w:numId w:val="8"/>
        </w:numPr>
        <w:rPr>
          <w:rFonts w:ascii="Arial" w:cs="Arial" w:eastAsia="Arial" w:hAnsi="Arial"/>
          <w:sz w:val="28"/>
          <w:szCs w:val="28"/>
          <w:color w:val="948A54"/>
        </w:rPr>
      </w:pPr>
      <w:r>
        <w:rPr>
          <w:rFonts w:ascii="Arial" w:cs="Arial" w:eastAsia="Arial" w:hAnsi="Arial"/>
          <w:sz w:val="32"/>
          <w:szCs w:val="32"/>
          <w:color w:val="auto"/>
        </w:rPr>
        <w:t>The most common TEAEs were nasopharyngitis, headache, and conjunctivitis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16</w:t>
      </w:r>
    </w:p>
    <w:p>
      <w:pPr>
        <w:sectPr>
          <w:pgSz w:w="11900" w:h="16838" w:orient="portrait"/>
          <w:cols w:equalWidth="0" w:num="1">
            <w:col w:w="10500"/>
          </w:cols>
          <w:pgMar w:left="1040" w:top="685" w:right="359" w:bottom="1440" w:gutter="0" w:footer="0" w:header="0"/>
        </w:sectPr>
      </w:pPr>
    </w:p>
    <w:bookmarkStart w:id="20" w:name="page21"/>
    <w:bookmarkEnd w:id="20"/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Acknowledgements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All participating patients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Investigators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Olga Filipovska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Thomas Bieber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Jens Ulrich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Lajos Kemeny</w:t>
            </w:r>
          </w:p>
        </w:tc>
      </w:tr>
      <w:tr>
        <w:trPr>
          <w:trHeight w:val="270"/>
        </w:trPr>
        <w:tc>
          <w:tcPr>
            <w:tcW w:w="4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Romana Machackova Regina Foelster-Holst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Thomas Werfel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Marcin Ambroziak</w:t>
            </w:r>
          </w:p>
        </w:tc>
      </w:tr>
      <w:tr>
        <w:trPr>
          <w:trHeight w:val="28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Petr Trestik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Martin Kaatz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Margitta Worm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Dorota Bystrzanowska</w:t>
            </w:r>
          </w:p>
        </w:tc>
      </w:tr>
      <w:tr>
        <w:trPr>
          <w:trHeight w:val="28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Catherine Goujon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Knut Schaekel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Klara Bajor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Maris Czubek</w:t>
            </w:r>
          </w:p>
        </w:tc>
      </w:tr>
      <w:tr>
        <w:trPr>
          <w:trHeight w:val="270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Jean-Paul Ortonne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Margrit Simon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Noemi Bakos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Maria Juszkiewicz-Borowiec</w:t>
            </w:r>
          </w:p>
        </w:tc>
      </w:tr>
      <w:tr>
        <w:trPr>
          <w:trHeight w:val="28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Carle Paul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Diamant Thaçi</w:t>
            </w:r>
          </w:p>
        </w:tc>
        <w:tc>
          <w:tcPr>
            <w:tcW w:w="1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Zita Battyani</w:t>
            </w:r>
          </w:p>
        </w:tc>
        <w:tc>
          <w:tcPr>
            <w:tcW w:w="2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Andrzej Kaszuba</w:t>
            </w:r>
          </w:p>
        </w:tc>
      </w:tr>
      <w:tr>
        <w:trPr>
          <w:trHeight w:val="28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Alain Taieb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Athanasios Tsianakas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7"/>
        </w:trPr>
        <w:tc>
          <w:tcPr>
            <w:tcW w:w="27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Sanofi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Regeneron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Jennifer Cairns</w:t>
            </w:r>
          </w:p>
        </w:tc>
        <w:tc>
          <w:tcPr>
            <w:tcW w:w="2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Marius Ardeleanu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Judy Cusick</w:t>
            </w:r>
          </w:p>
        </w:tc>
        <w:tc>
          <w:tcPr>
            <w:tcW w:w="1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Jennifer Hamilton</w:t>
            </w:r>
          </w:p>
        </w:tc>
      </w:tr>
      <w:tr>
        <w:trPr>
          <w:trHeight w:val="282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Jeffrey Ming</w:t>
            </w:r>
          </w:p>
        </w:tc>
        <w:tc>
          <w:tcPr>
            <w:tcW w:w="2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Elisa Babilonia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Kristen Dougherty</w:t>
            </w:r>
          </w:p>
        </w:tc>
        <w:tc>
          <w:tcPr>
            <w:tcW w:w="1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Richard Kao</w:t>
            </w:r>
          </w:p>
        </w:tc>
      </w:tr>
      <w:tr>
        <w:trPr>
          <w:trHeight w:val="270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Susan Slaytylak-Cheeks</w:t>
            </w:r>
          </w:p>
        </w:tc>
        <w:tc>
          <w:tcPr>
            <w:tcW w:w="2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Warren Brooks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Chad Fish</w:t>
            </w:r>
          </w:p>
        </w:tc>
        <w:tc>
          <w:tcPr>
            <w:tcW w:w="1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Jacquie Kuritzky</w:t>
            </w:r>
          </w:p>
        </w:tc>
      </w:tr>
      <w:tr>
        <w:trPr>
          <w:trHeight w:val="282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Josh Cantor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Melissa Hager</w:t>
            </w:r>
          </w:p>
        </w:tc>
        <w:tc>
          <w:tcPr>
            <w:tcW w:w="1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Linda Williams</w:t>
            </w:r>
          </w:p>
        </w:tc>
      </w:tr>
      <w:tr>
        <w:trPr>
          <w:trHeight w:val="282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Usman Chaudhry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17</w:t>
      </w:r>
    </w:p>
    <w:p>
      <w:pPr>
        <w:sectPr>
          <w:pgSz w:w="11900" w:h="16838" w:orient="portrait"/>
          <w:cols w:equalWidth="0" w:num="1">
            <w:col w:w="10120"/>
          </w:cols>
          <w:pgMar w:left="1420" w:top="685" w:right="359" w:bottom="1440" w:gutter="0" w:footer="0" w:header="0"/>
        </w:sectPr>
      </w:pPr>
    </w:p>
    <w:bookmarkStart w:id="21" w:name="page22"/>
    <w:bookmarkEnd w:id="2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553974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t>BACK-UP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18</w:t>
      </w:r>
    </w:p>
    <w:p>
      <w:pPr>
        <w:sectPr>
          <w:pgSz w:w="11900" w:h="16838" w:orient="portrait"/>
          <w:cols w:equalWidth="0" w:num="1">
            <w:col w:w="10160"/>
          </w:cols>
          <w:pgMar w:left="1380" w:top="1440" w:right="359" w:bottom="1440" w:gutter="0" w:footer="0" w:header="0"/>
        </w:sectPr>
      </w:pPr>
    </w:p>
    <w:bookmarkStart w:id="22" w:name="page23"/>
    <w:bookmarkEnd w:id="22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135890</wp:posOffset>
            </wp:positionH>
            <wp:positionV relativeFrom="page">
              <wp:posOffset>88900</wp:posOffset>
            </wp:positionV>
            <wp:extent cx="7304405" cy="3492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405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5-D itch scale: a new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-80645</wp:posOffset>
            </wp:positionH>
            <wp:positionV relativeFrom="paragraph">
              <wp:posOffset>-417830</wp:posOffset>
            </wp:positionV>
            <wp:extent cx="7174865" cy="53828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2"/>
          <w:szCs w:val="62"/>
          <w:b w:val="1"/>
          <w:bCs w:val="1"/>
          <w:color w:val="004B6B"/>
        </w:rPr>
        <w:t>measure of pruritus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980" w:right="1400" w:hanging="415"/>
        <w:spacing w:after="0" w:line="253" w:lineRule="auto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41"/>
          <w:szCs w:val="41"/>
          <w:color w:val="948A54"/>
        </w:rPr>
      </w:pPr>
      <w:r>
        <w:rPr>
          <w:rFonts w:ascii="Arial" w:cs="Arial" w:eastAsia="Arial" w:hAnsi="Arial"/>
          <w:sz w:val="41"/>
          <w:szCs w:val="41"/>
          <w:color w:val="auto"/>
        </w:rPr>
        <w:t>5-D Pruritus Scale: Duration, Degree, Direction, Disability, Distribution</w:t>
      </w:r>
    </w:p>
    <w:p>
      <w:pPr>
        <w:spacing w:after="0" w:line="38" w:lineRule="exact"/>
        <w:rPr>
          <w:rFonts w:ascii="Arial" w:cs="Arial" w:eastAsia="Arial" w:hAnsi="Arial"/>
          <w:sz w:val="41"/>
          <w:szCs w:val="41"/>
          <w:color w:val="948A54"/>
        </w:rPr>
      </w:pPr>
    </w:p>
    <w:p>
      <w:pPr>
        <w:ind w:left="1480" w:right="700" w:hanging="353"/>
        <w:spacing w:after="0" w:line="253" w:lineRule="auto"/>
        <w:rPr>
          <w:rFonts w:ascii="Arial" w:cs="Arial" w:eastAsia="Arial" w:hAnsi="Arial"/>
          <w:sz w:val="41"/>
          <w:szCs w:val="41"/>
          <w:color w:val="948A54"/>
        </w:rPr>
      </w:pPr>
      <w:r>
        <w:rPr>
          <w:rFonts w:ascii="Arial" w:cs="Arial" w:eastAsia="Arial" w:hAnsi="Arial"/>
          <w:sz w:val="36"/>
          <w:szCs w:val="36"/>
          <w:color w:val="948A54"/>
        </w:rPr>
        <w:t xml:space="preserve">– </w:t>
      </w:r>
      <w:r>
        <w:rPr>
          <w:rFonts w:ascii="Arial" w:cs="Arial" w:eastAsia="Arial" w:hAnsi="Arial"/>
          <w:sz w:val="36"/>
          <w:szCs w:val="36"/>
          <w:color w:val="000000"/>
        </w:rPr>
        <w:t>Single-item domain scores (duration, degree and</w:t>
      </w:r>
      <w:r>
        <w:rPr>
          <w:rFonts w:ascii="Arial" w:cs="Arial" w:eastAsia="Arial" w:hAnsi="Arial"/>
          <w:sz w:val="36"/>
          <w:szCs w:val="36"/>
          <w:color w:val="948A54"/>
        </w:rPr>
        <w:t xml:space="preserve"> </w:t>
      </w:r>
      <w:r>
        <w:rPr>
          <w:rFonts w:ascii="Arial" w:cs="Arial" w:eastAsia="Arial" w:hAnsi="Arial"/>
          <w:sz w:val="36"/>
          <w:szCs w:val="36"/>
          <w:color w:val="000000"/>
        </w:rPr>
        <w:t>direction) are equal to the value of the response choice</w:t>
      </w:r>
    </w:p>
    <w:p>
      <w:pPr>
        <w:spacing w:after="0" w:line="44" w:lineRule="exact"/>
        <w:rPr>
          <w:rFonts w:ascii="Arial" w:cs="Arial" w:eastAsia="Arial" w:hAnsi="Arial"/>
          <w:sz w:val="41"/>
          <w:szCs w:val="41"/>
          <w:color w:val="948A54"/>
        </w:rPr>
      </w:pPr>
    </w:p>
    <w:p>
      <w:pPr>
        <w:ind w:left="1480" w:right="460" w:hanging="353"/>
        <w:spacing w:after="0" w:line="246" w:lineRule="auto"/>
        <w:rPr>
          <w:rFonts w:ascii="Arial" w:cs="Arial" w:eastAsia="Arial" w:hAnsi="Arial"/>
          <w:sz w:val="41"/>
          <w:szCs w:val="41"/>
          <w:color w:val="948A54"/>
        </w:rPr>
      </w:pPr>
      <w:r>
        <w:rPr>
          <w:rFonts w:ascii="Arial" w:cs="Arial" w:eastAsia="Arial" w:hAnsi="Arial"/>
          <w:sz w:val="36"/>
          <w:szCs w:val="36"/>
          <w:color w:val="948A54"/>
        </w:rPr>
        <w:t xml:space="preserve">– </w:t>
      </w:r>
      <w:r>
        <w:rPr>
          <w:rFonts w:ascii="Arial" w:cs="Arial" w:eastAsia="Arial" w:hAnsi="Arial"/>
          <w:sz w:val="36"/>
          <w:szCs w:val="36"/>
          <w:color w:val="000000"/>
        </w:rPr>
        <w:t>The disability domain includes four items that assess the</w:t>
      </w:r>
      <w:r>
        <w:rPr>
          <w:rFonts w:ascii="Arial" w:cs="Arial" w:eastAsia="Arial" w:hAnsi="Arial"/>
          <w:sz w:val="36"/>
          <w:szCs w:val="36"/>
          <w:color w:val="948A54"/>
        </w:rPr>
        <w:t xml:space="preserve"> </w:t>
      </w:r>
      <w:r>
        <w:rPr>
          <w:rFonts w:ascii="Arial" w:cs="Arial" w:eastAsia="Arial" w:hAnsi="Arial"/>
          <w:sz w:val="36"/>
          <w:szCs w:val="36"/>
          <w:color w:val="000000"/>
        </w:rPr>
        <w:t>impact of itching on daily activities: sleep, leisure social activities, housework errands and work school</w:t>
      </w:r>
    </w:p>
    <w:p>
      <w:pPr>
        <w:spacing w:after="0" w:line="55" w:lineRule="exact"/>
        <w:rPr>
          <w:rFonts w:ascii="Arial" w:cs="Arial" w:eastAsia="Arial" w:hAnsi="Arial"/>
          <w:sz w:val="41"/>
          <w:szCs w:val="41"/>
          <w:color w:val="948A54"/>
        </w:rPr>
      </w:pPr>
    </w:p>
    <w:p>
      <w:pPr>
        <w:ind w:left="1480" w:right="520" w:hanging="353"/>
        <w:spacing w:after="0" w:line="253" w:lineRule="auto"/>
        <w:rPr>
          <w:rFonts w:ascii="Arial" w:cs="Arial" w:eastAsia="Arial" w:hAnsi="Arial"/>
          <w:sz w:val="41"/>
          <w:szCs w:val="41"/>
          <w:color w:val="948A54"/>
        </w:rPr>
      </w:pPr>
      <w:r>
        <w:rPr>
          <w:rFonts w:ascii="Arial" w:cs="Arial" w:eastAsia="Arial" w:hAnsi="Arial"/>
          <w:sz w:val="36"/>
          <w:szCs w:val="36"/>
          <w:color w:val="948A54"/>
        </w:rPr>
        <w:t xml:space="preserve">– </w:t>
      </w:r>
      <w:r>
        <w:rPr>
          <w:rFonts w:ascii="Arial" w:cs="Arial" w:eastAsia="Arial" w:hAnsi="Arial"/>
          <w:sz w:val="36"/>
          <w:szCs w:val="36"/>
          <w:color w:val="000000"/>
        </w:rPr>
        <w:t>For the distribution domain, the number of affected body</w:t>
      </w:r>
      <w:r>
        <w:rPr>
          <w:rFonts w:ascii="Arial" w:cs="Arial" w:eastAsia="Arial" w:hAnsi="Arial"/>
          <w:sz w:val="36"/>
          <w:szCs w:val="36"/>
          <w:color w:val="948A54"/>
        </w:rPr>
        <w:t xml:space="preserve"> </w:t>
      </w:r>
      <w:r>
        <w:rPr>
          <w:rFonts w:ascii="Arial" w:cs="Arial" w:eastAsia="Arial" w:hAnsi="Arial"/>
          <w:sz w:val="36"/>
          <w:szCs w:val="36"/>
          <w:color w:val="000000"/>
        </w:rPr>
        <w:t>parts is tallied</w:t>
      </w:r>
    </w:p>
    <w:p>
      <w:pPr>
        <w:spacing w:after="0" w:line="140" w:lineRule="exact"/>
        <w:rPr>
          <w:rFonts w:ascii="Arial" w:cs="Arial" w:eastAsia="Arial" w:hAnsi="Arial"/>
          <w:sz w:val="41"/>
          <w:szCs w:val="41"/>
          <w:color w:val="948A54"/>
        </w:rPr>
      </w:pPr>
    </w:p>
    <w:p>
      <w:pPr>
        <w:ind w:left="980" w:right="1440" w:hanging="415"/>
        <w:spacing w:after="0" w:line="247" w:lineRule="auto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41"/>
          <w:szCs w:val="41"/>
          <w:color w:val="948A54"/>
        </w:rPr>
      </w:pPr>
      <w:r>
        <w:rPr>
          <w:rFonts w:ascii="Arial" w:cs="Arial" w:eastAsia="Arial" w:hAnsi="Arial"/>
          <w:sz w:val="41"/>
          <w:szCs w:val="41"/>
          <w:color w:val="auto"/>
        </w:rPr>
        <w:t>5-D scores can potentially range between 5 (no pruritus) and 25 (most severe pruritus)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 xml:space="preserve">Elman S et al. </w:t>
      </w:r>
      <w:r>
        <w:rPr>
          <w:rFonts w:ascii="Arial" w:cs="Arial" w:eastAsia="Arial" w:hAnsi="Arial"/>
          <w:sz w:val="25"/>
          <w:szCs w:val="25"/>
          <w:i w:val="1"/>
          <w:iCs w:val="1"/>
          <w:color w:val="auto"/>
        </w:rPr>
        <w:t>Brit J Dermat</w:t>
      </w:r>
      <w:r>
        <w:rPr>
          <w:rFonts w:ascii="Arial" w:cs="Arial" w:eastAsia="Arial" w:hAnsi="Arial"/>
          <w:sz w:val="25"/>
          <w:szCs w:val="25"/>
          <w:color w:val="auto"/>
        </w:rPr>
        <w:t xml:space="preserve"> 2010;162:587-93.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19</w:t>
      </w:r>
    </w:p>
    <w:sectPr>
      <w:pgSz w:w="11900" w:h="16838" w:orient="portrait"/>
      <w:cols w:equalWidth="0" w:num="1">
        <w:col w:w="11060"/>
      </w:cols>
      <w:pgMar w:left="480" w:top="33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•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•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•"/>
      <w:numFmt w:val="bullet"/>
      <w:start w:val="1"/>
    </w:lvl>
  </w:abstractNum>
  <w:abstractNum w:abstractNumId="4">
    <w:nsid w:val="41B71EFB"/>
    <w:multiLevelType w:val="hybridMultilevel"/>
    <w:lvl w:ilvl="0">
      <w:lvlJc w:val="left"/>
      <w:lvlText w:val="•"/>
      <w:numFmt w:val="bullet"/>
      <w:start w:val="1"/>
    </w:lvl>
  </w:abstractNum>
  <w:abstractNum w:abstractNumId="5">
    <w:nsid w:val="79E2A9E3"/>
    <w:multiLevelType w:val="hybridMultilevel"/>
    <w:lvl w:ilvl="0">
      <w:lvlJc w:val="left"/>
      <w:lvlText w:val="•"/>
      <w:numFmt w:val="bullet"/>
      <w:start w:val="1"/>
    </w:lvl>
  </w:abstractNum>
  <w:abstractNum w:abstractNumId="6">
    <w:nsid w:val="7545E146"/>
    <w:multiLevelType w:val="hybridMultilevel"/>
    <w:lvl w:ilvl="0">
      <w:lvlJc w:val="left"/>
      <w:lvlText w:val="**"/>
      <w:numFmt w:val="bullet"/>
      <w:start w:val="1"/>
    </w:lvl>
  </w:abstractNum>
  <w:abstractNum w:abstractNumId="7">
    <w:nsid w:val="515F007C"/>
    <w:multiLevelType w:val="hybridMultilevel"/>
    <w:lvl w:ilvl="0">
      <w:lvlJc w:val="left"/>
      <w:lvlText w:val="•"/>
      <w:numFmt w:val="bullet"/>
      <w:start w:val="1"/>
    </w:lvl>
  </w:abstractNum>
  <w:abstractNum w:abstractNumId="8">
    <w:nsid w:val="5BD062C2"/>
    <w:multiLevelType w:val="hybridMultilevel"/>
    <w:lvl w:ilvl="0">
      <w:lvlJc w:val="left"/>
      <w:lvlText w:val="•"/>
      <w:numFmt w:val="bullet"/>
      <w:start w:val="1"/>
    </w:lvl>
    <w:lvl w:ilvl="1">
      <w:lvlJc w:val="left"/>
      <w:lvlText w:val="\endash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jpeg"/><Relationship Id="rId35" Type="http://schemas.openxmlformats.org/officeDocument/2006/relationships/image" Target="media/image28.png"/><Relationship Id="rId36" Type="http://schemas.openxmlformats.org/officeDocument/2006/relationships/image" Target="media/image29.jpe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2019-12-06T03:53:56Z</dcterms:created>
  <dcterms:modified xsi:type="dcterms:W3CDTF">2019-12-06T03:53:56Z</dcterms:modified>
</cp:coreProperties>
</file>