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ind w:left="34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-236220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59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59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-743585</wp:posOffset>
            </wp:positionV>
            <wp:extent cx="6732905" cy="9171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9171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100" w:space="460"/>
            <w:col w:w="8000"/>
          </w:cols>
          <w:pgMar w:left="660" w:top="576" w:right="680" w:bottom="408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 xml:space="preserve">1. Name and Address of Reporting Person 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>YANCOPOULOS GEORGE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</w:tcPr>
          <w:p>
            <w:pPr>
              <w:spacing w:after="0" w:line="186" w:lineRule="exact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08" w:lineRule="exact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19"/>
                  <w:szCs w:val="19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9"/>
                  <w:szCs w:val="19"/>
                  <w:color w:val="000000"/>
                </w:rPr>
                <w:t>]</w:t>
              </w:r>
            </w:hyperlink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5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777 OLD SAW MILL RIVER ROAD</w:t>
            </w:r>
          </w:p>
        </w:tc>
        <w:tc>
          <w:tcPr>
            <w:tcW w:w="33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03/23/2023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-8" w:right="580" w:firstLine="8"/>
        <w:spacing w:after="0" w:line="282" w:lineRule="auto"/>
        <w:tabs>
          <w:tab w:leader="none" w:pos="12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7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0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0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center"/>
        <w:ind w:right="8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 and Chief Scientific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ectPr>
          <w:pgSz w:w="11900" w:h="16840" w:orient="portrait"/>
          <w:cols w:equalWidth="0" w:num="2">
            <w:col w:w="7380" w:space="68"/>
            <w:col w:w="3112"/>
          </w:cols>
          <w:pgMar w:left="660" w:top="576" w:right="680" w:bottom="408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TARRYTOWN  NY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10591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EEEEEE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0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55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03/23/2023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5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254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800.59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  <w:w w:val="98"/>
              </w:rPr>
              <w:t>(2)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6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200,250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right="52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I</w:t>
            </w:r>
          </w:p>
        </w:tc>
        <w:tc>
          <w:tcPr>
            <w:tcW w:w="68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55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03/23/2023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5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122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801.16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  <w:w w:val="98"/>
              </w:rPr>
              <w:t>(4)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6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200,128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right="52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I</w:t>
            </w:r>
          </w:p>
        </w:tc>
        <w:tc>
          <w:tcPr>
            <w:tcW w:w="68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55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03/23/2023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5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5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1,237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802.54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  <w:w w:val="98"/>
              </w:rPr>
              <w:t>(5)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6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198,891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right="52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I</w:t>
            </w:r>
          </w:p>
        </w:tc>
        <w:tc>
          <w:tcPr>
            <w:tcW w:w="68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55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03/23/2023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5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642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7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803.3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  <w:w w:val="96"/>
              </w:rPr>
              <w:t>(6)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6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198,249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right="52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I</w:t>
            </w:r>
          </w:p>
        </w:tc>
        <w:tc>
          <w:tcPr>
            <w:tcW w:w="68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55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03/23/2023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5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254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804.38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  <w:w w:val="98"/>
              </w:rPr>
              <w:t>(7)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6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197,995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right="52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I</w:t>
            </w:r>
          </w:p>
        </w:tc>
        <w:tc>
          <w:tcPr>
            <w:tcW w:w="68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55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03/23/2023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5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47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9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805.55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6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197,948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right="52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I</w:t>
            </w:r>
          </w:p>
        </w:tc>
        <w:tc>
          <w:tcPr>
            <w:tcW w:w="68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55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03/23/2023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5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9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806.47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6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197,248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right="52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I</w:t>
            </w:r>
          </w:p>
        </w:tc>
        <w:tc>
          <w:tcPr>
            <w:tcW w:w="68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55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03/23/2023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5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9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810.3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6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196,848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right="52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I</w:t>
            </w:r>
          </w:p>
        </w:tc>
        <w:tc>
          <w:tcPr>
            <w:tcW w:w="68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569,653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6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5,869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right="52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I</w:t>
            </w:r>
          </w:p>
        </w:tc>
        <w:tc>
          <w:tcPr>
            <w:tcW w:w="68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200,000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I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GRAT 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250,000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I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GRAT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20" w:type="dxa"/>
            <w:vAlign w:val="bottom"/>
            <w:gridSpan w:val="13"/>
          </w:tcPr>
          <w:p>
            <w:pPr>
              <w:jc w:val="center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40" w:type="dxa"/>
            <w:vAlign w:val="bottom"/>
            <w:gridSpan w:val="11"/>
          </w:tcPr>
          <w:p>
            <w:pPr>
              <w:jc w:val="center"/>
              <w:ind w:lef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of 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(A)(D)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Disposition/acquisition made pursuant to plans intended to comply with Rule 10b5-1(c) adopted on November 29, 2022.</w:t>
      </w:r>
    </w:p>
    <w:p>
      <w:pPr>
        <w:sectPr>
          <w:pgSz w:w="11900" w:h="16840" w:orient="portrait"/>
          <w:cols w:equalWidth="0" w:num="1">
            <w:col w:w="10560"/>
          </w:cols>
          <w:pgMar w:left="660" w:top="576" w:right="680" w:bottom="408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100" w:firstLine="2"/>
        <w:spacing w:after="0" w:line="277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254 shares of Company stock on March 23, 2023 at prices ranging from $800.52 to $800.66. Upon request by the Commission staff, the Company, or a security holder of the Company, the reporting person will provide full information regarding the number of shares sold by the reporting person on March 23, 2023 at each separate price.</w:t>
      </w:r>
    </w:p>
    <w:p>
      <w:pPr>
        <w:spacing w:after="0" w:line="3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As investment trustee of trusts for the benefit of the reporting person's children.</w:t>
      </w:r>
    </w:p>
    <w:p>
      <w:pPr>
        <w:spacing w:after="0" w:line="6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jc w:val="both"/>
        <w:ind w:right="100" w:firstLine="2"/>
        <w:spacing w:after="0" w:line="277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122 shares of Company stock on March 23, 2023 at prices ranging from $801.00 to $801.92. Upon request by the Commission staff, the Company, or a security holder of the Company, the reporting person will provide full information regarding the number of shares sold by the reporting person on March 23, 2023 at each separate price.</w:t>
      </w:r>
    </w:p>
    <w:p>
      <w:pPr>
        <w:spacing w:after="0" w:line="3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firstLine="2"/>
        <w:spacing w:after="0" w:line="277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1,237 shares of Company stock on March 23, 2023 at prices ranging from $802.00 to $802.98. Upon request by the Commission staff, the Company, or a security holder of the Company, the reporting person will provide full information regarding the number of shares sold by the reporting person on March 23, 2023 at each separate price.</w:t>
      </w:r>
    </w:p>
    <w:p>
      <w:pPr>
        <w:spacing w:after="0" w:line="3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jc w:val="both"/>
        <w:ind w:right="100" w:firstLine="2"/>
        <w:spacing w:after="0" w:line="277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642 shares of Company stock on March 23, 2023 at prices ranging from $803.01 to $803.89. Upon request by the Commission staff, the Company, or a security holder of the Company, the reporting person will provide full information regarding the number of shares sold by the reporting person on March 23, 2023 at each separate price.</w:t>
      </w:r>
    </w:p>
    <w:p>
      <w:pPr>
        <w:spacing w:after="0" w:line="3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jc w:val="both"/>
        <w:ind w:right="100" w:firstLine="2"/>
        <w:spacing w:after="0" w:line="277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254 shares of Company stock on March 23, 2023 at prices ranging from $804.00 to $804.77. Upon request by the Commission staff, the Company, or a security holder of the Company, the reporting person will provide full information regarding the number of shares sold by the reporting person on March 23, 2023 at each separate price.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/s/** George D. Yancopoulos  03/24/2023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4010660</wp:posOffset>
            </wp:positionH>
            <wp:positionV relativeFrom="paragraph">
              <wp:posOffset>-19050</wp:posOffset>
            </wp:positionV>
            <wp:extent cx="183705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320"/>
        <w:spacing w:after="0"/>
        <w:tabs>
          <w:tab w:leader="none" w:pos="8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jc w:val="both"/>
        <w:ind w:right="3440" w:firstLine="2"/>
        <w:spacing w:after="0" w:line="385" w:lineRule="auto"/>
        <w:tabs>
          <w:tab w:leader="none" w:pos="127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360"/>
      </w:cols>
      <w:pgMar w:left="700" w:top="593" w:right="8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0" Type="http://schemas.openxmlformats.org/officeDocument/2006/relationships/hyperlink" Target="http://www.sec.gov/cgi-bin/browse-edgar?action=getcompany&amp;CIK=0001226690" TargetMode="External"/><Relationship Id="rId11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2023-03-27T19:15:46Z</dcterms:created>
  <dcterms:modified xsi:type="dcterms:W3CDTF">2023-03-27T19:15:46Z</dcterms:modified>
</cp:coreProperties>
</file>