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August 4, 2015 (August 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93"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40" w:firstLine="243"/>
        <w:spacing w:after="0" w:line="264" w:lineRule="auto"/>
        <w:rPr>
          <w:sz w:val="20"/>
          <w:szCs w:val="20"/>
          <w:color w:val="auto"/>
        </w:rPr>
      </w:pPr>
      <w:r>
        <w:rPr>
          <w:rFonts w:ascii="Arial" w:cs="Arial" w:eastAsia="Arial" w:hAnsi="Arial"/>
          <w:sz w:val="18"/>
          <w:szCs w:val="18"/>
          <w:color w:val="auto"/>
        </w:rPr>
        <w:t>On August 4, 2015,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press release announcing its financial and operating results for the quarter ended June 30, 2015. A copy of the press release is being furnished to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accordance with guidance provided by the SEC regarding the use of company websites and social media channels to disclose material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Regeneron wishes to notify investors, media, and other interested parties that it intends to use its media and investor relations website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http://newsroom.regeneron.com</w:t>
      </w:r>
      <w:r>
        <w:rPr>
          <w:rFonts w:ascii="Arial" w:cs="Arial" w:eastAsia="Arial" w:hAnsi="Arial"/>
          <w:sz w:val="17"/>
          <w:szCs w:val="17"/>
          <w:color w:val="auto"/>
        </w:rPr>
        <w:t>) and its Twitter feed (</w:t>
      </w:r>
      <w:r>
        <w:rPr>
          <w:rFonts w:ascii="Arial" w:cs="Arial" w:eastAsia="Arial" w:hAnsi="Arial"/>
          <w:sz w:val="17"/>
          <w:szCs w:val="17"/>
          <w:i w:val="1"/>
          <w:iCs w:val="1"/>
          <w:color w:val="auto"/>
        </w:rPr>
        <w:t>http://twitter.com/regeneron</w:t>
      </w:r>
      <w:r>
        <w:rPr>
          <w:rFonts w:ascii="Arial" w:cs="Arial" w:eastAsia="Arial" w:hAnsi="Arial"/>
          <w:sz w:val="17"/>
          <w:szCs w:val="17"/>
          <w:color w:val="auto"/>
        </w:rPr>
        <w:t>) to publish important information about the Company, including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that may be deemed material to investors. The list of social media channels that Regeneron uses may be updated on Regeneron's media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website from time to time. Regeneron encourages investors, media, and other interested parties to review the information Regeneron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publish through its website and social media channels as described above, in addition to the Company's SEC filings, press releases, conference calls,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webcasts.</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August 4, 2015, Reporting Second Quarter 2015 Financial and Operating Results.</w:t>
      </w:r>
    </w:p>
    <w:p>
      <w:pPr>
        <w:sectPr>
          <w:pgSz w:w="11900" w:h="16838" w:orient="portrait"/>
          <w:cols w:equalWidth="0" w:num="1">
            <w:col w:w="11380"/>
          </w:cols>
          <w:pgMar w:left="240" w:top="796"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Date: August 4, 2015</w:t>
            </w:r>
          </w:p>
        </w:tc>
        <w:tc>
          <w:tcPr>
            <w:tcW w:w="6700" w:type="dxa"/>
            <w:vAlign w:val="bottom"/>
            <w:gridSpan w:val="2"/>
          </w:tcPr>
          <w:p>
            <w:pPr>
              <w:ind w:left="94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480" w:type="dxa"/>
            <w:vAlign w:val="bottom"/>
          </w:tcPr>
          <w:p>
            <w:pPr>
              <w:spacing w:after="0"/>
              <w:rPr>
                <w:sz w:val="24"/>
                <w:szCs w:val="24"/>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4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480" w:type="dxa"/>
            <w:vAlign w:val="bottom"/>
          </w:tcPr>
          <w:p>
            <w:pPr>
              <w:spacing w:after="0"/>
              <w:rPr>
                <w:sz w:val="23"/>
                <w:szCs w:val="23"/>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584" w:right="11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color w:val="auto"/>
        </w:rPr>
        <w:t>Exhibit Index</w:t>
      </w:r>
    </w:p>
    <w:p>
      <w:pPr>
        <w:spacing w:after="0" w:line="38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6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August 4, 2015, Reporting Second Quarter 2015 Financial and Operating Results.</w:t>
      </w:r>
    </w:p>
    <w:p>
      <w:pPr>
        <w:sectPr>
          <w:pgSz w:w="11900" w:h="16838" w:orient="portrait"/>
          <w:cols w:equalWidth="0" w:num="1">
            <w:col w:w="10179"/>
          </w:cols>
          <w:pgMar w:left="280" w:top="80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036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Second Quarter 2015 Financial and Operating Results</w:t>
      </w:r>
    </w:p>
    <w:p>
      <w:pPr>
        <w:spacing w:after="0" w:line="164" w:lineRule="exact"/>
        <w:rPr>
          <w:sz w:val="20"/>
          <w:szCs w:val="20"/>
          <w:color w:val="auto"/>
        </w:rPr>
      </w:pPr>
    </w:p>
    <w:p>
      <w:pPr>
        <w:ind w:left="340" w:right="300" w:hanging="332"/>
        <w:spacing w:after="0" w:line="216"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Second quarter 2015 EYLEA</w:t>
      </w:r>
      <w:r>
        <w:rPr>
          <w:rFonts w:ascii="Arial" w:cs="Arial" w:eastAsia="Arial" w:hAnsi="Arial"/>
          <w:sz w:val="28"/>
          <w:szCs w:val="28"/>
          <w:b w:val="1"/>
          <w:bCs w:val="1"/>
          <w:color w:val="auto"/>
          <w:vertAlign w:val="superscript"/>
        </w:rPr>
        <w:t>®</w:t>
      </w:r>
      <w:r>
        <w:rPr>
          <w:rFonts w:ascii="Arial" w:cs="Arial" w:eastAsia="Arial" w:hAnsi="Arial"/>
          <w:sz w:val="22"/>
          <w:szCs w:val="22"/>
          <w:i w:val="1"/>
          <w:iCs w:val="1"/>
          <w:color w:val="auto"/>
        </w:rPr>
        <w:t xml:space="preserve"> (aflibercept) Injection global net sales increased 50% to $993 million (consisting of $655 million in the U.S. and $338 million in rest of world</w:t>
      </w:r>
      <w:r>
        <w:rPr>
          <w:rFonts w:ascii="Arial" w:cs="Arial" w:eastAsia="Arial" w:hAnsi="Arial"/>
          <w:sz w:val="25"/>
          <w:szCs w:val="25"/>
          <w:i w:val="1"/>
          <w:iCs w:val="1"/>
          <w:color w:val="auto"/>
          <w:vertAlign w:val="superscript"/>
        </w:rPr>
        <w:t>(1)</w:t>
      </w:r>
      <w:r>
        <w:rPr>
          <w:rFonts w:ascii="Arial" w:cs="Arial" w:eastAsia="Arial" w:hAnsi="Arial"/>
          <w:sz w:val="19"/>
          <w:szCs w:val="19"/>
          <w:i w:val="1"/>
          <w:iCs w:val="1"/>
          <w:color w:val="auto"/>
        </w:rPr>
        <w:t>)</w:t>
      </w:r>
      <w:r>
        <w:rPr>
          <w:rFonts w:ascii="Arial" w:cs="Arial" w:eastAsia="Arial" w:hAnsi="Arial"/>
          <w:sz w:val="22"/>
          <w:szCs w:val="22"/>
          <w:i w:val="1"/>
          <w:iCs w:val="1"/>
          <w:color w:val="auto"/>
        </w:rPr>
        <w:t xml:space="preserve"> versus second quarter 2014</w:t>
      </w:r>
    </w:p>
    <w:p>
      <w:pPr>
        <w:ind w:left="340" w:right="440" w:hanging="332"/>
        <w:spacing w:after="0" w:line="24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Second quarter 2015 non-GAAP net income</w:t>
      </w:r>
      <w:r>
        <w:rPr>
          <w:rFonts w:ascii="Arial" w:cs="Arial" w:eastAsia="Arial" w:hAnsi="Arial"/>
          <w:sz w:val="22"/>
          <w:szCs w:val="22"/>
          <w:i w:val="1"/>
          <w:iCs w:val="1"/>
          <w:color w:val="auto"/>
          <w:vertAlign w:val="superscript"/>
        </w:rPr>
        <w:t>(2)</w:t>
      </w:r>
      <w:r>
        <w:rPr>
          <w:rFonts w:ascii="Arial" w:cs="Arial" w:eastAsia="Arial" w:hAnsi="Arial"/>
          <w:sz w:val="22"/>
          <w:szCs w:val="22"/>
          <w:i w:val="1"/>
          <w:iCs w:val="1"/>
          <w:color w:val="auto"/>
        </w:rPr>
        <w:t xml:space="preserve"> increased 17% to $338 million, or $2.89 per diluted share, versus second quarter 2014</w:t>
      </w:r>
    </w:p>
    <w:p>
      <w:pPr>
        <w:ind w:left="340" w:right="80" w:hanging="332"/>
        <w:spacing w:after="0" w:line="243"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Raised estimated full year 2015 EYLEA U.S. net sales growth guidance to 45% - 50% over 2014, from the previous guidance of 30% - 35%</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Phase 3 pivotal trials for dupilumab in atopic dermatitis fully enrolled</w:t>
      </w:r>
    </w:p>
    <w:p>
      <w:pPr>
        <w:spacing w:after="0" w:line="113" w:lineRule="exact"/>
        <w:rPr>
          <w:sz w:val="20"/>
          <w:szCs w:val="20"/>
          <w:color w:val="auto"/>
        </w:rPr>
      </w:pPr>
    </w:p>
    <w:p>
      <w:pPr>
        <w:ind w:right="520"/>
        <w:spacing w:after="0" w:line="274" w:lineRule="auto"/>
        <w:rPr>
          <w:sz w:val="20"/>
          <w:szCs w:val="20"/>
          <w:color w:val="auto"/>
        </w:rPr>
      </w:pPr>
      <w:r>
        <w:rPr>
          <w:rFonts w:ascii="Arial" w:cs="Arial" w:eastAsia="Arial" w:hAnsi="Arial"/>
          <w:sz w:val="22"/>
          <w:szCs w:val="22"/>
          <w:b w:val="1"/>
          <w:bCs w:val="1"/>
          <w:color w:val="auto"/>
        </w:rPr>
        <w:t xml:space="preserve">Tarrytown, New York (August 4, 2015)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second quarter of 2015 and provided an update on development programs.</w:t>
      </w:r>
    </w:p>
    <w:p>
      <w:pPr>
        <w:spacing w:after="0" w:line="354" w:lineRule="exact"/>
        <w:rPr>
          <w:sz w:val="20"/>
          <w:szCs w:val="20"/>
          <w:color w:val="auto"/>
        </w:rPr>
      </w:pPr>
    </w:p>
    <w:p>
      <w:pPr>
        <w:ind w:left="158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31750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193"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 in millions, except per share data)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2600"/>
        <w:spacing w:after="0"/>
        <w:rPr>
          <w:sz w:val="20"/>
          <w:szCs w:val="20"/>
          <w:color w:val="auto"/>
        </w:rPr>
      </w:pPr>
      <w:r>
        <w:rPr>
          <w:rFonts w:ascii="Arial" w:cs="Arial" w:eastAsia="Arial" w:hAnsi="Arial"/>
          <w:sz w:val="18"/>
          <w:szCs w:val="18"/>
          <w:b w:val="1"/>
          <w:bCs w:val="1"/>
          <w:color w:val="auto"/>
        </w:rPr>
        <w:t>Three Months Ended</w:t>
      </w:r>
    </w:p>
    <w:p>
      <w:pPr>
        <w:spacing w:after="0" w:line="45" w:lineRule="exact"/>
        <w:rPr>
          <w:sz w:val="20"/>
          <w:szCs w:val="20"/>
          <w:color w:val="auto"/>
        </w:rPr>
      </w:pPr>
    </w:p>
    <w:p>
      <w:pPr>
        <w:jc w:val="center"/>
        <w:ind w:right="2600"/>
        <w:spacing w:after="0"/>
        <w:rPr>
          <w:sz w:val="20"/>
          <w:szCs w:val="20"/>
          <w:color w:val="auto"/>
        </w:rPr>
      </w:pPr>
      <w:r>
        <w:rPr>
          <w:rFonts w:ascii="Arial" w:cs="Arial" w:eastAsia="Arial" w:hAnsi="Arial"/>
          <w:sz w:val="20"/>
          <w:szCs w:val="20"/>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17145</wp:posOffset>
            </wp:positionV>
            <wp:extent cx="24872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6300" w:space="720"/>
            <w:col w:w="4400"/>
          </w:cols>
          <w:pgMar w:left="240" w:top="580" w:right="239" w:bottom="1440" w:gutter="0" w:footer="0" w:header="0"/>
          <w:type w:val="continuous"/>
        </w:sectPr>
      </w:pPr>
    </w:p>
    <w:tbl>
      <w:tblPr>
        <w:tblLayout w:type="fixed"/>
        <w:tblInd w:w="1560" w:type="dxa"/>
        <w:tblCellMar>
          <w:top w:w="0" w:type="dxa"/>
          <w:left w:w="0" w:type="dxa"/>
          <w:bottom w:w="0" w:type="dxa"/>
          <w:right w:w="0" w:type="dxa"/>
        </w:tblCellMar>
      </w:tblPr>
      <w:tr>
        <w:trPr>
          <w:trHeight w:val="287"/>
        </w:trPr>
        <w:tc>
          <w:tcPr>
            <w:tcW w:w="44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2015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2014</w:t>
            </w:r>
            <w:r>
              <w:rPr>
                <w:rFonts w:ascii="Arial" w:cs="Arial" w:eastAsia="Arial" w:hAnsi="Arial"/>
                <w:sz w:val="25"/>
                <w:szCs w:val="25"/>
                <w:b w:val="1"/>
                <w:bCs w:val="1"/>
                <w:color w:val="auto"/>
                <w:vertAlign w:val="superscript"/>
              </w:rPr>
              <w:t>*</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 Change</w:t>
            </w:r>
          </w:p>
        </w:tc>
      </w:tr>
      <w:tr>
        <w:trPr>
          <w:trHeight w:val="25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EYLEA U.S. net product sales</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415</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58%</w:t>
            </w:r>
          </w:p>
        </w:tc>
      </w:tr>
      <w:tr>
        <w:trPr>
          <w:trHeight w:val="261"/>
        </w:trPr>
        <w:tc>
          <w:tcPr>
            <w:tcW w:w="4400" w:type="dxa"/>
            <w:vAlign w:val="bottom"/>
          </w:tcPr>
          <w:p>
            <w:pPr>
              <w:ind w:left="20"/>
              <w:spacing w:after="0"/>
              <w:rPr>
                <w:sz w:val="20"/>
                <w:szCs w:val="20"/>
                <w:color w:val="auto"/>
              </w:rPr>
            </w:pPr>
            <w:r>
              <w:rPr>
                <w:rFonts w:ascii="Arial" w:cs="Arial" w:eastAsia="Arial" w:hAnsi="Arial"/>
                <w:sz w:val="20"/>
                <w:szCs w:val="20"/>
                <w:color w:val="auto"/>
              </w:rPr>
              <w:t>Total revenues</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999</w:t>
            </w:r>
          </w:p>
        </w:tc>
        <w:tc>
          <w:tcPr>
            <w:tcW w:w="12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666</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3"/>
        </w:trPr>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4"/>
        </w:trPr>
        <w:tc>
          <w:tcPr>
            <w:tcW w:w="4400" w:type="dxa"/>
            <w:vAlign w:val="bottom"/>
            <w:shd w:val="clear" w:color="auto" w:fill="CCEEFF"/>
          </w:tcPr>
          <w:p>
            <w:pPr>
              <w:ind w:left="20"/>
              <w:spacing w:after="0" w:line="283" w:lineRule="exact"/>
              <w:rPr>
                <w:sz w:val="20"/>
                <w:szCs w:val="20"/>
                <w:color w:val="auto"/>
              </w:rPr>
            </w:pPr>
            <w:r>
              <w:rPr>
                <w:rFonts w:ascii="Arial" w:cs="Arial" w:eastAsia="Arial" w:hAnsi="Arial"/>
                <w:sz w:val="20"/>
                <w:szCs w:val="20"/>
                <w:color w:val="auto"/>
              </w:rPr>
              <w:t xml:space="preserve">Non-GAAP net income </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4400" w:type="dxa"/>
            <w:vAlign w:val="bottom"/>
          </w:tcPr>
          <w:p>
            <w:pPr>
              <w:ind w:left="20"/>
              <w:spacing w:after="0" w:line="283" w:lineRule="exact"/>
              <w:rPr>
                <w:sz w:val="20"/>
                <w:szCs w:val="20"/>
                <w:color w:val="auto"/>
              </w:rPr>
            </w:pPr>
            <w:r>
              <w:rPr>
                <w:rFonts w:ascii="Arial" w:cs="Arial" w:eastAsia="Arial" w:hAnsi="Arial"/>
                <w:sz w:val="20"/>
                <w:szCs w:val="20"/>
                <w:color w:val="auto"/>
              </w:rPr>
              <w:t xml:space="preserve">Non-GAAP net income per share - diluted </w:t>
            </w:r>
            <w:r>
              <w:rPr>
                <w:rFonts w:ascii="Arial" w:cs="Arial" w:eastAsia="Arial" w:hAnsi="Arial"/>
                <w:sz w:val="25"/>
                <w:szCs w:val="25"/>
                <w:color w:val="auto"/>
                <w:vertAlign w:val="superscript"/>
              </w:rPr>
              <w:t>(2)</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2.89</w:t>
            </w:r>
          </w:p>
        </w:tc>
        <w:tc>
          <w:tcPr>
            <w:tcW w:w="120" w:type="dxa"/>
            <w:vAlign w:val="bottom"/>
          </w:tcPr>
          <w:p>
            <w:pPr>
              <w:spacing w:after="0"/>
              <w:rPr>
                <w:sz w:val="24"/>
                <w:szCs w:val="24"/>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2.47</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6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net income</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195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103%</w:t>
            </w:r>
          </w:p>
        </w:tc>
      </w:tr>
      <w:tr>
        <w:trPr>
          <w:trHeight w:val="261"/>
        </w:trPr>
        <w:tc>
          <w:tcPr>
            <w:tcW w:w="4400" w:type="dxa"/>
            <w:vAlign w:val="bottom"/>
          </w:tcPr>
          <w:p>
            <w:pPr>
              <w:ind w:left="20"/>
              <w:spacing w:after="0"/>
              <w:rPr>
                <w:sz w:val="20"/>
                <w:szCs w:val="20"/>
                <w:color w:val="auto"/>
              </w:rPr>
            </w:pPr>
            <w:r>
              <w:rPr>
                <w:rFonts w:ascii="Arial" w:cs="Arial" w:eastAsia="Arial" w:hAnsi="Arial"/>
                <w:sz w:val="20"/>
                <w:szCs w:val="20"/>
                <w:color w:val="auto"/>
              </w:rPr>
              <w:t>GAAP net income per share - diluted</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1.69</w:t>
            </w:r>
          </w:p>
        </w:tc>
        <w:tc>
          <w:tcPr>
            <w:tcW w:w="12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0.85</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99%</w:t>
            </w:r>
          </w:p>
        </w:tc>
      </w:tr>
    </w:tbl>
    <w:p>
      <w:pPr>
        <w:spacing w:after="0" w:line="171" w:lineRule="exact"/>
        <w:rPr>
          <w:sz w:val="20"/>
          <w:szCs w:val="20"/>
          <w:color w:val="auto"/>
        </w:rPr>
      </w:pPr>
    </w:p>
    <w:p>
      <w:pPr>
        <w:ind w:left="1760" w:right="1740" w:hanging="10"/>
        <w:spacing w:after="0" w:line="277" w:lineRule="auto"/>
        <w:tabs>
          <w:tab w:leader="none" w:pos="189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See note (4) below for an explanation of revisions made to certain amounts previously reported for the three months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-1905</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pacing w:after="0" w:line="347" w:lineRule="exact"/>
        <w:rPr>
          <w:sz w:val="20"/>
          <w:szCs w:val="20"/>
          <w:color w:val="auto"/>
        </w:rPr>
      </w:pPr>
    </w:p>
    <w:p>
      <w:pPr>
        <w:ind w:right="120"/>
        <w:spacing w:after="0" w:line="244" w:lineRule="auto"/>
        <w:rPr>
          <w:sz w:val="20"/>
          <w:szCs w:val="20"/>
          <w:color w:val="auto"/>
        </w:rPr>
      </w:pPr>
      <w:r>
        <w:rPr>
          <w:rFonts w:ascii="Arial" w:cs="Arial" w:eastAsia="Arial" w:hAnsi="Arial"/>
          <w:sz w:val="22"/>
          <w:szCs w:val="22"/>
          <w:color w:val="auto"/>
        </w:rPr>
        <w:t>"With the recent approval of Praluent for hypercholesterolemia patients, a new collaboration with Sanofi in immuno-oncology, and increased U.S. demand for EYLEA, Regeneron has made critical, transformative advances in 2015," said Leonard S. Schleifer, M.D., Ph.D., President and Chief Executive Officer of Regeneron. "We have discovered and developed four approved therapies for patients with serious diseases, and are actively advancing late-stage programs for patients with rheumatoid arthritis, asthma, atopic dermatitis, pain and respiratory syncytial virus. Our team is focused on delivering on all of these important near and mid-term opportunities, while continuing to advance the scientific innovation that will drive our long-term success."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EYLEA</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(aflibercept) Injection for Intravitreal Injection</w:t>
      </w:r>
    </w:p>
    <w:p>
      <w:pPr>
        <w:ind w:left="340" w:right="32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second quarter of 2015, net sales of EYLEA in the United States increased 58% to $655 million from $415 million in the second quarter of 2014. Overall distributor inventory levels remained within the Company's one- to two-week targeted range.</w:t>
      </w:r>
    </w:p>
    <w:p>
      <w:pPr>
        <w:spacing w:after="0" w:line="1" w:lineRule="exact"/>
        <w:rPr>
          <w:rFonts w:ascii="Arial" w:cs="Arial" w:eastAsia="Arial" w:hAnsi="Arial"/>
          <w:sz w:val="22"/>
          <w:szCs w:val="22"/>
          <w:color w:val="auto"/>
        </w:rPr>
      </w:pPr>
    </w:p>
    <w:p>
      <w:pPr>
        <w:ind w:left="340" w:right="40" w:hanging="332"/>
        <w:spacing w:after="0" w:line="235"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Bayer HealthCare commercializes EYLEA outside the United States. In the second quarter of 2015,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$338 million, compared to $247 million in the second quarter of 2014. In the second quarter of 2015, Regeneron recognized $107 million from its share of net profit from EYLEA sales outside the United States, compared to $67 million in the second quarter of 2014.</w:t>
      </w:r>
    </w:p>
    <w:p>
      <w:pPr>
        <w:spacing w:after="0" w:line="1" w:lineRule="exact"/>
        <w:rPr>
          <w:rFonts w:ascii="Arial" w:cs="Arial" w:eastAsia="Arial" w:hAnsi="Arial"/>
          <w:sz w:val="22"/>
          <w:szCs w:val="22"/>
          <w:color w:val="auto"/>
        </w:rPr>
      </w:pPr>
    </w:p>
    <w:p>
      <w:pPr>
        <w:ind w:left="340" w:right="140" w:hanging="332"/>
        <w:spacing w:after="0" w:line="245"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June 2015, the Ministry of Health, Labour and Welfare (MHLW) in Japan approved EYLEA for the treatment of patients with macular edema secondary to retinal vein occlusion (RVO), which includes macular edema secondary to branch retinal vein occlusion (BRVO) in addition to the previously-approved indication of macular edema secondary to central retinal vein occlusion (CRVO).</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Praluent</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(alirocumab) Injection for the Treatment of High Low-Density Lipoprotein (LDL) Cholesterol</w:t>
      </w:r>
    </w:p>
    <w:p>
      <w:pPr>
        <w:ind w:left="340" w:hanging="332"/>
        <w:spacing w:after="0" w:line="255" w:lineRule="auto"/>
        <w:tabs>
          <w:tab w:leader="none" w:pos="340" w:val="left"/>
        </w:tabs>
        <w:numPr>
          <w:ilvl w:val="0"/>
          <w:numId w:val="5"/>
        </w:numPr>
        <w:rPr>
          <w:rFonts w:ascii="Arial" w:cs="Arial" w:eastAsia="Arial" w:hAnsi="Arial"/>
          <w:sz w:val="21"/>
          <w:szCs w:val="21"/>
          <w:color w:val="auto"/>
        </w:rPr>
      </w:pPr>
      <w:r>
        <w:rPr>
          <w:rFonts w:ascii="Arial" w:cs="Arial" w:eastAsia="Arial" w:hAnsi="Arial"/>
          <w:sz w:val="21"/>
          <w:szCs w:val="21"/>
          <w:color w:val="auto"/>
        </w:rPr>
        <w:t>In July 2015, following the U.S. Food and Drug Administration (FDA) approval of Praluent for the treatment of adults with heterozygous familial hypercholesterolemia or clinical atherosclerotic cardiovascular disease (ASCVD), who require additional lowering of LDL cholesterol, the Company and Sanofi commenced their launch of Praluent.</w:t>
      </w:r>
    </w:p>
    <w:p>
      <w:pPr>
        <w:jc w:val="both"/>
        <w:ind w:left="340" w:right="2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July 2015, the European Medicines Agency's (EMA's) Committee for Medicinal Products for Human Use (CHMP) adopted a positive opinion for the marketing authorization of Praluent, recommending its approval for use in certain adult patients with hypercholesterolemia.</w:t>
      </w:r>
    </w:p>
    <w:p>
      <w:pPr>
        <w:spacing w:after="0" w:line="1" w:lineRule="exact"/>
        <w:rPr>
          <w:rFonts w:ascii="Arial" w:cs="Arial" w:eastAsia="Arial" w:hAnsi="Arial"/>
          <w:sz w:val="22"/>
          <w:szCs w:val="22"/>
          <w:color w:val="auto"/>
        </w:rPr>
      </w:pPr>
    </w:p>
    <w:p>
      <w:pPr>
        <w:jc w:val="both"/>
        <w:ind w:left="340" w:right="140" w:hanging="332"/>
        <w:spacing w:after="0" w:line="255" w:lineRule="auto"/>
        <w:tabs>
          <w:tab w:leader="none" w:pos="340" w:val="left"/>
        </w:tabs>
        <w:numPr>
          <w:ilvl w:val="0"/>
          <w:numId w:val="5"/>
        </w:numPr>
        <w:rPr>
          <w:rFonts w:ascii="Arial" w:cs="Arial" w:eastAsia="Arial" w:hAnsi="Arial"/>
          <w:sz w:val="21"/>
          <w:szCs w:val="21"/>
          <w:color w:val="auto"/>
        </w:rPr>
      </w:pPr>
      <w:r>
        <w:rPr>
          <w:rFonts w:ascii="Arial" w:cs="Arial" w:eastAsia="Arial" w:hAnsi="Arial"/>
          <w:sz w:val="21"/>
          <w:szCs w:val="21"/>
          <w:color w:val="auto"/>
        </w:rPr>
        <w:t>In July 2015, the Company and Sanofi reported that the Phase 3 ODYSSEY JAPAN trial met its primary endpoint. At week 24, Japanese patients treated with Praluent experienced an average 64% greater reduction from baseline in LDL-C when added to current standard of care including statins, compared to standard of care alone.</w:t>
      </w:r>
    </w:p>
    <w:p>
      <w:pPr>
        <w:ind w:left="340" w:hanging="332"/>
        <w:spacing w:after="0"/>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Phase 3 ODYSSEY program remains ongoing.</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Progress</w:t>
      </w:r>
    </w:p>
    <w:p>
      <w:pPr>
        <w:spacing w:after="0" w:line="27" w:lineRule="exact"/>
        <w:rPr>
          <w:sz w:val="20"/>
          <w:szCs w:val="20"/>
          <w:color w:val="auto"/>
        </w:rPr>
      </w:pPr>
    </w:p>
    <w:p>
      <w:pPr>
        <w:ind w:right="60"/>
        <w:spacing w:after="0" w:line="215" w:lineRule="auto"/>
        <w:rPr>
          <w:sz w:val="20"/>
          <w:szCs w:val="20"/>
          <w:color w:val="auto"/>
        </w:rPr>
      </w:pPr>
      <w:r>
        <w:rPr>
          <w:rFonts w:ascii="Arial" w:cs="Arial" w:eastAsia="Arial" w:hAnsi="Arial"/>
          <w:sz w:val="22"/>
          <w:szCs w:val="22"/>
          <w:color w:val="auto"/>
        </w:rPr>
        <w:t xml:space="preserve">Regeneron has fifteen fully human monoclonal antibodies generated using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 clinical development, including five in collaboration with Sanofi</w:t>
      </w:r>
      <w:r>
        <w:rPr>
          <w:rFonts w:ascii="Arial" w:cs="Arial" w:eastAsia="Arial" w:hAnsi="Arial"/>
          <w:sz w:val="25"/>
          <w:szCs w:val="25"/>
          <w:color w:val="auto"/>
          <w:vertAlign w:val="superscript"/>
        </w:rPr>
        <w:t>(5)</w:t>
      </w:r>
      <w:r>
        <w:rPr>
          <w:rFonts w:ascii="Arial" w:cs="Arial" w:eastAsia="Arial" w:hAnsi="Arial"/>
          <w:sz w:val="22"/>
          <w:szCs w:val="22"/>
          <w:color w:val="auto"/>
        </w:rPr>
        <w:t>. In addition to Praluent, highlights from the antibody pipeline include:</w:t>
      </w:r>
    </w:p>
    <w:p>
      <w:pPr>
        <w:spacing w:after="0" w:line="135" w:lineRule="exact"/>
        <w:rPr>
          <w:sz w:val="20"/>
          <w:szCs w:val="20"/>
          <w:color w:val="auto"/>
        </w:rPr>
      </w:pPr>
    </w:p>
    <w:p>
      <w:pPr>
        <w:jc w:val="both"/>
        <w:ind w:left="340" w:right="140"/>
        <w:spacing w:after="0" w:line="246" w:lineRule="auto"/>
        <w:rPr>
          <w:sz w:val="20"/>
          <w:szCs w:val="20"/>
          <w:color w:val="auto"/>
        </w:rPr>
      </w:pPr>
      <w:r>
        <w:rPr>
          <w:rFonts w:ascii="Arial" w:cs="Arial" w:eastAsia="Arial" w:hAnsi="Arial"/>
          <w:sz w:val="22"/>
          <w:szCs w:val="22"/>
          <w:u w:val="single" w:color="auto"/>
          <w:color w:val="auto"/>
        </w:rPr>
        <w:t>Sarilumab</w:t>
      </w:r>
      <w:r>
        <w:rPr>
          <w:rFonts w:ascii="Arial" w:cs="Arial" w:eastAsia="Arial" w:hAnsi="Arial"/>
          <w:sz w:val="22"/>
          <w:szCs w:val="22"/>
          <w:color w:val="auto"/>
        </w:rPr>
        <w:t>, the Company's antibody targeting IL-6R for rheumatoid arthritis, is currently being studied in the global Phase 3 SARIL-RA program. The Company and Sanofi plan to submit a Biologics License Application (BLA) in the United States by the end of 2015.</w:t>
      </w:r>
    </w:p>
    <w:p>
      <w:pPr>
        <w:spacing w:after="0" w:line="249" w:lineRule="exact"/>
        <w:rPr>
          <w:sz w:val="20"/>
          <w:szCs w:val="20"/>
          <w:color w:val="auto"/>
        </w:rPr>
      </w:pPr>
    </w:p>
    <w:p>
      <w:pPr>
        <w:ind w:left="340" w:right="560"/>
        <w:spacing w:after="0" w:line="243" w:lineRule="auto"/>
        <w:rPr>
          <w:sz w:val="20"/>
          <w:szCs w:val="20"/>
          <w:color w:val="auto"/>
        </w:rPr>
      </w:pPr>
      <w:r>
        <w:rPr>
          <w:rFonts w:ascii="Arial" w:cs="Arial" w:eastAsia="Arial" w:hAnsi="Arial"/>
          <w:sz w:val="22"/>
          <w:szCs w:val="22"/>
          <w:u w:val="single" w:color="auto"/>
          <w:color w:val="auto"/>
        </w:rPr>
        <w:t>Dupilumab</w:t>
      </w:r>
      <w:r>
        <w:rPr>
          <w:rFonts w:ascii="Arial" w:cs="Arial" w:eastAsia="Arial" w:hAnsi="Arial"/>
          <w:sz w:val="22"/>
          <w:szCs w:val="22"/>
          <w:color w:val="auto"/>
        </w:rPr>
        <w:t xml:space="preserve"> , the Company's antibody that blocks signaling of IL-4 and IL-13, is currently being studied in atopic dermatitis, asthma, nasal polyps in patients with chronic sinusitis, and eosinophilic esophagitis.</w:t>
      </w:r>
    </w:p>
    <w:p>
      <w:pPr>
        <w:spacing w:after="0" w:line="1" w:lineRule="exact"/>
        <w:rPr>
          <w:sz w:val="20"/>
          <w:szCs w:val="20"/>
          <w:color w:val="auto"/>
        </w:rPr>
      </w:pPr>
    </w:p>
    <w:p>
      <w:pPr>
        <w:ind w:left="1620" w:right="320" w:hanging="964"/>
        <w:spacing w:after="0" w:line="243" w:lineRule="auto"/>
        <w:tabs>
          <w:tab w:leader="none" w:pos="972" w:val="left"/>
        </w:tabs>
        <w:numPr>
          <w:ilvl w:val="0"/>
          <w:numId w:val="6"/>
        </w:numPr>
        <w:rPr>
          <w:rFonts w:ascii="Arial" w:cs="Arial" w:eastAsia="Arial" w:hAnsi="Arial"/>
          <w:sz w:val="22"/>
          <w:szCs w:val="22"/>
          <w:color w:val="auto"/>
        </w:rPr>
      </w:pPr>
      <w:r>
        <w:rPr>
          <w:rFonts w:ascii="Arial" w:cs="Arial" w:eastAsia="Arial" w:hAnsi="Arial"/>
          <w:sz w:val="22"/>
          <w:szCs w:val="22"/>
          <w:color w:val="auto"/>
        </w:rPr>
        <w:t>Multiple Phase 3 studies of dupilumab in atopic dermatitis are currently underway. Phase 3 pivotal trials in atopic dermatitis are fully enrolled.</w:t>
      </w:r>
    </w:p>
    <w:p>
      <w:pPr>
        <w:ind w:left="980" w:right="380" w:hanging="324"/>
        <w:spacing w:after="0" w:line="249" w:lineRule="auto"/>
        <w:tabs>
          <w:tab w:leader="none" w:pos="98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second pivotal study of dupilumab in patients with uncontrolled persistent asthma was initiated in the second quarter of 2015.</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0" w:right="279" w:bottom="1440" w:gutter="0" w:footer="0" w:header="0"/>
        </w:sectPr>
      </w:pPr>
    </w:p>
    <w:bookmarkStart w:id="6" w:name="page7"/>
    <w:bookmarkEnd w:id="6"/>
    <w:p>
      <w:pPr>
        <w:ind w:left="340" w:right="260"/>
        <w:spacing w:after="0" w:line="249" w:lineRule="auto"/>
        <w:rPr>
          <w:sz w:val="20"/>
          <w:szCs w:val="20"/>
          <w:color w:val="auto"/>
        </w:rPr>
      </w:pPr>
      <w:r>
        <w:rPr>
          <w:rFonts w:ascii="Arial" w:cs="Arial" w:eastAsia="Arial" w:hAnsi="Arial"/>
          <w:sz w:val="22"/>
          <w:szCs w:val="22"/>
          <w:u w:val="single" w:color="auto"/>
          <w:color w:val="auto"/>
        </w:rPr>
        <w:t>Fasinumab</w:t>
      </w:r>
      <w:r>
        <w:rPr>
          <w:rFonts w:ascii="Arial" w:cs="Arial" w:eastAsia="Arial" w:hAnsi="Arial"/>
          <w:sz w:val="22"/>
          <w:szCs w:val="22"/>
          <w:color w:val="auto"/>
        </w:rPr>
        <w:t>, an antibody targeting Nerve Growth Factor (NGF), entered Phase 2b/3 clinical development (sixteen-week study) for pain due to osteoarthritis in the second quarter of 2015.</w:t>
      </w:r>
    </w:p>
    <w:p>
      <w:pPr>
        <w:spacing w:after="0" w:line="245" w:lineRule="exact"/>
        <w:rPr>
          <w:sz w:val="20"/>
          <w:szCs w:val="20"/>
          <w:color w:val="auto"/>
        </w:rPr>
      </w:pPr>
    </w:p>
    <w:p>
      <w:pPr>
        <w:ind w:left="340" w:right="1120"/>
        <w:spacing w:after="0" w:line="261" w:lineRule="auto"/>
        <w:rPr>
          <w:sz w:val="20"/>
          <w:szCs w:val="20"/>
          <w:color w:val="auto"/>
        </w:rPr>
      </w:pPr>
      <w:r>
        <w:rPr>
          <w:rFonts w:ascii="Arial" w:cs="Arial" w:eastAsia="Arial" w:hAnsi="Arial"/>
          <w:sz w:val="22"/>
          <w:szCs w:val="22"/>
          <w:u w:val="single" w:color="auto"/>
          <w:color w:val="auto"/>
        </w:rPr>
        <w:t>REGN2222</w:t>
      </w:r>
      <w:r>
        <w:rPr>
          <w:rFonts w:ascii="Arial" w:cs="Arial" w:eastAsia="Arial" w:hAnsi="Arial"/>
          <w:sz w:val="22"/>
          <w:szCs w:val="22"/>
          <w:color w:val="auto"/>
        </w:rPr>
        <w:t>, an antibody targeting the respiratory syncytial virus (RSV), recently entered Phase 3 clinical development</w:t>
      </w:r>
      <w:r>
        <w:rPr>
          <w:rFonts w:ascii="Arial" w:cs="Arial" w:eastAsia="Arial" w:hAnsi="Arial"/>
          <w:sz w:val="25"/>
          <w:szCs w:val="25"/>
          <w:color w:val="auto"/>
          <w:vertAlign w:val="superscript"/>
        </w:rPr>
        <w:t>(5)</w:t>
      </w:r>
      <w:r>
        <w:rPr>
          <w:rFonts w:ascii="Arial" w:cs="Arial" w:eastAsia="Arial" w:hAnsi="Arial"/>
          <w:sz w:val="22"/>
          <w:szCs w:val="22"/>
          <w:color w:val="auto"/>
        </w:rPr>
        <w:t>.</w:t>
      </w:r>
    </w:p>
    <w:p>
      <w:pPr>
        <w:spacing w:after="0" w:line="182" w:lineRule="exact"/>
        <w:rPr>
          <w:sz w:val="20"/>
          <w:szCs w:val="20"/>
          <w:color w:val="auto"/>
        </w:rPr>
      </w:pPr>
    </w:p>
    <w:p>
      <w:pPr>
        <w:ind w:left="340" w:right="80"/>
        <w:spacing w:after="0" w:line="246" w:lineRule="auto"/>
        <w:rPr>
          <w:sz w:val="20"/>
          <w:szCs w:val="20"/>
          <w:color w:val="auto"/>
        </w:rPr>
      </w:pPr>
      <w:r>
        <w:rPr>
          <w:rFonts w:ascii="Arial" w:cs="Arial" w:eastAsia="Arial" w:hAnsi="Arial"/>
          <w:sz w:val="22"/>
          <w:szCs w:val="22"/>
          <w:u w:val="single" w:color="auto"/>
          <w:color w:val="auto"/>
        </w:rPr>
        <w:t>REGN2176-3</w:t>
      </w:r>
      <w:r>
        <w:rPr>
          <w:rFonts w:ascii="Arial" w:cs="Arial" w:eastAsia="Arial" w:hAnsi="Arial"/>
          <w:sz w:val="22"/>
          <w:szCs w:val="22"/>
          <w:color w:val="auto"/>
        </w:rPr>
        <w:t>, a combination product comprised of an antibody to PDGFR-beta co-formulated with EYLEA, entered Phase 2 clinical development for the treatment of neovascular age-related macular degeneration (wet AMD) in the second quarter of 2015.</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Second Quarter 2015 Financial Results</w:t>
      </w:r>
    </w:p>
    <w:p>
      <w:pPr>
        <w:spacing w:after="0" w:line="260" w:lineRule="exact"/>
        <w:rPr>
          <w:sz w:val="20"/>
          <w:szCs w:val="20"/>
          <w:color w:val="auto"/>
        </w:rPr>
      </w:pPr>
    </w:p>
    <w:p>
      <w:pPr>
        <w:jc w:val="both"/>
        <w:ind w:right="280"/>
        <w:spacing w:after="0" w:line="258"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$658 million in the second quarter of 2015, compared to $418 million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second quarter of 2014. EYLEA net product sales in the United States were $655 million in the second quarter of 2015, compared to $415 million in the second quarter of 2014.</w:t>
      </w:r>
    </w:p>
    <w:p>
      <w:pPr>
        <w:spacing w:after="0" w:line="211"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which include product revenues described above, increased by 50% to $999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second quarter of 2015, compared to $666 million in the second quarter of 2014. Total revenues also include collaboration revenues of $329 million in the second quarter of 2015, compared to $240 million in the second quarter of 2014. Collaboration revenues in the second quarter of 2015 increased primarily due to higher reimbursement of the Company's research and development expenses under its antibody collaboration with Sanofi and an increase in the Company's net profit from commercialization of EYLEA outside the United States. Refer to Table 4 for a summary of collaboration revenue.</w:t>
      </w:r>
    </w:p>
    <w:p>
      <w:pPr>
        <w:spacing w:after="0" w:line="223" w:lineRule="exact"/>
        <w:rPr>
          <w:sz w:val="20"/>
          <w:szCs w:val="20"/>
          <w:color w:val="auto"/>
        </w:rPr>
      </w:pPr>
    </w:p>
    <w:p>
      <w:pPr>
        <w:spacing w:after="0" w:line="251"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$390 million in the second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2015, compared to $295 million in the second quarter of 2014. The higher R&amp;D expenses in the second quarter of 2015 were principally due to higher development costs related to dupilumab and higher headcount to support the Company's increased R&amp;D activities. In addition, in the second quarter of 2015, R&amp;D-related non-cash share-based compensation expense was $60 million, compared to $44 million in the second quarter of 2014.</w:t>
      </w:r>
    </w:p>
    <w:p>
      <w:pPr>
        <w:spacing w:after="0" w:line="217" w:lineRule="exact"/>
        <w:rPr>
          <w:sz w:val="20"/>
          <w:szCs w:val="20"/>
          <w:color w:val="auto"/>
        </w:rPr>
      </w:pPr>
    </w:p>
    <w:p>
      <w:pPr>
        <w:ind w:right="360"/>
        <w:spacing w:after="0" w:line="249"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$175 million in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2015, compared to $97 million in the second quarter of 2014. The increase was primarily due to higher headcount and headcount-related costs, higher commercialization expenses related to Praluent, sarilumab, and EYLEA, and higher costs associated with the Branded Prescription Drug Fee. In addition, in the second quarter of 2015, SG&amp;A-related non-cash share-based compensation expense was $32 million, compared to $20 million in the second quarter of 2014.</w:t>
      </w:r>
    </w:p>
    <w:p>
      <w:pPr>
        <w:spacing w:after="0" w:line="221" w:lineRule="exact"/>
        <w:rPr>
          <w:sz w:val="20"/>
          <w:szCs w:val="20"/>
          <w:color w:val="auto"/>
        </w:rPr>
      </w:pPr>
    </w:p>
    <w:p>
      <w:pPr>
        <w:ind w:right="80"/>
        <w:spacing w:after="0" w:line="258" w:lineRule="auto"/>
        <w:rPr>
          <w:sz w:val="20"/>
          <w:szCs w:val="20"/>
          <w:color w:val="auto"/>
        </w:rPr>
      </w:pPr>
      <w:r>
        <w:rPr>
          <w:rFonts w:ascii="Arial" w:cs="Arial" w:eastAsia="Arial" w:hAnsi="Arial"/>
          <w:sz w:val="22"/>
          <w:szCs w:val="22"/>
          <w:b w:val="1"/>
          <w:bCs w:val="1"/>
          <w:color w:val="auto"/>
        </w:rPr>
        <w:t xml:space="preserve">Cost of Goods Sold (COGS): </w:t>
      </w:r>
      <w:r>
        <w:rPr>
          <w:rFonts w:ascii="Arial" w:cs="Arial" w:eastAsia="Arial" w:hAnsi="Arial"/>
          <w:sz w:val="22"/>
          <w:szCs w:val="22"/>
          <w:color w:val="auto"/>
        </w:rPr>
        <w:t>GAAP COGS was $61 million in the second quarter of 2015, compared to $30 million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second quarter of 2014. COGS, which primarily consists of royalties as well as costs in connection with producing EYLEA commercial supplies, increased principally due to the increase in U.S. EYLEA net product sales.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62" w:right="239" w:bottom="1440" w:gutter="0" w:footer="0" w:header="0"/>
        </w:sectPr>
      </w:pPr>
    </w:p>
    <w:bookmarkStart w:id="7" w:name="page8"/>
    <w:bookmarkEnd w:id="7"/>
    <w:p>
      <w:pPr>
        <w:ind w:right="100"/>
        <w:spacing w:after="0" w:line="258"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GAAP income tax expense was $133 million in the second quarter of 2015, compared to $112</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in the second quarter of 2014. The effective tax rate was 40.7% for the second quarter of 2015, compared to 53.9% for the second quarter of 2014.</w:t>
      </w: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22"/>
          <w:szCs w:val="22"/>
          <w:b w:val="1"/>
          <w:bCs w:val="1"/>
          <w:color w:val="auto"/>
        </w:rPr>
        <w:t xml:space="preserve">Non-GAAP and GAAP Net Income: </w:t>
      </w:r>
      <w:r>
        <w:rPr>
          <w:rFonts w:ascii="Arial" w:cs="Arial" w:eastAsia="Arial" w:hAnsi="Arial"/>
          <w:sz w:val="22"/>
          <w:szCs w:val="22"/>
          <w:color w:val="auto"/>
        </w:rPr>
        <w:t>The Company reported non-GAAP net income of $338 million, or $3.29 per basic</w:t>
      </w:r>
      <w:r>
        <w:rPr>
          <w:rFonts w:ascii="Arial" w:cs="Arial" w:eastAsia="Arial" w:hAnsi="Arial"/>
          <w:sz w:val="22"/>
          <w:szCs w:val="22"/>
          <w:b w:val="1"/>
          <w:bCs w:val="1"/>
          <w:color w:val="auto"/>
        </w:rPr>
        <w:t xml:space="preserve"> </w:t>
      </w:r>
      <w:r>
        <w:rPr>
          <w:rFonts w:ascii="Arial" w:cs="Arial" w:eastAsia="Arial" w:hAnsi="Arial"/>
          <w:sz w:val="22"/>
          <w:szCs w:val="22"/>
          <w:color w:val="auto"/>
        </w:rPr>
        <w:t>share and $2.89 per diluted share, in the second quarter of 2015, compared to non-GAAP net income of $289 million, or $2.88 per basic share and $2.47 per diluted share, in the second quarter of 2014.</w:t>
      </w:r>
    </w:p>
    <w:p>
      <w:pPr>
        <w:spacing w:after="0" w:line="237" w:lineRule="exact"/>
        <w:rPr>
          <w:sz w:val="20"/>
          <w:szCs w:val="20"/>
          <w:color w:val="auto"/>
        </w:rPr>
      </w:pPr>
    </w:p>
    <w:p>
      <w:pPr>
        <w:jc w:val="both"/>
        <w:ind w:right="80"/>
        <w:spacing w:after="0" w:line="246" w:lineRule="auto"/>
        <w:rPr>
          <w:sz w:val="20"/>
          <w:szCs w:val="20"/>
          <w:color w:val="auto"/>
        </w:rPr>
      </w:pPr>
      <w:r>
        <w:rPr>
          <w:rFonts w:ascii="Arial" w:cs="Arial" w:eastAsia="Arial" w:hAnsi="Arial"/>
          <w:sz w:val="22"/>
          <w:szCs w:val="22"/>
          <w:color w:val="auto"/>
        </w:rPr>
        <w:t>The Company reported GAAP net income of $195 million, or $1.89 per basic share and $1.69 per diluted share, in the second quarter of 2015, compared to GAAP net income of $96 million, or $0.96 per basic share and $0.85 per diluted share, in the second quarter of 2014.</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2015 Financial Guidance</w:t>
      </w:r>
      <w:r>
        <w:rPr>
          <w:rFonts w:ascii="Arial" w:cs="Arial" w:eastAsia="Arial" w:hAnsi="Arial"/>
          <w:sz w:val="25"/>
          <w:szCs w:val="25"/>
          <w:b w:val="1"/>
          <w:bCs w:val="1"/>
          <w:i w:val="1"/>
          <w:iCs w:val="1"/>
          <w:color w:val="auto"/>
          <w:vertAlign w:val="superscript"/>
        </w:rPr>
        <w:t>(3)</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2015 financial guidance consists of the following components:</w:t>
      </w:r>
    </w:p>
    <w:p>
      <w:pPr>
        <w:spacing w:after="0" w:line="112" w:lineRule="exact"/>
        <w:rPr>
          <w:sz w:val="20"/>
          <w:szCs w:val="20"/>
          <w:color w:val="auto"/>
        </w:rPr>
      </w:pPr>
    </w:p>
    <w:tbl>
      <w:tblPr>
        <w:tblLayout w:type="fixed"/>
        <w:tblInd w:w="810" w:type="dxa"/>
        <w:tblCellMar>
          <w:top w:w="0" w:type="dxa"/>
          <w:left w:w="0" w:type="dxa"/>
          <w:bottom w:w="0" w:type="dxa"/>
          <w:right w:w="0" w:type="dxa"/>
        </w:tblCellMar>
      </w:tblPr>
      <w:tr>
        <w:trPr>
          <w:trHeight w:val="253"/>
        </w:trPr>
        <w:tc>
          <w:tcPr>
            <w:tcW w:w="4380" w:type="dxa"/>
            <w:vAlign w:val="bottom"/>
            <w:tcBorders>
              <w:top w:val="single" w:sz="8" w:color="auto"/>
              <w:lef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EYLEA U.S. net product sales</w:t>
            </w:r>
          </w:p>
        </w:tc>
        <w:tc>
          <w:tcPr>
            <w:tcW w:w="560" w:type="dxa"/>
            <w:vAlign w:val="bottom"/>
            <w:tcBorders>
              <w:top w:val="single" w:sz="8" w:color="auto"/>
              <w:right w:val="single" w:sz="8" w:color="auto"/>
            </w:tcBorders>
            <w:shd w:val="clear" w:color="auto" w:fill="CCEEFF"/>
          </w:tcPr>
          <w:p>
            <w:pPr>
              <w:spacing w:after="0"/>
              <w:rPr>
                <w:sz w:val="22"/>
                <w:szCs w:val="22"/>
                <w:color w:val="auto"/>
              </w:rPr>
            </w:pPr>
          </w:p>
        </w:tc>
        <w:tc>
          <w:tcPr>
            <w:tcW w:w="490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45% - 50% growth over 2014</w:t>
            </w:r>
          </w:p>
        </w:tc>
      </w:tr>
      <w:tr>
        <w:trPr>
          <w:trHeight w:val="278"/>
        </w:trPr>
        <w:tc>
          <w:tcPr>
            <w:tcW w:w="4380" w:type="dxa"/>
            <w:vAlign w:val="bottom"/>
            <w:tcBorders>
              <w:left w:val="single" w:sz="8" w:color="auto"/>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auto"/>
            </w:tcBorders>
            <w:shd w:val="clear" w:color="auto" w:fill="CCEEFF"/>
          </w:tcPr>
          <w:p>
            <w:pPr>
              <w:spacing w:after="0"/>
              <w:rPr>
                <w:sz w:val="23"/>
                <w:szCs w:val="23"/>
                <w:color w:val="auto"/>
              </w:rPr>
            </w:pPr>
          </w:p>
        </w:tc>
        <w:tc>
          <w:tcPr>
            <w:tcW w:w="49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30% - 35% growth over 2014)</w:t>
            </w:r>
          </w:p>
        </w:tc>
      </w:tr>
      <w:tr>
        <w:trPr>
          <w:trHeight w:val="233"/>
        </w:trPr>
        <w:tc>
          <w:tcPr>
            <w:tcW w:w="4380" w:type="dxa"/>
            <w:vAlign w:val="bottom"/>
            <w:tcBorders>
              <w:top w:val="single" w:sz="8" w:color="auto"/>
              <w:left w:val="single" w:sz="8" w:color="auto"/>
            </w:tcBorders>
          </w:tcPr>
          <w:p>
            <w:pPr>
              <w:ind w:left="40"/>
              <w:spacing w:after="0" w:line="233" w:lineRule="exact"/>
              <w:rPr>
                <w:sz w:val="20"/>
                <w:szCs w:val="20"/>
                <w:color w:val="auto"/>
              </w:rPr>
            </w:pPr>
            <w:r>
              <w:rPr>
                <w:rFonts w:ascii="Arial" w:cs="Arial" w:eastAsia="Arial" w:hAnsi="Arial"/>
                <w:sz w:val="20"/>
                <w:szCs w:val="20"/>
                <w:color w:val="auto"/>
              </w:rPr>
              <w:t xml:space="preserve">Non-GAAP unreimbursed R&amp;D </w:t>
            </w:r>
            <w:r>
              <w:rPr>
                <w:rFonts w:ascii="Arial" w:cs="Arial" w:eastAsia="Arial" w:hAnsi="Arial"/>
                <w:sz w:val="25"/>
                <w:szCs w:val="25"/>
                <w:color w:val="auto"/>
                <w:vertAlign w:val="superscript"/>
              </w:rPr>
              <w:t>(2)</w:t>
            </w:r>
          </w:p>
        </w:tc>
        <w:tc>
          <w:tcPr>
            <w:tcW w:w="560" w:type="dxa"/>
            <w:vAlign w:val="bottom"/>
            <w:tcBorders>
              <w:top w:val="single" w:sz="8" w:color="auto"/>
              <w:right w:val="single" w:sz="8" w:color="auto"/>
            </w:tcBorders>
          </w:tcPr>
          <w:p>
            <w:pPr>
              <w:spacing w:after="0"/>
              <w:rPr>
                <w:sz w:val="20"/>
                <w:szCs w:val="20"/>
                <w:color w:val="auto"/>
              </w:rPr>
            </w:pPr>
          </w:p>
        </w:tc>
        <w:tc>
          <w:tcPr>
            <w:tcW w:w="4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$510 million - $550 million</w:t>
            </w:r>
          </w:p>
        </w:tc>
      </w:tr>
      <w:tr>
        <w:trPr>
          <w:trHeight w:val="250"/>
        </w:trPr>
        <w:tc>
          <w:tcPr>
            <w:tcW w:w="438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$525 million - $575 million)</w:t>
            </w:r>
          </w:p>
        </w:tc>
      </w:tr>
      <w:tr>
        <w:trPr>
          <w:trHeight w:val="23"/>
        </w:trPr>
        <w:tc>
          <w:tcPr>
            <w:tcW w:w="43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tcBorders>
            <w:shd w:val="clear" w:color="auto" w:fill="CCEEFF"/>
          </w:tcPr>
          <w:p>
            <w:pPr>
              <w:ind w:left="40"/>
              <w:spacing w:after="0" w:line="233" w:lineRule="exact"/>
              <w:rPr>
                <w:sz w:val="20"/>
                <w:szCs w:val="20"/>
                <w:color w:val="auto"/>
              </w:rPr>
            </w:pPr>
            <w:r>
              <w:rPr>
                <w:rFonts w:ascii="Arial" w:cs="Arial" w:eastAsia="Arial" w:hAnsi="Arial"/>
                <w:sz w:val="20"/>
                <w:szCs w:val="20"/>
                <w:color w:val="auto"/>
              </w:rPr>
              <w:t xml:space="preserve">Non-GAAP SG&amp;A </w:t>
            </w:r>
            <w:r>
              <w:rPr>
                <w:rFonts w:ascii="Arial" w:cs="Arial" w:eastAsia="Arial" w:hAnsi="Arial"/>
                <w:sz w:val="25"/>
                <w:szCs w:val="25"/>
                <w:color w:val="auto"/>
                <w:vertAlign w:val="superscript"/>
              </w:rPr>
              <w:t>(2)</w:t>
            </w:r>
          </w:p>
        </w:tc>
        <w:tc>
          <w:tcPr>
            <w:tcW w:w="560" w:type="dxa"/>
            <w:vAlign w:val="bottom"/>
            <w:tcBorders>
              <w:right w:val="single" w:sz="8" w:color="auto"/>
            </w:tcBorders>
            <w:shd w:val="clear" w:color="auto" w:fill="CCEEFF"/>
          </w:tcPr>
          <w:p>
            <w:pPr>
              <w:spacing w:after="0"/>
              <w:rPr>
                <w:sz w:val="20"/>
                <w:szCs w:val="20"/>
                <w:color w:val="auto"/>
              </w:rPr>
            </w:pPr>
          </w:p>
        </w:tc>
        <w:tc>
          <w:tcPr>
            <w:tcW w:w="49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$610 million - $650 million</w:t>
            </w:r>
          </w:p>
        </w:tc>
      </w:tr>
      <w:tr>
        <w:trPr>
          <w:trHeight w:val="278"/>
        </w:trPr>
        <w:tc>
          <w:tcPr>
            <w:tcW w:w="4380" w:type="dxa"/>
            <w:vAlign w:val="bottom"/>
            <w:tcBorders>
              <w:left w:val="single" w:sz="8" w:color="auto"/>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auto"/>
            </w:tcBorders>
            <w:shd w:val="clear" w:color="auto" w:fill="CCEEFF"/>
          </w:tcPr>
          <w:p>
            <w:pPr>
              <w:spacing w:after="0"/>
              <w:rPr>
                <w:sz w:val="23"/>
                <w:szCs w:val="23"/>
                <w:color w:val="auto"/>
              </w:rPr>
            </w:pPr>
          </w:p>
        </w:tc>
        <w:tc>
          <w:tcPr>
            <w:tcW w:w="49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$650 million - $725 million)</w:t>
            </w:r>
          </w:p>
        </w:tc>
      </w:tr>
      <w:tr>
        <w:trPr>
          <w:trHeight w:val="233"/>
        </w:trPr>
        <w:tc>
          <w:tcPr>
            <w:tcW w:w="4380" w:type="dxa"/>
            <w:vAlign w:val="bottom"/>
            <w:tcBorders>
              <w:top w:val="single" w:sz="8" w:color="auto"/>
              <w:left w:val="single" w:sz="8" w:color="auto"/>
            </w:tcBorders>
          </w:tcPr>
          <w:p>
            <w:pPr>
              <w:ind w:left="40"/>
              <w:spacing w:after="0" w:line="233" w:lineRule="exact"/>
              <w:rPr>
                <w:sz w:val="20"/>
                <w:szCs w:val="20"/>
                <w:color w:val="auto"/>
              </w:rPr>
            </w:pPr>
            <w:r>
              <w:rPr>
                <w:rFonts w:ascii="Arial" w:cs="Arial" w:eastAsia="Arial" w:hAnsi="Arial"/>
                <w:sz w:val="20"/>
                <w:szCs w:val="20"/>
                <w:color w:val="auto"/>
                <w:w w:val="99"/>
              </w:rPr>
              <w:t xml:space="preserve">Cash tax as a % of non-GAAP pre-tax income </w:t>
            </w:r>
            <w:r>
              <w:rPr>
                <w:rFonts w:ascii="Arial" w:cs="Arial" w:eastAsia="Arial" w:hAnsi="Arial"/>
                <w:sz w:val="25"/>
                <w:szCs w:val="25"/>
                <w:color w:val="auto"/>
                <w:w w:val="99"/>
                <w:vertAlign w:val="superscript"/>
              </w:rPr>
              <w:t>(2)</w:t>
            </w:r>
          </w:p>
        </w:tc>
        <w:tc>
          <w:tcPr>
            <w:tcW w:w="560" w:type="dxa"/>
            <w:vAlign w:val="bottom"/>
            <w:tcBorders>
              <w:top w:val="single" w:sz="8" w:color="auto"/>
              <w:right w:val="single" w:sz="8" w:color="auto"/>
            </w:tcBorders>
          </w:tcPr>
          <w:p>
            <w:pPr>
              <w:spacing w:after="0"/>
              <w:rPr>
                <w:sz w:val="20"/>
                <w:szCs w:val="20"/>
                <w:color w:val="auto"/>
              </w:rPr>
            </w:pPr>
          </w:p>
        </w:tc>
        <w:tc>
          <w:tcPr>
            <w:tcW w:w="4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15% - 22%</w:t>
            </w:r>
          </w:p>
        </w:tc>
      </w:tr>
      <w:tr>
        <w:trPr>
          <w:trHeight w:val="250"/>
        </w:trPr>
        <w:tc>
          <w:tcPr>
            <w:tcW w:w="438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10% - 20%)</w:t>
            </w:r>
          </w:p>
        </w:tc>
      </w:tr>
      <w:tr>
        <w:trPr>
          <w:trHeight w:val="23"/>
        </w:trPr>
        <w:tc>
          <w:tcPr>
            <w:tcW w:w="43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Capital expenditures</w:t>
            </w:r>
          </w:p>
        </w:tc>
        <w:tc>
          <w:tcPr>
            <w:tcW w:w="560" w:type="dxa"/>
            <w:vAlign w:val="bottom"/>
            <w:tcBorders>
              <w:right w:val="single" w:sz="8" w:color="auto"/>
            </w:tcBorders>
            <w:shd w:val="clear" w:color="auto" w:fill="CCEEFF"/>
          </w:tcPr>
          <w:p>
            <w:pPr>
              <w:spacing w:after="0"/>
              <w:rPr>
                <w:sz w:val="20"/>
                <w:szCs w:val="20"/>
                <w:color w:val="auto"/>
              </w:rPr>
            </w:pPr>
          </w:p>
        </w:tc>
        <w:tc>
          <w:tcPr>
            <w:tcW w:w="49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$675 million - $750 million</w:t>
            </w:r>
          </w:p>
        </w:tc>
      </w:tr>
      <w:tr>
        <w:trPr>
          <w:trHeight w:val="278"/>
        </w:trPr>
        <w:tc>
          <w:tcPr>
            <w:tcW w:w="4380" w:type="dxa"/>
            <w:vAlign w:val="bottom"/>
            <w:tcBorders>
              <w:left w:val="single" w:sz="8" w:color="auto"/>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auto"/>
            </w:tcBorders>
            <w:shd w:val="clear" w:color="auto" w:fill="CCEEFF"/>
          </w:tcPr>
          <w:p>
            <w:pPr>
              <w:spacing w:after="0"/>
              <w:rPr>
                <w:sz w:val="23"/>
                <w:szCs w:val="23"/>
                <w:color w:val="auto"/>
              </w:rPr>
            </w:pPr>
          </w:p>
        </w:tc>
        <w:tc>
          <w:tcPr>
            <w:tcW w:w="49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$650 million - $750 million)</w:t>
            </w:r>
          </w:p>
        </w:tc>
      </w:tr>
      <w:tr>
        <w:trPr>
          <w:trHeight w:val="885"/>
        </w:trPr>
        <w:tc>
          <w:tcPr>
            <w:tcW w:w="4380" w:type="dxa"/>
            <w:vAlign w:val="bottom"/>
            <w:tcBorders>
              <w:top w:val="single" w:sz="8" w:color="auto"/>
            </w:tcBorders>
          </w:tcPr>
          <w:p>
            <w:pPr>
              <w:spacing w:after="0"/>
              <w:rPr>
                <w:sz w:val="24"/>
                <w:szCs w:val="24"/>
                <w:color w:val="auto"/>
              </w:rPr>
            </w:pPr>
          </w:p>
        </w:tc>
        <w:tc>
          <w:tcPr>
            <w:tcW w:w="5460" w:type="dxa"/>
            <w:vAlign w:val="bottom"/>
            <w:tcBorders>
              <w:top w:val="single" w:sz="8" w:color="auto"/>
            </w:tcBorders>
            <w:gridSpan w:val="2"/>
          </w:tcPr>
          <w:p>
            <w:pPr>
              <w:jc w:val="right"/>
              <w:ind w:right="4781"/>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40"/>
          </w:cols>
          <w:pgMar w:left="240" w:top="580" w:right="319" w:bottom="1440" w:gutter="0" w:footer="0" w:header="0"/>
        </w:sectPr>
      </w:pPr>
    </w:p>
    <w:bookmarkStart w:id="8" w:name="page9"/>
    <w:bookmarkEnd w:id="8"/>
    <w:p>
      <w:pPr>
        <w:ind w:left="345" w:right="240" w:hanging="345"/>
        <w:spacing w:after="0" w:line="225" w:lineRule="auto"/>
        <w:tabs>
          <w:tab w:leader="none" w:pos="345" w:val="left"/>
        </w:tabs>
        <w:numPr>
          <w:ilvl w:val="0"/>
          <w:numId w:val="7"/>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HealthCare in countries other than Japan and sales by Santen Pharmaceutical Co., Ltd. in Japan under a co-promotion agreement with an affiliate of Bayer HealthCare. The Company recognizes its share of the profits (including a percentage on sales in Japan) from EYLEA sales outside the United States within "Bayer HealthCare collaboration revenue" in its Statements of Operations.</w:t>
      </w:r>
    </w:p>
    <w:p>
      <w:pPr>
        <w:spacing w:after="0" w:line="156"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7"/>
        </w:numPr>
        <w:rPr>
          <w:rFonts w:ascii="Arial" w:cs="Arial" w:eastAsia="Arial" w:hAnsi="Arial"/>
          <w:sz w:val="21"/>
          <w:szCs w:val="21"/>
          <w:color w:val="auto"/>
          <w:vertAlign w:val="superscript"/>
        </w:rPr>
      </w:pPr>
      <w:r>
        <w:rPr>
          <w:rFonts w:ascii="Arial" w:cs="Arial" w:eastAsia="Arial" w:hAnsi="Arial"/>
          <w:sz w:val="19"/>
          <w:szCs w:val="19"/>
          <w:color w:val="auto"/>
        </w:rPr>
        <w:t>This press release uses non-GAAP net income, non-GAAP net income per share, non-GAAP unreimbursed R&amp;D, non-GAAP SG&amp;A, and cash tax as a percentage of non-GAAP pre-tax income, which are financial measures that are not calculated in accordance with U.S. Generally Accepted Accounting Principles ("GAAP"). The Company believes that the presentation of these non-GAAP measures is useful to investors because they exclude, as applicable: (i) non-cash share-based compensation expense, which fluctuates from period to period based on factors that are not within the Company's control, such as the Company's stock price on the dates share-based grants are issued; (ii) non-cash interest expense related to the Company's convertible senior notes since this is not deemed useful in evaluating the Company's operating performance; (iii) loss on extinguishment of debt, since this non-cash charge is based on factors that are not within the Company's control; and (iv) income tax expense for 2014, which was principally a non-cash expense due primarily to utilization of net operating loss and tax credit carry-forwards, and deductions related to employee stock option exercises. In 2015, income tax expense adjustments consider the tax effect of reconciling items and an adjustment from GAAP tax expense to the amount of taxes that are paid or payable in cash in respect of the current period. As there is a significant difference between the Company's effective tax rate and actual cash income taxes paid or payable, GAAP income tax expense is not deemed useful in evaluating the Company's operating performance. Non-GAAP unreimbursed R&amp;D represents non-GAAP R&amp;D expenses reduced by R&amp;D expense reimbursements from the Company's collaboration partners. Management uses these non-GAAP measures for planning, budgeting, forecasting, assessing historical performance, and making financial and operational decisions, and also provides forecasts to investors on this basis.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318" w:lineRule="exact"/>
        <w:rPr>
          <w:rFonts w:ascii="Arial" w:cs="Arial" w:eastAsia="Arial" w:hAnsi="Arial"/>
          <w:sz w:val="21"/>
          <w:szCs w:val="21"/>
          <w:color w:val="auto"/>
          <w:vertAlign w:val="superscript"/>
        </w:rPr>
      </w:pPr>
    </w:p>
    <w:p>
      <w:pPr>
        <w:ind w:left="345" w:right="960" w:hanging="345"/>
        <w:spacing w:after="0" w:line="225" w:lineRule="auto"/>
        <w:tabs>
          <w:tab w:leader="none" w:pos="345" w:val="left"/>
        </w:tabs>
        <w:numPr>
          <w:ilvl w:val="0"/>
          <w:numId w:val="7"/>
        </w:numPr>
        <w:rPr>
          <w:rFonts w:ascii="Arial" w:cs="Arial" w:eastAsia="Arial" w:hAnsi="Arial"/>
          <w:sz w:val="22"/>
          <w:szCs w:val="22"/>
          <w:color w:val="auto"/>
          <w:vertAlign w:val="superscript"/>
        </w:rPr>
      </w:pPr>
      <w:r>
        <w:rPr>
          <w:rFonts w:ascii="Arial" w:cs="Arial" w:eastAsia="Arial" w:hAnsi="Arial"/>
          <w:sz w:val="20"/>
          <w:szCs w:val="20"/>
          <w:color w:val="auto"/>
        </w:rPr>
        <w:t>The Company's 2015 financial guidance does not assume the completion of any significant business development transactions not completed as of the date of this press release.</w:t>
      </w:r>
    </w:p>
    <w:p>
      <w:pPr>
        <w:spacing w:after="0" w:line="154" w:lineRule="exact"/>
        <w:rPr>
          <w:rFonts w:ascii="Arial" w:cs="Arial" w:eastAsia="Arial" w:hAnsi="Arial"/>
          <w:sz w:val="22"/>
          <w:szCs w:val="22"/>
          <w:color w:val="auto"/>
          <w:vertAlign w:val="superscript"/>
        </w:rPr>
      </w:pPr>
    </w:p>
    <w:p>
      <w:pPr>
        <w:ind w:left="345" w:right="20" w:hanging="345"/>
        <w:spacing w:after="0" w:line="225" w:lineRule="auto"/>
        <w:tabs>
          <w:tab w:leader="none" w:pos="345" w:val="left"/>
        </w:tabs>
        <w:numPr>
          <w:ilvl w:val="0"/>
          <w:numId w:val="7"/>
        </w:numPr>
        <w:rPr>
          <w:rFonts w:ascii="Arial" w:cs="Arial" w:eastAsia="Arial" w:hAnsi="Arial"/>
          <w:sz w:val="22"/>
          <w:szCs w:val="22"/>
          <w:color w:val="auto"/>
          <w:vertAlign w:val="superscript"/>
        </w:rPr>
      </w:pPr>
      <w:r>
        <w:rPr>
          <w:rFonts w:ascii="Arial" w:cs="Arial" w:eastAsia="Arial" w:hAnsi="Arial"/>
          <w:sz w:val="20"/>
          <w:szCs w:val="20"/>
          <w:color w:val="auto"/>
        </w:rPr>
        <w:t>Applicable amounts previously reported for the three months ended June 30, 2014 and as of December 31, 2014 have been revised to reflect certain revisions, including a correction to the Company's accounting for certain stock option awards. These revisions consisted entirely of non-cash adjustments and had no impact on the Company's previously reported non-GAAP financial measures, including non-GAAP net income and non-GAAP net income per share. Refer to the Company's Form 10-Q for the quarterly period ended June 30, 2015 (Notes 1 and 4 of the Notes to Condensed Consolidated Financial Statements) for further details.</w:t>
      </w:r>
    </w:p>
    <w:p>
      <w:pPr>
        <w:spacing w:after="0" w:line="84" w:lineRule="exact"/>
        <w:rPr>
          <w:sz w:val="20"/>
          <w:szCs w:val="20"/>
          <w:color w:val="auto"/>
        </w:rPr>
      </w:pPr>
    </w:p>
    <w:p>
      <w:pPr>
        <w:ind w:left="5"/>
        <w:spacing w:after="0"/>
        <w:rPr>
          <w:sz w:val="20"/>
          <w:szCs w:val="20"/>
          <w:color w:val="auto"/>
        </w:rPr>
      </w:pPr>
      <w:r>
        <w:rPr>
          <w:rFonts w:ascii="Arial" w:cs="Arial" w:eastAsia="Arial" w:hAnsi="Arial"/>
          <w:sz w:val="11"/>
          <w:szCs w:val="11"/>
          <w:color w:val="auto"/>
        </w:rPr>
        <w:t>(5)</w:t>
      </w:r>
    </w:p>
    <w:p>
      <w:pPr>
        <w:ind w:left="345" w:right="500"/>
        <w:spacing w:after="0" w:line="236" w:lineRule="auto"/>
        <w:rPr>
          <w:sz w:val="20"/>
          <w:szCs w:val="20"/>
          <w:color w:val="auto"/>
        </w:rPr>
      </w:pPr>
      <w:r>
        <w:rPr>
          <w:rFonts w:ascii="Arial" w:cs="Arial" w:eastAsia="Arial" w:hAnsi="Arial"/>
          <w:sz w:val="20"/>
          <w:szCs w:val="20"/>
          <w:color w:val="auto"/>
        </w:rPr>
        <w:t>In the fourth quarter of 2014, Sanofi provided notice to Regeneron that it had elected not to continue co-development of REGN2222 effective December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6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5"/>
          </w:cols>
          <w:pgMar w:left="275" w:top="77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 xml:space="preserve">Regeneron will host a conference call and simultaneous webcast to discuss its second quarter 2015 financial and operating results on Tuesday, August 4, 2015, at 8:30 AM. To access this call, dial (888) 660-6127 (U.S.) or (973) 890-8355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 xml:space="preserve">Regeneron is a leading science-based biopharmaceutical company based in Tarrytown, New York that discovers, invents, develops, manufactures, and commercializes medicines for the treatment of serious medical conditions. Regeneron commercializes medicines for eye diseases, high LDL-cholesterol, and a rare inflammatory condition and has product candidates in development in other areas of high unmet medical need, including oncology, rheumatoid arthritis, asthma, atopic dermatitis, pain, and infectious diseases. For additional information about the Company, please visit </w:t>
      </w:r>
      <w:r>
        <w:rPr>
          <w:rFonts w:ascii="Arial" w:cs="Arial" w:eastAsia="Arial" w:hAnsi="Arial"/>
          <w:sz w:val="22"/>
          <w:szCs w:val="22"/>
          <w:u w:val="single" w:color="auto"/>
          <w:color w:val="0000FF"/>
        </w:rPr>
        <w:t>www.regeneron.com</w:t>
      </w:r>
      <w:r>
        <w:rPr>
          <w:rFonts w:ascii="Arial" w:cs="Arial" w:eastAsia="Arial" w:hAnsi="Arial"/>
          <w:sz w:val="22"/>
          <w:szCs w:val="22"/>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Injection, sarilumab, dupilumab, fasinumab, REGN2222, and REGN2176-3; ongoing regulatory obligations and oversight impacting Regeneron’s marketed products (such as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and Praluent),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 developing, producing, and selling products; the ability of Regeneron to meet any of its sales or other financial projections or guidance and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10" w:name="page11"/>
    <w:bookmarkEnd w:id="10"/>
    <w:p>
      <w:pPr>
        <w:spacing w:after="0" w:line="244" w:lineRule="auto"/>
        <w:rPr>
          <w:sz w:val="20"/>
          <w:szCs w:val="20"/>
          <w:color w:val="auto"/>
        </w:rPr>
      </w:pPr>
      <w:r>
        <w:rPr>
          <w:rFonts w:ascii="Arial" w:cs="Arial" w:eastAsia="Arial" w:hAnsi="Arial"/>
          <w:sz w:val="22"/>
          <w:szCs w:val="22"/>
          <w:color w:val="auto"/>
        </w:rPr>
        <w:t>changes to the assumptions underlying those projections or guidance, including without limitation those relating to EYLEA U.S. net product sales, non-GAAP unreimbursed R&amp;D, non-GAAP SG&amp;A, cash tax as a percentage of non-GAAP pre-tax income, and capital expenditures; the potential for any license or collaboration agreement, including Regeneron’s agreements with Sanofi and Bayer HealthCare LLC, to be cancelled or terminated without any further product success; and risks associated with intellectual property of other parties and pending or future litigation relating thereto. A more complete description of these and other material risks can be found in Regeneron’s filings with the U.S. Securities and Exchange Commission, including its Form 10-K for the fiscal year ended December 31, 2014 and its Form 10-Q for the quarterly period ended June 30, 2015.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50" w:lineRule="exact"/>
        <w:rPr>
          <w:sz w:val="20"/>
          <w:szCs w:val="20"/>
          <w:color w:val="auto"/>
        </w:rPr>
      </w:pPr>
    </w:p>
    <w:p>
      <w:pPr>
        <w:ind w:right="34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w:t>
      </w:r>
      <w:r>
        <w:rPr>
          <w:rFonts w:ascii="Arial" w:cs="Arial" w:eastAsia="Arial" w:hAnsi="Arial"/>
          <w:sz w:val="22"/>
          <w:szCs w:val="22"/>
          <w:u w:val="single" w:color="auto"/>
          <w:color w:val="0000FF"/>
        </w:rPr>
        <w:t>http://newsroom.regeneron.com</w:t>
      </w:r>
      <w:r>
        <w:rPr>
          <w:rFonts w:ascii="Arial" w:cs="Arial" w:eastAsia="Arial" w:hAnsi="Arial"/>
          <w:sz w:val="22"/>
          <w:szCs w:val="22"/>
          <w:color w:val="auto"/>
        </w:rPr>
        <w:t>) and its Twitter feed (</w:t>
      </w:r>
      <w:r>
        <w:rPr>
          <w:rFonts w:ascii="Arial" w:cs="Arial" w:eastAsia="Arial" w:hAnsi="Arial"/>
          <w:sz w:val="22"/>
          <w:szCs w:val="22"/>
          <w:u w:val="single" w:color="auto"/>
          <w:color w:val="0000FF"/>
        </w:rPr>
        <w:t>http://twitter.com/regeneron</w:t>
      </w:r>
      <w:r>
        <w:rPr>
          <w:rFonts w:ascii="Arial" w:cs="Arial" w:eastAsia="Arial" w:hAnsi="Arial"/>
          <w:sz w:val="22"/>
          <w:szCs w:val="22"/>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This press release and/or the financial results attached to this press release include amounts that are considered “non-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 under SEC rules. As required, Regeneron has provided reconciliations of historical 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420"/>
          </w:cols>
          <w:pgMar w:left="240" w:top="606" w:right="239" w:bottom="1440" w:gutter="0" w:footer="0" w:header="0"/>
        </w:sect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80" w:space="720"/>
            <w:col w:w="5420"/>
          </w:cols>
          <w:pgMar w:left="240" w:top="606"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80" w:space="720"/>
            <w:col w:w="5420"/>
          </w:cols>
          <w:pgMar w:left="240" w:top="606"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80" w:space="720"/>
            <w:col w:w="5420"/>
          </w:cols>
          <w:pgMar w:left="240" w:top="606" w:right="23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80" w:space="720"/>
            <w:col w:w="5420"/>
          </w:cols>
          <w:pgMar w:left="240" w:top="60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606"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630"/>
        </w:trPr>
        <w:tc>
          <w:tcPr>
            <w:tcW w:w="60" w:type="dxa"/>
            <w:vAlign w:val="bottom"/>
          </w:tcPr>
          <w:p>
            <w:pPr>
              <w:spacing w:after="0"/>
              <w:rPr>
                <w:sz w:val="24"/>
                <w:szCs w:val="24"/>
                <w:color w:val="auto"/>
              </w:rPr>
            </w:pPr>
          </w:p>
        </w:tc>
        <w:tc>
          <w:tcPr>
            <w:tcW w:w="8060" w:type="dxa"/>
            <w:vAlign w:val="bottom"/>
          </w:tcPr>
          <w:p>
            <w:pPr>
              <w:jc w:val="center"/>
              <w:ind w:left="315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0"/>
        </w:trPr>
        <w:tc>
          <w:tcPr>
            <w:tcW w:w="60" w:type="dxa"/>
            <w:vAlign w:val="bottom"/>
          </w:tcPr>
          <w:p>
            <w:pPr>
              <w:spacing w:after="0"/>
              <w:rPr>
                <w:sz w:val="19"/>
                <w:szCs w:val="19"/>
                <w:color w:val="auto"/>
              </w:rPr>
            </w:pPr>
          </w:p>
        </w:tc>
        <w:tc>
          <w:tcPr>
            <w:tcW w:w="8400" w:type="dxa"/>
            <w:vAlign w:val="bottom"/>
            <w:gridSpan w:val="2"/>
          </w:tcPr>
          <w:p>
            <w:pPr>
              <w:jc w:val="center"/>
              <w:ind w:left="281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8060" w:type="dxa"/>
            <w:vAlign w:val="bottom"/>
          </w:tcPr>
          <w:p>
            <w:pPr>
              <w:jc w:val="center"/>
              <w:ind w:left="315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594"/>
        </w:trPr>
        <w:tc>
          <w:tcPr>
            <w:tcW w:w="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97"/>
        </w:trPr>
        <w:tc>
          <w:tcPr>
            <w:tcW w:w="60" w:type="dxa"/>
            <w:vAlign w:val="bottom"/>
          </w:tcPr>
          <w:p>
            <w:pPr>
              <w:spacing w:after="0"/>
              <w:rPr>
                <w:sz w:val="24"/>
                <w:szCs w:val="24"/>
                <w:color w:val="auto"/>
              </w:rPr>
            </w:pPr>
          </w:p>
        </w:tc>
        <w:tc>
          <w:tcPr>
            <w:tcW w:w="80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r>
              <w:rPr>
                <w:rFonts w:ascii="Arial" w:cs="Arial" w:eastAsia="Arial" w:hAnsi="Arial"/>
                <w:sz w:val="25"/>
                <w:szCs w:val="25"/>
                <w:b w:val="1"/>
                <w:bCs w:val="1"/>
                <w:color w:val="auto"/>
                <w:vertAlign w:val="superscript"/>
              </w:rPr>
              <w:t>*</w:t>
            </w:r>
          </w:p>
        </w:tc>
      </w:tr>
      <w:tr>
        <w:trPr>
          <w:trHeight w:val="244"/>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Cash and marketable securities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1,193,843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1,360,634</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 trade, net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1,071,665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739,379</w:t>
            </w:r>
          </w:p>
        </w:tc>
      </w:tr>
      <w:tr>
        <w:trPr>
          <w:trHeight w:val="243"/>
        </w:trPr>
        <w:tc>
          <w:tcPr>
            <w:tcW w:w="6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Accounts receivable from Sanofi and Bayer HealthCare</w:t>
            </w:r>
          </w:p>
        </w:tc>
        <w:tc>
          <w:tcPr>
            <w:tcW w:w="3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323,460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236,993</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128,861</w:t>
            </w:r>
          </w:p>
        </w:tc>
      </w:tr>
      <w:tr>
        <w:trPr>
          <w:trHeight w:val="243"/>
        </w:trPr>
        <w:tc>
          <w:tcPr>
            <w:tcW w:w="6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393,387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315,416</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1,326,112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974,309</w:t>
            </w:r>
          </w:p>
        </w:tc>
      </w:tr>
      <w:tr>
        <w:trPr>
          <w:trHeight w:val="243"/>
        </w:trPr>
        <w:tc>
          <w:tcPr>
            <w:tcW w:w="6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47,237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82,080</w:t>
            </w:r>
          </w:p>
        </w:tc>
      </w:tr>
      <w:tr>
        <w:trPr>
          <w:trHeight w:val="27"/>
        </w:trPr>
        <w:tc>
          <w:tcPr>
            <w:tcW w:w="60" w:type="dxa"/>
            <w:vAlign w:val="bottom"/>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60" w:type="dxa"/>
            <w:vAlign w:val="bottom"/>
          </w:tcPr>
          <w:p>
            <w:pPr>
              <w:spacing w:after="0"/>
              <w:rPr>
                <w:sz w:val="22"/>
                <w:szCs w:val="22"/>
                <w:color w:val="auto"/>
              </w:rPr>
            </w:pPr>
          </w:p>
        </w:tc>
        <w:tc>
          <w:tcPr>
            <w:tcW w:w="8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4,526,970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3,837,672</w:t>
            </w:r>
          </w:p>
        </w:tc>
      </w:tr>
      <w:tr>
        <w:trPr>
          <w:trHeight w:val="20"/>
        </w:trPr>
        <w:tc>
          <w:tcPr>
            <w:tcW w:w="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606,313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619,083</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209,274</w:t>
            </w:r>
          </w:p>
        </w:tc>
      </w:tr>
      <w:tr>
        <w:trPr>
          <w:trHeight w:val="243"/>
        </w:trPr>
        <w:tc>
          <w:tcPr>
            <w:tcW w:w="6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Facility lease obligations</w:t>
            </w:r>
          </w:p>
        </w:tc>
        <w:tc>
          <w:tcPr>
            <w:tcW w:w="3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359,250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312,291</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146,773</w:t>
            </w:r>
          </w:p>
        </w:tc>
      </w:tr>
      <w:tr>
        <w:trPr>
          <w:trHeight w:val="243"/>
        </w:trPr>
        <w:tc>
          <w:tcPr>
            <w:tcW w:w="6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3,338,458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2,550,251</w:t>
            </w:r>
          </w:p>
        </w:tc>
      </w:tr>
      <w:tr>
        <w:trPr>
          <w:trHeight w:val="27"/>
        </w:trPr>
        <w:tc>
          <w:tcPr>
            <w:tcW w:w="60" w:type="dxa"/>
            <w:vAlign w:val="bottom"/>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60" w:type="dxa"/>
            <w:vAlign w:val="bottom"/>
          </w:tcPr>
          <w:p>
            <w:pPr>
              <w:spacing w:after="0"/>
              <w:rPr>
                <w:sz w:val="22"/>
                <w:szCs w:val="22"/>
                <w:color w:val="auto"/>
              </w:rPr>
            </w:pPr>
          </w:p>
        </w:tc>
        <w:tc>
          <w:tcPr>
            <w:tcW w:w="8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4,526,970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3,837,672</w:t>
            </w:r>
          </w:p>
        </w:tc>
      </w:tr>
      <w:tr>
        <w:trPr>
          <w:trHeight w:val="20"/>
        </w:trPr>
        <w:tc>
          <w:tcPr>
            <w:tcW w:w="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60" w:hanging="128"/>
        <w:spacing w:after="0"/>
        <w:tabs>
          <w:tab w:leader="none" w:pos="4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Certain revisions have been made to the previously reported December 31, 2014 amounts. See note (4) above.</w:t>
      </w:r>
    </w:p>
    <w:p>
      <w:pPr>
        <w:spacing w:after="0" w:line="200" w:lineRule="exact"/>
        <w:rPr>
          <w:rFonts w:ascii="Arial" w:cs="Arial" w:eastAsia="Arial" w:hAnsi="Arial"/>
          <w:sz w:val="16"/>
          <w:szCs w:val="16"/>
          <w:i w:val="1"/>
          <w:iCs w:val="1"/>
          <w:color w:val="auto"/>
        </w:rPr>
      </w:pPr>
    </w:p>
    <w:p>
      <w:pPr>
        <w:spacing w:after="0" w:line="232" w:lineRule="exact"/>
        <w:rPr>
          <w:rFonts w:ascii="Arial" w:cs="Arial" w:eastAsia="Arial" w:hAnsi="Arial"/>
          <w:sz w:val="16"/>
          <w:szCs w:val="16"/>
          <w:i w:val="1"/>
          <w:iCs w:val="1"/>
          <w:color w:val="auto"/>
        </w:rPr>
      </w:pPr>
    </w:p>
    <w:p>
      <w:pPr>
        <w:ind w:left="5660"/>
        <w:spacing w:after="0"/>
        <w:rPr>
          <w:rFonts w:ascii="Arial" w:cs="Arial" w:eastAsia="Arial" w:hAnsi="Arial"/>
          <w:sz w:val="16"/>
          <w:szCs w:val="16"/>
          <w:i w:val="1"/>
          <w:iCs w:val="1"/>
          <w:color w:val="auto"/>
        </w:rPr>
      </w:pPr>
      <w:r>
        <w:rPr>
          <w:rFonts w:ascii="Arial" w:cs="Arial" w:eastAsia="Arial" w:hAnsi="Arial"/>
          <w:sz w:val="18"/>
          <w:szCs w:val="18"/>
          <w:color w:val="auto"/>
        </w:rPr>
        <w:t>8</w:t>
      </w:r>
    </w:p>
    <w:p>
      <w:pPr>
        <w:sectPr>
          <w:pgSz w:w="11900" w:h="16838" w:orient="portrait"/>
          <w:cols w:equalWidth="0" w:num="1">
            <w:col w:w="11380"/>
          </w:cols>
          <w:pgMar w:left="240" w:top="584" w:right="2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TABLE 2</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30"/>
        </w:trPr>
        <w:tc>
          <w:tcPr>
            <w:tcW w:w="8580" w:type="dxa"/>
            <w:vAlign w:val="bottom"/>
            <w:gridSpan w:val="7"/>
          </w:tcPr>
          <w:p>
            <w:pPr>
              <w:jc w:val="center"/>
              <w:ind w:left="2750"/>
              <w:spacing w:after="0"/>
              <w:rPr>
                <w:sz w:val="20"/>
                <w:szCs w:val="20"/>
                <w:color w:val="auto"/>
              </w:rPr>
            </w:pPr>
            <w:r>
              <w:rPr>
                <w:rFonts w:ascii="Arial" w:cs="Arial" w:eastAsia="Arial" w:hAnsi="Arial"/>
                <w:sz w:val="18"/>
                <w:szCs w:val="18"/>
                <w:b w:val="1"/>
                <w:bCs w:val="1"/>
                <w:color w:val="auto"/>
              </w:rPr>
              <w:t>REGENERON PHARMACEUTICALS, INC.</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0"/>
        </w:trPr>
        <w:tc>
          <w:tcPr>
            <w:tcW w:w="9000" w:type="dxa"/>
            <w:vAlign w:val="bottom"/>
            <w:gridSpan w:val="8"/>
          </w:tcPr>
          <w:p>
            <w:pPr>
              <w:jc w:val="center"/>
              <w:ind w:left="235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380" w:type="dxa"/>
            <w:vAlign w:val="bottom"/>
            <w:gridSpan w:val="5"/>
          </w:tcPr>
          <w:p>
            <w:pPr>
              <w:jc w:val="center"/>
              <w:ind w:left="397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76"/>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24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0"/>
              <w:spacing w:after="0" w:line="264" w:lineRule="exact"/>
              <w:rPr>
                <w:sz w:val="20"/>
                <w:szCs w:val="20"/>
                <w:color w:val="auto"/>
              </w:rPr>
            </w:pPr>
            <w:r>
              <w:rPr>
                <w:rFonts w:ascii="Arial" w:cs="Arial" w:eastAsia="Arial" w:hAnsi="Arial"/>
                <w:sz w:val="18"/>
                <w:szCs w:val="18"/>
                <w:b w:val="1"/>
                <w:bCs w:val="1"/>
                <w:color w:val="auto"/>
              </w:rPr>
              <w:t>2014</w:t>
            </w:r>
            <w:r>
              <w:rPr>
                <w:rFonts w:ascii="Arial" w:cs="Arial" w:eastAsia="Arial" w:hAnsi="Arial"/>
                <w:sz w:val="25"/>
                <w:szCs w:val="25"/>
                <w:b w:val="1"/>
                <w:bCs w:val="1"/>
                <w:color w:val="auto"/>
                <w:vertAlign w:val="superscript"/>
              </w:rPr>
              <w:t>*</w:t>
            </w:r>
          </w:p>
        </w:tc>
        <w:tc>
          <w:tcPr>
            <w:tcW w:w="2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0"/>
              <w:spacing w:after="0" w:line="264" w:lineRule="exact"/>
              <w:rPr>
                <w:sz w:val="20"/>
                <w:szCs w:val="20"/>
                <w:color w:val="auto"/>
              </w:rPr>
            </w:pPr>
            <w:r>
              <w:rPr>
                <w:rFonts w:ascii="Arial" w:cs="Arial" w:eastAsia="Arial" w:hAnsi="Arial"/>
                <w:sz w:val="18"/>
                <w:szCs w:val="18"/>
                <w:b w:val="1"/>
                <w:bCs w:val="1"/>
                <w:color w:val="auto"/>
              </w:rPr>
              <w:t>2014</w:t>
            </w:r>
            <w:r>
              <w:rPr>
                <w:rFonts w:ascii="Arial" w:cs="Arial" w:eastAsia="Arial" w:hAnsi="Arial"/>
                <w:sz w:val="25"/>
                <w:szCs w:val="25"/>
                <w:b w:val="1"/>
                <w:bCs w:val="1"/>
                <w:color w:val="auto"/>
                <w:vertAlign w:val="superscript"/>
              </w:rPr>
              <w:t>*</w:t>
            </w: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657,819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418,022</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1,202,392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780,400</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Sanofi collaboration revenue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195,110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142,595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368,466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273,103</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Bayer HealthCare collaboration revenue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134,237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97,295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258,083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222,607</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licensing and other revenue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7,788</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39,288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15,330</w:t>
            </w:r>
          </w:p>
        </w:tc>
      </w:tr>
      <w:tr>
        <w:trPr>
          <w:trHeight w:val="237"/>
        </w:trPr>
        <w:tc>
          <w:tcPr>
            <w:tcW w:w="55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998,617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665,700</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1,868,229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1,291,440</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390,330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294,501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733,443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581,880</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174,588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96,730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333,579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199,957</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60,855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29,945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103,425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57,418</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collaboration and contract manufacturing (COCM)</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27,985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16,434</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69,370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32,533</w:t>
            </w:r>
          </w:p>
        </w:tc>
      </w:tr>
      <w:tr>
        <w:trPr>
          <w:trHeight w:val="237"/>
        </w:trPr>
        <w:tc>
          <w:tcPr>
            <w:tcW w:w="55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653,758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437,610</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1,239,817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871,788</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344,859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228,090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628,412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419,652</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and other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2,614</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(10,177)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(21,790)</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r>
      <w:tr>
        <w:trPr>
          <w:trHeight w:val="237"/>
        </w:trPr>
        <w:tc>
          <w:tcPr>
            <w:tcW w:w="55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(19,287)</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(29,963)</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327,996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208,803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604,519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389,689</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(133,353)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(112,452)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(333,855)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(225,033)</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30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194,643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96,351</w:t>
            </w:r>
          </w:p>
        </w:tc>
        <w:tc>
          <w:tcPr>
            <w:tcW w:w="2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270,664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164,656</w:t>
            </w: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0.96</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324"/>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100,391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100,085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115,259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113,032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114,962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113,121</w:t>
            </w:r>
          </w:p>
        </w:tc>
      </w:tr>
    </w:tbl>
    <w:p>
      <w:pPr>
        <w:spacing w:after="0" w:line="233" w:lineRule="exact"/>
        <w:rPr>
          <w:sz w:val="20"/>
          <w:szCs w:val="20"/>
          <w:color w:val="auto"/>
        </w:rPr>
      </w:pPr>
    </w:p>
    <w:p>
      <w:pPr>
        <w:ind w:left="300" w:hanging="130"/>
        <w:spacing w:after="0"/>
        <w:tabs>
          <w:tab w:leader="none" w:pos="30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Certain revisions have been made to the previously reported amounts for the three and six months ended June 30, 2014. See note (4) above.</w:t>
      </w:r>
    </w:p>
    <w:p>
      <w:pPr>
        <w:spacing w:after="0" w:line="200" w:lineRule="exact"/>
        <w:rPr>
          <w:rFonts w:ascii="Arial" w:cs="Arial" w:eastAsia="Arial" w:hAnsi="Arial"/>
          <w:sz w:val="16"/>
          <w:szCs w:val="16"/>
          <w:i w:val="1"/>
          <w:iCs w:val="1"/>
          <w:color w:val="auto"/>
        </w:rPr>
      </w:pPr>
    </w:p>
    <w:p>
      <w:pPr>
        <w:spacing w:after="0" w:line="200" w:lineRule="exact"/>
        <w:rPr>
          <w:rFonts w:ascii="Arial" w:cs="Arial" w:eastAsia="Arial" w:hAnsi="Arial"/>
          <w:sz w:val="16"/>
          <w:szCs w:val="16"/>
          <w:i w:val="1"/>
          <w:iCs w:val="1"/>
          <w:color w:val="auto"/>
        </w:rPr>
      </w:pPr>
    </w:p>
    <w:p>
      <w:pPr>
        <w:spacing w:after="0" w:line="275" w:lineRule="exact"/>
        <w:rPr>
          <w:rFonts w:ascii="Arial" w:cs="Arial" w:eastAsia="Arial" w:hAnsi="Arial"/>
          <w:sz w:val="16"/>
          <w:szCs w:val="16"/>
          <w:i w:val="1"/>
          <w:iCs w:val="1"/>
          <w:color w:val="auto"/>
        </w:rPr>
      </w:pPr>
    </w:p>
    <w:p>
      <w:pPr>
        <w:ind w:left="5660"/>
        <w:spacing w:after="0"/>
        <w:rPr>
          <w:rFonts w:ascii="Arial" w:cs="Arial" w:eastAsia="Arial" w:hAnsi="Arial"/>
          <w:sz w:val="16"/>
          <w:szCs w:val="16"/>
          <w:i w:val="1"/>
          <w:iCs w:val="1"/>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TABLE 3</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630"/>
        </w:trPr>
        <w:tc>
          <w:tcPr>
            <w:tcW w:w="8360" w:type="dxa"/>
            <w:vAlign w:val="bottom"/>
            <w:gridSpan w:val="7"/>
          </w:tcPr>
          <w:p>
            <w:pPr>
              <w:jc w:val="center"/>
              <w:ind w:left="297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0"/>
        </w:trPr>
        <w:tc>
          <w:tcPr>
            <w:tcW w:w="9940" w:type="dxa"/>
            <w:vAlign w:val="bottom"/>
            <w:gridSpan w:val="10"/>
          </w:tcPr>
          <w:p>
            <w:pPr>
              <w:jc w:val="center"/>
              <w:ind w:left="141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140" w:type="dxa"/>
            <w:vAlign w:val="bottom"/>
            <w:gridSpan w:val="5"/>
          </w:tcPr>
          <w:p>
            <w:pPr>
              <w:jc w:val="center"/>
              <w:ind w:left="421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76"/>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line="264" w:lineRule="exact"/>
              <w:rPr>
                <w:sz w:val="20"/>
                <w:szCs w:val="20"/>
                <w:color w:val="auto"/>
              </w:rPr>
            </w:pPr>
            <w:r>
              <w:rPr>
                <w:rFonts w:ascii="Arial" w:cs="Arial" w:eastAsia="Arial" w:hAnsi="Arial"/>
                <w:sz w:val="18"/>
                <w:szCs w:val="18"/>
                <w:b w:val="1"/>
                <w:bCs w:val="1"/>
                <w:color w:val="auto"/>
                <w:w w:val="98"/>
              </w:rPr>
              <w:t>2014</w:t>
            </w:r>
            <w:r>
              <w:rPr>
                <w:rFonts w:ascii="Arial" w:cs="Arial" w:eastAsia="Arial" w:hAnsi="Arial"/>
                <w:sz w:val="25"/>
                <w:szCs w:val="25"/>
                <w:b w:val="1"/>
                <w:bCs w:val="1"/>
                <w:color w:val="auto"/>
                <w:w w:val="98"/>
                <w:vertAlign w:val="superscript"/>
              </w:rPr>
              <w:t>*</w:t>
            </w: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line="264" w:lineRule="exact"/>
              <w:rPr>
                <w:sz w:val="20"/>
                <w:szCs w:val="20"/>
                <w:color w:val="auto"/>
              </w:rPr>
            </w:pPr>
            <w:r>
              <w:rPr>
                <w:rFonts w:ascii="Arial" w:cs="Arial" w:eastAsia="Arial" w:hAnsi="Arial"/>
                <w:sz w:val="18"/>
                <w:szCs w:val="18"/>
                <w:b w:val="1"/>
                <w:bCs w:val="1"/>
                <w:color w:val="auto"/>
              </w:rPr>
              <w:t>2014</w:t>
            </w:r>
            <w:r>
              <w:rPr>
                <w:rFonts w:ascii="Arial" w:cs="Arial" w:eastAsia="Arial" w:hAnsi="Arial"/>
                <w:sz w:val="25"/>
                <w:szCs w:val="25"/>
                <w:b w:val="1"/>
                <w:bCs w:val="1"/>
                <w:color w:val="auto"/>
                <w:vertAlign w:val="superscript"/>
              </w:rPr>
              <w:t>*</w:t>
            </w: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194,643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96,351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270,664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164,656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Adjustments: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R&amp;D: Non-cash 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43,814</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87,118</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SG&amp;A: Non-cash share-based compensation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32,159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20,483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74,334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52,447</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COGS and COCM: Non-cash 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w w:val="94"/>
              </w:rPr>
              <w:t>Interest expense: Non-cash interest related to convertible senior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notes</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4,947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10,871</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10,787</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Non-cash income taxes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32,925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112,452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185,891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225,033</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338,124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289,365</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674,060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551,960</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per share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4.70</w:t>
            </w:r>
          </w:p>
        </w:tc>
      </w:tr>
      <w:tr>
        <w:trPr>
          <w:trHeight w:val="270"/>
        </w:trPr>
        <w:tc>
          <w:tcPr>
            <w:tcW w:w="5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Shares used in calculating:</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per share - basic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100,391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100,085</w:t>
            </w:r>
          </w:p>
        </w:tc>
      </w:tr>
      <w:tr>
        <w:trPr>
          <w:trHeight w:val="341"/>
        </w:trPr>
        <w:tc>
          <w:tcPr>
            <w:tcW w:w="5040" w:type="dxa"/>
            <w:vAlign w:val="bottom"/>
          </w:tcPr>
          <w:p>
            <w:pPr>
              <w:ind w:left="40"/>
              <w:spacing w:after="0"/>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(b)</w:t>
            </w:r>
          </w:p>
        </w:tc>
        <w:tc>
          <w:tcPr>
            <w:tcW w:w="3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116,977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117,805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116,778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118,027</w:t>
            </w:r>
          </w:p>
        </w:tc>
      </w:tr>
    </w:tbl>
    <w:p>
      <w:pPr>
        <w:spacing w:after="0" w:line="135" w:lineRule="exact"/>
        <w:rPr>
          <w:sz w:val="20"/>
          <w:szCs w:val="20"/>
          <w:color w:val="auto"/>
        </w:rPr>
      </w:pPr>
    </w:p>
    <w:p>
      <w:pPr>
        <w:ind w:left="300" w:hanging="130"/>
        <w:spacing w:after="0"/>
        <w:tabs>
          <w:tab w:leader="none" w:pos="300" w:val="left"/>
        </w:tabs>
        <w:numPr>
          <w:ilvl w:val="1"/>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Certain revisions have been made to the amounts previously reported for the three and six months ended June 30, 2014. See note (4) above.</w:t>
      </w:r>
    </w:p>
    <w:p>
      <w:pPr>
        <w:spacing w:after="0" w:line="378" w:lineRule="exact"/>
        <w:rPr>
          <w:rFonts w:ascii="Arial" w:cs="Arial" w:eastAsia="Arial" w:hAnsi="Arial"/>
          <w:sz w:val="16"/>
          <w:szCs w:val="16"/>
          <w:i w:val="1"/>
          <w:iCs w:val="1"/>
          <w:color w:val="auto"/>
        </w:rPr>
      </w:pPr>
    </w:p>
    <w:p>
      <w:pPr>
        <w:ind w:left="380" w:right="120" w:hanging="345"/>
        <w:spacing w:after="0" w:line="259"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8"/>
          <w:szCs w:val="18"/>
          <w:color w:val="auto"/>
        </w:rPr>
        <w:t>For diluted non-GAAP net income per share calculations, excludes $1.4 million of interest expense for the three months ended June 30, 2014, and $0.4 million and $3.2 million, respectively, of interest expense for the six-month periods ended June 30, 2015 and 2014, related to the contractual coupon interest rate on the Company's 1.875% convertible senior notes, since these securities were dilutive. Such amount was not material for the three months ended June 30, 2015.</w:t>
      </w:r>
    </w:p>
    <w:p>
      <w:pPr>
        <w:spacing w:after="0" w:line="146" w:lineRule="exact"/>
        <w:rPr>
          <w:rFonts w:ascii="Arial" w:cs="Arial" w:eastAsia="Arial" w:hAnsi="Arial"/>
          <w:sz w:val="13"/>
          <w:szCs w:val="13"/>
          <w:color w:val="auto"/>
        </w:rPr>
      </w:pPr>
    </w:p>
    <w:p>
      <w:pPr>
        <w:ind w:left="380" w:right="40" w:hanging="345"/>
        <w:spacing w:after="0" w:line="277"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8"/>
          <w:szCs w:val="18"/>
          <w:color w:val="auto"/>
        </w:rPr>
        <w:t>Weighted average shares outstanding includes the dilutive effect, if any, of employee stock options, restricted stock awards, convertible senior notes, and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TABLE 4</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4"/>
        </w:trPr>
        <w:tc>
          <w:tcPr>
            <w:tcW w:w="7980" w:type="dxa"/>
            <w:vAlign w:val="bottom"/>
            <w:gridSpan w:val="7"/>
          </w:tcPr>
          <w:p>
            <w:pPr>
              <w:jc w:val="center"/>
              <w:ind w:left="3350"/>
              <w:spacing w:after="0"/>
              <w:rPr>
                <w:sz w:val="20"/>
                <w:szCs w:val="20"/>
                <w:color w:val="auto"/>
              </w:rPr>
            </w:pPr>
            <w:r>
              <w:rPr>
                <w:rFonts w:ascii="Arial" w:cs="Arial" w:eastAsia="Arial" w:hAnsi="Arial"/>
                <w:sz w:val="18"/>
                <w:szCs w:val="18"/>
                <w:b w:val="1"/>
                <w:bCs w:val="1"/>
                <w:color w:val="auto"/>
              </w:rPr>
              <w:t>REGENERON PHARMACEUTICALS, INC.</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0"/>
        </w:trPr>
        <w:tc>
          <w:tcPr>
            <w:tcW w:w="7980" w:type="dxa"/>
            <w:vAlign w:val="bottom"/>
            <w:gridSpan w:val="7"/>
          </w:tcPr>
          <w:p>
            <w:pPr>
              <w:jc w:val="center"/>
              <w:ind w:left="3350"/>
              <w:spacing w:after="0"/>
              <w:rPr>
                <w:sz w:val="20"/>
                <w:szCs w:val="20"/>
                <w:color w:val="auto"/>
              </w:rPr>
            </w:pPr>
            <w:r>
              <w:rPr>
                <w:rFonts w:ascii="Arial" w:cs="Arial" w:eastAsia="Arial" w:hAnsi="Arial"/>
                <w:sz w:val="18"/>
                <w:szCs w:val="18"/>
                <w:b w:val="1"/>
                <w:bCs w:val="1"/>
                <w:color w:val="auto"/>
                <w:w w:val="98"/>
              </w:rPr>
              <w:t>COLLABORATION REVENUE (Unaudited)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8"/>
              </w:rPr>
              <w:t>(In thousands)</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76"/>
        </w:trPr>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26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7"/>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Sanofi collaboration revenue: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4780" w:type="dxa"/>
            <w:vAlign w:val="bottom"/>
          </w:tcPr>
          <w:p>
            <w:pPr>
              <w:ind w:left="180"/>
              <w:spacing w:after="0"/>
              <w:rPr>
                <w:sz w:val="20"/>
                <w:szCs w:val="20"/>
                <w:color w:val="auto"/>
              </w:rPr>
            </w:pPr>
            <w:r>
              <w:rPr>
                <w:rFonts w:ascii="Arial" w:cs="Arial" w:eastAsia="Arial" w:hAnsi="Arial"/>
                <w:sz w:val="18"/>
                <w:szCs w:val="18"/>
                <w:color w:val="auto"/>
              </w:rPr>
              <w:t>Regeneron's share of losses in connection with</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780" w:type="dxa"/>
            <w:vAlign w:val="bottom"/>
          </w:tcPr>
          <w:p>
            <w:pPr>
              <w:ind w:left="340"/>
              <w:spacing w:after="0"/>
              <w:rPr>
                <w:sz w:val="20"/>
                <w:szCs w:val="20"/>
                <w:color w:val="auto"/>
              </w:rPr>
            </w:pPr>
            <w:r>
              <w:rPr>
                <w:rFonts w:ascii="Arial" w:cs="Arial" w:eastAsia="Arial" w:hAnsi="Arial"/>
                <w:sz w:val="18"/>
                <w:szCs w:val="18"/>
                <w:color w:val="auto"/>
              </w:rPr>
              <w:t>commercialization of antibodies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(46,313)</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(4,295)</w:t>
            </w:r>
          </w:p>
        </w:tc>
        <w:tc>
          <w:tcPr>
            <w:tcW w:w="2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(68,718)</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(4,295)</w:t>
            </w: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Regeneron's share of losses in connection with</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8"/>
        </w:trPr>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commercialization of ZALTRAP</w:t>
            </w:r>
            <w:r>
              <w:rPr>
                <w:rFonts w:ascii="Arial" w:cs="Arial" w:eastAsia="Arial" w:hAnsi="Arial"/>
                <w:sz w:val="21"/>
                <w:szCs w:val="21"/>
                <w:b w:val="1"/>
                <w:bCs w:val="1"/>
                <w:color w:val="auto"/>
                <w:vertAlign w:val="superscript"/>
              </w:rPr>
              <w:t>®</w:t>
            </w: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r>
      <w:tr>
        <w:trPr>
          <w:trHeight w:val="229"/>
        </w:trPr>
        <w:tc>
          <w:tcPr>
            <w:tcW w:w="4780" w:type="dxa"/>
            <w:vAlign w:val="bottom"/>
          </w:tcPr>
          <w:p>
            <w:pPr>
              <w:ind w:left="180"/>
              <w:spacing w:after="0"/>
              <w:rPr>
                <w:sz w:val="20"/>
                <w:szCs w:val="20"/>
                <w:color w:val="auto"/>
              </w:rPr>
            </w:pPr>
            <w:r>
              <w:rPr>
                <w:rFonts w:ascii="Arial" w:cs="Arial" w:eastAsia="Arial" w:hAnsi="Arial"/>
                <w:sz w:val="18"/>
                <w:szCs w:val="18"/>
                <w:color w:val="auto"/>
                <w:w w:val="99"/>
              </w:rPr>
              <w:t>Reimbursement of Regeneron research and development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780" w:type="dxa"/>
            <w:vAlign w:val="bottom"/>
          </w:tcPr>
          <w:p>
            <w:pPr>
              <w:ind w:left="3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211,516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139,231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381,022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267,145</w:t>
            </w: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Reimbursement of Regeneron commercialization-related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4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4,307</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35,804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5,375</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4,044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20,358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8,782</w:t>
            </w:r>
          </w:p>
        </w:tc>
      </w:tr>
      <w:tr>
        <w:trPr>
          <w:trHeight w:val="27"/>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Sanofi collaboration revenue</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195,110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142,595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368,466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273,103</w:t>
            </w:r>
          </w:p>
        </w:tc>
      </w:tr>
      <w:tr>
        <w:trPr>
          <w:trHeight w:val="318"/>
        </w:trPr>
        <w:tc>
          <w:tcPr>
            <w:tcW w:w="47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Bayer HealthCare collaboration revenue: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4780" w:type="dxa"/>
            <w:vAlign w:val="bottom"/>
          </w:tcPr>
          <w:p>
            <w:pPr>
              <w:ind w:left="180"/>
              <w:spacing w:after="0"/>
              <w:rPr>
                <w:sz w:val="20"/>
                <w:szCs w:val="20"/>
                <w:color w:val="auto"/>
              </w:rPr>
            </w:pPr>
            <w:r>
              <w:rPr>
                <w:rFonts w:ascii="Arial" w:cs="Arial" w:eastAsia="Arial" w:hAnsi="Arial"/>
                <w:sz w:val="18"/>
                <w:szCs w:val="18"/>
                <w:color w:val="auto"/>
                <w:w w:val="96"/>
              </w:rPr>
              <w:t>Regeneron's net profit in connection with commercialization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780" w:type="dxa"/>
            <w:vAlign w:val="bottom"/>
          </w:tcPr>
          <w:p>
            <w:pPr>
              <w:ind w:left="340"/>
              <w:spacing w:after="0"/>
              <w:rPr>
                <w:sz w:val="20"/>
                <w:szCs w:val="20"/>
                <w:color w:val="auto"/>
              </w:rPr>
            </w:pPr>
            <w:r>
              <w:rPr>
                <w:rFonts w:ascii="Arial" w:cs="Arial" w:eastAsia="Arial" w:hAnsi="Arial"/>
                <w:sz w:val="18"/>
                <w:szCs w:val="18"/>
                <w:color w:val="auto"/>
              </w:rPr>
              <w:t>of EYLEA outside the United States</w:t>
            </w:r>
          </w:p>
        </w:tc>
        <w:tc>
          <w:tcPr>
            <w:tcW w:w="2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106,631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66,781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196,057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127,940</w:t>
            </w: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milestones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Cost-sharing of Regeneron development expenses</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2,120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12,301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22,980</w:t>
            </w: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26,687</w:t>
            </w:r>
          </w:p>
        </w:tc>
      </w:tr>
      <w:tr>
        <w:trPr>
          <w:trHeight w:val="237"/>
        </w:trPr>
        <w:tc>
          <w:tcPr>
            <w:tcW w:w="4780" w:type="dxa"/>
            <w:vAlign w:val="bottom"/>
          </w:tcPr>
          <w:p>
            <w:pPr>
              <w:ind w:left="280"/>
              <w:spacing w:after="0"/>
              <w:rPr>
                <w:sz w:val="20"/>
                <w:szCs w:val="20"/>
                <w:color w:val="auto"/>
              </w:rPr>
            </w:pPr>
            <w:r>
              <w:rPr>
                <w:rFonts w:ascii="Arial" w:cs="Arial" w:eastAsia="Arial" w:hAnsi="Arial"/>
                <w:sz w:val="18"/>
                <w:szCs w:val="18"/>
                <w:color w:val="auto"/>
              </w:rPr>
              <w:t>Total Bayer HealthCare collaboration revenue</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134,237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97,295</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258,083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222,607</w:t>
            </w:r>
          </w:p>
        </w:tc>
      </w:tr>
      <w:tr>
        <w:trPr>
          <w:trHeight w:val="27"/>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4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4780" w:type="dxa"/>
            <w:vAlign w:val="bottom"/>
          </w:tcPr>
          <w:p>
            <w:pPr>
              <w:ind w:left="40"/>
              <w:spacing w:after="0"/>
              <w:rPr>
                <w:sz w:val="20"/>
                <w:szCs w:val="20"/>
                <w:color w:val="auto"/>
              </w:rPr>
            </w:pPr>
            <w:r>
              <w:rPr>
                <w:rFonts w:ascii="Arial" w:cs="Arial" w:eastAsia="Arial" w:hAnsi="Arial"/>
                <w:sz w:val="18"/>
                <w:szCs w:val="18"/>
                <w:color w:val="auto"/>
              </w:rPr>
              <w:t>Total collaboration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329,347</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239,890</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626,549</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495,710</w:t>
            </w: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78"/>
        </w:trPr>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240" w:top="58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2019-12-06T05:13:17Z</dcterms:created>
  <dcterms:modified xsi:type="dcterms:W3CDTF">2019-12-06T05:13:17Z</dcterms:modified>
</cp:coreProperties>
</file>