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November 14, 2016 (November 7, 2016)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REGENERON PHARMACEUTICALS,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000-19034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13-3444607</w:t>
            </w: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(I.R.S. Employer</w:t>
            </w: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File Number)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  <w:tr>
        <w:trPr>
          <w:trHeight w:val="418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777 Old Saw Mill River Road, Tarrytown, New York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10591-6707</w:t>
            </w: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(914) 847-7000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Instructions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186055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1.01. Entry into a Material Definitive Agreement.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November 7, 2016, Regeneron Pharmaceuticals, Inc. (“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Regeneron</w:t>
      </w:r>
      <w:r>
        <w:rPr>
          <w:rFonts w:ascii="Arial" w:cs="Arial" w:eastAsia="Arial" w:hAnsi="Arial"/>
          <w:sz w:val="16"/>
          <w:szCs w:val="16"/>
          <w:color w:val="auto"/>
        </w:rPr>
        <w:t>” or 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6"/>
          <w:szCs w:val="16"/>
          <w:color w:val="auto"/>
        </w:rPr>
        <w:t>”) entered into the Third Amendment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Third Amendment</w:t>
      </w:r>
      <w:r>
        <w:rPr>
          <w:rFonts w:ascii="Arial" w:cs="Arial" w:eastAsia="Arial" w:hAnsi="Arial"/>
          <w:sz w:val="16"/>
          <w:szCs w:val="16"/>
          <w:color w:val="auto"/>
        </w:rPr>
        <w:t>”)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to the Master Terms and Conditions for Warrants, dated as of October 18, 2011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Master Terms</w:t>
      </w:r>
      <w:r>
        <w:rPr>
          <w:rFonts w:ascii="Arial" w:cs="Arial" w:eastAsia="Arial" w:hAnsi="Arial"/>
          <w:sz w:val="16"/>
          <w:szCs w:val="16"/>
          <w:color w:val="auto"/>
        </w:rPr>
        <w:t>”), as supplemented by a confirmation dated October 18,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2011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Confirmation</w:t>
      </w:r>
      <w:r>
        <w:rPr>
          <w:rFonts w:ascii="Arial" w:cs="Arial" w:eastAsia="Arial" w:hAnsi="Arial"/>
          <w:sz w:val="16"/>
          <w:szCs w:val="16"/>
          <w:color w:val="auto"/>
        </w:rPr>
        <w:t>”) and as amended by the Amendment dated May 13, 2014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First Amendment</w:t>
      </w:r>
      <w:r>
        <w:rPr>
          <w:rFonts w:ascii="Arial" w:cs="Arial" w:eastAsia="Arial" w:hAnsi="Arial"/>
          <w:sz w:val="16"/>
          <w:szCs w:val="16"/>
          <w:color w:val="auto"/>
        </w:rPr>
        <w:t>”) and the Second Amendment dated February 22,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2016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Second Amendment</w:t>
      </w:r>
      <w:r>
        <w:rPr>
          <w:rFonts w:ascii="Arial" w:cs="Arial" w:eastAsia="Arial" w:hAnsi="Arial"/>
          <w:sz w:val="17"/>
          <w:szCs w:val="17"/>
          <w:color w:val="auto"/>
        </w:rPr>
        <w:t>”), with Citibank, N.A. (“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Citi</w:t>
      </w:r>
      <w:r>
        <w:rPr>
          <w:rFonts w:ascii="Arial" w:cs="Arial" w:eastAsia="Arial" w:hAnsi="Arial"/>
          <w:sz w:val="17"/>
          <w:szCs w:val="17"/>
          <w:color w:val="auto"/>
        </w:rPr>
        <w:t>”). The Master Terms, as supplemented by the Confirmation and amended by the First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Amendment and the Second Amendment, are referred to below as 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Warrant Agreement</w:t>
      </w:r>
      <w:r>
        <w:rPr>
          <w:rFonts w:ascii="Arial" w:cs="Arial" w:eastAsia="Arial" w:hAnsi="Arial"/>
          <w:sz w:val="17"/>
          <w:szCs w:val="17"/>
          <w:color w:val="auto"/>
        </w:rPr>
        <w:t>” and, as further amended by the Third Amendment, as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Amended Warrant Agreement</w:t>
      </w:r>
      <w:r>
        <w:rPr>
          <w:rFonts w:ascii="Arial" w:cs="Arial" w:eastAsia="Arial" w:hAnsi="Arial"/>
          <w:sz w:val="16"/>
          <w:szCs w:val="16"/>
          <w:color w:val="auto"/>
        </w:rPr>
        <w:t>.” The Warrant Agreement governed the remaining outstanding warrants issued by the Company to Citi in 2011 in connection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with the issuance of Regeneron’s 1.875% convertible senior notes (which matured on October 1, 2016 and are no longer outstanding) and the related hedging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transactions.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20" w:firstLine="324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Pursuant to the Third Amendment, the number of warrants held by Citi has been reduced by 381,293, or 63.1%, resulting in 223,373 warrants being held by Citi in accordance with the Amended Warrant Agreement. </w:t>
      </w:r>
      <w:r>
        <w:rPr>
          <w:rFonts w:ascii="Arial" w:cs="Arial" w:eastAsia="Arial" w:hAnsi="Arial"/>
          <w:sz w:val="15"/>
          <w:szCs w:val="15"/>
          <w:color w:val="auto"/>
        </w:rPr>
        <w:t>The aggregate amount paid or payable by the Company to Citi in consideration of entering into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Third Amendment is $103.8 million.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Third Amendment contains customary representations and warranties of the Company and Citi, respectively.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right="40" w:firstLine="324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foregoing description of the Third Amendment is qualified in its entirety by reference to the full text of the Third Amendment, a copy of which will be filed with the Securities and Exchange Commission as an exhibit to the Company’s Annual Report on Form 10-K for the year ending December 31, 2016.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4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REGENERON PHARMACEUTICALS, INC.</w:t>
      </w:r>
    </w:p>
    <w:p>
      <w:pPr>
        <w:sectPr>
          <w:pgSz w:w="11900" w:h="16838" w:orient="portrait"/>
          <w:cols w:equalWidth="0" w:num="1">
            <w:col w:w="11360"/>
          </w:cols>
          <w:pgMar w:left="240" w:top="544" w:right="299" w:bottom="0" w:gutter="0" w:footer="0" w:header="0"/>
        </w:sectPr>
      </w:pPr>
    </w:p>
    <w:bookmarkStart w:id="1" w:name="page2"/>
    <w:bookmarkEnd w:id="1"/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Joseph J. LaRosa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J. LaRosa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3632835</wp:posOffset>
            </wp:positionH>
            <wp:positionV relativeFrom="paragraph">
              <wp:posOffset>-130810</wp:posOffset>
            </wp:positionV>
            <wp:extent cx="36188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right"/>
        <w:ind w:right="6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General Counsel and Secretary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14, 2016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19"/>
      </w:cols>
      <w:pgMar w:left="240" w:top="55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2019-12-06T00:45:40Z</dcterms:created>
  <dcterms:modified xsi:type="dcterms:W3CDTF">2019-12-06T00:45:40Z</dcterms:modified>
</cp:coreProperties>
</file>