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120"/>
        <w:spacing w:after="0"/>
        <w:rPr>
          <w:sz w:val="20"/>
          <w:szCs w:val="20"/>
          <w:color w:val="auto"/>
        </w:rPr>
      </w:pPr>
      <w:r>
        <w:rPr>
          <w:rFonts w:ascii="Arial" w:cs="Arial" w:eastAsia="Arial" w:hAnsi="Arial"/>
          <w:sz w:val="21"/>
          <w:szCs w:val="21"/>
          <w:b w:val="1"/>
          <w:bCs w:val="1"/>
          <w:color w:val="auto"/>
        </w:rPr>
        <w:t>Date of Report (Date of earliest event reported): June 19, 2013 (June 14,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4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777 Old Saw Mill River Road, Tarrytown, New York 10591-6707</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the 2013 Annual Meeting of Shareholders of Regeneron Pharmaceuticals, Inc. (the “Company”) held on June 14, 2013 (the “Annual Meeting”), the Company’s shareholders voted on the matters set forth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nominees for Class I directors were elected to serve until the 2016 Annual Meeting of Shareholders and until a successor is duly elected based upon the following votes: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Nominee</w:t>
            </w:r>
          </w:p>
        </w:tc>
        <w:tc>
          <w:tcPr>
            <w:tcW w:w="51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Votes For</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Votes Withheld</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Broker Non-Votes</w:t>
            </w:r>
          </w:p>
        </w:tc>
      </w:tr>
      <w:tr>
        <w:trPr>
          <w:trHeight w:val="203"/>
        </w:trPr>
        <w:tc>
          <w:tcPr>
            <w:tcW w:w="5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S. Brown, M.D.</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96,400,590</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9,685,395</w:t>
            </w:r>
          </w:p>
        </w:tc>
        <w:tc>
          <w:tcPr>
            <w:tcW w:w="5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4,804,761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96,505,521</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9,580,464</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4,804,761</w:t>
            </w: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M. Shooter, Ph.D.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96,318,070</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9,767,915</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4,804,761</w:t>
            </w:r>
          </w:p>
        </w:tc>
        <w:tc>
          <w:tcPr>
            <w:tcW w:w="100" w:type="dxa"/>
            <w:vAlign w:val="bottom"/>
            <w:shd w:val="clear" w:color="auto" w:fill="CCEEFF"/>
          </w:tcPr>
          <w:p>
            <w:pPr>
              <w:spacing w:after="0"/>
              <w:rPr>
                <w:sz w:val="18"/>
                <w:szCs w:val="18"/>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96,501,848</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9,584,137</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4,804,761</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Selection of Independent Registered Public Accountants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2013 was approved based upon the following votes: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4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110,360,765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Against:</w:t>
            </w:r>
          </w:p>
        </w:tc>
        <w:tc>
          <w:tcPr>
            <w:tcW w:w="4080" w:type="dxa"/>
            <w:vAlign w:val="bottom"/>
          </w:tcPr>
          <w:p>
            <w:pPr>
              <w:jc w:val="right"/>
              <w:ind w:right="12"/>
              <w:spacing w:after="0"/>
              <w:rPr>
                <w:sz w:val="20"/>
                <w:szCs w:val="20"/>
                <w:color w:val="auto"/>
              </w:rPr>
            </w:pPr>
            <w:r>
              <w:rPr>
                <w:rFonts w:ascii="Arial" w:cs="Arial" w:eastAsia="Arial" w:hAnsi="Arial"/>
                <w:sz w:val="18"/>
                <w:szCs w:val="18"/>
                <w:color w:val="auto"/>
              </w:rPr>
              <w:t>480,541</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4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49,440</w:t>
            </w:r>
          </w:p>
        </w:tc>
      </w:tr>
    </w:tbl>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Date: June 19, 2013</w:t>
            </w:r>
          </w:p>
        </w:tc>
        <w:tc>
          <w:tcPr>
            <w:tcW w:w="7800" w:type="dxa"/>
            <w:vAlign w:val="bottom"/>
            <w:gridSpan w:val="2"/>
          </w:tcPr>
          <w:p>
            <w:pPr>
              <w:ind w:left="2200"/>
              <w:spacing w:after="0"/>
              <w:rPr>
                <w:sz w:val="20"/>
                <w:szCs w:val="20"/>
                <w:color w:val="auto"/>
              </w:rPr>
            </w:pPr>
            <w:r>
              <w:rPr>
                <w:rFonts w:ascii="Arial" w:cs="Arial" w:eastAsia="Arial" w:hAnsi="Arial"/>
                <w:sz w:val="18"/>
                <w:szCs w:val="18"/>
                <w:color w:val="auto"/>
              </w:rPr>
              <w:t>REGENERON PHARMACEUTICALS, INC.</w:t>
            </w:r>
          </w:p>
        </w:tc>
      </w:tr>
      <w:tr>
        <w:trPr>
          <w:trHeight w:val="434"/>
        </w:trPr>
        <w:tc>
          <w:tcPr>
            <w:tcW w:w="3620" w:type="dxa"/>
            <w:vAlign w:val="bottom"/>
          </w:tcPr>
          <w:p>
            <w:pPr>
              <w:spacing w:after="0"/>
              <w:rPr>
                <w:sz w:val="24"/>
                <w:szCs w:val="24"/>
                <w:color w:val="auto"/>
              </w:rPr>
            </w:pP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15"/>
        </w:trPr>
        <w:tc>
          <w:tcPr>
            <w:tcW w:w="3620" w:type="dxa"/>
            <w:vAlign w:val="bottom"/>
          </w:tcPr>
          <w:p>
            <w:pPr>
              <w:spacing w:after="0"/>
              <w:rPr>
                <w:sz w:val="18"/>
                <w:szCs w:val="18"/>
                <w:color w:val="auto"/>
              </w:rPr>
            </w:pPr>
          </w:p>
        </w:tc>
        <w:tc>
          <w:tcPr>
            <w:tcW w:w="2780" w:type="dxa"/>
            <w:vAlign w:val="bottom"/>
          </w:tcPr>
          <w:p>
            <w:pPr>
              <w:ind w:left="22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16"/>
        </w:trPr>
        <w:tc>
          <w:tcPr>
            <w:tcW w:w="3620" w:type="dxa"/>
            <w:vAlign w:val="bottom"/>
          </w:tcPr>
          <w:p>
            <w:pPr>
              <w:spacing w:after="0"/>
              <w:rPr>
                <w:sz w:val="18"/>
                <w:szCs w:val="18"/>
                <w:color w:val="auto"/>
              </w:rPr>
            </w:pPr>
          </w:p>
        </w:tc>
        <w:tc>
          <w:tcPr>
            <w:tcW w:w="2780" w:type="dxa"/>
            <w:vAlign w:val="bottom"/>
          </w:tcPr>
          <w:p>
            <w:pPr>
              <w:ind w:left="22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r>
        <w:trPr>
          <w:trHeight w:val="222"/>
        </w:trPr>
        <w:tc>
          <w:tcPr>
            <w:tcW w:w="36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and Secretary</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2019-12-06T05:48:04Z</dcterms:created>
  <dcterms:modified xsi:type="dcterms:W3CDTF">2019-12-06T05:48:04Z</dcterms:modified>
</cp:coreProperties>
</file>