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8-K</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Date of Report (Date of earliest event reported): June 14, 2011 (June 10,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64" w:lineRule="exact"/>
        <w:rPr>
          <w:sz w:val="24"/>
          <w:szCs w:val="24"/>
          <w:color w:val="auto"/>
        </w:rPr>
      </w:pPr>
    </w:p>
    <w:p>
      <w:pPr>
        <w:jc w:val="center"/>
        <w:ind w:right="120"/>
        <w:spacing w:after="0"/>
        <w:rPr>
          <w:sz w:val="20"/>
          <w:szCs w:val="20"/>
          <w:color w:val="auto"/>
        </w:rPr>
      </w:pPr>
      <w:r>
        <w:rPr>
          <w:rFonts w:ascii="Arial" w:cs="Arial" w:eastAsia="Arial" w:hAnsi="Arial"/>
          <w:sz w:val="22"/>
          <w:szCs w:val="22"/>
          <w:b w:val="1"/>
          <w:bCs w:val="1"/>
          <w:color w:val="auto"/>
        </w:rPr>
        <w:t>REGENERON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11430</wp:posOffset>
            </wp:positionV>
            <wp:extent cx="2804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04160" cy="8890"/>
                    </a:xfrm>
                    <a:prstGeom prst="rect">
                      <a:avLst/>
                    </a:prstGeom>
                    <a:noFill/>
                  </pic:spPr>
                </pic:pic>
              </a:graphicData>
            </a:graphic>
          </wp:anchor>
        </w:drawing>
      </w:r>
    </w:p>
    <w:p>
      <w:pPr>
        <w:spacing w:after="0" w:line="8" w:lineRule="exact"/>
        <w:rPr>
          <w:sz w:val="24"/>
          <w:szCs w:val="24"/>
          <w:color w:val="auto"/>
        </w:rPr>
      </w:pPr>
    </w:p>
    <w:p>
      <w:pPr>
        <w:jc w:val="center"/>
        <w:ind w:right="120"/>
        <w:spacing w:after="0"/>
        <w:rPr>
          <w:sz w:val="20"/>
          <w:szCs w:val="20"/>
          <w:color w:val="auto"/>
        </w:rPr>
      </w:pPr>
      <w:r>
        <w:rPr>
          <w:rFonts w:ascii="Arial" w:cs="Arial" w:eastAsia="Arial" w:hAnsi="Arial"/>
          <w:sz w:val="22"/>
          <w:szCs w:val="22"/>
          <w:color w:val="auto"/>
        </w:rPr>
        <w:t>(Exact Name of Registrant as Specified in Charter)</w:t>
      </w:r>
    </w:p>
    <w:p>
      <w:pPr>
        <w:spacing w:after="0" w:line="200" w:lineRule="exact"/>
        <w:rPr>
          <w:sz w:val="24"/>
          <w:szCs w:val="24"/>
          <w:color w:val="auto"/>
        </w:rPr>
      </w:pPr>
    </w:p>
    <w:p>
      <w:pPr>
        <w:spacing w:after="0" w:line="252" w:lineRule="exact"/>
        <w:rPr>
          <w:sz w:val="24"/>
          <w:szCs w:val="24"/>
          <w:color w:val="auto"/>
        </w:rPr>
      </w:pPr>
    </w:p>
    <w:tbl>
      <w:tblPr>
        <w:tblLayout w:type="fixed"/>
        <w:tblInd w:w="0" w:type="dxa"/>
        <w:tblCellMar>
          <w:top w:w="0" w:type="dxa"/>
          <w:left w:w="0" w:type="dxa"/>
          <w:bottom w:w="0" w:type="dxa"/>
          <w:right w:w="0" w:type="dxa"/>
        </w:tblCellMar>
      </w:tblPr>
      <w:tr>
        <w:trPr>
          <w:trHeight w:val="271"/>
        </w:trPr>
        <w:tc>
          <w:tcPr>
            <w:tcW w:w="3740" w:type="dxa"/>
            <w:vAlign w:val="bottom"/>
            <w:gridSpan w:val="2"/>
          </w:tcPr>
          <w:p>
            <w:pPr>
              <w:jc w:val="center"/>
              <w:ind w:right="260"/>
              <w:spacing w:after="0"/>
              <w:rPr>
                <w:sz w:val="20"/>
                <w:szCs w:val="20"/>
                <w:color w:val="auto"/>
              </w:rPr>
            </w:pPr>
            <w:r>
              <w:rPr>
                <w:rFonts w:ascii="Arial" w:cs="Arial" w:eastAsia="Arial" w:hAnsi="Arial"/>
                <w:sz w:val="22"/>
                <w:szCs w:val="22"/>
                <w:b w:val="1"/>
                <w:bCs w:val="1"/>
                <w:color w:val="auto"/>
                <w:w w:val="91"/>
              </w:rPr>
              <w:t>New York</w:t>
            </w:r>
          </w:p>
        </w:tc>
        <w:tc>
          <w:tcPr>
            <w:tcW w:w="3680" w:type="dxa"/>
            <w:vAlign w:val="bottom"/>
          </w:tcPr>
          <w:p>
            <w:pPr>
              <w:jc w:val="right"/>
              <w:ind w:right="1252"/>
              <w:spacing w:after="0"/>
              <w:rPr>
                <w:sz w:val="20"/>
                <w:szCs w:val="20"/>
                <w:color w:val="auto"/>
              </w:rPr>
            </w:pPr>
            <w:r>
              <w:rPr>
                <w:rFonts w:ascii="Arial" w:cs="Arial" w:eastAsia="Arial" w:hAnsi="Arial"/>
                <w:sz w:val="22"/>
                <w:szCs w:val="22"/>
                <w:b w:val="1"/>
                <w:bCs w:val="1"/>
                <w:color w:val="auto"/>
              </w:rPr>
              <w:t>000-19034</w:t>
            </w:r>
          </w:p>
        </w:tc>
        <w:tc>
          <w:tcPr>
            <w:tcW w:w="280" w:type="dxa"/>
            <w:vAlign w:val="bottom"/>
          </w:tcPr>
          <w:p>
            <w:pPr>
              <w:spacing w:after="0"/>
              <w:rPr>
                <w:sz w:val="23"/>
                <w:szCs w:val="23"/>
                <w:color w:val="auto"/>
              </w:rPr>
            </w:pPr>
          </w:p>
        </w:tc>
        <w:tc>
          <w:tcPr>
            <w:tcW w:w="3720" w:type="dxa"/>
            <w:vAlign w:val="bottom"/>
          </w:tcPr>
          <w:p>
            <w:pPr>
              <w:jc w:val="right"/>
              <w:ind w:right="1232"/>
              <w:spacing w:after="0"/>
              <w:rPr>
                <w:sz w:val="20"/>
                <w:szCs w:val="20"/>
                <w:color w:val="auto"/>
              </w:rPr>
            </w:pPr>
            <w:r>
              <w:rPr>
                <w:rFonts w:ascii="Arial" w:cs="Arial" w:eastAsia="Arial" w:hAnsi="Arial"/>
                <w:sz w:val="22"/>
                <w:szCs w:val="22"/>
                <w:b w:val="1"/>
                <w:bCs w:val="1"/>
                <w:color w:val="auto"/>
              </w:rPr>
              <w:t>13-3444607</w:t>
            </w:r>
          </w:p>
        </w:tc>
      </w:tr>
      <w:tr>
        <w:trPr>
          <w:trHeight w:val="215"/>
        </w:trPr>
        <w:tc>
          <w:tcPr>
            <w:tcW w:w="3480" w:type="dxa"/>
            <w:vAlign w:val="bottom"/>
            <w:tcBorders>
              <w:top w:val="single" w:sz="8" w:color="auto"/>
            </w:tcBorders>
          </w:tcPr>
          <w:p>
            <w:pPr>
              <w:jc w:val="center"/>
              <w:spacing w:after="0" w:line="216" w:lineRule="exact"/>
              <w:rPr>
                <w:sz w:val="20"/>
                <w:szCs w:val="20"/>
                <w:color w:val="auto"/>
              </w:rPr>
            </w:pPr>
            <w:r>
              <w:rPr>
                <w:rFonts w:ascii="Arial" w:cs="Arial" w:eastAsia="Arial" w:hAnsi="Arial"/>
                <w:sz w:val="22"/>
                <w:szCs w:val="22"/>
                <w:color w:val="auto"/>
                <w:w w:val="91"/>
              </w:rPr>
              <w:t>(State or other jurisdiction of</w:t>
            </w:r>
          </w:p>
        </w:tc>
        <w:tc>
          <w:tcPr>
            <w:tcW w:w="260" w:type="dxa"/>
            <w:vAlign w:val="bottom"/>
          </w:tcPr>
          <w:p>
            <w:pPr>
              <w:spacing w:after="0"/>
              <w:rPr>
                <w:sz w:val="18"/>
                <w:szCs w:val="18"/>
                <w:color w:val="auto"/>
              </w:rPr>
            </w:pPr>
          </w:p>
        </w:tc>
        <w:tc>
          <w:tcPr>
            <w:tcW w:w="3680" w:type="dxa"/>
            <w:vAlign w:val="bottom"/>
            <w:tcBorders>
              <w:top w:val="single" w:sz="8" w:color="auto"/>
            </w:tcBorders>
          </w:tcPr>
          <w:p>
            <w:pPr>
              <w:jc w:val="center"/>
              <w:spacing w:after="0" w:line="216" w:lineRule="exact"/>
              <w:rPr>
                <w:sz w:val="20"/>
                <w:szCs w:val="20"/>
                <w:color w:val="auto"/>
              </w:rPr>
            </w:pPr>
            <w:r>
              <w:rPr>
                <w:rFonts w:ascii="Arial" w:cs="Arial" w:eastAsia="Arial" w:hAnsi="Arial"/>
                <w:sz w:val="22"/>
                <w:szCs w:val="22"/>
                <w:color w:val="auto"/>
                <w:w w:val="91"/>
              </w:rPr>
              <w:t>(Commission File No.)</w:t>
            </w:r>
          </w:p>
        </w:tc>
        <w:tc>
          <w:tcPr>
            <w:tcW w:w="280" w:type="dxa"/>
            <w:vAlign w:val="bottom"/>
          </w:tcPr>
          <w:p>
            <w:pPr>
              <w:spacing w:after="0"/>
              <w:rPr>
                <w:sz w:val="18"/>
                <w:szCs w:val="18"/>
                <w:color w:val="auto"/>
              </w:rPr>
            </w:pPr>
          </w:p>
        </w:tc>
        <w:tc>
          <w:tcPr>
            <w:tcW w:w="3720" w:type="dxa"/>
            <w:vAlign w:val="bottom"/>
            <w:tcBorders>
              <w:top w:val="single" w:sz="8" w:color="auto"/>
            </w:tcBorders>
          </w:tcPr>
          <w:p>
            <w:pPr>
              <w:jc w:val="center"/>
              <w:spacing w:after="0" w:line="216" w:lineRule="exact"/>
              <w:rPr>
                <w:sz w:val="20"/>
                <w:szCs w:val="20"/>
                <w:color w:val="auto"/>
              </w:rPr>
            </w:pPr>
            <w:r>
              <w:rPr>
                <w:rFonts w:ascii="Arial" w:cs="Arial" w:eastAsia="Arial" w:hAnsi="Arial"/>
                <w:sz w:val="22"/>
                <w:szCs w:val="22"/>
                <w:color w:val="auto"/>
                <w:w w:val="93"/>
              </w:rPr>
              <w:t>(IRS Employer Identification No.)</w:t>
            </w:r>
          </w:p>
        </w:tc>
      </w:tr>
      <w:tr>
        <w:trPr>
          <w:trHeight w:val="275"/>
        </w:trPr>
        <w:tc>
          <w:tcPr>
            <w:tcW w:w="3740" w:type="dxa"/>
            <w:vAlign w:val="bottom"/>
            <w:gridSpan w:val="2"/>
          </w:tcPr>
          <w:p>
            <w:pPr>
              <w:jc w:val="center"/>
              <w:ind w:right="260"/>
              <w:spacing w:after="0"/>
              <w:rPr>
                <w:sz w:val="20"/>
                <w:szCs w:val="20"/>
                <w:color w:val="auto"/>
              </w:rPr>
            </w:pPr>
            <w:r>
              <w:rPr>
                <w:rFonts w:ascii="Arial" w:cs="Arial" w:eastAsia="Arial" w:hAnsi="Arial"/>
                <w:sz w:val="22"/>
                <w:szCs w:val="22"/>
                <w:color w:val="auto"/>
                <w:w w:val="91"/>
              </w:rPr>
              <w:t>Incorporation)</w:t>
            </w:r>
          </w:p>
        </w:tc>
        <w:tc>
          <w:tcPr>
            <w:tcW w:w="3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720" w:type="dxa"/>
            <w:vAlign w:val="bottom"/>
          </w:tcPr>
          <w:p>
            <w:pPr>
              <w:spacing w:after="0"/>
              <w:rPr>
                <w:sz w:val="23"/>
                <w:szCs w:val="23"/>
                <w:color w:val="auto"/>
              </w:rPr>
            </w:pPr>
          </w:p>
        </w:tc>
      </w:tr>
    </w:tbl>
    <w:p>
      <w:pPr>
        <w:spacing w:after="0" w:line="206" w:lineRule="exact"/>
        <w:rPr>
          <w:sz w:val="24"/>
          <w:szCs w:val="24"/>
          <w:color w:val="auto"/>
        </w:rPr>
      </w:pPr>
    </w:p>
    <w:p>
      <w:pPr>
        <w:ind w:left="3140" w:right="2740" w:hanging="403"/>
        <w:spacing w:after="0" w:line="350" w:lineRule="auto"/>
        <w:rPr>
          <w:sz w:val="20"/>
          <w:szCs w:val="20"/>
          <w:color w:val="auto"/>
        </w:rPr>
      </w:pPr>
      <w:r>
        <w:rPr>
          <w:rFonts w:ascii="Arial" w:cs="Arial" w:eastAsia="Arial" w:hAnsi="Arial"/>
          <w:sz w:val="19"/>
          <w:szCs w:val="19"/>
          <w:b w:val="1"/>
          <w:bCs w:val="1"/>
          <w:u w:val="single" w:color="auto"/>
          <w:color w:val="auto"/>
        </w:rPr>
        <w:t xml:space="preserve">777 Old Saw Mill River Road, Tarrytown, New York 10591-6707 </w:t>
      </w:r>
      <w:r>
        <w:rPr>
          <w:rFonts w:ascii="Arial" w:cs="Arial" w:eastAsia="Arial" w:hAnsi="Arial"/>
          <w:sz w:val="19"/>
          <w:szCs w:val="19"/>
          <w:color w:val="auto"/>
        </w:rPr>
        <w:t>(Address of principal executive offices, including zip code)</w:t>
      </w:r>
    </w:p>
    <w:p>
      <w:pPr>
        <w:spacing w:after="0" w:line="10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(914) 347-7000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2174875</wp:posOffset>
            </wp:positionH>
            <wp:positionV relativeFrom="paragraph">
              <wp:posOffset>11430</wp:posOffset>
            </wp:positionV>
            <wp:extent cx="28987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(Registrant's telephone number, including area code)</w:t>
      </w:r>
    </w:p>
    <w:p>
      <w:pPr>
        <w:spacing w:after="0" w:line="215" w:lineRule="exact"/>
        <w:rPr>
          <w:sz w:val="24"/>
          <w:szCs w:val="24"/>
          <w:color w:val="auto"/>
        </w:rPr>
      </w:pPr>
    </w:p>
    <w:p>
      <w:pPr>
        <w:ind w:right="220"/>
        <w:spacing w:after="0" w:line="251"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213" w:lineRule="exact"/>
        <w:rPr>
          <w:sz w:val="24"/>
          <w:szCs w:val="24"/>
          <w:color w:val="auto"/>
        </w:rPr>
      </w:pPr>
    </w:p>
    <w:p>
      <w:pPr>
        <w:ind w:left="240" w:hanging="232"/>
        <w:spacing w:after="0"/>
        <w:tabs>
          <w:tab w:leader="none" w:pos="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1" w:name="page2"/>
    <w:bookmarkEnd w:id="1"/>
    <w:p>
      <w:pPr>
        <w:ind w:left="780" w:right="120" w:hanging="769"/>
        <w:spacing w:after="0" w:line="280" w:lineRule="auto"/>
        <w:rPr>
          <w:sz w:val="20"/>
          <w:szCs w:val="20"/>
          <w:color w:val="auto"/>
        </w:rPr>
      </w:pPr>
      <w:r>
        <w:rPr>
          <w:rFonts w:ascii="Arial" w:cs="Arial" w:eastAsia="Arial" w:hAnsi="Arial"/>
          <w:sz w:val="18"/>
          <w:szCs w:val="18"/>
          <w:b w:val="1"/>
          <w:bCs w:val="1"/>
          <w:color w:val="auto"/>
        </w:rPr>
        <w:t xml:space="preserve">Item 5.02 </w:t>
      </w:r>
      <w:r>
        <w:rPr>
          <w:rFonts w:ascii="Arial" w:cs="Arial" w:eastAsia="Arial" w:hAnsi="Arial"/>
          <w:sz w:val="17"/>
          <w:szCs w:val="17"/>
          <w:b w:val="1"/>
          <w:bCs w:val="1"/>
          <w:color w:val="auto"/>
        </w:rPr>
        <w:t>Departure of Directors or Certain Officers; Election of Directors; Appointment of Certain Officers; Compensatory Arrangements of Certain</w:t>
      </w:r>
      <w:r>
        <w:rPr>
          <w:rFonts w:ascii="Arial" w:cs="Arial" w:eastAsia="Arial" w:hAnsi="Arial"/>
          <w:sz w:val="18"/>
          <w:szCs w:val="18"/>
          <w:b w:val="1"/>
          <w:bCs w:val="1"/>
          <w:color w:val="auto"/>
        </w:rPr>
        <w:t xml:space="preserve"> </w:t>
      </w:r>
      <w:r>
        <w:rPr>
          <w:rFonts w:ascii="Arial" w:cs="Arial" w:eastAsia="Arial" w:hAnsi="Arial"/>
          <w:sz w:val="17"/>
          <w:szCs w:val="17"/>
          <w:b w:val="1"/>
          <w:bCs w:val="1"/>
          <w:color w:val="auto"/>
        </w:rPr>
        <w:t>Officers.</w:t>
      </w:r>
    </w:p>
    <w:p>
      <w:pPr>
        <w:spacing w:after="0" w:line="229" w:lineRule="exact"/>
        <w:rPr>
          <w:sz w:val="20"/>
          <w:szCs w:val="20"/>
          <w:color w:val="auto"/>
        </w:rPr>
      </w:pPr>
    </w:p>
    <w:p>
      <w:pPr>
        <w:ind w:right="60" w:firstLine="270"/>
        <w:spacing w:after="0" w:line="255" w:lineRule="auto"/>
        <w:rPr>
          <w:sz w:val="20"/>
          <w:szCs w:val="20"/>
          <w:color w:val="auto"/>
        </w:rPr>
      </w:pPr>
      <w:r>
        <w:rPr>
          <w:rFonts w:ascii="Arial" w:cs="Arial" w:eastAsia="Arial" w:hAnsi="Arial"/>
          <w:sz w:val="18"/>
          <w:szCs w:val="18"/>
          <w:color w:val="auto"/>
        </w:rPr>
        <w:t>At the 2011 Annual Meeting of Shareholders of Regeneron Pharmaceuticals, Inc. (the “Company”) held on June 10, 2011 (the “Annual Meeting”), the Company’s shareholders approved the Second Amended and Restated 2000 Long-Term Incentive Plan (the “Plan”), which (1) increased the maximum number of shares of common stock reserved for and available for issuance under the plan by 12,000,000 shares; and (2) extended the term of the plan until December 31, 2016. Shareholder approval of the Plan also constituted re-approval for purposes of Section 162(m) under the Internal Revenue Code of 1986 of certain performance goals in the Plan that may be applied to awards thereunder.</w:t>
      </w:r>
    </w:p>
    <w:p>
      <w:pPr>
        <w:spacing w:after="0" w:line="251" w:lineRule="exact"/>
        <w:rPr>
          <w:sz w:val="20"/>
          <w:szCs w:val="20"/>
          <w:color w:val="auto"/>
        </w:rPr>
      </w:pPr>
    </w:p>
    <w:p>
      <w:pPr>
        <w:ind w:right="80" w:firstLine="270"/>
        <w:spacing w:after="0" w:line="298" w:lineRule="auto"/>
        <w:rPr>
          <w:sz w:val="20"/>
          <w:szCs w:val="20"/>
          <w:color w:val="auto"/>
        </w:rPr>
      </w:pPr>
      <w:r>
        <w:rPr>
          <w:rFonts w:ascii="Arial" w:cs="Arial" w:eastAsia="Arial" w:hAnsi="Arial"/>
          <w:sz w:val="16"/>
          <w:szCs w:val="16"/>
          <w:color w:val="auto"/>
        </w:rPr>
        <w:t>The Plan was included as Appendix A to the Company’s proxy statement filed with the Securities and Exchange Commission on April 28, 2011. The terms and conditions of the Plan and the information pertaining to certain participants in the Plan are described in detail in the proxy statement. The foregoing description of the Plan is qualified in its entirety by reference to the Plan, a copy of which is attached as Exhibit 99.1 to the Company's Registration Statement on Form S-8 filed with the Securities and Exchange Commission on June 13, 2011 and incorporated by reference herein.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5.07 Submission of Matters to a Vote of Security Holders.</w:t>
      </w:r>
    </w:p>
    <w:p>
      <w:pPr>
        <w:spacing w:after="0" w:line="28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At the Annual Meeting, the Company’s shareholders voted on the matters set forth below.</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1 – Election of Directors</w:t>
      </w:r>
    </w:p>
    <w:p>
      <w:pPr>
        <w:spacing w:after="0" w:line="285"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following nominees for Class II directors were elected to serve until the 2014 Annual Meeting of Shareholders based upon the following votes: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6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Nominee</w:t>
            </w:r>
          </w:p>
        </w:tc>
        <w:tc>
          <w:tcPr>
            <w:tcW w:w="480" w:type="dxa"/>
            <w:vAlign w:val="bottom"/>
            <w:tcBorders>
              <w:bottom w:val="single" w:sz="8" w:color="C0C0C0"/>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Votes For</w:t>
            </w:r>
          </w:p>
        </w:tc>
        <w:tc>
          <w:tcPr>
            <w:tcW w:w="500" w:type="dxa"/>
            <w:vAlign w:val="bottom"/>
            <w:tcBorders>
              <w:bottom w:val="single" w:sz="8" w:color="C0C0C0"/>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7"/>
              </w:rPr>
              <w:t>Votes Withheld</w:t>
            </w:r>
          </w:p>
        </w:tc>
        <w:tc>
          <w:tcPr>
            <w:tcW w:w="480" w:type="dxa"/>
            <w:vAlign w:val="bottom"/>
            <w:tcBorders>
              <w:bottom w:val="single" w:sz="8" w:color="C0C0C0"/>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8"/>
              </w:rPr>
              <w:t>Broker Non-Votes</w:t>
            </w:r>
          </w:p>
        </w:tc>
      </w:tr>
      <w:tr>
        <w:trPr>
          <w:trHeight w:val="243"/>
        </w:trPr>
        <w:tc>
          <w:tcPr>
            <w:tcW w:w="728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Alfred G. Gilman, M.D., Ph.D.</w:t>
            </w:r>
          </w:p>
        </w:tc>
        <w:tc>
          <w:tcPr>
            <w:tcW w:w="800" w:type="dxa"/>
            <w:vAlign w:val="bottom"/>
            <w:shd w:val="clear" w:color="auto" w:fill="C0C0C0"/>
          </w:tcPr>
          <w:p>
            <w:pPr>
              <w:spacing w:after="0"/>
              <w:rPr>
                <w:sz w:val="20"/>
                <w:szCs w:val="20"/>
                <w:color w:val="auto"/>
              </w:rPr>
            </w:pPr>
            <w:r>
              <w:rPr>
                <w:rFonts w:ascii="Arial" w:cs="Arial" w:eastAsia="Arial" w:hAnsi="Arial"/>
                <w:sz w:val="18"/>
                <w:szCs w:val="18"/>
                <w:color w:val="auto"/>
                <w:w w:val="86"/>
              </w:rPr>
              <w:t>97,112,473</w:t>
            </w:r>
          </w:p>
        </w:tc>
        <w:tc>
          <w:tcPr>
            <w:tcW w:w="500" w:type="dxa"/>
            <w:vAlign w:val="bottom"/>
            <w:shd w:val="clear" w:color="auto" w:fill="C0C0C0"/>
          </w:tcPr>
          <w:p>
            <w:pPr>
              <w:spacing w:after="0"/>
              <w:rPr>
                <w:sz w:val="21"/>
                <w:szCs w:val="21"/>
                <w:color w:val="auto"/>
              </w:rPr>
            </w:pPr>
          </w:p>
        </w:tc>
        <w:tc>
          <w:tcPr>
            <w:tcW w:w="1080" w:type="dxa"/>
            <w:vAlign w:val="bottom"/>
            <w:shd w:val="clear" w:color="auto" w:fill="C0C0C0"/>
          </w:tcPr>
          <w:p>
            <w:pPr>
              <w:spacing w:after="0"/>
              <w:rPr>
                <w:sz w:val="20"/>
                <w:szCs w:val="20"/>
                <w:color w:val="auto"/>
              </w:rPr>
            </w:pPr>
            <w:r>
              <w:rPr>
                <w:rFonts w:ascii="Arial" w:cs="Arial" w:eastAsia="Arial" w:hAnsi="Arial"/>
                <w:sz w:val="18"/>
                <w:szCs w:val="18"/>
                <w:color w:val="auto"/>
              </w:rPr>
              <w:t>3,449,917</w:t>
            </w:r>
          </w:p>
        </w:tc>
        <w:tc>
          <w:tcPr>
            <w:tcW w:w="480" w:type="dxa"/>
            <w:vAlign w:val="bottom"/>
            <w:shd w:val="clear" w:color="auto" w:fill="C0C0C0"/>
          </w:tcPr>
          <w:p>
            <w:pPr>
              <w:spacing w:after="0"/>
              <w:rPr>
                <w:sz w:val="21"/>
                <w:szCs w:val="21"/>
                <w:color w:val="auto"/>
              </w:rPr>
            </w:pPr>
          </w:p>
        </w:tc>
        <w:tc>
          <w:tcPr>
            <w:tcW w:w="1280" w:type="dxa"/>
            <w:vAlign w:val="bottom"/>
            <w:shd w:val="clear" w:color="auto" w:fill="C0C0C0"/>
          </w:tcPr>
          <w:p>
            <w:pPr>
              <w:spacing w:after="0"/>
              <w:rPr>
                <w:sz w:val="20"/>
                <w:szCs w:val="20"/>
                <w:color w:val="auto"/>
              </w:rPr>
            </w:pPr>
            <w:r>
              <w:rPr>
                <w:rFonts w:ascii="Arial" w:cs="Arial" w:eastAsia="Arial" w:hAnsi="Arial"/>
                <w:sz w:val="18"/>
                <w:szCs w:val="18"/>
                <w:color w:val="auto"/>
              </w:rPr>
              <w:t>5,704,533</w:t>
            </w:r>
          </w:p>
        </w:tc>
      </w:tr>
      <w:tr>
        <w:trPr>
          <w:trHeight w:val="235"/>
        </w:trPr>
        <w:tc>
          <w:tcPr>
            <w:tcW w:w="7280" w:type="dxa"/>
            <w:vAlign w:val="bottom"/>
            <w:gridSpan w:val="2"/>
          </w:tcPr>
          <w:p>
            <w:pPr>
              <w:spacing w:after="0"/>
              <w:rPr>
                <w:sz w:val="20"/>
                <w:szCs w:val="20"/>
                <w:color w:val="auto"/>
              </w:rPr>
            </w:pPr>
            <w:r>
              <w:rPr>
                <w:rFonts w:ascii="Arial" w:cs="Arial" w:eastAsia="Arial" w:hAnsi="Arial"/>
                <w:sz w:val="18"/>
                <w:szCs w:val="18"/>
                <w:color w:val="auto"/>
              </w:rPr>
              <w:t>Joseph L. Goldstein, M.D., Ph.D.</w:t>
            </w:r>
          </w:p>
        </w:tc>
        <w:tc>
          <w:tcPr>
            <w:tcW w:w="800" w:type="dxa"/>
            <w:vAlign w:val="bottom"/>
          </w:tcPr>
          <w:p>
            <w:pPr>
              <w:spacing w:after="0"/>
              <w:rPr>
                <w:sz w:val="20"/>
                <w:szCs w:val="20"/>
                <w:color w:val="auto"/>
              </w:rPr>
            </w:pPr>
            <w:r>
              <w:rPr>
                <w:rFonts w:ascii="Arial" w:cs="Arial" w:eastAsia="Arial" w:hAnsi="Arial"/>
                <w:sz w:val="18"/>
                <w:szCs w:val="18"/>
                <w:color w:val="auto"/>
                <w:w w:val="86"/>
              </w:rPr>
              <w:t>92,787,032</w:t>
            </w:r>
          </w:p>
        </w:tc>
        <w:tc>
          <w:tcPr>
            <w:tcW w:w="50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8"/>
                <w:szCs w:val="18"/>
                <w:color w:val="auto"/>
              </w:rPr>
              <w:t>7,775,358</w:t>
            </w:r>
          </w:p>
        </w:tc>
        <w:tc>
          <w:tcPr>
            <w:tcW w:w="48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8"/>
                <w:szCs w:val="18"/>
                <w:color w:val="auto"/>
              </w:rPr>
              <w:t>5,704,533</w:t>
            </w:r>
          </w:p>
        </w:tc>
      </w:tr>
      <w:tr>
        <w:trPr>
          <w:trHeight w:val="251"/>
        </w:trPr>
        <w:tc>
          <w:tcPr>
            <w:tcW w:w="728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Christine A. Poon</w:t>
            </w:r>
          </w:p>
        </w:tc>
        <w:tc>
          <w:tcPr>
            <w:tcW w:w="800" w:type="dxa"/>
            <w:vAlign w:val="bottom"/>
            <w:shd w:val="clear" w:color="auto" w:fill="C0C0C0"/>
          </w:tcPr>
          <w:p>
            <w:pPr>
              <w:spacing w:after="0"/>
              <w:rPr>
                <w:sz w:val="20"/>
                <w:szCs w:val="20"/>
                <w:color w:val="auto"/>
              </w:rPr>
            </w:pPr>
            <w:r>
              <w:rPr>
                <w:rFonts w:ascii="Arial" w:cs="Arial" w:eastAsia="Arial" w:hAnsi="Arial"/>
                <w:sz w:val="18"/>
                <w:szCs w:val="18"/>
                <w:color w:val="auto"/>
                <w:w w:val="86"/>
              </w:rPr>
              <w:t>93,760,829</w:t>
            </w:r>
          </w:p>
        </w:tc>
        <w:tc>
          <w:tcPr>
            <w:tcW w:w="500" w:type="dxa"/>
            <w:vAlign w:val="bottom"/>
            <w:shd w:val="clear" w:color="auto" w:fill="C0C0C0"/>
          </w:tcPr>
          <w:p>
            <w:pPr>
              <w:spacing w:after="0"/>
              <w:rPr>
                <w:sz w:val="21"/>
                <w:szCs w:val="21"/>
                <w:color w:val="auto"/>
              </w:rPr>
            </w:pPr>
          </w:p>
        </w:tc>
        <w:tc>
          <w:tcPr>
            <w:tcW w:w="1080" w:type="dxa"/>
            <w:vAlign w:val="bottom"/>
            <w:shd w:val="clear" w:color="auto" w:fill="C0C0C0"/>
          </w:tcPr>
          <w:p>
            <w:pPr>
              <w:spacing w:after="0"/>
              <w:rPr>
                <w:sz w:val="20"/>
                <w:szCs w:val="20"/>
                <w:color w:val="auto"/>
              </w:rPr>
            </w:pPr>
            <w:r>
              <w:rPr>
                <w:rFonts w:ascii="Arial" w:cs="Arial" w:eastAsia="Arial" w:hAnsi="Arial"/>
                <w:sz w:val="18"/>
                <w:szCs w:val="18"/>
                <w:color w:val="auto"/>
              </w:rPr>
              <w:t>6,801,561</w:t>
            </w:r>
          </w:p>
        </w:tc>
        <w:tc>
          <w:tcPr>
            <w:tcW w:w="480" w:type="dxa"/>
            <w:vAlign w:val="bottom"/>
            <w:shd w:val="clear" w:color="auto" w:fill="C0C0C0"/>
          </w:tcPr>
          <w:p>
            <w:pPr>
              <w:spacing w:after="0"/>
              <w:rPr>
                <w:sz w:val="21"/>
                <w:szCs w:val="21"/>
                <w:color w:val="auto"/>
              </w:rPr>
            </w:pPr>
          </w:p>
        </w:tc>
        <w:tc>
          <w:tcPr>
            <w:tcW w:w="1280" w:type="dxa"/>
            <w:vAlign w:val="bottom"/>
            <w:shd w:val="clear" w:color="auto" w:fill="C0C0C0"/>
          </w:tcPr>
          <w:p>
            <w:pPr>
              <w:spacing w:after="0"/>
              <w:rPr>
                <w:sz w:val="20"/>
                <w:szCs w:val="20"/>
                <w:color w:val="auto"/>
              </w:rPr>
            </w:pPr>
            <w:r>
              <w:rPr>
                <w:rFonts w:ascii="Arial" w:cs="Arial" w:eastAsia="Arial" w:hAnsi="Arial"/>
                <w:sz w:val="18"/>
                <w:szCs w:val="18"/>
                <w:color w:val="auto"/>
              </w:rPr>
              <w:t>5,704,533</w:t>
            </w:r>
          </w:p>
        </w:tc>
      </w:tr>
      <w:tr>
        <w:trPr>
          <w:trHeight w:val="228"/>
        </w:trPr>
        <w:tc>
          <w:tcPr>
            <w:tcW w:w="7280" w:type="dxa"/>
            <w:vAlign w:val="bottom"/>
            <w:gridSpan w:val="2"/>
          </w:tcPr>
          <w:p>
            <w:pPr>
              <w:spacing w:after="0"/>
              <w:rPr>
                <w:sz w:val="20"/>
                <w:szCs w:val="20"/>
                <w:color w:val="auto"/>
              </w:rPr>
            </w:pPr>
            <w:r>
              <w:rPr>
                <w:rFonts w:ascii="Arial" w:cs="Arial" w:eastAsia="Arial" w:hAnsi="Arial"/>
                <w:sz w:val="18"/>
                <w:szCs w:val="18"/>
                <w:color w:val="auto"/>
              </w:rPr>
              <w:t>P. Roy Vagelos, M.D.</w:t>
            </w:r>
          </w:p>
        </w:tc>
        <w:tc>
          <w:tcPr>
            <w:tcW w:w="800" w:type="dxa"/>
            <w:vAlign w:val="bottom"/>
          </w:tcPr>
          <w:p>
            <w:pPr>
              <w:spacing w:after="0"/>
              <w:rPr>
                <w:sz w:val="20"/>
                <w:szCs w:val="20"/>
                <w:color w:val="auto"/>
              </w:rPr>
            </w:pPr>
            <w:r>
              <w:rPr>
                <w:rFonts w:ascii="Arial" w:cs="Arial" w:eastAsia="Arial" w:hAnsi="Arial"/>
                <w:sz w:val="18"/>
                <w:szCs w:val="18"/>
                <w:color w:val="auto"/>
                <w:w w:val="86"/>
              </w:rPr>
              <w:t>99,460,553</w:t>
            </w:r>
          </w:p>
        </w:tc>
        <w:tc>
          <w:tcPr>
            <w:tcW w:w="500" w:type="dxa"/>
            <w:vAlign w:val="bottom"/>
          </w:tcPr>
          <w:p>
            <w:pPr>
              <w:spacing w:after="0"/>
              <w:rPr>
                <w:sz w:val="19"/>
                <w:szCs w:val="19"/>
                <w:color w:val="auto"/>
              </w:rPr>
            </w:pPr>
          </w:p>
        </w:tc>
        <w:tc>
          <w:tcPr>
            <w:tcW w:w="1080" w:type="dxa"/>
            <w:vAlign w:val="bottom"/>
          </w:tcPr>
          <w:p>
            <w:pPr>
              <w:spacing w:after="0"/>
              <w:rPr>
                <w:sz w:val="20"/>
                <w:szCs w:val="20"/>
                <w:color w:val="auto"/>
              </w:rPr>
            </w:pPr>
            <w:r>
              <w:rPr>
                <w:rFonts w:ascii="Arial" w:cs="Arial" w:eastAsia="Arial" w:hAnsi="Arial"/>
                <w:sz w:val="18"/>
                <w:szCs w:val="18"/>
                <w:color w:val="auto"/>
              </w:rPr>
              <w:t>1,101,837</w:t>
            </w:r>
          </w:p>
        </w:tc>
        <w:tc>
          <w:tcPr>
            <w:tcW w:w="480" w:type="dxa"/>
            <w:vAlign w:val="bottom"/>
          </w:tcPr>
          <w:p>
            <w:pPr>
              <w:spacing w:after="0"/>
              <w:rPr>
                <w:sz w:val="19"/>
                <w:szCs w:val="19"/>
                <w:color w:val="auto"/>
              </w:rPr>
            </w:pPr>
          </w:p>
        </w:tc>
        <w:tc>
          <w:tcPr>
            <w:tcW w:w="1280" w:type="dxa"/>
            <w:vAlign w:val="bottom"/>
          </w:tcPr>
          <w:p>
            <w:pPr>
              <w:spacing w:after="0"/>
              <w:rPr>
                <w:sz w:val="20"/>
                <w:szCs w:val="20"/>
                <w:color w:val="auto"/>
              </w:rPr>
            </w:pPr>
            <w:r>
              <w:rPr>
                <w:rFonts w:ascii="Arial" w:cs="Arial" w:eastAsia="Arial" w:hAnsi="Arial"/>
                <w:sz w:val="18"/>
                <w:szCs w:val="18"/>
                <w:color w:val="auto"/>
              </w:rPr>
              <w:t>5,704,533</w:t>
            </w:r>
          </w:p>
        </w:tc>
      </w:tr>
    </w:tbl>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2 – Ratification of Selection of Independent Registered Public Accountants</w:t>
      </w:r>
    </w:p>
    <w:p>
      <w:pPr>
        <w:spacing w:after="0" w:line="285" w:lineRule="exact"/>
        <w:rPr>
          <w:sz w:val="20"/>
          <w:szCs w:val="20"/>
          <w:color w:val="auto"/>
        </w:rPr>
      </w:pPr>
    </w:p>
    <w:p>
      <w:pPr>
        <w:ind w:right="240" w:firstLine="270"/>
        <w:spacing w:after="0" w:line="268" w:lineRule="auto"/>
        <w:rPr>
          <w:sz w:val="20"/>
          <w:szCs w:val="20"/>
          <w:color w:val="auto"/>
        </w:rPr>
      </w:pPr>
      <w:r>
        <w:rPr>
          <w:rFonts w:ascii="Arial" w:cs="Arial" w:eastAsia="Arial" w:hAnsi="Arial"/>
          <w:sz w:val="18"/>
          <w:szCs w:val="18"/>
          <w:color w:val="auto"/>
        </w:rPr>
        <w:t>The proposal to ratify the appointment of PricewaterhouseCoopers LLP as the Company’s independent registered public accounting firm for the fiscal year ending December 31, 2011 was approved based upon the following votes:</w:t>
      </w:r>
    </w:p>
    <w:p>
      <w:pPr>
        <w:spacing w:after="0" w:line="227" w:lineRule="exact"/>
        <w:rPr>
          <w:sz w:val="20"/>
          <w:szCs w:val="20"/>
          <w:color w:val="auto"/>
        </w:rPr>
      </w:pPr>
    </w:p>
    <w:p>
      <w:pPr>
        <w:ind w:left="280"/>
        <w:spacing w:after="0"/>
        <w:tabs>
          <w:tab w:leader="none" w:pos="1400" w:val="left"/>
        </w:tabs>
        <w:rPr>
          <w:sz w:val="20"/>
          <w:szCs w:val="20"/>
          <w:color w:val="auto"/>
        </w:rPr>
      </w:pPr>
      <w:r>
        <w:rPr>
          <w:rFonts w:ascii="Arial" w:cs="Arial" w:eastAsia="Arial" w:hAnsi="Arial"/>
          <w:sz w:val="18"/>
          <w:szCs w:val="18"/>
          <w:color w:val="auto"/>
        </w:rPr>
        <w:t>For:</w:t>
      </w:r>
      <w:r>
        <w:rPr>
          <w:sz w:val="20"/>
          <w:szCs w:val="20"/>
          <w:color w:val="auto"/>
        </w:rPr>
        <w:tab/>
      </w:r>
      <w:r>
        <w:rPr>
          <w:rFonts w:ascii="Arial" w:cs="Arial" w:eastAsia="Arial" w:hAnsi="Arial"/>
          <w:sz w:val="18"/>
          <w:szCs w:val="18"/>
          <w:color w:val="auto"/>
        </w:rPr>
        <w:t>105,183,962</w:t>
      </w:r>
    </w:p>
    <w:p>
      <w:pPr>
        <w:spacing w:after="0" w:line="36" w:lineRule="exact"/>
        <w:rPr>
          <w:sz w:val="20"/>
          <w:szCs w:val="20"/>
          <w:color w:val="auto"/>
        </w:rPr>
      </w:pPr>
    </w:p>
    <w:p>
      <w:pPr>
        <w:ind w:left="280"/>
        <w:spacing w:after="0"/>
        <w:tabs>
          <w:tab w:leader="none" w:pos="1700" w:val="left"/>
        </w:tabs>
        <w:rPr>
          <w:sz w:val="20"/>
          <w:szCs w:val="20"/>
          <w:color w:val="auto"/>
        </w:rPr>
      </w:pPr>
      <w:r>
        <w:rPr>
          <w:rFonts w:ascii="Arial" w:cs="Arial" w:eastAsia="Arial" w:hAnsi="Arial"/>
          <w:sz w:val="18"/>
          <w:szCs w:val="18"/>
          <w:color w:val="auto"/>
        </w:rPr>
        <w:t>Against:</w:t>
      </w:r>
      <w:r>
        <w:rPr>
          <w:sz w:val="20"/>
          <w:szCs w:val="20"/>
          <w:color w:val="auto"/>
        </w:rPr>
        <w:tab/>
      </w:r>
      <w:r>
        <w:rPr>
          <w:rFonts w:ascii="Arial" w:cs="Arial" w:eastAsia="Arial" w:hAnsi="Arial"/>
          <w:sz w:val="18"/>
          <w:szCs w:val="18"/>
          <w:color w:val="auto"/>
        </w:rPr>
        <w:t>332,449</w:t>
      </w:r>
    </w:p>
    <w:p>
      <w:pPr>
        <w:spacing w:after="0" w:line="36" w:lineRule="exact"/>
        <w:rPr>
          <w:sz w:val="20"/>
          <w:szCs w:val="20"/>
          <w:color w:val="auto"/>
        </w:rPr>
      </w:pPr>
    </w:p>
    <w:p>
      <w:pPr>
        <w:ind w:left="280"/>
        <w:spacing w:after="0"/>
        <w:tabs>
          <w:tab w:leader="none" w:pos="1700" w:val="left"/>
        </w:tabs>
        <w:rPr>
          <w:sz w:val="20"/>
          <w:szCs w:val="20"/>
          <w:color w:val="auto"/>
        </w:rPr>
      </w:pPr>
      <w:r>
        <w:rPr>
          <w:rFonts w:ascii="Arial" w:cs="Arial" w:eastAsia="Arial" w:hAnsi="Arial"/>
          <w:sz w:val="18"/>
          <w:szCs w:val="18"/>
          <w:color w:val="auto"/>
        </w:rPr>
        <w:t>Abstain:</w:t>
      </w:r>
      <w:r>
        <w:rPr>
          <w:sz w:val="20"/>
          <w:szCs w:val="20"/>
          <w:color w:val="auto"/>
        </w:rPr>
        <w:tab/>
      </w:r>
      <w:r>
        <w:rPr>
          <w:rFonts w:ascii="Arial" w:cs="Arial" w:eastAsia="Arial" w:hAnsi="Arial"/>
          <w:sz w:val="18"/>
          <w:szCs w:val="18"/>
          <w:color w:val="auto"/>
        </w:rPr>
        <w:t>750,512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240665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Proposal 3 – Approval of the Second Amended and Restated 2000 Long-Term Incentive Plan</w:t>
      </w:r>
    </w:p>
    <w:p>
      <w:pPr>
        <w:spacing w:after="0" w:line="285"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proposal to approve the Company’s Second Amended and Restated 2000 Long-Term Incentive Plan was approved based upon the following votes:</w:t>
      </w:r>
    </w:p>
    <w:p>
      <w:pPr>
        <w:spacing w:after="0" w:line="289" w:lineRule="exact"/>
        <w:rPr>
          <w:sz w:val="20"/>
          <w:szCs w:val="20"/>
          <w:color w:val="auto"/>
        </w:rPr>
      </w:pPr>
    </w:p>
    <w:tbl>
      <w:tblPr>
        <w:tblLayout w:type="fixed"/>
        <w:tblInd w:w="280" w:type="dxa"/>
        <w:tblCellMar>
          <w:top w:w="0" w:type="dxa"/>
          <w:left w:w="0" w:type="dxa"/>
          <w:bottom w:w="0" w:type="dxa"/>
          <w:right w:w="0" w:type="dxa"/>
        </w:tblCellMar>
      </w:tblPr>
      <w:tr>
        <w:trPr>
          <w:trHeight w:val="222"/>
        </w:trPr>
        <w:tc>
          <w:tcPr>
            <w:tcW w:w="1580" w:type="dxa"/>
            <w:vAlign w:val="bottom"/>
          </w:tcPr>
          <w:p>
            <w:pPr>
              <w:spacing w:after="0"/>
              <w:rPr>
                <w:sz w:val="20"/>
                <w:szCs w:val="20"/>
                <w:color w:val="auto"/>
              </w:rPr>
            </w:pPr>
            <w:r>
              <w:rPr>
                <w:rFonts w:ascii="Arial" w:cs="Arial" w:eastAsia="Arial" w:hAnsi="Arial"/>
                <w:sz w:val="18"/>
                <w:szCs w:val="18"/>
                <w:color w:val="auto"/>
              </w:rPr>
              <w:t>For:</w:t>
            </w:r>
          </w:p>
        </w:tc>
        <w:tc>
          <w:tcPr>
            <w:tcW w:w="1040" w:type="dxa"/>
            <w:vAlign w:val="bottom"/>
          </w:tcPr>
          <w:p>
            <w:pPr>
              <w:jc w:val="right"/>
              <w:spacing w:after="0"/>
              <w:rPr>
                <w:sz w:val="20"/>
                <w:szCs w:val="20"/>
                <w:color w:val="auto"/>
              </w:rPr>
            </w:pPr>
            <w:r>
              <w:rPr>
                <w:rFonts w:ascii="Arial" w:cs="Arial" w:eastAsia="Arial" w:hAnsi="Arial"/>
                <w:sz w:val="18"/>
                <w:szCs w:val="18"/>
                <w:color w:val="auto"/>
              </w:rPr>
              <w:t>61,604,996</w:t>
            </w:r>
          </w:p>
        </w:tc>
      </w:tr>
      <w:tr>
        <w:trPr>
          <w:trHeight w:val="243"/>
        </w:trPr>
        <w:tc>
          <w:tcPr>
            <w:tcW w:w="1580" w:type="dxa"/>
            <w:vAlign w:val="bottom"/>
          </w:tcPr>
          <w:p>
            <w:pPr>
              <w:spacing w:after="0"/>
              <w:rPr>
                <w:sz w:val="20"/>
                <w:szCs w:val="20"/>
                <w:color w:val="auto"/>
              </w:rPr>
            </w:pPr>
            <w:r>
              <w:rPr>
                <w:rFonts w:ascii="Arial" w:cs="Arial" w:eastAsia="Arial" w:hAnsi="Arial"/>
                <w:sz w:val="18"/>
                <w:szCs w:val="18"/>
                <w:color w:val="auto"/>
              </w:rPr>
              <w:t>Against:</w:t>
            </w:r>
          </w:p>
        </w:tc>
        <w:tc>
          <w:tcPr>
            <w:tcW w:w="1040" w:type="dxa"/>
            <w:vAlign w:val="bottom"/>
          </w:tcPr>
          <w:p>
            <w:pPr>
              <w:jc w:val="right"/>
              <w:spacing w:after="0"/>
              <w:rPr>
                <w:sz w:val="20"/>
                <w:szCs w:val="20"/>
                <w:color w:val="auto"/>
              </w:rPr>
            </w:pPr>
            <w:r>
              <w:rPr>
                <w:rFonts w:ascii="Arial" w:cs="Arial" w:eastAsia="Arial" w:hAnsi="Arial"/>
                <w:sz w:val="18"/>
                <w:szCs w:val="18"/>
                <w:color w:val="auto"/>
              </w:rPr>
              <w:t>38,142,746</w:t>
            </w:r>
          </w:p>
        </w:tc>
      </w:tr>
      <w:tr>
        <w:trPr>
          <w:trHeight w:val="243"/>
        </w:trPr>
        <w:tc>
          <w:tcPr>
            <w:tcW w:w="1580" w:type="dxa"/>
            <w:vAlign w:val="bottom"/>
          </w:tcPr>
          <w:p>
            <w:pPr>
              <w:spacing w:after="0"/>
              <w:rPr>
                <w:sz w:val="20"/>
                <w:szCs w:val="20"/>
                <w:color w:val="auto"/>
              </w:rPr>
            </w:pPr>
            <w:r>
              <w:rPr>
                <w:rFonts w:ascii="Arial" w:cs="Arial" w:eastAsia="Arial" w:hAnsi="Arial"/>
                <w:sz w:val="18"/>
                <w:szCs w:val="18"/>
                <w:color w:val="auto"/>
              </w:rPr>
              <w:t>Abstain:</w:t>
            </w:r>
          </w:p>
        </w:tc>
        <w:tc>
          <w:tcPr>
            <w:tcW w:w="1040" w:type="dxa"/>
            <w:vAlign w:val="bottom"/>
          </w:tcPr>
          <w:p>
            <w:pPr>
              <w:jc w:val="right"/>
              <w:spacing w:after="0"/>
              <w:rPr>
                <w:sz w:val="20"/>
                <w:szCs w:val="20"/>
                <w:color w:val="auto"/>
              </w:rPr>
            </w:pPr>
            <w:r>
              <w:rPr>
                <w:rFonts w:ascii="Arial" w:cs="Arial" w:eastAsia="Arial" w:hAnsi="Arial"/>
                <w:sz w:val="18"/>
                <w:szCs w:val="18"/>
                <w:color w:val="auto"/>
              </w:rPr>
              <w:t>814,648</w:t>
            </w:r>
          </w:p>
        </w:tc>
      </w:tr>
      <w:tr>
        <w:trPr>
          <w:trHeight w:val="243"/>
        </w:trPr>
        <w:tc>
          <w:tcPr>
            <w:tcW w:w="1580" w:type="dxa"/>
            <w:vAlign w:val="bottom"/>
          </w:tcPr>
          <w:p>
            <w:pPr>
              <w:spacing w:after="0"/>
              <w:rPr>
                <w:sz w:val="20"/>
                <w:szCs w:val="20"/>
                <w:color w:val="auto"/>
              </w:rPr>
            </w:pPr>
            <w:r>
              <w:rPr>
                <w:rFonts w:ascii="Arial" w:cs="Arial" w:eastAsia="Arial" w:hAnsi="Arial"/>
                <w:sz w:val="18"/>
                <w:szCs w:val="18"/>
                <w:color w:val="auto"/>
              </w:rPr>
              <w:t>Broker Non-Votes:</w:t>
            </w:r>
          </w:p>
        </w:tc>
        <w:tc>
          <w:tcPr>
            <w:tcW w:w="1040" w:type="dxa"/>
            <w:vAlign w:val="bottom"/>
          </w:tcPr>
          <w:p>
            <w:pPr>
              <w:jc w:val="right"/>
              <w:spacing w:after="0"/>
              <w:rPr>
                <w:sz w:val="20"/>
                <w:szCs w:val="20"/>
                <w:color w:val="auto"/>
              </w:rPr>
            </w:pPr>
            <w:r>
              <w:rPr>
                <w:rFonts w:ascii="Arial" w:cs="Arial" w:eastAsia="Arial" w:hAnsi="Arial"/>
                <w:sz w:val="18"/>
                <w:szCs w:val="18"/>
                <w:color w:val="auto"/>
              </w:rPr>
              <w:t>5,704,533</w:t>
            </w:r>
          </w:p>
        </w:tc>
      </w:tr>
    </w:tbl>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4 – Advisory Vote on Executive Compensation</w:t>
      </w:r>
    </w:p>
    <w:p>
      <w:pPr>
        <w:spacing w:after="0" w:line="285" w:lineRule="exact"/>
        <w:rPr>
          <w:sz w:val="20"/>
          <w:szCs w:val="20"/>
          <w:color w:val="auto"/>
        </w:rPr>
      </w:pPr>
    </w:p>
    <w:p>
      <w:pPr>
        <w:ind w:right="120" w:firstLine="270"/>
        <w:spacing w:after="0" w:line="268" w:lineRule="auto"/>
        <w:rPr>
          <w:sz w:val="20"/>
          <w:szCs w:val="20"/>
          <w:color w:val="auto"/>
        </w:rPr>
      </w:pPr>
      <w:r>
        <w:rPr>
          <w:rFonts w:ascii="Arial" w:cs="Arial" w:eastAsia="Arial" w:hAnsi="Arial"/>
          <w:sz w:val="18"/>
          <w:szCs w:val="18"/>
          <w:color w:val="auto"/>
        </w:rPr>
        <w:t>The resolution to approve, on an advisory basis, the compensation of the Company's Named Officers as disclosed in the proxy statement for the 2011 Annual Meeting was approved based upon the following votes:</w:t>
      </w:r>
    </w:p>
    <w:p>
      <w:pPr>
        <w:spacing w:after="0" w:line="227" w:lineRule="exact"/>
        <w:rPr>
          <w:sz w:val="20"/>
          <w:szCs w:val="20"/>
          <w:color w:val="auto"/>
        </w:rPr>
      </w:pPr>
    </w:p>
    <w:tbl>
      <w:tblPr>
        <w:tblLayout w:type="fixed"/>
        <w:tblInd w:w="280" w:type="dxa"/>
        <w:tblCellMar>
          <w:top w:w="0" w:type="dxa"/>
          <w:left w:w="0" w:type="dxa"/>
          <w:bottom w:w="0" w:type="dxa"/>
          <w:right w:w="0" w:type="dxa"/>
        </w:tblCellMar>
      </w:tblPr>
      <w:tr>
        <w:trPr>
          <w:trHeight w:val="222"/>
        </w:trPr>
        <w:tc>
          <w:tcPr>
            <w:tcW w:w="1580" w:type="dxa"/>
            <w:vAlign w:val="bottom"/>
          </w:tcPr>
          <w:p>
            <w:pPr>
              <w:spacing w:after="0"/>
              <w:rPr>
                <w:sz w:val="20"/>
                <w:szCs w:val="20"/>
                <w:color w:val="auto"/>
              </w:rPr>
            </w:pPr>
            <w:r>
              <w:rPr>
                <w:rFonts w:ascii="Arial" w:cs="Arial" w:eastAsia="Arial" w:hAnsi="Arial"/>
                <w:sz w:val="18"/>
                <w:szCs w:val="18"/>
                <w:color w:val="auto"/>
              </w:rPr>
              <w:t>For:</w:t>
            </w:r>
          </w:p>
        </w:tc>
        <w:tc>
          <w:tcPr>
            <w:tcW w:w="1040" w:type="dxa"/>
            <w:vAlign w:val="bottom"/>
          </w:tcPr>
          <w:p>
            <w:pPr>
              <w:jc w:val="right"/>
              <w:spacing w:after="0"/>
              <w:rPr>
                <w:sz w:val="20"/>
                <w:szCs w:val="20"/>
                <w:color w:val="auto"/>
              </w:rPr>
            </w:pPr>
            <w:r>
              <w:rPr>
                <w:rFonts w:ascii="Arial" w:cs="Arial" w:eastAsia="Arial" w:hAnsi="Arial"/>
                <w:sz w:val="18"/>
                <w:szCs w:val="18"/>
                <w:color w:val="auto"/>
              </w:rPr>
              <w:t>94,341,826</w:t>
            </w:r>
          </w:p>
        </w:tc>
      </w:tr>
      <w:tr>
        <w:trPr>
          <w:trHeight w:val="243"/>
        </w:trPr>
        <w:tc>
          <w:tcPr>
            <w:tcW w:w="1580" w:type="dxa"/>
            <w:vAlign w:val="bottom"/>
          </w:tcPr>
          <w:p>
            <w:pPr>
              <w:spacing w:after="0"/>
              <w:rPr>
                <w:sz w:val="20"/>
                <w:szCs w:val="20"/>
                <w:color w:val="auto"/>
              </w:rPr>
            </w:pPr>
            <w:r>
              <w:rPr>
                <w:rFonts w:ascii="Arial" w:cs="Arial" w:eastAsia="Arial" w:hAnsi="Arial"/>
                <w:sz w:val="18"/>
                <w:szCs w:val="18"/>
                <w:color w:val="auto"/>
              </w:rPr>
              <w:t>Against:</w:t>
            </w:r>
          </w:p>
        </w:tc>
        <w:tc>
          <w:tcPr>
            <w:tcW w:w="1040" w:type="dxa"/>
            <w:vAlign w:val="bottom"/>
          </w:tcPr>
          <w:p>
            <w:pPr>
              <w:jc w:val="right"/>
              <w:spacing w:after="0"/>
              <w:rPr>
                <w:sz w:val="20"/>
                <w:szCs w:val="20"/>
                <w:color w:val="auto"/>
              </w:rPr>
            </w:pPr>
            <w:r>
              <w:rPr>
                <w:rFonts w:ascii="Arial" w:cs="Arial" w:eastAsia="Arial" w:hAnsi="Arial"/>
                <w:sz w:val="18"/>
                <w:szCs w:val="18"/>
                <w:color w:val="auto"/>
              </w:rPr>
              <w:t>5,391,243</w:t>
            </w:r>
          </w:p>
        </w:tc>
      </w:tr>
      <w:tr>
        <w:trPr>
          <w:trHeight w:val="243"/>
        </w:trPr>
        <w:tc>
          <w:tcPr>
            <w:tcW w:w="1580" w:type="dxa"/>
            <w:vAlign w:val="bottom"/>
          </w:tcPr>
          <w:p>
            <w:pPr>
              <w:spacing w:after="0"/>
              <w:rPr>
                <w:sz w:val="20"/>
                <w:szCs w:val="20"/>
                <w:color w:val="auto"/>
              </w:rPr>
            </w:pPr>
            <w:r>
              <w:rPr>
                <w:rFonts w:ascii="Arial" w:cs="Arial" w:eastAsia="Arial" w:hAnsi="Arial"/>
                <w:sz w:val="18"/>
                <w:szCs w:val="18"/>
                <w:color w:val="auto"/>
              </w:rPr>
              <w:t>Abstain:</w:t>
            </w:r>
          </w:p>
        </w:tc>
        <w:tc>
          <w:tcPr>
            <w:tcW w:w="1040" w:type="dxa"/>
            <w:vAlign w:val="bottom"/>
          </w:tcPr>
          <w:p>
            <w:pPr>
              <w:jc w:val="right"/>
              <w:spacing w:after="0"/>
              <w:rPr>
                <w:sz w:val="20"/>
                <w:szCs w:val="20"/>
                <w:color w:val="auto"/>
              </w:rPr>
            </w:pPr>
            <w:r>
              <w:rPr>
                <w:rFonts w:ascii="Arial" w:cs="Arial" w:eastAsia="Arial" w:hAnsi="Arial"/>
                <w:sz w:val="18"/>
                <w:szCs w:val="18"/>
                <w:color w:val="auto"/>
              </w:rPr>
              <w:t>829,321</w:t>
            </w:r>
          </w:p>
        </w:tc>
      </w:tr>
      <w:tr>
        <w:trPr>
          <w:trHeight w:val="243"/>
        </w:trPr>
        <w:tc>
          <w:tcPr>
            <w:tcW w:w="1580" w:type="dxa"/>
            <w:vAlign w:val="bottom"/>
          </w:tcPr>
          <w:p>
            <w:pPr>
              <w:spacing w:after="0"/>
              <w:rPr>
                <w:sz w:val="20"/>
                <w:szCs w:val="20"/>
                <w:color w:val="auto"/>
              </w:rPr>
            </w:pPr>
            <w:r>
              <w:rPr>
                <w:rFonts w:ascii="Arial" w:cs="Arial" w:eastAsia="Arial" w:hAnsi="Arial"/>
                <w:sz w:val="18"/>
                <w:szCs w:val="18"/>
                <w:color w:val="auto"/>
              </w:rPr>
              <w:t>Broker Non-Votes:</w:t>
            </w:r>
          </w:p>
        </w:tc>
        <w:tc>
          <w:tcPr>
            <w:tcW w:w="1040" w:type="dxa"/>
            <w:vAlign w:val="bottom"/>
          </w:tcPr>
          <w:p>
            <w:pPr>
              <w:jc w:val="right"/>
              <w:spacing w:after="0"/>
              <w:rPr>
                <w:sz w:val="20"/>
                <w:szCs w:val="20"/>
                <w:color w:val="auto"/>
              </w:rPr>
            </w:pPr>
            <w:r>
              <w:rPr>
                <w:rFonts w:ascii="Arial" w:cs="Arial" w:eastAsia="Arial" w:hAnsi="Arial"/>
                <w:sz w:val="18"/>
                <w:szCs w:val="18"/>
                <w:color w:val="auto"/>
              </w:rPr>
              <w:t>5,704,533</w:t>
            </w:r>
          </w:p>
        </w:tc>
      </w:tr>
    </w:tbl>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5 – Advisory Vote on Frequency of Future Advisory Votes on Executive Compensation</w:t>
      </w:r>
    </w:p>
    <w:p>
      <w:pPr>
        <w:spacing w:after="0" w:line="285" w:lineRule="exact"/>
        <w:rPr>
          <w:sz w:val="20"/>
          <w:szCs w:val="20"/>
          <w:color w:val="auto"/>
        </w:rPr>
      </w:pPr>
    </w:p>
    <w:p>
      <w:pPr>
        <w:ind w:right="320" w:firstLine="270"/>
        <w:spacing w:after="0" w:line="268" w:lineRule="auto"/>
        <w:rPr>
          <w:sz w:val="20"/>
          <w:szCs w:val="20"/>
          <w:color w:val="auto"/>
        </w:rPr>
      </w:pPr>
      <w:r>
        <w:rPr>
          <w:rFonts w:ascii="Arial" w:cs="Arial" w:eastAsia="Arial" w:hAnsi="Arial"/>
          <w:sz w:val="18"/>
          <w:szCs w:val="18"/>
          <w:color w:val="auto"/>
        </w:rPr>
        <w:t>Three years was selected for the advisory vote on the frequency of future shareholder advisory votes on executive compensation based upon the following votes: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860" w:type="dxa"/>
            <w:vAlign w:val="bottom"/>
          </w:tcPr>
          <w:p>
            <w:pPr>
              <w:ind w:left="280"/>
              <w:spacing w:after="0"/>
              <w:rPr>
                <w:sz w:val="20"/>
                <w:szCs w:val="20"/>
                <w:color w:val="auto"/>
              </w:rPr>
            </w:pPr>
            <w:r>
              <w:rPr>
                <w:rFonts w:ascii="Arial" w:cs="Arial" w:eastAsia="Arial" w:hAnsi="Arial"/>
                <w:sz w:val="18"/>
                <w:szCs w:val="18"/>
                <w:color w:val="auto"/>
              </w:rPr>
              <w:t>One Year:</w:t>
            </w:r>
          </w:p>
        </w:tc>
        <w:tc>
          <w:tcPr>
            <w:tcW w:w="9580" w:type="dxa"/>
            <w:vAlign w:val="bottom"/>
          </w:tcPr>
          <w:p>
            <w:pPr>
              <w:jc w:val="right"/>
              <w:ind w:right="8452"/>
              <w:spacing w:after="0"/>
              <w:rPr>
                <w:sz w:val="20"/>
                <w:szCs w:val="20"/>
                <w:color w:val="auto"/>
              </w:rPr>
            </w:pPr>
            <w:r>
              <w:rPr>
                <w:rFonts w:ascii="Arial" w:cs="Arial" w:eastAsia="Arial" w:hAnsi="Arial"/>
                <w:sz w:val="18"/>
                <w:szCs w:val="18"/>
                <w:color w:val="auto"/>
              </w:rPr>
              <w:t>41,280,904</w:t>
            </w:r>
          </w:p>
        </w:tc>
      </w:tr>
      <w:tr>
        <w:trPr>
          <w:trHeight w:val="243"/>
        </w:trPr>
        <w:tc>
          <w:tcPr>
            <w:tcW w:w="1860" w:type="dxa"/>
            <w:vAlign w:val="bottom"/>
          </w:tcPr>
          <w:p>
            <w:pPr>
              <w:ind w:left="280"/>
              <w:spacing w:after="0"/>
              <w:rPr>
                <w:sz w:val="20"/>
                <w:szCs w:val="20"/>
                <w:color w:val="auto"/>
              </w:rPr>
            </w:pPr>
            <w:r>
              <w:rPr>
                <w:rFonts w:ascii="Arial" w:cs="Arial" w:eastAsia="Arial" w:hAnsi="Arial"/>
                <w:sz w:val="18"/>
                <w:szCs w:val="18"/>
                <w:color w:val="auto"/>
              </w:rPr>
              <w:t>Two Years:</w:t>
            </w:r>
          </w:p>
        </w:tc>
        <w:tc>
          <w:tcPr>
            <w:tcW w:w="9580" w:type="dxa"/>
            <w:vAlign w:val="bottom"/>
          </w:tcPr>
          <w:p>
            <w:pPr>
              <w:jc w:val="right"/>
              <w:ind w:right="8452"/>
              <w:spacing w:after="0"/>
              <w:rPr>
                <w:sz w:val="20"/>
                <w:szCs w:val="20"/>
                <w:color w:val="auto"/>
              </w:rPr>
            </w:pPr>
            <w:r>
              <w:rPr>
                <w:rFonts w:ascii="Arial" w:cs="Arial" w:eastAsia="Arial" w:hAnsi="Arial"/>
                <w:sz w:val="18"/>
                <w:szCs w:val="18"/>
                <w:color w:val="auto"/>
              </w:rPr>
              <w:t>197,069</w:t>
            </w:r>
          </w:p>
        </w:tc>
      </w:tr>
      <w:tr>
        <w:trPr>
          <w:trHeight w:val="243"/>
        </w:trPr>
        <w:tc>
          <w:tcPr>
            <w:tcW w:w="1860" w:type="dxa"/>
            <w:vAlign w:val="bottom"/>
          </w:tcPr>
          <w:p>
            <w:pPr>
              <w:ind w:left="280"/>
              <w:spacing w:after="0"/>
              <w:rPr>
                <w:sz w:val="20"/>
                <w:szCs w:val="20"/>
                <w:color w:val="auto"/>
              </w:rPr>
            </w:pPr>
            <w:r>
              <w:rPr>
                <w:rFonts w:ascii="Arial" w:cs="Arial" w:eastAsia="Arial" w:hAnsi="Arial"/>
                <w:sz w:val="18"/>
                <w:szCs w:val="18"/>
                <w:color w:val="auto"/>
              </w:rPr>
              <w:t>Three Years:</w:t>
            </w:r>
          </w:p>
        </w:tc>
        <w:tc>
          <w:tcPr>
            <w:tcW w:w="9580" w:type="dxa"/>
            <w:vAlign w:val="bottom"/>
          </w:tcPr>
          <w:p>
            <w:pPr>
              <w:jc w:val="right"/>
              <w:ind w:right="8452"/>
              <w:spacing w:after="0"/>
              <w:rPr>
                <w:sz w:val="20"/>
                <w:szCs w:val="20"/>
                <w:color w:val="auto"/>
              </w:rPr>
            </w:pPr>
            <w:r>
              <w:rPr>
                <w:rFonts w:ascii="Arial" w:cs="Arial" w:eastAsia="Arial" w:hAnsi="Arial"/>
                <w:sz w:val="18"/>
                <w:szCs w:val="18"/>
                <w:color w:val="auto"/>
              </w:rPr>
              <w:t>58,268,584</w:t>
            </w:r>
          </w:p>
        </w:tc>
      </w:tr>
      <w:tr>
        <w:trPr>
          <w:trHeight w:val="243"/>
        </w:trPr>
        <w:tc>
          <w:tcPr>
            <w:tcW w:w="1860" w:type="dxa"/>
            <w:vAlign w:val="bottom"/>
          </w:tcPr>
          <w:p>
            <w:pPr>
              <w:ind w:left="280"/>
              <w:spacing w:after="0"/>
              <w:rPr>
                <w:sz w:val="20"/>
                <w:szCs w:val="20"/>
                <w:color w:val="auto"/>
              </w:rPr>
            </w:pPr>
            <w:r>
              <w:rPr>
                <w:rFonts w:ascii="Arial" w:cs="Arial" w:eastAsia="Arial" w:hAnsi="Arial"/>
                <w:sz w:val="18"/>
                <w:szCs w:val="18"/>
                <w:color w:val="auto"/>
              </w:rPr>
              <w:t>Abstain:</w:t>
            </w:r>
          </w:p>
        </w:tc>
        <w:tc>
          <w:tcPr>
            <w:tcW w:w="9580" w:type="dxa"/>
            <w:vAlign w:val="bottom"/>
          </w:tcPr>
          <w:p>
            <w:pPr>
              <w:jc w:val="right"/>
              <w:ind w:right="8452"/>
              <w:spacing w:after="0"/>
              <w:rPr>
                <w:sz w:val="20"/>
                <w:szCs w:val="20"/>
                <w:color w:val="auto"/>
              </w:rPr>
            </w:pPr>
            <w:r>
              <w:rPr>
                <w:rFonts w:ascii="Arial" w:cs="Arial" w:eastAsia="Arial" w:hAnsi="Arial"/>
                <w:sz w:val="18"/>
                <w:szCs w:val="18"/>
                <w:color w:val="auto"/>
              </w:rPr>
              <w:t>815,833</w:t>
            </w:r>
          </w:p>
        </w:tc>
      </w:tr>
      <w:tr>
        <w:trPr>
          <w:trHeight w:val="243"/>
        </w:trPr>
        <w:tc>
          <w:tcPr>
            <w:tcW w:w="1860" w:type="dxa"/>
            <w:vAlign w:val="bottom"/>
          </w:tcPr>
          <w:p>
            <w:pPr>
              <w:ind w:left="280"/>
              <w:spacing w:after="0"/>
              <w:rPr>
                <w:sz w:val="20"/>
                <w:szCs w:val="20"/>
                <w:color w:val="auto"/>
              </w:rPr>
            </w:pPr>
            <w:r>
              <w:rPr>
                <w:rFonts w:ascii="Arial" w:cs="Arial" w:eastAsia="Arial" w:hAnsi="Arial"/>
                <w:sz w:val="18"/>
                <w:szCs w:val="18"/>
                <w:color w:val="auto"/>
              </w:rPr>
              <w:t>Broker Non-Votes:</w:t>
            </w:r>
          </w:p>
        </w:tc>
        <w:tc>
          <w:tcPr>
            <w:tcW w:w="9580" w:type="dxa"/>
            <w:vAlign w:val="bottom"/>
          </w:tcPr>
          <w:p>
            <w:pPr>
              <w:jc w:val="right"/>
              <w:ind w:right="8452"/>
              <w:spacing w:after="0"/>
              <w:rPr>
                <w:sz w:val="20"/>
                <w:szCs w:val="20"/>
                <w:color w:val="auto"/>
              </w:rPr>
            </w:pPr>
            <w:r>
              <w:rPr>
                <w:rFonts w:ascii="Arial" w:cs="Arial" w:eastAsia="Arial" w:hAnsi="Arial"/>
                <w:sz w:val="18"/>
                <w:szCs w:val="18"/>
                <w:color w:val="auto"/>
              </w:rPr>
              <w:t>5,704,533</w:t>
            </w:r>
          </w:p>
        </w:tc>
      </w:tr>
      <w:tr>
        <w:trPr>
          <w:trHeight w:val="377"/>
        </w:trPr>
        <w:tc>
          <w:tcPr>
            <w:tcW w:w="1860" w:type="dxa"/>
            <w:vAlign w:val="bottom"/>
            <w:tcBorders>
              <w:bottom w:val="single" w:sz="8" w:color="808080"/>
            </w:tcBorders>
          </w:tcPr>
          <w:p>
            <w:pPr>
              <w:spacing w:after="0"/>
              <w:rPr>
                <w:sz w:val="24"/>
                <w:szCs w:val="24"/>
                <w:color w:val="auto"/>
              </w:rPr>
            </w:pPr>
          </w:p>
        </w:tc>
        <w:tc>
          <w:tcPr>
            <w:tcW w:w="95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611" w:right="219" w:bottom="1440" w:gutter="0" w:footer="0" w:header="0"/>
        </w:sectPr>
      </w:pPr>
    </w:p>
    <w:bookmarkStart w:id="3" w:name="page4"/>
    <w:bookmarkEnd w:id="3"/>
    <w:p>
      <w:pPr>
        <w:jc w:val="center"/>
        <w:ind w:right="-219"/>
        <w:spacing w:after="0"/>
        <w:rPr>
          <w:sz w:val="20"/>
          <w:szCs w:val="20"/>
          <w:color w:val="auto"/>
        </w:rPr>
      </w:pPr>
      <w:r>
        <w:rPr>
          <w:rFonts w:ascii="Arial" w:cs="Arial" w:eastAsia="Arial" w:hAnsi="Arial"/>
          <w:sz w:val="18"/>
          <w:szCs w:val="18"/>
          <w:color w:val="auto"/>
        </w:rPr>
        <w:t>SIGNATURES</w:t>
      </w:r>
    </w:p>
    <w:p>
      <w:pPr>
        <w:spacing w:after="0" w:line="279" w:lineRule="exact"/>
        <w:rPr>
          <w:sz w:val="20"/>
          <w:szCs w:val="20"/>
          <w:color w:val="auto"/>
        </w:rPr>
      </w:pPr>
    </w:p>
    <w:p>
      <w:pPr>
        <w:ind w:firstLine="27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27" w:lineRule="exact"/>
        <w:rPr>
          <w:sz w:val="20"/>
          <w:szCs w:val="20"/>
          <w:color w:val="auto"/>
        </w:rPr>
      </w:pPr>
    </w:p>
    <w:p>
      <w:pPr>
        <w:spacing w:after="0"/>
        <w:tabs>
          <w:tab w:leader="none" w:pos="4720" w:val="left"/>
        </w:tabs>
        <w:rPr>
          <w:sz w:val="20"/>
          <w:szCs w:val="20"/>
          <w:color w:val="auto"/>
        </w:rPr>
      </w:pPr>
      <w:r>
        <w:rPr>
          <w:rFonts w:ascii="Arial" w:cs="Arial" w:eastAsia="Arial" w:hAnsi="Arial"/>
          <w:sz w:val="18"/>
          <w:szCs w:val="18"/>
          <w:color w:val="auto"/>
        </w:rPr>
        <w:t>Date: June 14, 2011</w:t>
      </w:r>
      <w:r>
        <w:rPr>
          <w:sz w:val="20"/>
          <w:szCs w:val="20"/>
          <w:color w:val="auto"/>
        </w:rPr>
        <w:tab/>
      </w:r>
      <w:r>
        <w:rPr>
          <w:rFonts w:ascii="Arial" w:cs="Arial" w:eastAsia="Arial" w:hAnsi="Arial"/>
          <w:sz w:val="16"/>
          <w:szCs w:val="16"/>
          <w:color w:val="auto"/>
        </w:rPr>
        <w:t>REGENERON PHARMACEUTICALS, INC.</w:t>
      </w:r>
    </w:p>
    <w:p>
      <w:pPr>
        <w:spacing w:after="0" w:line="200" w:lineRule="exact"/>
        <w:rPr>
          <w:sz w:val="20"/>
          <w:szCs w:val="20"/>
          <w:color w:val="auto"/>
        </w:rPr>
      </w:pPr>
    </w:p>
    <w:p>
      <w:pPr>
        <w:spacing w:after="0" w:line="322" w:lineRule="exact"/>
        <w:rPr>
          <w:sz w:val="20"/>
          <w:szCs w:val="20"/>
          <w:color w:val="auto"/>
        </w:rPr>
      </w:pPr>
    </w:p>
    <w:p>
      <w:pPr>
        <w:ind w:left="4740"/>
        <w:spacing w:after="0"/>
        <w:tabs>
          <w:tab w:leader="none" w:pos="5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Murray A. Goldberg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19685</wp:posOffset>
            </wp:positionV>
            <wp:extent cx="10547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54735" cy="8890"/>
                    </a:xfrm>
                    <a:prstGeom prst="rect">
                      <a:avLst/>
                    </a:prstGeom>
                    <a:noFill/>
                  </pic:spPr>
                </pic:pic>
              </a:graphicData>
            </a:graphic>
          </wp:anchor>
        </w:drawing>
      </w:r>
    </w:p>
    <w:p>
      <w:pPr>
        <w:spacing w:after="0" w:line="16"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Name: Murray A. Goldberg</w:t>
      </w:r>
    </w:p>
    <w:p>
      <w:pPr>
        <w:spacing w:after="0" w:line="36"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Title: Senior Vice President, Finance and</w:t>
      </w:r>
    </w:p>
    <w:p>
      <w:pPr>
        <w:spacing w:after="0" w:line="36"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Administration, Chief Financial Officer, Treasurer,</w:t>
      </w:r>
    </w:p>
    <w:p>
      <w:pPr>
        <w:spacing w:after="0" w:line="36"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and Assistant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240665</wp:posOffset>
            </wp:positionV>
            <wp:extent cx="7267575"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200"/>
      </w:cols>
      <w:pgMar w:left="240" w:top="617"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2019-12-10T10:35:41Z</dcterms:created>
  <dcterms:modified xsi:type="dcterms:W3CDTF">2019-12-10T10:35:41Z</dcterms:modified>
</cp:coreProperties>
</file>