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9682d1_8k.htm"/>
      <w:bookmarkStart w:id="1" w:name="kstm2619682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7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REGENERON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New York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475"/>
        <w:gridCol w:w="60"/>
        <w:gridCol w:w="1565"/>
      </w:tblGrid>
      <w:tr>
        <w:trPr/>
        <w:tc>
          <w:tcPr>
            <w:tcW w:w="4475" w:type="dxa"/>
            <w:tcBorders/>
            <w:vAlign w:val="center"/>
          </w:tcPr>
          <w:p>
            <w:pPr>
              <w:pStyle w:val="TableContents"/>
              <w:bidi w:val="0"/>
              <w:spacing w:before="0" w:after="283"/>
              <w:jc w:val="center"/>
              <w:rPr>
                <w:b/>
                <w:i w:val="false"/>
                <w:caps w:val="false"/>
                <w:smallCaps w:val="false"/>
                <w:sz w:val="20"/>
              </w:rPr>
            </w:pPr>
            <w:bookmarkStart w:id="6" w:name="xdx_900_edei--EntityFileNumber_c20260706"/>
            <w:bookmarkEnd w:id="6"/>
            <w:r>
              <w:rPr>
                <w:b/>
                <w:i w:val="false"/>
                <w:caps w:val="false"/>
                <w:smallCaps w:val="false"/>
                <w:sz w:val="20"/>
              </w:rPr>
              <w:t>000-19034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7" w:name="xdx_909_edei--EntityTaxIdentificationNum"/>
            <w:bookmarkEnd w:id="7"/>
            <w:r>
              <w:rPr>
                <w:b/>
                <w:i w:val="false"/>
                <w:caps w:val="false"/>
                <w:smallCaps w:val="false"/>
                <w:sz w:val="20"/>
              </w:rPr>
              <w:t>13-3444607</w:t>
            </w:r>
          </w:p>
        </w:tc>
      </w:tr>
      <w:tr>
        <w:trPr/>
        <w:tc>
          <w:tcPr>
            <w:tcW w:w="44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4475"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b/>
                <w:i w:val="false"/>
                <w:caps w:val="false"/>
                <w:smallCaps w:val="false"/>
                <w:sz w:val="20"/>
              </w:rPr>
            </w:pPr>
            <w:bookmarkStart w:id="8" w:name="xdx_90F_edei--EntityAddressAddressLine1_"/>
            <w:bookmarkEnd w:id="8"/>
            <w:r>
              <w:rPr>
                <w:b/>
                <w:i w:val="false"/>
                <w:caps w:val="false"/>
                <w:smallCaps w:val="false"/>
                <w:sz w:val="20"/>
              </w:rPr>
              <w:t xml:space="preserve">777 Old Saw Mill River Road, </w:t>
            </w:r>
            <w:bookmarkStart w:id="9" w:name="xdx_903_edei--EntityAddressCityOrTown_c2"/>
            <w:bookmarkEnd w:id="9"/>
            <w:r>
              <w:rPr>
                <w:b/>
                <w:i w:val="false"/>
                <w:caps w:val="false"/>
                <w:smallCaps w:val="false"/>
                <w:sz w:val="20"/>
              </w:rPr>
              <w:t xml:space="preserve">Tarrytown, </w:t>
            </w:r>
            <w:bookmarkStart w:id="10" w:name="xdx_905_edei--EntityAddressStateOrProvin"/>
            <w:bookmarkEnd w:id="10"/>
            <w:r>
              <w:rPr>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11" w:name="xdx_90B_edei--EntityAddressPostalZipCode"/>
            <w:bookmarkEnd w:id="11"/>
            <w:r>
              <w:rPr>
                <w:b/>
                <w:i w:val="false"/>
                <w:caps w:val="false"/>
                <w:smallCaps w:val="false"/>
                <w:sz w:val="20"/>
              </w:rPr>
              <w:t>10591-6707</w:t>
            </w:r>
          </w:p>
        </w:tc>
      </w:tr>
      <w:tr>
        <w:trPr/>
        <w:tc>
          <w:tcPr>
            <w:tcW w:w="447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2_edei--CityAreaCode_c20260706__20"/>
      <w:bookmarkEnd w:id="12"/>
      <w:r>
        <w:rPr>
          <w:rFonts w:ascii="Times New Roman;Times;Serif" w:hAnsi="Times New Roman;Times;Serif"/>
          <w:b/>
          <w:i w:val="false"/>
          <w:caps w:val="false"/>
          <w:smallCaps w:val="false"/>
          <w:sz w:val="20"/>
        </w:rPr>
        <w:t xml:space="preserve">914) </w:t>
      </w:r>
      <w:bookmarkStart w:id="13" w:name="xdx_90C_edei--LocalPhoneNumber_c20260706"/>
      <w:bookmarkEnd w:id="13"/>
      <w:r>
        <w:rPr>
          <w:rFonts w:ascii="Times New Roman;Times;Serif" w:hAnsi="Times New Roman;Times;Serif"/>
          <w:b/>
          <w:i w:val="false"/>
          <w:caps w:val="false"/>
          <w:smallCaps w:val="false"/>
          <w:sz w:val="20"/>
        </w:rPr>
        <w:t>847-7000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3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5" w:name="xdx_906_edei--SolicitingMaterial_c202607"/>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6" w:name="xdx_902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7" w:name="xdx_90D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28" w:type="dxa"/>
          <w:left w:w="0" w:type="dxa"/>
          <w:bottom w:w="28" w:type="dxa"/>
          <w:right w:w="108" w:type="dxa"/>
        </w:tblCellMar>
      </w:tblPr>
      <w:tblGrid>
        <w:gridCol w:w="3620"/>
        <w:gridCol w:w="1535"/>
        <w:gridCol w:w="3590"/>
      </w:tblGrid>
      <w:tr>
        <w:trPr/>
        <w:tc>
          <w:tcPr>
            <w:tcW w:w="36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i w:val="false"/>
                <w:caps w:val="false"/>
                <w:smallCaps w:val="false"/>
                <w:sz w:val="20"/>
              </w:rPr>
            </w:pPr>
            <w:bookmarkStart w:id="18" w:name="xdx_90D_edei--Security12bTitle_c20260706"/>
            <w:bookmarkEnd w:id="18"/>
            <w:r>
              <w:rPr>
                <w:i w:val="false"/>
                <w:caps w:val="false"/>
                <w:smallCaps w:val="false"/>
                <w:sz w:val="20"/>
              </w:rPr>
              <w:t>Common Stock – par value $0.001 per share</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19" w:name="xdx_90E_edei--TradingSymbol_c20260706__2"/>
            <w:bookmarkEnd w:id="19"/>
            <w:r>
              <w:rPr>
                <w:i w:val="false"/>
                <w:caps w:val="false"/>
                <w:smallCaps w:val="false"/>
                <w:sz w:val="20"/>
              </w:rPr>
              <w:t>REGN</w:t>
            </w:r>
          </w:p>
        </w:tc>
        <w:tc>
          <w:tcPr>
            <w:tcW w:w="3590"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20" w:name="xdx_90C_edei--SecurityExchangeName_c2026"/>
            <w:bookmarkEnd w:id="20"/>
            <w:r>
              <w:rPr>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875"/>
        <w:gridCol w:w="60"/>
        <w:gridCol w:w="402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Results of Operations and Financial Condition.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Regeneron Pharmaceuticals, Inc. (“</w:t>
      </w:r>
      <w:r>
        <w:rPr>
          <w:rFonts w:ascii="Times New Roman;Times;Serif" w:hAnsi="Times New Roman;Times;Serif"/>
          <w:b w:val="false"/>
          <w:i w:val="false"/>
          <w:caps w:val="false"/>
          <w:smallCaps w:val="false"/>
          <w:sz w:val="20"/>
          <w:u w:val="single"/>
        </w:rPr>
        <w:t>Regeneron</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currently expects that its financial results calculated in accordance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and its non-GAAP financial results for the second quarter 2026 will include an acquired in-process research and development (“</w:t>
      </w:r>
      <w:r>
        <w:rPr>
          <w:rFonts w:ascii="Times New Roman;Times;Serif" w:hAnsi="Times New Roman;Times;Serif"/>
          <w:b w:val="false"/>
          <w:i w:val="false"/>
          <w:caps w:val="false"/>
          <w:smallCaps w:val="false"/>
          <w:sz w:val="20"/>
          <w:u w:val="single"/>
        </w:rPr>
        <w:t>IPR&amp;D</w:t>
      </w:r>
      <w:r>
        <w:rPr>
          <w:rFonts w:ascii="Times New Roman;Times;Serif" w:hAnsi="Times New Roman;Times;Serif"/>
          <w:b w:val="false"/>
          <w:i w:val="false"/>
          <w:caps w:val="false"/>
          <w:smallCaps w:val="false"/>
          <w:sz w:val="20"/>
        </w:rPr>
        <w:t>”) charge of approximately $127 million on a pre-tax basis. This charge relates to up-front and opt-in payments in connection with collaboration and licensing agreements. The acquired IPR&amp;D charge is expected to negatively impact each of GAAP and non-GAAP net income per diluted share for the second quarter 2026 by approximately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IPR&amp;D charges may include IPR&amp;D acquired in connection with asset acquisitions as well as up-front, opt-in, certain development milestone payments, and premiums paid on equity securities related to collaboration and licensing agreements. Regeneron does not forecast such acquired IPR&amp;D charges due to the uncertainty of the future occurrence, magnitude, and timing of these transactions in any given period.</w:t>
      </w:r>
    </w:p>
    <w:p>
      <w:pPr>
        <w:pStyle w:val="TextBody"/>
        <w:bidi w:val="0"/>
        <w:spacing w:before="0" w:after="0"/>
        <w:ind w:left="1083"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Regeneron’s results for the second quarter 2026 have not been finalized and are subject to Regeneron’s financial statement closing procedures. There can be no assurance that actual results will not differ from the preliminary (unaudited) estimates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Current Report on Form 8-K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(this “</w:t>
      </w:r>
      <w:r>
        <w:rPr>
          <w:rFonts w:ascii="Times New Roman;Times;Serif" w:hAnsi="Times New Roman;Times;Serif"/>
          <w:b w:val="false"/>
          <w:i/>
          <w:caps w:val="false"/>
          <w:smallCaps w:val="false"/>
          <w:sz w:val="20"/>
          <w:u w:val="single"/>
        </w:rPr>
        <w:t>Report</w:t>
      </w:r>
      <w:r>
        <w:rPr>
          <w:rFonts w:ascii="Times New Roman;Times;Serif" w:hAnsi="Times New Roman;Times;Serif"/>
          <w:b w:val="false"/>
          <w:i/>
          <w:caps w:val="false"/>
          <w:smallCaps w:val="false"/>
          <w:sz w:val="20"/>
        </w:rPr>
        <w:t>”) includes forward-looking statements that involve risks and uncertainties relating to future events and the future performance of Regeneron Pharmaceuticals, Inc. (“</w:t>
      </w:r>
      <w:r>
        <w:rPr>
          <w:rFonts w:ascii="Times New Roman;Times;Serif" w:hAnsi="Times New Roman;Times;Serif"/>
          <w:b w:val="false"/>
          <w:i/>
          <w:caps w:val="false"/>
          <w:smallCaps w:val="false"/>
          <w:sz w:val="20"/>
          <w:u w:val="single"/>
        </w:rPr>
        <w:t>Regeneron</w:t>
      </w:r>
      <w:r>
        <w:rPr>
          <w:rFonts w:ascii="Times New Roman;Times;Serif" w:hAnsi="Times New Roman;Times;Serif"/>
          <w:b w:val="false"/>
          <w:i/>
          <w:caps w:val="false"/>
          <w:smallCaps w:val="false"/>
          <w:sz w:val="20"/>
        </w:rPr>
        <w:t>” or the “</w:t>
      </w:r>
      <w:r>
        <w:rPr>
          <w:rFonts w:ascii="Times New Roman;Times;Serif" w:hAnsi="Times New Roman;Times;Serif"/>
          <w:b w:val="false"/>
          <w:i/>
          <w:caps w:val="false"/>
          <w:smallCaps w:val="false"/>
          <w:sz w:val="20"/>
          <w:u w:val="single"/>
        </w:rPr>
        <w:t>Company</w:t>
      </w:r>
      <w:r>
        <w:rPr>
          <w:rFonts w:ascii="Times New Roman;Times;Serif" w:hAnsi="Times New Roman;Times;Serif"/>
          <w:b w:val="false"/>
          <w:i/>
          <w:caps w:val="false"/>
          <w:smallCaps w:val="false"/>
          <w:sz w:val="20"/>
        </w:rPr>
        <w:t>”),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expected acquired in-process research and development charge for the quarterly period ended June 30, 2026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Regarding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references non-GAAP net income per diluted share, which is a financial measure that is not calculated in accordance with U.S. Generally Accepted Accounting Principles (“</w:t>
      </w:r>
      <w:r>
        <w:rPr>
          <w:rFonts w:ascii="Times New Roman;Times;Serif" w:hAnsi="Times New Roman;Times;Serif"/>
          <w:b w:val="false"/>
          <w:i/>
          <w:caps w:val="false"/>
          <w:smallCaps w:val="false"/>
          <w:sz w:val="20"/>
          <w:u w:val="single"/>
        </w:rPr>
        <w:t>GAAP</w:t>
      </w:r>
      <w:r>
        <w:rPr>
          <w:rFonts w:ascii="Times New Roman;Times;Serif" w:hAnsi="Times New Roman;Times;Serif"/>
          <w:b w:val="false"/>
          <w:i/>
          <w:caps w:val="false"/>
          <w:smallCaps w:val="false"/>
          <w:sz w:val="20"/>
        </w:rPr>
        <w:t>”).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75"/>
        <w:gridCol w:w="5015"/>
      </w:tblGrid>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b/>
              </w:rPr>
              <w:t>REGENERON PHARMACEUTICALS, INC.</w:t>
            </w:r>
            <w:r>
              <w:rPr/>
              <w:t>   </w:t>
            </w:r>
          </w:p>
        </w:tc>
      </w:tr>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J. LaRosa</w:t>
            </w:r>
          </w:p>
        </w:tc>
      </w:tr>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J. LaRosa</w:t>
            </w:r>
          </w:p>
        </w:tc>
      </w:tr>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r>
        <w:trPr/>
        <w:tc>
          <w:tcPr>
            <w:tcW w:w="50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1026</Words>
  <Characters>6031</Characters>
  <CharactersWithSpaces>7060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