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February 8, 2018 (February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4" w:lineRule="exact"/>
        <w:rPr>
          <w:rFonts w:ascii="MS PGothic" w:cs="MS PGothic" w:eastAsia="MS PGothic" w:hAnsi="MS PGothic"/>
          <w:sz w:val="18"/>
          <w:szCs w:val="18"/>
          <w:color w:val="auto"/>
        </w:rPr>
      </w:pPr>
    </w:p>
    <w:p>
      <w:pPr>
        <w:ind w:left="380" w:right="14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91" w:lineRule="exact"/>
        <w:rPr>
          <w:rFonts w:ascii="MS PGothic" w:cs="MS PGothic" w:eastAsia="MS PGothic" w:hAnsi="MS PGothic"/>
          <w:sz w:val="18"/>
          <w:szCs w:val="18"/>
          <w:color w:val="auto"/>
        </w:rPr>
      </w:pPr>
    </w:p>
    <w:p>
      <w:pPr>
        <w:ind w:left="380"/>
        <w:spacing w:after="0" w:line="207" w:lineRule="exact"/>
        <w:rPr>
          <w:rFonts w:ascii="MS PGothic" w:cs="MS PGothic" w:eastAsia="MS PGothic" w:hAnsi="MS PGothic"/>
          <w:sz w:val="18"/>
          <w:szCs w:val="18"/>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4" w:lineRule="exact"/>
        <w:rPr>
          <w:rFonts w:ascii="MS PGothic" w:cs="MS PGothic" w:eastAsia="MS PGothic" w:hAnsi="MS PGothic"/>
          <w:sz w:val="18"/>
          <w:szCs w:val="18"/>
          <w:color w:val="auto"/>
        </w:rPr>
      </w:pPr>
    </w:p>
    <w:p>
      <w:pPr>
        <w:ind w:left="380" w:right="180"/>
        <w:spacing w:after="0" w:line="233" w:lineRule="exact"/>
        <w:rPr>
          <w:rFonts w:ascii="MS PGothic" w:cs="MS PGothic" w:eastAsia="MS PGothic" w:hAnsi="MS PGothic"/>
          <w:sz w:val="18"/>
          <w:szCs w:val="18"/>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234"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60" w:firstLine="243"/>
        <w:spacing w:after="0" w:line="264" w:lineRule="auto"/>
        <w:rPr>
          <w:sz w:val="20"/>
          <w:szCs w:val="20"/>
          <w:color w:val="auto"/>
        </w:rPr>
      </w:pPr>
      <w:r>
        <w:rPr>
          <w:rFonts w:ascii="Arial" w:cs="Arial" w:eastAsia="Arial" w:hAnsi="Arial"/>
          <w:sz w:val="18"/>
          <w:szCs w:val="18"/>
          <w:color w:val="auto"/>
        </w:rPr>
        <w:t>On February 8, 2018, Regeneron Pharmaceuticals, Inc. issued a press release announcing its financial and operating results for the quarter and year ended December 31, 2017.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February 8, 2018, Reporting Fourth Quarter and Full Year 2017 Financial and Operating Results.</w:t>
      </w:r>
    </w:p>
    <w:p>
      <w:pPr>
        <w:sectPr>
          <w:pgSz w:w="11900" w:h="16838" w:orient="portrait"/>
          <w:cols w:equalWidth="0" w:num="1">
            <w:col w:w="11380"/>
          </w:cols>
          <w:pgMar w:left="240" w:top="580"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Date: February 8, 2018</w:t>
            </w:r>
          </w:p>
        </w:tc>
        <w:tc>
          <w:tcPr>
            <w:tcW w:w="6640" w:type="dxa"/>
            <w:vAlign w:val="bottom"/>
            <w:gridSpan w:val="2"/>
          </w:tcPr>
          <w:p>
            <w:pPr>
              <w:ind w:left="88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540" w:type="dxa"/>
            <w:vAlign w:val="bottom"/>
          </w:tcPr>
          <w:p>
            <w:pPr>
              <w:spacing w:after="0"/>
              <w:rPr>
                <w:sz w:val="24"/>
                <w:szCs w:val="24"/>
                <w:color w:val="auto"/>
              </w:rPr>
            </w:pPr>
          </w:p>
        </w:tc>
        <w:tc>
          <w:tcPr>
            <w:tcW w:w="2640" w:type="dxa"/>
            <w:vAlign w:val="bottom"/>
          </w:tcPr>
          <w:p>
            <w:pPr>
              <w:ind w:left="88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5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540" w:type="dxa"/>
            <w:vAlign w:val="bottom"/>
          </w:tcPr>
          <w:p>
            <w:pPr>
              <w:spacing w:after="0"/>
              <w:rPr>
                <w:sz w:val="20"/>
                <w:szCs w:val="20"/>
                <w:color w:val="auto"/>
              </w:rPr>
            </w:pPr>
          </w:p>
        </w:tc>
        <w:tc>
          <w:tcPr>
            <w:tcW w:w="2640" w:type="dxa"/>
            <w:vAlign w:val="bottom"/>
          </w:tcPr>
          <w:p>
            <w:pPr>
              <w:ind w:left="88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540" w:type="dxa"/>
            <w:vAlign w:val="bottom"/>
          </w:tcPr>
          <w:p>
            <w:pPr>
              <w:spacing w:after="0"/>
              <w:rPr>
                <w:sz w:val="23"/>
                <w:szCs w:val="23"/>
                <w:color w:val="auto"/>
              </w:rPr>
            </w:pPr>
          </w:p>
        </w:tc>
        <w:tc>
          <w:tcPr>
            <w:tcW w:w="2640" w:type="dxa"/>
            <w:vAlign w:val="bottom"/>
          </w:tcPr>
          <w:p>
            <w:pPr>
              <w:ind w:left="88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368" w:right="11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80" w:type="dxa"/>
            <w:vAlign w:val="bottom"/>
          </w:tcPr>
          <w:p>
            <w:pPr>
              <w:ind w:left="2640"/>
              <w:spacing w:after="0"/>
              <w:rPr>
                <w:sz w:val="20"/>
                <w:szCs w:val="20"/>
                <w:color w:val="auto"/>
              </w:rPr>
            </w:pPr>
            <w:r>
              <w:rPr>
                <w:rFonts w:ascii="Arial" w:cs="Arial" w:eastAsia="Arial" w:hAnsi="Arial"/>
                <w:sz w:val="18"/>
                <w:szCs w:val="18"/>
                <w:color w:val="auto"/>
              </w:rPr>
              <w:t>Exhibit Index</w:t>
            </w:r>
          </w:p>
        </w:tc>
      </w:tr>
      <w:tr>
        <w:trPr>
          <w:trHeight w:val="554"/>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Number</w:t>
            </w:r>
          </w:p>
        </w:tc>
        <w:tc>
          <w:tcPr>
            <w:tcW w:w="6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6280" w:type="dxa"/>
            <w:vAlign w:val="bottom"/>
            <w:gridSpan w:val="2"/>
          </w:tcPr>
          <w:p>
            <w:pPr>
              <w:spacing w:after="0"/>
              <w:rPr>
                <w:sz w:val="24"/>
                <w:szCs w:val="24"/>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1"/>
                <w:szCs w:val="21"/>
                <w:color w:val="auto"/>
              </w:rPr>
            </w:pPr>
          </w:p>
        </w:tc>
        <w:tc>
          <w:tcPr>
            <w:tcW w:w="71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Press Release, dated February 8, 2018, Reporting Fourth Quarter and Full Year 2017 Financial and</w:t>
              </w:r>
            </w:hyperlink>
          </w:p>
        </w:tc>
      </w:tr>
      <w:tr>
        <w:trPr>
          <w:trHeight w:val="196"/>
        </w:trPr>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Operating Results.</w:t>
              </w:r>
            </w:hyperlink>
          </w:p>
        </w:tc>
        <w:tc>
          <w:tcPr>
            <w:tcW w:w="5780" w:type="dxa"/>
            <w:vAlign w:val="bottom"/>
          </w:tcPr>
          <w:p>
            <w:pPr>
              <w:spacing w:after="0"/>
              <w:rPr>
                <w:sz w:val="17"/>
                <w:szCs w:val="17"/>
                <w:color w:val="auto"/>
              </w:rPr>
            </w:pPr>
          </w:p>
        </w:tc>
      </w:tr>
    </w:tbl>
    <w:p>
      <w:pPr>
        <w:sectPr>
          <w:pgSz w:w="11900" w:h="16838" w:orient="portrait"/>
          <w:cols w:equalWidth="0" w:num="1">
            <w:col w:w="10179"/>
          </w:cols>
          <w:pgMar w:left="280" w:top="58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80"/>
        <w:spacing w:after="0" w:line="278" w:lineRule="auto"/>
        <w:rPr>
          <w:sz w:val="20"/>
          <w:szCs w:val="20"/>
          <w:color w:val="auto"/>
        </w:rPr>
      </w:pPr>
      <w:r>
        <w:rPr>
          <w:rFonts w:ascii="Arial" w:cs="Arial" w:eastAsia="Arial" w:hAnsi="Arial"/>
          <w:sz w:val="29"/>
          <w:szCs w:val="29"/>
          <w:b w:val="1"/>
          <w:bCs w:val="1"/>
          <w:color w:val="0F4DBC"/>
        </w:rPr>
        <w:t>Regeneron Reports Fourth Quarter and Full Year 2017 Financial and Operating Results</w:t>
      </w:r>
    </w:p>
    <w:p>
      <w:pPr>
        <w:spacing w:after="0" w:line="63" w:lineRule="exact"/>
        <w:rPr>
          <w:sz w:val="20"/>
          <w:szCs w:val="20"/>
          <w:color w:val="auto"/>
        </w:rPr>
      </w:pPr>
    </w:p>
    <w:p>
      <w:pPr>
        <w:ind w:left="340" w:right="380" w:hanging="332"/>
        <w:spacing w:after="0" w:line="265" w:lineRule="auto"/>
        <w:tabs>
          <w:tab w:leader="none" w:pos="340" w:val="left"/>
        </w:tabs>
        <w:numPr>
          <w:ilvl w:val="0"/>
          <w:numId w:val="2"/>
        </w:numPr>
        <w:rPr>
          <w:rFonts w:ascii="Arial" w:cs="Arial" w:eastAsia="Arial" w:hAnsi="Arial"/>
          <w:sz w:val="21"/>
          <w:szCs w:val="21"/>
          <w:i w:val="1"/>
          <w:iCs w:val="1"/>
          <w:color w:val="auto"/>
        </w:rPr>
      </w:pPr>
      <w:r>
        <w:rPr>
          <w:rFonts w:ascii="Arial" w:cs="Arial" w:eastAsia="Arial" w:hAnsi="Arial"/>
          <w:sz w:val="21"/>
          <w:szCs w:val="21"/>
          <w:i w:val="1"/>
          <w:iCs w:val="1"/>
          <w:color w:val="auto"/>
        </w:rPr>
        <w:t>Fourth quarter 2017 GAAP net income per diluted share decreased by 32% to $1.50 versus fourth quarter 2016, and includes a charge of $2.82 per diluted share in connection with enactment of U.S. tax reform legislation</w:t>
      </w:r>
    </w:p>
    <w:p>
      <w:pPr>
        <w:spacing w:after="0" w:line="1" w:lineRule="exact"/>
        <w:rPr>
          <w:rFonts w:ascii="Arial" w:cs="Arial" w:eastAsia="Arial" w:hAnsi="Arial"/>
          <w:sz w:val="21"/>
          <w:szCs w:val="21"/>
          <w:i w:val="1"/>
          <w:iCs w:val="1"/>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2017 non-GAAP net income per diluted share increased 72% to $5.23 versus fourth quarter 2016</w:t>
      </w:r>
    </w:p>
    <w:p>
      <w:pPr>
        <w:spacing w:after="0" w:line="3" w:lineRule="exact"/>
        <w:rPr>
          <w:rFonts w:ascii="Arial" w:cs="Arial" w:eastAsia="Arial" w:hAnsi="Arial"/>
          <w:sz w:val="22"/>
          <w:szCs w:val="22"/>
          <w:i w:val="1"/>
          <w:iCs w:val="1"/>
          <w:color w:val="auto"/>
        </w:rPr>
      </w:pPr>
    </w:p>
    <w:p>
      <w:pPr>
        <w:ind w:left="340" w:right="600" w:hanging="332"/>
        <w:spacing w:after="0" w:line="223" w:lineRule="auto"/>
        <w:tabs>
          <w:tab w:leader="none" w:pos="340" w:val="left"/>
        </w:tabs>
        <w:numPr>
          <w:ilvl w:val="0"/>
          <w:numId w:val="2"/>
        </w:numPr>
        <w:rPr>
          <w:rFonts w:ascii="Arial" w:cs="Arial" w:eastAsia="Arial" w:hAnsi="Arial"/>
          <w:sz w:val="21"/>
          <w:szCs w:val="21"/>
          <w:color w:val="auto"/>
        </w:rPr>
      </w:pPr>
      <w:r>
        <w:rPr>
          <w:rFonts w:ascii="Arial" w:cs="Arial" w:eastAsia="Arial" w:hAnsi="Arial"/>
          <w:sz w:val="21"/>
          <w:szCs w:val="21"/>
          <w:i w:val="1"/>
          <w:iCs w:val="1"/>
          <w:color w:val="auto"/>
        </w:rPr>
        <w:t>Fourth quarter 2017 EYLEA</w:t>
      </w:r>
      <w:r>
        <w:rPr>
          <w:rFonts w:ascii="Arial" w:cs="Arial" w:eastAsia="Arial" w:hAnsi="Arial"/>
          <w:sz w:val="27"/>
          <w:szCs w:val="27"/>
          <w:b w:val="1"/>
          <w:bCs w:val="1"/>
          <w:color w:val="auto"/>
          <w:vertAlign w:val="superscript"/>
        </w:rPr>
        <w:t>®</w:t>
      </w:r>
      <w:r>
        <w:rPr>
          <w:rFonts w:ascii="Arial" w:cs="Arial" w:eastAsia="Arial" w:hAnsi="Arial"/>
          <w:sz w:val="21"/>
          <w:szCs w:val="21"/>
          <w:i w:val="1"/>
          <w:iCs w:val="1"/>
          <w:color w:val="auto"/>
        </w:rPr>
        <w:t xml:space="preserve"> (aflibercept) Injection U.S. net sales increased 14% to $975 million versus fourth quarter 2016 and full year 2017 EYLEA U.S. net sales increased 11% to $3.70 billion versus full year 2016</w:t>
      </w:r>
    </w:p>
    <w:p>
      <w:pPr>
        <w:ind w:left="340" w:right="440" w:hanging="332"/>
        <w:spacing w:after="0" w:line="255"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2017 EYLEA global net sales</w:t>
      </w:r>
      <w:r>
        <w:rPr>
          <w:rFonts w:ascii="Arial" w:cs="Arial" w:eastAsia="Arial" w:hAnsi="Arial"/>
          <w:sz w:val="22"/>
          <w:szCs w:val="22"/>
          <w:i w:val="1"/>
          <w:iCs w:val="1"/>
          <w:color w:val="auto"/>
          <w:vertAlign w:val="superscript"/>
        </w:rPr>
        <w:t>(1)</w:t>
      </w:r>
      <w:r>
        <w:rPr>
          <w:rFonts w:ascii="Arial" w:cs="Arial" w:eastAsia="Arial" w:hAnsi="Arial"/>
          <w:sz w:val="22"/>
          <w:szCs w:val="22"/>
          <w:i w:val="1"/>
          <w:iCs w:val="1"/>
          <w:color w:val="auto"/>
        </w:rPr>
        <w:t xml:space="preserve"> increased 19% to $1.61 billion versus fourth quarter 2016 and full year 2017 EYLEA global net sales</w:t>
      </w:r>
      <w:r>
        <w:rPr>
          <w:rFonts w:ascii="Arial" w:cs="Arial" w:eastAsia="Arial" w:hAnsi="Arial"/>
          <w:sz w:val="22"/>
          <w:szCs w:val="22"/>
          <w:i w:val="1"/>
          <w:iCs w:val="1"/>
          <w:color w:val="auto"/>
          <w:vertAlign w:val="superscript"/>
        </w:rPr>
        <w:t>(1)</w:t>
      </w:r>
      <w:r>
        <w:rPr>
          <w:rFonts w:ascii="Arial" w:cs="Arial" w:eastAsia="Arial" w:hAnsi="Arial"/>
          <w:sz w:val="22"/>
          <w:szCs w:val="22"/>
          <w:i w:val="1"/>
          <w:iCs w:val="1"/>
          <w:color w:val="auto"/>
        </w:rPr>
        <w:t xml:space="preserve"> increased 14% to $5.93 billion versus full year 2016</w:t>
      </w:r>
    </w:p>
    <w:p>
      <w:pPr>
        <w:spacing w:after="0" w:line="206" w:lineRule="exact"/>
        <w:rPr>
          <w:sz w:val="20"/>
          <w:szCs w:val="20"/>
          <w:color w:val="auto"/>
        </w:rPr>
      </w:pPr>
    </w:p>
    <w:p>
      <w:pPr>
        <w:ind w:right="340"/>
        <w:spacing w:after="0" w:line="274" w:lineRule="auto"/>
        <w:rPr>
          <w:sz w:val="20"/>
          <w:szCs w:val="20"/>
          <w:color w:val="auto"/>
        </w:rPr>
      </w:pPr>
      <w:r>
        <w:rPr>
          <w:rFonts w:ascii="Arial" w:cs="Arial" w:eastAsia="Arial" w:hAnsi="Arial"/>
          <w:sz w:val="22"/>
          <w:szCs w:val="22"/>
          <w:b w:val="1"/>
          <w:bCs w:val="1"/>
          <w:color w:val="auto"/>
        </w:rPr>
        <w:t xml:space="preserve">Tarrytown, New York (February 8, 2018)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fourth quarter and full year 2017 and provided a business update.</w:t>
      </w:r>
    </w:p>
    <w:p>
      <w:pPr>
        <w:spacing w:after="0" w:line="218" w:lineRule="exact"/>
        <w:rPr>
          <w:sz w:val="20"/>
          <w:szCs w:val="20"/>
          <w:color w:val="auto"/>
        </w:rPr>
      </w:pPr>
    </w:p>
    <w:p>
      <w:pPr>
        <w:ind w:right="120"/>
        <w:spacing w:after="0" w:line="245" w:lineRule="auto"/>
        <w:rPr>
          <w:sz w:val="20"/>
          <w:szCs w:val="20"/>
          <w:color w:val="auto"/>
        </w:rPr>
      </w:pPr>
      <w:r>
        <w:rPr>
          <w:rFonts w:ascii="Arial" w:cs="Arial" w:eastAsia="Arial" w:hAnsi="Arial"/>
          <w:sz w:val="22"/>
          <w:szCs w:val="22"/>
          <w:color w:val="auto"/>
        </w:rPr>
        <w:t>"In 2017, Regeneron's core EYLEA business continued to grow and we diversified our revenue stream by bringing two new products to patients in need," said Leonard S. Schleifer, M.D., Ph.D., President and Chief Executive Officer of Regeneron. "We are anticipating additional pipeline progress in 2018, including regulatory decisions for dupilumab in uncontrolled asthma and cemiplimab in advanced cutaneous squamous cell carcinoma, cardiovascular outcomes data for Praluent, as well as Phase 3 data for EYLEA in diabetic retinopathy."</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in millions, except per share data)</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2900" w:type="dxa"/>
            <w:vAlign w:val="bottom"/>
            <w:gridSpan w:val="3"/>
          </w:tcPr>
          <w:p>
            <w:pPr>
              <w:jc w:val="center"/>
              <w:ind w:right="940"/>
              <w:spacing w:after="0"/>
              <w:rPr>
                <w:sz w:val="20"/>
                <w:szCs w:val="20"/>
                <w:color w:val="auto"/>
              </w:rPr>
            </w:pPr>
            <w:r>
              <w:rPr>
                <w:rFonts w:ascii="Arial" w:cs="Arial" w:eastAsia="Arial" w:hAnsi="Arial"/>
                <w:sz w:val="20"/>
                <w:szCs w:val="20"/>
                <w:b w:val="1"/>
                <w:bCs w:val="1"/>
                <w:color w:val="auto"/>
                <w:w w:val="90"/>
              </w:rPr>
              <w:t>Three Months Ended</w:t>
            </w:r>
          </w:p>
        </w:tc>
        <w:tc>
          <w:tcPr>
            <w:tcW w:w="1000" w:type="dxa"/>
            <w:vAlign w:val="bottom"/>
          </w:tcPr>
          <w:p>
            <w:pPr>
              <w:spacing w:after="0"/>
              <w:rPr>
                <w:sz w:val="19"/>
                <w:szCs w:val="19"/>
                <w:color w:val="auto"/>
              </w:rPr>
            </w:pPr>
          </w:p>
        </w:tc>
        <w:tc>
          <w:tcPr>
            <w:tcW w:w="1500" w:type="dxa"/>
            <w:vAlign w:val="bottom"/>
          </w:tcPr>
          <w:p>
            <w:pPr>
              <w:jc w:val="center"/>
              <w:ind w:left="41"/>
              <w:spacing w:after="0"/>
              <w:rPr>
                <w:sz w:val="20"/>
                <w:szCs w:val="20"/>
                <w:color w:val="auto"/>
              </w:rPr>
            </w:pPr>
            <w:r>
              <w:rPr>
                <w:rFonts w:ascii="Arial" w:cs="Arial" w:eastAsia="Arial" w:hAnsi="Arial"/>
                <w:sz w:val="20"/>
                <w:szCs w:val="20"/>
                <w:b w:val="1"/>
                <w:bCs w:val="1"/>
                <w:color w:val="auto"/>
                <w:w w:val="90"/>
              </w:rPr>
              <w:t>Year Ended</w:t>
            </w:r>
          </w:p>
        </w:tc>
        <w:tc>
          <w:tcPr>
            <w:tcW w:w="1100" w:type="dxa"/>
            <w:vAlign w:val="bottom"/>
          </w:tcPr>
          <w:p>
            <w:pPr>
              <w:spacing w:after="0"/>
              <w:rPr>
                <w:sz w:val="19"/>
                <w:szCs w:val="19"/>
                <w:color w:val="auto"/>
              </w:rPr>
            </w:pPr>
          </w:p>
        </w:tc>
      </w:tr>
      <w:tr>
        <w:trPr>
          <w:trHeight w:val="256"/>
        </w:trPr>
        <w:tc>
          <w:tcPr>
            <w:tcW w:w="860" w:type="dxa"/>
            <w:vAlign w:val="bottom"/>
          </w:tcPr>
          <w:p>
            <w:pPr>
              <w:spacing w:after="0"/>
              <w:rPr>
                <w:sz w:val="22"/>
                <w:szCs w:val="22"/>
                <w:color w:val="auto"/>
              </w:rPr>
            </w:pPr>
          </w:p>
        </w:tc>
        <w:tc>
          <w:tcPr>
            <w:tcW w:w="1660" w:type="dxa"/>
            <w:vAlign w:val="bottom"/>
          </w:tcPr>
          <w:p>
            <w:pPr>
              <w:jc w:val="center"/>
              <w:ind w:left="201"/>
              <w:spacing w:after="0"/>
              <w:rPr>
                <w:sz w:val="20"/>
                <w:szCs w:val="20"/>
                <w:color w:val="auto"/>
              </w:rPr>
            </w:pPr>
            <w:r>
              <w:rPr>
                <w:rFonts w:ascii="Arial" w:cs="Arial" w:eastAsia="Arial" w:hAnsi="Arial"/>
                <w:sz w:val="20"/>
                <w:szCs w:val="20"/>
                <w:b w:val="1"/>
                <w:bCs w:val="1"/>
                <w:color w:val="auto"/>
                <w:w w:val="89"/>
              </w:rPr>
              <w:t>December 31,</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0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December 31,</w:t>
            </w:r>
          </w:p>
        </w:tc>
        <w:tc>
          <w:tcPr>
            <w:tcW w:w="1100" w:type="dxa"/>
            <w:vAlign w:val="bottom"/>
          </w:tcPr>
          <w:p>
            <w:pPr>
              <w:spacing w:after="0"/>
              <w:rPr>
                <w:sz w:val="22"/>
                <w:szCs w:val="22"/>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4"/>
        </w:trPr>
        <w:tc>
          <w:tcPr>
            <w:tcW w:w="860" w:type="dxa"/>
            <w:vAlign w:val="bottom"/>
          </w:tcPr>
          <w:p>
            <w:pPr>
              <w:jc w:val="right"/>
              <w:ind w:right="1"/>
              <w:spacing w:after="0"/>
              <w:rPr>
                <w:sz w:val="20"/>
                <w:szCs w:val="20"/>
                <w:color w:val="auto"/>
              </w:rPr>
            </w:pPr>
            <w:r>
              <w:rPr>
                <w:rFonts w:ascii="Arial" w:cs="Arial" w:eastAsia="Arial" w:hAnsi="Arial"/>
                <w:sz w:val="20"/>
                <w:szCs w:val="20"/>
                <w:b w:val="1"/>
                <w:bCs w:val="1"/>
                <w:color w:val="auto"/>
              </w:rPr>
              <w:t>2017</w:t>
            </w:r>
          </w:p>
        </w:tc>
        <w:tc>
          <w:tcPr>
            <w:tcW w:w="1660" w:type="dxa"/>
            <w:vAlign w:val="bottom"/>
          </w:tcPr>
          <w:p>
            <w:pPr>
              <w:jc w:val="right"/>
              <w:ind w:right="421"/>
              <w:spacing w:after="0"/>
              <w:rPr>
                <w:sz w:val="20"/>
                <w:szCs w:val="20"/>
                <w:color w:val="auto"/>
              </w:rPr>
            </w:pPr>
            <w:r>
              <w:rPr>
                <w:rFonts w:ascii="Arial" w:cs="Arial" w:eastAsia="Arial" w:hAnsi="Arial"/>
                <w:sz w:val="20"/>
                <w:szCs w:val="20"/>
                <w:b w:val="1"/>
                <w:bCs w:val="1"/>
                <w:color w:val="auto"/>
              </w:rPr>
              <w:t>2016</w:t>
            </w:r>
          </w:p>
        </w:tc>
        <w:tc>
          <w:tcPr>
            <w:tcW w:w="1240" w:type="dxa"/>
            <w:vAlign w:val="bottom"/>
            <w:gridSpan w:val="2"/>
          </w:tcPr>
          <w:p>
            <w:pPr>
              <w:ind w:left="100"/>
              <w:spacing w:after="0"/>
              <w:rPr>
                <w:sz w:val="20"/>
                <w:szCs w:val="20"/>
                <w:color w:val="auto"/>
              </w:rPr>
            </w:pPr>
            <w:r>
              <w:rPr>
                <w:rFonts w:ascii="Arial" w:cs="Arial" w:eastAsia="Arial" w:hAnsi="Arial"/>
                <w:sz w:val="20"/>
                <w:szCs w:val="20"/>
                <w:b w:val="1"/>
                <w:bCs w:val="1"/>
                <w:color w:val="auto"/>
              </w:rPr>
              <w:t>% Change</w:t>
            </w:r>
          </w:p>
        </w:tc>
        <w:tc>
          <w:tcPr>
            <w:tcW w:w="1000" w:type="dxa"/>
            <w:vAlign w:val="bottom"/>
          </w:tcPr>
          <w:p>
            <w:pPr>
              <w:jc w:val="right"/>
              <w:ind w:right="121"/>
              <w:spacing w:after="0"/>
              <w:rPr>
                <w:sz w:val="20"/>
                <w:szCs w:val="20"/>
                <w:color w:val="auto"/>
              </w:rPr>
            </w:pPr>
            <w:r>
              <w:rPr>
                <w:rFonts w:ascii="Arial" w:cs="Arial" w:eastAsia="Arial" w:hAnsi="Arial"/>
                <w:sz w:val="20"/>
                <w:szCs w:val="20"/>
                <w:b w:val="1"/>
                <w:bCs w:val="1"/>
                <w:color w:val="auto"/>
              </w:rPr>
              <w:t>2017</w:t>
            </w:r>
          </w:p>
        </w:tc>
        <w:tc>
          <w:tcPr>
            <w:tcW w:w="150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2016</w:t>
            </w:r>
          </w:p>
        </w:tc>
        <w:tc>
          <w:tcPr>
            <w:tcW w:w="1100" w:type="dxa"/>
            <w:vAlign w:val="bottom"/>
          </w:tcPr>
          <w:p>
            <w:pPr>
              <w:ind w:left="100"/>
              <w:spacing w:after="0"/>
              <w:rPr>
                <w:sz w:val="20"/>
                <w:szCs w:val="20"/>
                <w:color w:val="auto"/>
              </w:rPr>
            </w:pPr>
            <w:r>
              <w:rPr>
                <w:rFonts w:ascii="Arial" w:cs="Arial" w:eastAsia="Arial" w:hAnsi="Arial"/>
                <w:sz w:val="20"/>
                <w:szCs w:val="20"/>
                <w:b w:val="1"/>
                <w:bCs w:val="1"/>
                <w:color w:val="auto"/>
              </w:rPr>
              <w:t>% Change</w:t>
            </w:r>
          </w:p>
        </w:tc>
      </w:tr>
    </w:tbl>
    <w:p>
      <w:pPr>
        <w:spacing w:after="0" w:line="3" w:lineRule="exact"/>
        <w:rPr>
          <w:sz w:val="20"/>
          <w:szCs w:val="20"/>
          <w:color w:val="auto"/>
        </w:rPr>
      </w:pPr>
    </w:p>
    <w:p>
      <w:pPr>
        <w:sectPr>
          <w:pgSz w:w="11900" w:h="16838" w:orient="portrait"/>
          <w:cols w:equalWidth="0" w:num="2">
            <w:col w:w="3340" w:space="720"/>
            <w:col w:w="73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Total revenues</w:t>
            </w:r>
          </w:p>
        </w:tc>
        <w:tc>
          <w:tcPr>
            <w:tcW w:w="360" w:type="dxa"/>
            <w:vAlign w:val="bottom"/>
            <w:tcBorders>
              <w:top w:val="single" w:sz="8" w:color="auto"/>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7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1,582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1,227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1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5,872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7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4,860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w:t>
            </w:r>
          </w:p>
        </w:tc>
      </w:tr>
      <w:tr>
        <w:trPr>
          <w:trHeight w:val="261"/>
        </w:trPr>
        <w:tc>
          <w:tcPr>
            <w:tcW w:w="4060" w:type="dxa"/>
            <w:vAlign w:val="bottom"/>
          </w:tcPr>
          <w:p>
            <w:pPr>
              <w:ind w:left="40"/>
              <w:spacing w:after="0"/>
              <w:rPr>
                <w:sz w:val="20"/>
                <w:szCs w:val="20"/>
                <w:color w:val="auto"/>
              </w:rPr>
            </w:pPr>
            <w:r>
              <w:rPr>
                <w:rFonts w:ascii="Arial" w:cs="Arial" w:eastAsia="Arial" w:hAnsi="Arial"/>
                <w:sz w:val="20"/>
                <w:szCs w:val="20"/>
                <w:color w:val="auto"/>
              </w:rPr>
              <w:t>GAAP net income</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174</w:t>
            </w:r>
          </w:p>
        </w:tc>
        <w:tc>
          <w:tcPr>
            <w:tcW w:w="1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23"/>
              <w:spacing w:after="0"/>
              <w:rPr>
                <w:sz w:val="20"/>
                <w:szCs w:val="20"/>
                <w:color w:val="auto"/>
              </w:rPr>
            </w:pPr>
            <w:r>
              <w:rPr>
                <w:rFonts w:ascii="Arial" w:cs="Arial" w:eastAsia="Arial" w:hAnsi="Arial"/>
                <w:sz w:val="20"/>
                <w:szCs w:val="20"/>
                <w:color w:val="auto"/>
              </w:rPr>
              <w:t>253</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(31)%</w:t>
            </w:r>
          </w:p>
        </w:tc>
        <w:tc>
          <w:tcPr>
            <w:tcW w:w="100" w:type="dxa"/>
            <w:vAlign w:val="bottom"/>
          </w:tcPr>
          <w:p>
            <w:pPr>
              <w:spacing w:after="0"/>
              <w:rPr>
                <w:sz w:val="22"/>
                <w:szCs w:val="22"/>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1,199</w:t>
            </w:r>
          </w:p>
        </w:tc>
        <w:tc>
          <w:tcPr>
            <w:tcW w:w="120" w:type="dxa"/>
            <w:vAlign w:val="bottom"/>
          </w:tcPr>
          <w:p>
            <w:pPr>
              <w:spacing w:after="0"/>
              <w:rPr>
                <w:sz w:val="22"/>
                <w:szCs w:val="22"/>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896</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3"/>
        </w:trPr>
        <w:tc>
          <w:tcPr>
            <w:tcW w:w="4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GAAP net income per share - diluted</w:t>
            </w: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10.34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4060" w:type="dxa"/>
            <w:vAlign w:val="bottom"/>
          </w:tcPr>
          <w:p>
            <w:pPr>
              <w:ind w:left="40"/>
              <w:spacing w:after="0" w:line="283"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(2)</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607</w:t>
            </w:r>
          </w:p>
        </w:tc>
        <w:tc>
          <w:tcPr>
            <w:tcW w:w="100" w:type="dxa"/>
            <w:vAlign w:val="bottom"/>
          </w:tcPr>
          <w:p>
            <w:pPr>
              <w:spacing w:after="0"/>
              <w:rPr>
                <w:sz w:val="24"/>
                <w:szCs w:val="24"/>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23"/>
              <w:spacing w:after="0"/>
              <w:rPr>
                <w:sz w:val="20"/>
                <w:szCs w:val="20"/>
                <w:color w:val="auto"/>
              </w:rPr>
            </w:pPr>
            <w:r>
              <w:rPr>
                <w:rFonts w:ascii="Arial" w:cs="Arial" w:eastAsia="Arial" w:hAnsi="Arial"/>
                <w:sz w:val="20"/>
                <w:szCs w:val="20"/>
                <w:color w:val="auto"/>
              </w:rPr>
              <w:t>353</w:t>
            </w:r>
          </w:p>
        </w:tc>
        <w:tc>
          <w:tcPr>
            <w:tcW w:w="100" w:type="dxa"/>
            <w:vAlign w:val="bottom"/>
          </w:tcPr>
          <w:p>
            <w:pPr>
              <w:spacing w:after="0"/>
              <w:rPr>
                <w:sz w:val="24"/>
                <w:szCs w:val="24"/>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72%</w:t>
            </w:r>
          </w:p>
        </w:tc>
        <w:tc>
          <w:tcPr>
            <w:tcW w:w="100" w:type="dxa"/>
            <w:vAlign w:val="bottom"/>
          </w:tcPr>
          <w:p>
            <w:pPr>
              <w:spacing w:after="0"/>
              <w:rPr>
                <w:sz w:val="24"/>
                <w:szCs w:val="24"/>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1,901</w:t>
            </w:r>
          </w:p>
        </w:tc>
        <w:tc>
          <w:tcPr>
            <w:tcW w:w="120" w:type="dxa"/>
            <w:vAlign w:val="bottom"/>
          </w:tcPr>
          <w:p>
            <w:pPr>
              <w:spacing w:after="0"/>
              <w:rPr>
                <w:sz w:val="24"/>
                <w:szCs w:val="24"/>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1,319</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4060" w:type="dxa"/>
            <w:vAlign w:val="bottom"/>
            <w:shd w:val="clear" w:color="auto" w:fill="CCEEFF"/>
          </w:tcPr>
          <w:p>
            <w:pPr>
              <w:ind w:left="40"/>
              <w:spacing w:after="0" w:line="283"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(2)</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20"/>
                <w:szCs w:val="20"/>
                <w:color w:val="auto"/>
              </w:rPr>
              <w:t>3.04</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16.32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11.32</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w:t>
            </w:r>
          </w:p>
        </w:tc>
      </w:tr>
      <w:tr>
        <w:trPr>
          <w:trHeight w:val="594"/>
        </w:trPr>
        <w:tc>
          <w:tcPr>
            <w:tcW w:w="4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58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22"/>
          <w:szCs w:val="22"/>
          <w:b w:val="1"/>
          <w:bCs w:val="1"/>
          <w:i w:val="1"/>
          <w:iCs w:val="1"/>
          <w:color w:val="auto"/>
        </w:rPr>
        <w:t>Net Product Sales of Regeneron-Discovered Products</w:t>
      </w:r>
      <w:r>
        <w:rPr>
          <w:rFonts w:ascii="Arial" w:cs="Arial" w:eastAsia="Arial" w:hAnsi="Arial"/>
          <w:sz w:val="14"/>
          <w:szCs w:val="14"/>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12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240" w:type="dxa"/>
            <w:vAlign w:val="bottom"/>
          </w:tcPr>
          <w:p>
            <w:pPr>
              <w:spacing w:after="0"/>
              <w:rPr>
                <w:sz w:val="19"/>
                <w:szCs w:val="19"/>
                <w:color w:val="auto"/>
              </w:rPr>
            </w:pPr>
          </w:p>
        </w:tc>
        <w:tc>
          <w:tcPr>
            <w:tcW w:w="3520" w:type="dxa"/>
            <w:vAlign w:val="bottom"/>
            <w:gridSpan w:val="7"/>
          </w:tcPr>
          <w:p>
            <w:pPr>
              <w:ind w:left="700"/>
              <w:spacing w:after="0"/>
              <w:rPr>
                <w:sz w:val="20"/>
                <w:szCs w:val="20"/>
                <w:color w:val="auto"/>
              </w:rPr>
            </w:pPr>
            <w:r>
              <w:rPr>
                <w:rFonts w:ascii="Arial" w:cs="Arial" w:eastAsia="Arial" w:hAnsi="Arial"/>
                <w:sz w:val="20"/>
                <w:szCs w:val="20"/>
                <w:b w:val="1"/>
                <w:bCs w:val="1"/>
                <w:color w:val="auto"/>
              </w:rPr>
              <w:t>Three Months Ended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Arial" w:cs="Arial" w:eastAsia="Arial" w:hAnsi="Arial"/>
                <w:sz w:val="20"/>
                <w:szCs w:val="20"/>
                <w:b w:val="1"/>
                <w:bCs w:val="1"/>
                <w:color w:val="auto"/>
                <w:w w:val="99"/>
              </w:rPr>
              <w:t>Year Ended</w:t>
            </w:r>
          </w:p>
        </w:tc>
        <w:tc>
          <w:tcPr>
            <w:tcW w:w="1120" w:type="dxa"/>
            <w:vAlign w:val="bottom"/>
          </w:tcPr>
          <w:p>
            <w:pPr>
              <w:spacing w:after="0"/>
              <w:rPr>
                <w:sz w:val="19"/>
                <w:szCs w:val="19"/>
                <w:color w:val="auto"/>
              </w:rPr>
            </w:pPr>
          </w:p>
        </w:tc>
      </w:tr>
      <w:tr>
        <w:trPr>
          <w:trHeight w:val="256"/>
        </w:trPr>
        <w:tc>
          <w:tcPr>
            <w:tcW w:w="4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3"/>
          </w:tcPr>
          <w:p>
            <w:pPr>
              <w:ind w:left="20"/>
              <w:spacing w:after="0"/>
              <w:rPr>
                <w:sz w:val="20"/>
                <w:szCs w:val="20"/>
                <w:color w:val="auto"/>
              </w:rPr>
            </w:pPr>
            <w:r>
              <w:rPr>
                <w:rFonts w:ascii="Arial" w:cs="Arial" w:eastAsia="Arial" w:hAnsi="Arial"/>
                <w:sz w:val="20"/>
                <w:szCs w:val="20"/>
                <w:b w:val="1"/>
                <w:bCs w:val="1"/>
                <w:color w:val="auto"/>
                <w:w w:val="92"/>
              </w:rPr>
              <w:t>December 31,</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20" w:type="dxa"/>
            <w:vAlign w:val="bottom"/>
            <w:gridSpan w:val="4"/>
          </w:tcPr>
          <w:p>
            <w:pPr>
              <w:ind w:left="20"/>
              <w:spacing w:after="0"/>
              <w:rPr>
                <w:sz w:val="20"/>
                <w:szCs w:val="20"/>
                <w:color w:val="auto"/>
              </w:rPr>
            </w:pPr>
            <w:r>
              <w:rPr>
                <w:rFonts w:ascii="Arial" w:cs="Arial" w:eastAsia="Arial" w:hAnsi="Arial"/>
                <w:sz w:val="20"/>
                <w:szCs w:val="20"/>
                <w:b w:val="1"/>
                <w:bCs w:val="1"/>
                <w:color w:val="auto"/>
                <w:w w:val="90"/>
              </w:rPr>
              <w:t>December 31,</w:t>
            </w:r>
          </w:p>
        </w:tc>
        <w:tc>
          <w:tcPr>
            <w:tcW w:w="1120" w:type="dxa"/>
            <w:vAlign w:val="bottom"/>
          </w:tcPr>
          <w:p>
            <w:pPr>
              <w:spacing w:after="0"/>
              <w:rPr>
                <w:sz w:val="22"/>
                <w:szCs w:val="22"/>
                <w:color w:val="auto"/>
              </w:rPr>
            </w:pPr>
          </w:p>
        </w:tc>
      </w:tr>
      <w:tr>
        <w:trPr>
          <w:trHeight w:val="23"/>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4"/>
        </w:trPr>
        <w:tc>
          <w:tcPr>
            <w:tcW w:w="4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61"/>
              <w:spacing w:after="0"/>
              <w:rPr>
                <w:sz w:val="20"/>
                <w:szCs w:val="20"/>
                <w:color w:val="auto"/>
              </w:rPr>
            </w:pPr>
            <w:r>
              <w:rPr>
                <w:rFonts w:ascii="Arial" w:cs="Arial" w:eastAsia="Arial" w:hAnsi="Arial"/>
                <w:sz w:val="20"/>
                <w:szCs w:val="20"/>
                <w:b w:val="1"/>
                <w:bCs w:val="1"/>
                <w:color w:val="auto"/>
              </w:rPr>
              <w:t>2017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b w:val="1"/>
                <w:bCs w:val="1"/>
                <w:color w:val="auto"/>
              </w:rPr>
              <w:t>2016</w:t>
            </w:r>
          </w:p>
        </w:tc>
        <w:tc>
          <w:tcPr>
            <w:tcW w:w="10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20"/>
                <w:szCs w:val="20"/>
                <w:b w:val="1"/>
                <w:bCs w:val="1"/>
                <w:color w:val="auto"/>
              </w:rPr>
              <w:t>% Change</w:t>
            </w:r>
          </w:p>
        </w:tc>
        <w:tc>
          <w:tcPr>
            <w:tcW w:w="24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Arial" w:cs="Arial" w:eastAsia="Arial" w:hAnsi="Arial"/>
                <w:sz w:val="20"/>
                <w:szCs w:val="20"/>
                <w:b w:val="1"/>
                <w:bCs w:val="1"/>
                <w:color w:val="auto"/>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21"/>
              <w:spacing w:after="0"/>
              <w:rPr>
                <w:sz w:val="20"/>
                <w:szCs w:val="20"/>
                <w:color w:val="auto"/>
              </w:rPr>
            </w:pPr>
            <w:r>
              <w:rPr>
                <w:rFonts w:ascii="Arial" w:cs="Arial" w:eastAsia="Arial" w:hAnsi="Arial"/>
                <w:sz w:val="20"/>
                <w:szCs w:val="20"/>
                <w:b w:val="1"/>
                <w:bCs w:val="1"/>
                <w:color w:val="auto"/>
              </w:rPr>
              <w:t>2016</w:t>
            </w:r>
          </w:p>
        </w:tc>
        <w:tc>
          <w:tcPr>
            <w:tcW w:w="10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b w:val="1"/>
                <w:bCs w:val="1"/>
                <w:color w:val="auto"/>
              </w:rPr>
              <w:t>% Change</w:t>
            </w:r>
          </w:p>
        </w:tc>
      </w:tr>
      <w:tr>
        <w:trPr>
          <w:trHeight w:val="23"/>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EYLEA in the United States</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858</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3,702</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3,323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w:t>
            </w:r>
          </w:p>
        </w:tc>
      </w:tr>
      <w:tr>
        <w:trPr>
          <w:trHeight w:val="261"/>
        </w:trPr>
        <w:tc>
          <w:tcPr>
            <w:tcW w:w="4120" w:type="dxa"/>
            <w:vAlign w:val="bottom"/>
          </w:tcPr>
          <w:p>
            <w:pPr>
              <w:ind w:left="20"/>
              <w:spacing w:after="0"/>
              <w:rPr>
                <w:sz w:val="20"/>
                <w:szCs w:val="20"/>
                <w:color w:val="auto"/>
              </w:rPr>
            </w:pPr>
            <w:r>
              <w:rPr>
                <w:rFonts w:ascii="Arial" w:cs="Arial" w:eastAsia="Arial" w:hAnsi="Arial"/>
                <w:sz w:val="20"/>
                <w:szCs w:val="20"/>
                <w:color w:val="auto"/>
              </w:rPr>
              <w:t>ARCALYST</w:t>
            </w:r>
          </w:p>
        </w:tc>
        <w:tc>
          <w:tcPr>
            <w:tcW w:w="24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1"/>
              <w:spacing w:after="0"/>
              <w:rPr>
                <w:sz w:val="20"/>
                <w:szCs w:val="20"/>
                <w:color w:val="auto"/>
              </w:rPr>
            </w:pPr>
            <w:r>
              <w:rPr>
                <w:rFonts w:ascii="Arial" w:cs="Arial" w:eastAsia="Arial" w:hAnsi="Arial"/>
                <w:sz w:val="20"/>
                <w:szCs w:val="20"/>
                <w:color w:val="auto"/>
              </w:rPr>
              <w:t>15</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2"/>
        </w:trPr>
        <w:tc>
          <w:tcPr>
            <w:tcW w:w="4120" w:type="dxa"/>
            <w:vAlign w:val="bottom"/>
            <w:shd w:val="clear" w:color="auto" w:fill="CCEEFF"/>
          </w:tcPr>
          <w:p>
            <w:pPr>
              <w:ind w:left="280"/>
              <w:spacing w:after="0"/>
              <w:rPr>
                <w:sz w:val="20"/>
                <w:szCs w:val="20"/>
                <w:color w:val="auto"/>
              </w:rPr>
            </w:pPr>
            <w:r>
              <w:rPr>
                <w:rFonts w:ascii="Arial" w:cs="Arial" w:eastAsia="Arial" w:hAnsi="Arial"/>
                <w:sz w:val="20"/>
                <w:szCs w:val="20"/>
                <w:color w:val="auto"/>
              </w:rPr>
              <w:t>Net product sales recorded by Regeneron</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979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863</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3,718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3,338</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9"/>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4"/>
        </w:trPr>
        <w:tc>
          <w:tcPr>
            <w:tcW w:w="4120" w:type="dxa"/>
            <w:vAlign w:val="bottom"/>
            <w:shd w:val="clear" w:color="auto" w:fill="CCEEFF"/>
          </w:tcPr>
          <w:p>
            <w:pPr>
              <w:ind w:left="20"/>
              <w:spacing w:after="0" w:line="283" w:lineRule="exact"/>
              <w:rPr>
                <w:sz w:val="20"/>
                <w:szCs w:val="20"/>
                <w:color w:val="auto"/>
              </w:rPr>
            </w:pPr>
            <w:r>
              <w:rPr>
                <w:rFonts w:ascii="Arial" w:cs="Arial" w:eastAsia="Arial" w:hAnsi="Arial"/>
                <w:sz w:val="20"/>
                <w:szCs w:val="20"/>
                <w:color w:val="auto"/>
              </w:rPr>
              <w:t>EYLEA outside of the United States</w:t>
            </w:r>
            <w:r>
              <w:rPr>
                <w:rFonts w:ascii="Arial" w:cs="Arial" w:eastAsia="Arial" w:hAnsi="Arial"/>
                <w:sz w:val="25"/>
                <w:szCs w:val="25"/>
                <w:color w:val="auto"/>
                <w:vertAlign w:val="superscript"/>
              </w:rPr>
              <w:t>*</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496</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2,227</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1,872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w:t>
            </w:r>
          </w:p>
        </w:tc>
      </w:tr>
      <w:tr>
        <w:trPr>
          <w:trHeight w:val="261"/>
        </w:trPr>
        <w:tc>
          <w:tcPr>
            <w:tcW w:w="4120" w:type="dxa"/>
            <w:vAlign w:val="bottom"/>
          </w:tcPr>
          <w:p>
            <w:pPr>
              <w:ind w:left="20"/>
              <w:spacing w:after="0"/>
              <w:rPr>
                <w:sz w:val="20"/>
                <w:szCs w:val="20"/>
                <w:color w:val="auto"/>
              </w:rPr>
            </w:pPr>
            <w:r>
              <w:rPr>
                <w:rFonts w:ascii="Arial" w:cs="Arial" w:eastAsia="Arial" w:hAnsi="Arial"/>
                <w:sz w:val="20"/>
                <w:szCs w:val="20"/>
                <w:color w:val="auto"/>
              </w:rPr>
              <w:t>EYLEA global</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1,612</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1,354</w:t>
            </w:r>
          </w:p>
        </w:tc>
        <w:tc>
          <w:tcPr>
            <w:tcW w:w="10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19%</w:t>
            </w:r>
          </w:p>
        </w:tc>
        <w:tc>
          <w:tcPr>
            <w:tcW w:w="1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5,929</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21"/>
              <w:spacing w:after="0"/>
              <w:rPr>
                <w:sz w:val="20"/>
                <w:szCs w:val="20"/>
                <w:color w:val="auto"/>
              </w:rPr>
            </w:pPr>
            <w:r>
              <w:rPr>
                <w:rFonts w:ascii="Arial" w:cs="Arial" w:eastAsia="Arial" w:hAnsi="Arial"/>
                <w:sz w:val="20"/>
                <w:szCs w:val="20"/>
                <w:color w:val="auto"/>
              </w:rPr>
              <w:t>5,195</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4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84"/>
        </w:trPr>
        <w:tc>
          <w:tcPr>
            <w:tcW w:w="4120" w:type="dxa"/>
            <w:vAlign w:val="bottom"/>
          </w:tcPr>
          <w:p>
            <w:pPr>
              <w:ind w:left="20"/>
              <w:spacing w:after="0" w:line="283" w:lineRule="exact"/>
              <w:rPr>
                <w:sz w:val="20"/>
                <w:szCs w:val="20"/>
                <w:color w:val="auto"/>
              </w:rPr>
            </w:pPr>
            <w:r>
              <w:rPr>
                <w:rFonts w:ascii="Arial" w:cs="Arial" w:eastAsia="Arial" w:hAnsi="Arial"/>
                <w:sz w:val="20"/>
                <w:szCs w:val="20"/>
                <w:i w:val="1"/>
                <w:iCs w:val="1"/>
                <w:color w:val="auto"/>
              </w:rPr>
              <w:t>Global net product sales recorded by Sanofi</w:t>
            </w:r>
            <w:r>
              <w:rPr>
                <w:rFonts w:ascii="Arial" w:cs="Arial" w:eastAsia="Arial" w:hAnsi="Arial"/>
                <w:sz w:val="25"/>
                <w:szCs w:val="25"/>
                <w:i w:val="1"/>
                <w:iCs w:val="1"/>
                <w:color w:val="auto"/>
                <w:vertAlign w:val="superscript"/>
              </w:rPr>
              <w:t>*</w:t>
            </w:r>
            <w:r>
              <w:rPr>
                <w:rFonts w:ascii="Arial" w:cs="Arial" w:eastAsia="Arial" w:hAnsi="Arial"/>
                <w:sz w:val="20"/>
                <w:szCs w:val="20"/>
                <w:i w:val="1"/>
                <w:iCs w:val="1"/>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Praluent</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195</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68%</w:t>
            </w:r>
          </w:p>
        </w:tc>
      </w:tr>
      <w:tr>
        <w:trPr>
          <w:trHeight w:val="261"/>
        </w:trPr>
        <w:tc>
          <w:tcPr>
            <w:tcW w:w="4120" w:type="dxa"/>
            <w:vAlign w:val="bottom"/>
          </w:tcPr>
          <w:p>
            <w:pPr>
              <w:ind w:left="20"/>
              <w:spacing w:after="0"/>
              <w:rPr>
                <w:sz w:val="20"/>
                <w:szCs w:val="20"/>
                <w:color w:val="auto"/>
              </w:rPr>
            </w:pPr>
            <w:r>
              <w:rPr>
                <w:rFonts w:ascii="Arial" w:cs="Arial" w:eastAsia="Arial" w:hAnsi="Arial"/>
                <w:sz w:val="20"/>
                <w:szCs w:val="20"/>
                <w:color w:val="auto"/>
              </w:rPr>
              <w:t>Dupixent</w:t>
            </w:r>
          </w:p>
        </w:tc>
        <w:tc>
          <w:tcPr>
            <w:tcW w:w="24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256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21"/>
              <w:spacing w:after="0"/>
              <w:rPr>
                <w:sz w:val="20"/>
                <w:szCs w:val="20"/>
                <w:color w:val="auto"/>
              </w:rPr>
            </w:pPr>
            <w:r>
              <w:rPr>
                <w:rFonts w:ascii="Arial" w:cs="Arial" w:eastAsia="Arial" w:hAnsi="Arial"/>
                <w:sz w:val="20"/>
                <w:szCs w:val="20"/>
                <w:color w:val="auto"/>
              </w:rPr>
              <w:t>**</w:t>
            </w:r>
          </w:p>
        </w:tc>
      </w:tr>
      <w:tr>
        <w:trPr>
          <w:trHeight w:val="23"/>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Kevzara</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r>
      <w:tr>
        <w:trPr>
          <w:trHeight w:val="261"/>
        </w:trPr>
        <w:tc>
          <w:tcPr>
            <w:tcW w:w="4120" w:type="dxa"/>
            <w:vAlign w:val="bottom"/>
          </w:tcPr>
          <w:p>
            <w:pPr>
              <w:ind w:left="20"/>
              <w:spacing w:after="0"/>
              <w:rPr>
                <w:sz w:val="20"/>
                <w:szCs w:val="20"/>
                <w:color w:val="auto"/>
              </w:rPr>
            </w:pPr>
            <w:r>
              <w:rPr>
                <w:rFonts w:ascii="Arial" w:cs="Arial" w:eastAsia="Arial" w:hAnsi="Arial"/>
                <w:sz w:val="20"/>
                <w:szCs w:val="20"/>
                <w:color w:val="auto"/>
              </w:rPr>
              <w:t>ZALTRAP</w:t>
            </w:r>
          </w:p>
        </w:tc>
        <w:tc>
          <w:tcPr>
            <w:tcW w:w="24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16</w:t>
            </w:r>
          </w:p>
        </w:tc>
        <w:tc>
          <w:tcPr>
            <w:tcW w:w="10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1"/>
              <w:spacing w:after="0"/>
              <w:rPr>
                <w:sz w:val="20"/>
                <w:szCs w:val="20"/>
                <w:color w:val="auto"/>
              </w:rPr>
            </w:pPr>
            <w:r>
              <w:rPr>
                <w:rFonts w:ascii="Arial" w:cs="Arial" w:eastAsia="Arial" w:hAnsi="Arial"/>
                <w:sz w:val="20"/>
                <w:szCs w:val="20"/>
                <w:color w:val="auto"/>
              </w:rPr>
              <w:t>72</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2"/>
        </w:trPr>
        <w:tc>
          <w:tcPr>
            <w:tcW w:w="4120" w:type="dxa"/>
            <w:vAlign w:val="bottom"/>
            <w:shd w:val="clear" w:color="auto" w:fill="CCEEFF"/>
          </w:tcPr>
          <w:p>
            <w:pPr>
              <w:ind w:left="280"/>
              <w:spacing w:after="0"/>
              <w:rPr>
                <w:sz w:val="20"/>
                <w:szCs w:val="20"/>
                <w:color w:val="auto"/>
              </w:rPr>
            </w:pPr>
            <w:r>
              <w:rPr>
                <w:rFonts w:ascii="Arial" w:cs="Arial" w:eastAsia="Arial" w:hAnsi="Arial"/>
                <w:sz w:val="20"/>
                <w:szCs w:val="20"/>
                <w:color w:val="auto"/>
              </w:rPr>
              <w:t>Net product sales recorded by Sanofi</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236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548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188</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20" w:right="320" w:hanging="8"/>
        <w:spacing w:after="0" w:line="273" w:lineRule="auto"/>
        <w:tabs>
          <w:tab w:leader="none" w:pos="441" w:val="left"/>
        </w:tabs>
        <w:numPr>
          <w:ilvl w:val="0"/>
          <w:numId w:val="3"/>
        </w:numPr>
        <w:rPr>
          <w:rFonts w:ascii="Arial" w:cs="Arial" w:eastAsia="Arial" w:hAnsi="Arial"/>
          <w:sz w:val="16"/>
          <w:szCs w:val="16"/>
          <w:color w:val="auto"/>
        </w:rPr>
      </w:pPr>
      <w:r>
        <w:rPr>
          <w:rFonts w:ascii="Arial" w:cs="Arial" w:eastAsia="Arial" w:hAnsi="Arial"/>
          <w:sz w:val="16"/>
          <w:szCs w:val="16"/>
          <w:color w:val="auto"/>
        </w:rPr>
        <w:t>Bayer records net product sales of EYLEA outside the United States and Sanofi records global net product sales of Praluent, Dupixent, Kevzara, and ZALTRAP. Dupixent and Kevzara sales in 2017 were primarily in the United States. Refer to Table 4 below for the Company's share of profits/losses recorded in connection with sales of EYLEA outside the United States and sales of Praluent, Dupixent, and Kevzara. Sanofi pays the Company a percentage of aggregate net sales of ZALTRAP. ** Percentage not meaningful</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Fourth Quarter 2017 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30" w:lineRule="exact"/>
        <w:rPr>
          <w:sz w:val="20"/>
          <w:szCs w:val="20"/>
          <w:color w:val="auto"/>
        </w:rPr>
      </w:pPr>
    </w:p>
    <w:p>
      <w:pPr>
        <w:jc w:val="both"/>
        <w:ind w:right="80"/>
        <w:spacing w:after="0" w:line="224" w:lineRule="auto"/>
        <w:rPr>
          <w:sz w:val="20"/>
          <w:szCs w:val="20"/>
          <w:color w:val="auto"/>
        </w:rPr>
      </w:pPr>
      <w:r>
        <w:rPr>
          <w:rFonts w:ascii="Arial" w:cs="Arial" w:eastAsia="Arial" w:hAnsi="Arial"/>
          <w:sz w:val="22"/>
          <w:szCs w:val="22"/>
          <w:color w:val="auto"/>
        </w:rPr>
        <w:t xml:space="preserve">Regeneron has fifteen product candidates in clinical development, which consist of EYLEA and fully human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including six in collaboration with Sanofi. Updates from the clinical pipeline include:</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 for Intravitreal Injection</w:t>
      </w:r>
    </w:p>
    <w:p>
      <w:pPr>
        <w:jc w:val="both"/>
        <w:ind w:left="340" w:right="400" w:hanging="332"/>
        <w:spacing w:after="0" w:line="246"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supplemental Biologics License Application (sBLA) for a 12-week dosing interval of EYLEA in patients with neovascular age-related macular degeneration (wet AMD) was filed with the U.S. Food and Drug Administration (FDA), with a target action date of August 11, 2018.</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(dupilumab) Injection</w:t>
      </w:r>
    </w:p>
    <w:p>
      <w:pPr>
        <w:ind w:left="340" w:right="6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Dupilumab, an antibody that blocks signaling of IL-4 and IL-13, is currently being studied in asthma, pediatric atopic dermatitis, nasal polyps, and eosinophilic esophagitis (EoE).</w:t>
      </w:r>
    </w:p>
    <w:p>
      <w:pPr>
        <w:ind w:left="34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January 2018, the Ministry of Health, Labor and Welfare (MHLW) in Japan approved Dupixent for the treatment of atopic dermatitis in adults not adequately controlled with existing therapies.</w:t>
      </w:r>
    </w:p>
    <w:p>
      <w:pPr>
        <w:ind w:left="340" w:right="260" w:hanging="332"/>
        <w:spacing w:after="0" w:line="246"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fourth quarter of 2017, a Phase 3 study in pediatric patients (from six to 11 years of age) with severe atopic dermatitis was initiated. Additionally, in the first quarter of 2018, a Phase 2/3 study in younger pediatric patients (from six months to five years of age) with severe atopic dermatitis was initiated.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12" w:right="259" w:bottom="1440" w:gutter="0" w:footer="0" w:header="0"/>
        </w:sectPr>
      </w:pPr>
    </w:p>
    <w:bookmarkStart w:id="6" w:name="page7"/>
    <w:bookmarkEnd w:id="6"/>
    <w:p>
      <w:pPr>
        <w:ind w:left="340" w:right="6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fourth quarter of 2017, the Company and Sanofi announced that the Phase 3 LIBERTY ASTHMA VENTURE study evaluating dupilumab in adults and adolescents with severe, steroid-dependent asthma met its primary endpoint and key secondary endpoints.</w:t>
      </w:r>
    </w:p>
    <w:p>
      <w:pPr>
        <w:spacing w:after="0" w:line="1" w:lineRule="exact"/>
        <w:rPr>
          <w:rFonts w:ascii="Arial" w:cs="Arial" w:eastAsia="Arial" w:hAnsi="Arial"/>
          <w:sz w:val="22"/>
          <w:szCs w:val="22"/>
          <w:color w:val="auto"/>
        </w:rPr>
      </w:pPr>
    </w:p>
    <w:p>
      <w:pPr>
        <w:ind w:left="340" w:hanging="332"/>
        <w:spacing w:after="0"/>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An sBLA for asthma in patients aged 12 and over was submitted with the FDA in the fourth quarter of 2017.</w:t>
      </w:r>
    </w:p>
    <w:p>
      <w:pPr>
        <w:spacing w:after="0" w:line="3" w:lineRule="exact"/>
        <w:rPr>
          <w:rFonts w:ascii="Arial" w:cs="Arial" w:eastAsia="Arial" w:hAnsi="Arial"/>
          <w:sz w:val="22"/>
          <w:szCs w:val="22"/>
          <w:color w:val="auto"/>
        </w:rPr>
      </w:pPr>
    </w:p>
    <w:p>
      <w:pPr>
        <w:ind w:left="340" w:right="240" w:hanging="332"/>
        <w:spacing w:after="0" w:line="249"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October 2017, the Company and Sanofi presented positive results from the Phase 2 study in adults with active moderate-to-severe EoE at the World Congress of Gastroenterology.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 Injection for the Treatment of Elevated Low-Density Lipoprotein (LDL) Cholesterol</w:t>
      </w:r>
    </w:p>
    <w:p>
      <w:pPr>
        <w:ind w:left="340" w:right="800" w:hanging="332"/>
        <w:spacing w:after="0" w:line="243"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Data from the 18,000-patient ODYSSEY OUTCOMES study, which is assessing the potential of Praluent to demonstrate cardiovascular benefit, are expected in the first quarter of 2018.</w:t>
      </w:r>
    </w:p>
    <w:p>
      <w:pPr>
        <w:ind w:left="34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3 study in homozygous familial hypercholesterolemia (HoFH) was initiated in the fourth quarter of 2017.</w:t>
      </w:r>
    </w:p>
    <w:p>
      <w:pPr>
        <w:spacing w:after="0" w:line="3" w:lineRule="exact"/>
        <w:rPr>
          <w:rFonts w:ascii="Arial" w:cs="Arial" w:eastAsia="Arial" w:hAnsi="Arial"/>
          <w:sz w:val="22"/>
          <w:szCs w:val="22"/>
          <w:color w:val="auto"/>
        </w:rPr>
      </w:pPr>
    </w:p>
    <w:p>
      <w:pPr>
        <w:ind w:left="34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sBLA for use of Praluent with apheresis was filed with the FDA, with a target action date of August 24, 2018.</w:t>
      </w:r>
    </w:p>
    <w:p>
      <w:pPr>
        <w:spacing w:after="0" w:line="3" w:lineRule="exact"/>
        <w:rPr>
          <w:rFonts w:ascii="Arial" w:cs="Arial" w:eastAsia="Arial" w:hAnsi="Arial"/>
          <w:sz w:val="22"/>
          <w:szCs w:val="22"/>
          <w:color w:val="auto"/>
        </w:rPr>
      </w:pPr>
    </w:p>
    <w:p>
      <w:pPr>
        <w:ind w:left="340" w:right="640" w:hanging="332"/>
        <w:spacing w:after="0" w:line="249"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October 2017, the U.S. Court of Appeals for the Federal Circuit ordered a new trial on the issues of written description and enablement and vacated the permanent injunction in the ongoing PCSK9 litigation.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Cemiplimab</w:t>
      </w:r>
      <w:r>
        <w:rPr>
          <w:rFonts w:ascii="Arial" w:cs="Arial" w:eastAsia="Arial" w:hAnsi="Arial"/>
          <w:sz w:val="22"/>
          <w:szCs w:val="22"/>
          <w:color w:val="auto"/>
        </w:rPr>
        <w:t>, an antibody to programmed cell death protein 1 (PD-1), is being studied in patients with cancer.</w:t>
      </w:r>
    </w:p>
    <w:p>
      <w:pPr>
        <w:spacing w:after="0" w:line="4" w:lineRule="exact"/>
        <w:rPr>
          <w:sz w:val="20"/>
          <w:szCs w:val="20"/>
          <w:color w:val="auto"/>
        </w:rPr>
      </w:pPr>
    </w:p>
    <w:p>
      <w:pPr>
        <w:ind w:left="340" w:hanging="332"/>
        <w:spacing w:after="0" w:line="245" w:lineRule="auto"/>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the fourth quarter, the Company and Sanofi announced positive top-line results from the pivotal Phase 2 EMPOWER-CSCC study of cemiplimab in patients with advanced cutaneous squamous cell carcinoma (CSCC). The Company has commenced a rolling BLA submission to the FDA and expects to complete the submission in the first quarter of 2018.</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xml:space="preserve"> is an antibody targeting Nerve Growth Factor (NGF).</w:t>
      </w:r>
    </w:p>
    <w:p>
      <w:pPr>
        <w:spacing w:after="0" w:line="4" w:lineRule="exact"/>
        <w:rPr>
          <w:sz w:val="20"/>
          <w:szCs w:val="20"/>
          <w:color w:val="auto"/>
        </w:rPr>
      </w:pPr>
    </w:p>
    <w:p>
      <w:pPr>
        <w:ind w:left="340" w:right="620" w:hanging="332"/>
        <w:spacing w:after="0" w:line="243" w:lineRule="auto"/>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A Phase 3 study in chronic low back pain in patients with concomitant osteoarthritis was initiated in the fourth quarter of 2017.</w:t>
      </w:r>
    </w:p>
    <w:p>
      <w:pPr>
        <w:ind w:left="340" w:right="260" w:hanging="332"/>
        <w:spacing w:after="0" w:line="249" w:lineRule="auto"/>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A Phase 3 efficacy study with multiple nonsteroidal anti-inflammatory drugs (NSAIDs) in patients with pain due to osteoarthritis was also initiated in the fourth quarter of 2017.</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Evinacumab</w:t>
      </w:r>
      <w:r>
        <w:rPr>
          <w:rFonts w:ascii="Arial" w:cs="Arial" w:eastAsia="Arial" w:hAnsi="Arial"/>
          <w:sz w:val="22"/>
          <w:szCs w:val="22"/>
          <w:color w:val="auto"/>
        </w:rPr>
        <w:t xml:space="preserve"> is an antibody to angiopoietin-like protein 3 (ANGPTL3).</w:t>
      </w:r>
    </w:p>
    <w:p>
      <w:pPr>
        <w:spacing w:after="0" w:line="4" w:lineRule="exact"/>
        <w:rPr>
          <w:sz w:val="20"/>
          <w:szCs w:val="20"/>
          <w:color w:val="auto"/>
        </w:rPr>
      </w:pPr>
    </w:p>
    <w:p>
      <w:pPr>
        <w:ind w:left="340" w:right="140" w:hanging="332"/>
        <w:spacing w:after="0" w:line="243" w:lineRule="auto"/>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 Phase 2 study in refractory hypercholesterolemia (both heterozygous FH and non-FH) was initiated in the fourth quarter of 2017.</w:t>
      </w:r>
    </w:p>
    <w:p>
      <w:pPr>
        <w:ind w:left="34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 Phase 3 study in HoFH was initiated in the first quarter of 2018.</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Nesvacumab/aflibercept</w:t>
      </w:r>
      <w:r>
        <w:rPr>
          <w:rFonts w:ascii="Arial" w:cs="Arial" w:eastAsia="Arial" w:hAnsi="Arial"/>
          <w:sz w:val="22"/>
          <w:szCs w:val="22"/>
          <w:color w:val="auto"/>
        </w:rPr>
        <w:t xml:space="preserve"> is an antibody to angiopoietin2 (Ang2) co-formulated with aflibercept.</w:t>
      </w:r>
    </w:p>
    <w:p>
      <w:pPr>
        <w:spacing w:after="0" w:line="4" w:lineRule="exact"/>
        <w:rPr>
          <w:sz w:val="20"/>
          <w:szCs w:val="20"/>
          <w:color w:val="auto"/>
        </w:rPr>
      </w:pPr>
    </w:p>
    <w:p>
      <w:pPr>
        <w:ind w:left="340" w:right="40" w:hanging="332"/>
        <w:spacing w:after="0" w:line="261" w:lineRule="auto"/>
        <w:tabs>
          <w:tab w:leader="none" w:pos="34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 the fourth quarter of 2017, the Company reported that results from two Phase 2 studies that added nesvacumab to EYLEA did not provide sufficient differentiation to warrant Phase 3 development. The RUBY study evaluated patients with diabetic macular edema (DME) and the ONYX study evaluated patients with wet AMD. EYLEA results were consistent with findings in previous clinical studies, and there were no new safety signals in these studies.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390" w:right="31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Business Development Update</w:t>
      </w:r>
    </w:p>
    <w:p>
      <w:pPr>
        <w:spacing w:after="0" w:line="30" w:lineRule="exact"/>
        <w:rPr>
          <w:sz w:val="20"/>
          <w:szCs w:val="20"/>
          <w:color w:val="auto"/>
        </w:rPr>
      </w:pPr>
    </w:p>
    <w:p>
      <w:pPr>
        <w:ind w:left="340" w:right="100" w:hanging="332"/>
        <w:spacing w:after="0" w:line="243" w:lineRule="auto"/>
        <w:tabs>
          <w:tab w:leader="none" w:pos="3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the fourth quarter of 2017, the Company entered into an agreement with Decibel Therapeutics to discover and develop new potential therapeutics to protect, repair, and restore hearing. The Company will provide access to its proprietary suite of technologies and financial support for Decibel's research and development efforts, both through research and development funding payments and a strategic equity investment in Decibel.</w:t>
      </w:r>
    </w:p>
    <w:p>
      <w:pPr>
        <w:spacing w:after="0" w:line="1" w:lineRule="exact"/>
        <w:rPr>
          <w:rFonts w:ascii="Arial" w:cs="Arial" w:eastAsia="Arial" w:hAnsi="Arial"/>
          <w:sz w:val="22"/>
          <w:szCs w:val="22"/>
          <w:color w:val="auto"/>
        </w:rPr>
      </w:pPr>
    </w:p>
    <w:p>
      <w:pPr>
        <w:ind w:left="340" w:right="260" w:hanging="332"/>
        <w:spacing w:after="0" w:line="243" w:lineRule="auto"/>
        <w:tabs>
          <w:tab w:leader="none" w:pos="3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the fourth quarter of 2017, the Company and ISA Pharmaceuticals entered into a collaboration agreement to develop ISA101, an immunotherapy targeting human papillomavirus type 16 (HPV16)-induced cancer, in combination with cemiplimab. The Company and ISA will jointly fund and conduct clinical trials of the combination treatment in cervical cancer and head-and-neck cancer.</w:t>
      </w:r>
    </w:p>
    <w:p>
      <w:pPr>
        <w:spacing w:after="0" w:line="1" w:lineRule="exact"/>
        <w:rPr>
          <w:rFonts w:ascii="Arial" w:cs="Arial" w:eastAsia="Arial" w:hAnsi="Arial"/>
          <w:sz w:val="22"/>
          <w:szCs w:val="22"/>
          <w:color w:val="auto"/>
        </w:rPr>
      </w:pPr>
    </w:p>
    <w:p>
      <w:pPr>
        <w:ind w:left="340" w:right="60" w:hanging="332"/>
        <w:spacing w:after="0" w:line="243" w:lineRule="auto"/>
        <w:tabs>
          <w:tab w:leader="none" w:pos="3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January 2018, the Company, along with AbbVie, Alnylam Pharmaceuticals, AstraZeneca, Biogen, and Pfizer, announced the formation of a consortium to fund the generation of genetic exome sequence data from 500,000 volunteer participants who make up the UK Biobank health resource. Regeneron will conduct the sequencing effort, and the other companies will each commit up to $10 million in funding. Consortium members will have a limited period of exclusive access to the sequencing data, before the data will be made available to other health researchers by UK Biobank.</w:t>
      </w:r>
    </w:p>
    <w:p>
      <w:pPr>
        <w:spacing w:after="0" w:line="2" w:lineRule="exact"/>
        <w:rPr>
          <w:rFonts w:ascii="Arial" w:cs="Arial" w:eastAsia="Arial" w:hAnsi="Arial"/>
          <w:sz w:val="22"/>
          <w:szCs w:val="22"/>
          <w:color w:val="auto"/>
        </w:rPr>
      </w:pPr>
    </w:p>
    <w:p>
      <w:pPr>
        <w:ind w:left="340" w:right="160" w:hanging="332"/>
        <w:spacing w:after="0" w:line="258" w:lineRule="auto"/>
        <w:tabs>
          <w:tab w:leader="none" w:pos="34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 January 2018, the Company and Sanofi entered into an agreement to accelerate and expand the investment for the clinical development of cemiplimab and dupilumab. Under the terms of the agreement, the total development budget for cemiplimab has been increased to a minimum of $1.640 billion, an increase of approximately $1 billion over the initial 2015 agreement, and Sanofi and Regeneron will continue to equally fund cemiplimab development. The additional investment in the dupilumab development program will help accelerate planned new studies for dupilumab, as well as accelerate and expand development of REGN3500, an IL-33 antibody.</w:t>
      </w:r>
    </w:p>
    <w:p>
      <w:pPr>
        <w:spacing w:after="0" w:line="238" w:lineRule="exact"/>
        <w:rPr>
          <w:rFonts w:ascii="Arial" w:cs="Arial" w:eastAsia="Arial" w:hAnsi="Arial"/>
          <w:sz w:val="21"/>
          <w:szCs w:val="21"/>
          <w:color w:val="auto"/>
        </w:rPr>
      </w:pPr>
    </w:p>
    <w:p>
      <w:pPr>
        <w:ind w:left="340"/>
        <w:spacing w:after="0" w:line="257" w:lineRule="auto"/>
        <w:rPr>
          <w:rFonts w:ascii="Arial" w:cs="Arial" w:eastAsia="Arial" w:hAnsi="Arial"/>
          <w:sz w:val="21"/>
          <w:szCs w:val="21"/>
          <w:color w:val="auto"/>
        </w:rPr>
      </w:pPr>
      <w:r>
        <w:rPr>
          <w:rFonts w:ascii="Arial" w:cs="Arial" w:eastAsia="Arial" w:hAnsi="Arial"/>
          <w:sz w:val="21"/>
          <w:szCs w:val="21"/>
          <w:color w:val="auto"/>
        </w:rPr>
        <w:t>The Company has also agreed to grant a limited waiver of the “lock-up” in the Amended and Restated Investor Agreement between the companies, so that Sanofi may sell up to an aggregate of 1.4 million shares of Regeneron Common Stock, representing approximately 6% of the shares of Regeneron Common Stock Sanofi currently owns, through the end of 2020 to fund a portion of the cemiplimab and dupilumab development expansion. If Sanofi desires to sell shares of Regeneron Common Stock during the term of the agreement to satisfy a portion or all of its funding obligations noted above, the Company may elect to purchase, in whole or in part, such shares from Sanofi. If the Company does not elect to purchase such shares, Sanofi may sell the applicable number of shares (subject to certain daily and quarterly limits) in one or more open-market transactions.</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u w:val="single" w:color="auto"/>
          <w:color w:val="auto"/>
        </w:rPr>
        <w:t>Select Upcoming 2018 Milestones</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266"/>
        </w:trPr>
        <w:tc>
          <w:tcPr>
            <w:tcW w:w="3780" w:type="dxa"/>
            <w:vAlign w:val="bottom"/>
            <w:tcBorders>
              <w:bottom w:val="single" w:sz="8" w:color="auto"/>
            </w:tcBorders>
          </w:tcPr>
          <w:p>
            <w:pPr>
              <w:ind w:left="1420"/>
              <w:spacing w:after="0"/>
              <w:rPr>
                <w:sz w:val="20"/>
                <w:szCs w:val="20"/>
                <w:color w:val="auto"/>
              </w:rPr>
            </w:pPr>
            <w:r>
              <w:rPr>
                <w:rFonts w:ascii="Arial" w:cs="Arial" w:eastAsia="Arial" w:hAnsi="Arial"/>
                <w:sz w:val="20"/>
                <w:szCs w:val="20"/>
                <w:b w:val="1"/>
                <w:bCs w:val="1"/>
                <w:color w:val="auto"/>
              </w:rPr>
              <w:t>Programs</w:t>
            </w:r>
          </w:p>
        </w:tc>
        <w:tc>
          <w:tcPr>
            <w:tcW w:w="200" w:type="dxa"/>
            <w:vAlign w:val="bottom"/>
            <w:tcBorders>
              <w:bottom w:val="single" w:sz="8" w:color="auto"/>
            </w:tcBorders>
          </w:tcPr>
          <w:p>
            <w:pPr>
              <w:spacing w:after="0"/>
              <w:rPr>
                <w:sz w:val="23"/>
                <w:szCs w:val="23"/>
                <w:color w:val="auto"/>
              </w:rPr>
            </w:pPr>
          </w:p>
        </w:tc>
        <w:tc>
          <w:tcPr>
            <w:tcW w:w="6500" w:type="dxa"/>
            <w:vAlign w:val="bottom"/>
            <w:tcBorders>
              <w:bottom w:val="single" w:sz="8" w:color="auto"/>
            </w:tcBorders>
          </w:tcPr>
          <w:p>
            <w:pPr>
              <w:ind w:left="2740"/>
              <w:spacing w:after="0"/>
              <w:rPr>
                <w:sz w:val="20"/>
                <w:szCs w:val="20"/>
                <w:color w:val="auto"/>
              </w:rPr>
            </w:pPr>
            <w:r>
              <w:rPr>
                <w:rFonts w:ascii="Arial" w:cs="Arial" w:eastAsia="Arial" w:hAnsi="Arial"/>
                <w:sz w:val="20"/>
                <w:szCs w:val="20"/>
                <w:b w:val="1"/>
                <w:bCs w:val="1"/>
                <w:color w:val="auto"/>
              </w:rPr>
              <w:t>Milestones</w:t>
            </w:r>
          </w:p>
        </w:tc>
      </w:tr>
      <w:tr>
        <w:trPr>
          <w:trHeight w:val="259"/>
        </w:trPr>
        <w:tc>
          <w:tcPr>
            <w:tcW w:w="3780" w:type="dxa"/>
            <w:vAlign w:val="bottom"/>
            <w:shd w:val="clear" w:color="auto" w:fill="CCEEFF"/>
          </w:tcPr>
          <w:p>
            <w:pPr>
              <w:ind w:left="20"/>
              <w:spacing w:after="0"/>
              <w:rPr>
                <w:sz w:val="20"/>
                <w:szCs w:val="20"/>
                <w:color w:val="auto"/>
              </w:rPr>
            </w:pPr>
            <w:r>
              <w:rPr>
                <w:rFonts w:ascii="Arial" w:cs="Arial" w:eastAsia="Arial" w:hAnsi="Arial"/>
                <w:sz w:val="20"/>
                <w:szCs w:val="20"/>
                <w:color w:val="auto"/>
              </w:rPr>
              <w:t>EYLEA</w:t>
            </w:r>
          </w:p>
        </w:tc>
        <w:tc>
          <w:tcPr>
            <w:tcW w:w="67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Ÿ FDA decision on sBLA for every 12-week dosing interval in wet AMD</w:t>
            </w:r>
          </w:p>
        </w:tc>
      </w:tr>
      <w:tr>
        <w:trPr>
          <w:trHeight w:val="263"/>
        </w:trPr>
        <w:tc>
          <w:tcPr>
            <w:tcW w:w="378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Ÿ</w:t>
            </w:r>
          </w:p>
        </w:tc>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w w:val="99"/>
              </w:rPr>
              <w:t>Report data from Phase 3 PANORAMA study in non-proliferative diabetic</w:t>
            </w:r>
          </w:p>
        </w:tc>
      </w:tr>
      <w:tr>
        <w:trPr>
          <w:trHeight w:val="237"/>
        </w:trPr>
        <w:tc>
          <w:tcPr>
            <w:tcW w:w="3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retinopathy (NPDR) in patients without DME, and submit sBLA</w:t>
            </w:r>
          </w:p>
        </w:tc>
      </w:tr>
      <w:tr>
        <w:trPr>
          <w:trHeight w:val="298"/>
        </w:trPr>
        <w:tc>
          <w:tcPr>
            <w:tcW w:w="37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Ÿ</w:t>
            </w: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Submit sBLA for pre-filled syringe</w:t>
            </w:r>
          </w:p>
        </w:tc>
      </w:tr>
      <w:tr>
        <w:trPr>
          <w:trHeight w:val="254"/>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Dupilumab</w:t>
            </w:r>
          </w:p>
        </w:tc>
        <w:tc>
          <w:tcPr>
            <w:tcW w:w="670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color w:val="auto"/>
              </w:rPr>
              <w:t>Ÿ FDA filing and decision on sBLA for asthma in adult/adolescent patients</w:t>
            </w:r>
          </w:p>
        </w:tc>
      </w:tr>
      <w:tr>
        <w:trPr>
          <w:trHeight w:val="263"/>
        </w:trPr>
        <w:tc>
          <w:tcPr>
            <w:tcW w:w="3780" w:type="dxa"/>
            <w:vAlign w:val="bottom"/>
          </w:tcPr>
          <w:p>
            <w:pPr>
              <w:spacing w:after="0"/>
              <w:rPr>
                <w:sz w:val="22"/>
                <w:szCs w:val="22"/>
                <w:color w:val="auto"/>
              </w:rPr>
            </w:pPr>
          </w:p>
        </w:tc>
        <w:tc>
          <w:tcPr>
            <w:tcW w:w="6700" w:type="dxa"/>
            <w:vAlign w:val="bottom"/>
            <w:gridSpan w:val="2"/>
          </w:tcPr>
          <w:p>
            <w:pPr>
              <w:ind w:left="20"/>
              <w:spacing w:after="0"/>
              <w:rPr>
                <w:sz w:val="20"/>
                <w:szCs w:val="20"/>
                <w:color w:val="auto"/>
              </w:rPr>
            </w:pPr>
            <w:r>
              <w:rPr>
                <w:rFonts w:ascii="Arial" w:cs="Arial" w:eastAsia="Arial" w:hAnsi="Arial"/>
                <w:sz w:val="20"/>
                <w:szCs w:val="20"/>
                <w:color w:val="auto"/>
              </w:rPr>
              <w:t>Ÿ Submit for European Union (EU) and Japan regulatory approval in</w:t>
            </w:r>
          </w:p>
        </w:tc>
      </w:tr>
      <w:tr>
        <w:trPr>
          <w:trHeight w:val="237"/>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Arial" w:cs="Arial" w:eastAsia="Arial" w:hAnsi="Arial"/>
                <w:sz w:val="20"/>
                <w:szCs w:val="20"/>
                <w:color w:val="auto"/>
              </w:rPr>
              <w:t>asthma in adult/adolescent patients</w:t>
            </w:r>
          </w:p>
        </w:tc>
      </w:tr>
      <w:tr>
        <w:trPr>
          <w:trHeight w:val="249"/>
        </w:trPr>
        <w:tc>
          <w:tcPr>
            <w:tcW w:w="378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20"/>
                <w:szCs w:val="20"/>
                <w:color w:val="auto"/>
              </w:rPr>
              <w:t>Ÿ Report data from Phase 3 study in adolescent patients (12-17 years of</w:t>
            </w:r>
          </w:p>
        </w:tc>
      </w:tr>
      <w:tr>
        <w:trPr>
          <w:trHeight w:val="237"/>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Arial" w:cs="Arial" w:eastAsia="Arial" w:hAnsi="Arial"/>
                <w:sz w:val="20"/>
                <w:szCs w:val="20"/>
                <w:color w:val="auto"/>
              </w:rPr>
              <w:t>age) with atopic dermatitis</w:t>
            </w:r>
          </w:p>
        </w:tc>
      </w:tr>
      <w:tr>
        <w:trPr>
          <w:trHeight w:val="270"/>
        </w:trPr>
        <w:tc>
          <w:tcPr>
            <w:tcW w:w="3780" w:type="dxa"/>
            <w:vAlign w:val="bottom"/>
          </w:tcPr>
          <w:p>
            <w:pPr>
              <w:spacing w:after="0"/>
              <w:rPr>
                <w:sz w:val="23"/>
                <w:szCs w:val="23"/>
                <w:color w:val="auto"/>
              </w:rPr>
            </w:pPr>
          </w:p>
        </w:tc>
        <w:tc>
          <w:tcPr>
            <w:tcW w:w="6700" w:type="dxa"/>
            <w:vAlign w:val="bottom"/>
            <w:gridSpan w:val="2"/>
          </w:tcPr>
          <w:p>
            <w:pPr>
              <w:ind w:left="20"/>
              <w:spacing w:after="0"/>
              <w:rPr>
                <w:sz w:val="20"/>
                <w:szCs w:val="20"/>
                <w:color w:val="auto"/>
              </w:rPr>
            </w:pPr>
            <w:r>
              <w:rPr>
                <w:rFonts w:ascii="Arial" w:cs="Arial" w:eastAsia="Arial" w:hAnsi="Arial"/>
                <w:sz w:val="20"/>
                <w:szCs w:val="20"/>
                <w:color w:val="auto"/>
              </w:rPr>
              <w:t>Ÿ Report data from Phase 3 studies in nasal polyps</w:t>
            </w:r>
          </w:p>
        </w:tc>
      </w:tr>
      <w:tr>
        <w:trPr>
          <w:trHeight w:val="284"/>
        </w:trPr>
        <w:tc>
          <w:tcPr>
            <w:tcW w:w="3780" w:type="dxa"/>
            <w:vAlign w:val="bottom"/>
          </w:tcPr>
          <w:p>
            <w:pPr>
              <w:spacing w:after="0"/>
              <w:rPr>
                <w:sz w:val="24"/>
                <w:szCs w:val="24"/>
                <w:color w:val="auto"/>
              </w:rPr>
            </w:pPr>
          </w:p>
        </w:tc>
        <w:tc>
          <w:tcPr>
            <w:tcW w:w="6700" w:type="dxa"/>
            <w:vAlign w:val="bottom"/>
            <w:gridSpan w:val="2"/>
          </w:tcPr>
          <w:p>
            <w:pPr>
              <w:ind w:left="20"/>
              <w:spacing w:after="0"/>
              <w:rPr>
                <w:sz w:val="20"/>
                <w:szCs w:val="20"/>
                <w:color w:val="auto"/>
              </w:rPr>
            </w:pPr>
            <w:r>
              <w:rPr>
                <w:rFonts w:ascii="Arial" w:cs="Arial" w:eastAsia="Arial" w:hAnsi="Arial"/>
                <w:sz w:val="20"/>
                <w:szCs w:val="20"/>
                <w:color w:val="auto"/>
              </w:rPr>
              <w:t>Ÿ Initiate Phase 3 study in EoE</w:t>
            </w:r>
          </w:p>
        </w:tc>
      </w:tr>
      <w:tr>
        <w:trPr>
          <w:trHeight w:val="284"/>
        </w:trPr>
        <w:tc>
          <w:tcPr>
            <w:tcW w:w="3780" w:type="dxa"/>
            <w:vAlign w:val="bottom"/>
          </w:tcPr>
          <w:p>
            <w:pPr>
              <w:spacing w:after="0"/>
              <w:rPr>
                <w:sz w:val="24"/>
                <w:szCs w:val="24"/>
                <w:color w:val="auto"/>
              </w:rPr>
            </w:pPr>
          </w:p>
        </w:tc>
        <w:tc>
          <w:tcPr>
            <w:tcW w:w="6700" w:type="dxa"/>
            <w:vAlign w:val="bottom"/>
            <w:gridSpan w:val="2"/>
          </w:tcPr>
          <w:p>
            <w:pPr>
              <w:ind w:left="20"/>
              <w:spacing w:after="0"/>
              <w:rPr>
                <w:sz w:val="20"/>
                <w:szCs w:val="20"/>
                <w:color w:val="auto"/>
              </w:rPr>
            </w:pPr>
            <w:r>
              <w:rPr>
                <w:rFonts w:ascii="Arial" w:cs="Arial" w:eastAsia="Arial" w:hAnsi="Arial"/>
                <w:sz w:val="20"/>
                <w:szCs w:val="20"/>
                <w:color w:val="auto"/>
              </w:rPr>
              <w:t>Ÿ Initiate Phase 2 study in peanut allergy</w:t>
            </w:r>
          </w:p>
        </w:tc>
      </w:tr>
      <w:tr>
        <w:trPr>
          <w:trHeight w:val="284"/>
        </w:trPr>
        <w:tc>
          <w:tcPr>
            <w:tcW w:w="3780" w:type="dxa"/>
            <w:vAlign w:val="bottom"/>
          </w:tcPr>
          <w:p>
            <w:pPr>
              <w:spacing w:after="0"/>
              <w:rPr>
                <w:sz w:val="24"/>
                <w:szCs w:val="24"/>
                <w:color w:val="auto"/>
              </w:rPr>
            </w:pPr>
          </w:p>
        </w:tc>
        <w:tc>
          <w:tcPr>
            <w:tcW w:w="6700" w:type="dxa"/>
            <w:vAlign w:val="bottom"/>
            <w:gridSpan w:val="2"/>
          </w:tcPr>
          <w:p>
            <w:pPr>
              <w:ind w:left="20"/>
              <w:spacing w:after="0"/>
              <w:rPr>
                <w:sz w:val="20"/>
                <w:szCs w:val="20"/>
                <w:color w:val="auto"/>
              </w:rPr>
            </w:pPr>
            <w:r>
              <w:rPr>
                <w:rFonts w:ascii="Arial" w:cs="Arial" w:eastAsia="Arial" w:hAnsi="Arial"/>
                <w:sz w:val="20"/>
                <w:szCs w:val="20"/>
                <w:color w:val="auto"/>
              </w:rPr>
              <w:t>Ÿ Initiate Phase 2 study as an adjunct to immunotherapy for grass allergy</w:t>
            </w:r>
          </w:p>
        </w:tc>
      </w:tr>
      <w:tr>
        <w:trPr>
          <w:trHeight w:val="263"/>
        </w:trPr>
        <w:tc>
          <w:tcPr>
            <w:tcW w:w="3780" w:type="dxa"/>
            <w:vAlign w:val="bottom"/>
          </w:tcPr>
          <w:p>
            <w:pPr>
              <w:spacing w:after="0"/>
              <w:rPr>
                <w:sz w:val="22"/>
                <w:szCs w:val="22"/>
                <w:color w:val="auto"/>
              </w:rPr>
            </w:pPr>
          </w:p>
        </w:tc>
        <w:tc>
          <w:tcPr>
            <w:tcW w:w="6700" w:type="dxa"/>
            <w:vAlign w:val="bottom"/>
            <w:gridSpan w:val="2"/>
          </w:tcPr>
          <w:p>
            <w:pPr>
              <w:ind w:left="20"/>
              <w:spacing w:after="0"/>
              <w:rPr>
                <w:sz w:val="20"/>
                <w:szCs w:val="20"/>
                <w:color w:val="auto"/>
              </w:rPr>
            </w:pPr>
            <w:r>
              <w:rPr>
                <w:rFonts w:ascii="Arial" w:cs="Arial" w:eastAsia="Arial" w:hAnsi="Arial"/>
                <w:sz w:val="20"/>
                <w:szCs w:val="20"/>
                <w:color w:val="auto"/>
              </w:rPr>
              <w:t>Ÿ Initiate clinical programs in chronic obstructive pulmonary disease</w:t>
            </w:r>
          </w:p>
        </w:tc>
      </w:tr>
      <w:tr>
        <w:trPr>
          <w:trHeight w:val="242"/>
        </w:trPr>
        <w:tc>
          <w:tcPr>
            <w:tcW w:w="3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5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(COPD) and co-morbid allergic conditions</w:t>
            </w:r>
          </w:p>
        </w:tc>
      </w:tr>
      <w:tr>
        <w:trPr>
          <w:trHeight w:val="259"/>
        </w:trPr>
        <w:tc>
          <w:tcPr>
            <w:tcW w:w="378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Praluent</w:t>
            </w:r>
          </w:p>
        </w:tc>
        <w:tc>
          <w:tcPr>
            <w:tcW w:w="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Ÿ</w:t>
            </w:r>
          </w:p>
        </w:tc>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Report results from ODYSSEY OUTCOMES study</w:t>
            </w:r>
          </w:p>
        </w:tc>
      </w:tr>
      <w:tr>
        <w:trPr>
          <w:trHeight w:val="284"/>
        </w:trPr>
        <w:tc>
          <w:tcPr>
            <w:tcW w:w="378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Ÿ</w:t>
            </w:r>
          </w:p>
        </w:tc>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FDA decision on sBLA for use with apheresis</w:t>
            </w:r>
          </w:p>
        </w:tc>
      </w:tr>
      <w:tr>
        <w:trPr>
          <w:trHeight w:val="312"/>
        </w:trPr>
        <w:tc>
          <w:tcPr>
            <w:tcW w:w="37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Ÿ</w:t>
            </w: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Initiate Phase 3 pediatric studies in HoFH and HeFH</w:t>
            </w:r>
          </w:p>
        </w:tc>
      </w:tr>
      <w:tr>
        <w:trPr>
          <w:trHeight w:val="254"/>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Kevzara</w:t>
            </w:r>
          </w:p>
        </w:tc>
        <w:tc>
          <w:tcPr>
            <w:tcW w:w="670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color w:val="auto"/>
              </w:rPr>
              <w:t>Ÿ Initiate Phase 3 study in giant cell arteritis</w:t>
            </w:r>
          </w:p>
        </w:tc>
      </w:tr>
      <w:tr>
        <w:trPr>
          <w:trHeight w:val="284"/>
        </w:trPr>
        <w:tc>
          <w:tcPr>
            <w:tcW w:w="3780" w:type="dxa"/>
            <w:vAlign w:val="bottom"/>
          </w:tcPr>
          <w:p>
            <w:pPr>
              <w:spacing w:after="0"/>
              <w:rPr>
                <w:sz w:val="24"/>
                <w:szCs w:val="24"/>
                <w:color w:val="auto"/>
              </w:rPr>
            </w:pPr>
          </w:p>
        </w:tc>
        <w:tc>
          <w:tcPr>
            <w:tcW w:w="6700" w:type="dxa"/>
            <w:vAlign w:val="bottom"/>
            <w:gridSpan w:val="2"/>
          </w:tcPr>
          <w:p>
            <w:pPr>
              <w:ind w:left="20"/>
              <w:spacing w:after="0"/>
              <w:rPr>
                <w:sz w:val="20"/>
                <w:szCs w:val="20"/>
                <w:color w:val="auto"/>
              </w:rPr>
            </w:pPr>
            <w:r>
              <w:rPr>
                <w:rFonts w:ascii="Arial" w:cs="Arial" w:eastAsia="Arial" w:hAnsi="Arial"/>
                <w:sz w:val="20"/>
                <w:szCs w:val="20"/>
                <w:color w:val="auto"/>
              </w:rPr>
              <w:t>Ÿ Initiate Phase 3 study in polymyalgia rheumatica</w:t>
            </w:r>
          </w:p>
        </w:tc>
      </w:tr>
      <w:tr>
        <w:trPr>
          <w:trHeight w:val="23"/>
        </w:trPr>
        <w:tc>
          <w:tcPr>
            <w:tcW w:w="378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gridSpan w:val="2"/>
          </w:tcPr>
          <w:p>
            <w:pPr>
              <w:spacing w:after="0"/>
              <w:rPr>
                <w:sz w:val="2"/>
                <w:szCs w:val="2"/>
                <w:color w:val="auto"/>
              </w:rPr>
            </w:pPr>
          </w:p>
        </w:tc>
      </w:tr>
      <w:tr>
        <w:trPr>
          <w:trHeight w:val="254"/>
        </w:trPr>
        <w:tc>
          <w:tcPr>
            <w:tcW w:w="37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Cemiplimab (PD-1 Antibody)</w:t>
            </w:r>
          </w:p>
        </w:tc>
        <w:tc>
          <w:tcPr>
            <w:tcW w:w="67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Ÿ Complete rolling submission of BLA for CSCC and FDA decision on BLA</w:t>
            </w:r>
          </w:p>
        </w:tc>
      </w:tr>
      <w:tr>
        <w:trPr>
          <w:trHeight w:val="284"/>
        </w:trPr>
        <w:tc>
          <w:tcPr>
            <w:tcW w:w="378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Ÿ</w:t>
            </w:r>
          </w:p>
        </w:tc>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Submit for regulatory approval in CSCC in the EU</w:t>
            </w:r>
          </w:p>
        </w:tc>
      </w:tr>
      <w:tr>
        <w:trPr>
          <w:trHeight w:val="312"/>
        </w:trPr>
        <w:tc>
          <w:tcPr>
            <w:tcW w:w="37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Ÿ</w:t>
            </w: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Initiate additional studies in non-small cell lung cancer</w:t>
            </w:r>
          </w:p>
        </w:tc>
      </w:tr>
      <w:tr>
        <w:trPr>
          <w:trHeight w:val="254"/>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Fasinumab (NGF Antibody)</w:t>
            </w:r>
          </w:p>
        </w:tc>
        <w:tc>
          <w:tcPr>
            <w:tcW w:w="670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color w:val="auto"/>
              </w:rPr>
              <w:t>Ÿ Report data from first Phase 3 efficacy study in osteoarthritis</w:t>
            </w:r>
          </w:p>
        </w:tc>
      </w:tr>
      <w:tr>
        <w:trPr>
          <w:trHeight w:val="284"/>
        </w:trPr>
        <w:tc>
          <w:tcPr>
            <w:tcW w:w="3780" w:type="dxa"/>
            <w:vAlign w:val="bottom"/>
          </w:tcPr>
          <w:p>
            <w:pPr>
              <w:spacing w:after="0"/>
              <w:rPr>
                <w:sz w:val="24"/>
                <w:szCs w:val="24"/>
                <w:color w:val="auto"/>
              </w:rPr>
            </w:pPr>
          </w:p>
        </w:tc>
        <w:tc>
          <w:tcPr>
            <w:tcW w:w="6700" w:type="dxa"/>
            <w:vAlign w:val="bottom"/>
            <w:gridSpan w:val="2"/>
          </w:tcPr>
          <w:p>
            <w:pPr>
              <w:ind w:left="20"/>
              <w:spacing w:after="0"/>
              <w:rPr>
                <w:sz w:val="20"/>
                <w:szCs w:val="20"/>
                <w:color w:val="auto"/>
              </w:rPr>
            </w:pPr>
            <w:r>
              <w:rPr>
                <w:rFonts w:ascii="Arial" w:cs="Arial" w:eastAsia="Arial" w:hAnsi="Arial"/>
                <w:sz w:val="20"/>
                <w:szCs w:val="20"/>
                <w:color w:val="auto"/>
              </w:rPr>
              <w:t>Ÿ Advance Phase 3 program in chronic low back pain</w:t>
            </w:r>
          </w:p>
        </w:tc>
      </w:tr>
      <w:tr>
        <w:trPr>
          <w:trHeight w:val="23"/>
        </w:trPr>
        <w:tc>
          <w:tcPr>
            <w:tcW w:w="378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gridSpan w:val="2"/>
          </w:tcPr>
          <w:p>
            <w:pPr>
              <w:spacing w:after="0"/>
              <w:rPr>
                <w:sz w:val="2"/>
                <w:szCs w:val="2"/>
                <w:color w:val="auto"/>
              </w:rPr>
            </w:pPr>
          </w:p>
        </w:tc>
      </w:tr>
      <w:tr>
        <w:trPr>
          <w:trHeight w:val="282"/>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Evinacumab (Angptl-3 Antibody)</w:t>
            </w: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Ÿ Initiate Phase 2 study in severe hypertriglyceridemia</w:t>
            </w:r>
          </w:p>
        </w:tc>
      </w:tr>
      <w:tr>
        <w:trPr>
          <w:trHeight w:val="233"/>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REGN2477 (Activin A Antibody)</w:t>
            </w:r>
          </w:p>
        </w:tc>
        <w:tc>
          <w:tcPr>
            <w:tcW w:w="670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color w:val="auto"/>
              </w:rPr>
              <w:t>Ÿ Initiate Phase 2 study in patients with fibrodysplasia ossificans</w:t>
            </w:r>
          </w:p>
        </w:tc>
      </w:tr>
      <w:tr>
        <w:trPr>
          <w:trHeight w:val="242"/>
        </w:trPr>
        <w:tc>
          <w:tcPr>
            <w:tcW w:w="3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5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progressiva (FOP)</w:t>
            </w:r>
          </w:p>
        </w:tc>
      </w:tr>
      <w:tr>
        <w:trPr>
          <w:trHeight w:val="262"/>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REGN3500 (IL-33 Antibody)</w:t>
            </w: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Ÿ Initiate Phase 2 programs in asthma, COPD, and atopic dermatitis</w:t>
            </w:r>
          </w:p>
        </w:tc>
      </w:tr>
      <w:tr>
        <w:trPr>
          <w:trHeight w:val="20"/>
        </w:trPr>
        <w:tc>
          <w:tcPr>
            <w:tcW w:w="3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500" w:type="dxa"/>
            <w:vAlign w:val="bottom"/>
            <w:shd w:val="clear" w:color="auto" w:fill="000000"/>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Fourth Quarter and Full Year 2017 Financial Results</w:t>
      </w:r>
    </w:p>
    <w:p>
      <w:pPr>
        <w:spacing w:after="0" w:line="260" w:lineRule="exact"/>
        <w:rPr>
          <w:sz w:val="20"/>
          <w:szCs w:val="20"/>
          <w:color w:val="auto"/>
        </w:rPr>
      </w:pPr>
    </w:p>
    <w:p>
      <w:pPr>
        <w:spacing w:after="0" w:line="251"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$979 million in the fourth quarter and $3.718 billion for the full year 2017,</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$863 million in the fourth quarter and $3.338 billion for the full year 2016. EYLEA net product sales in the United States were $975 million in the fourth quarter and $3.702 billion for the full year 2017, compared to $858 million in the fourth quarter and $3.323 billion for the full year 2016. Overall distributor inventory levels remained within the Company's one- to two-week targeted range.</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364" w:right="339" w:bottom="1440" w:gutter="0" w:footer="0" w:header="0"/>
        </w:sectPr>
      </w:pPr>
    </w:p>
    <w:bookmarkStart w:id="9" w:name="page10"/>
    <w:bookmarkEnd w:id="9"/>
    <w:p>
      <w:pPr>
        <w:spacing w:after="0" w:line="245"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which include product revenues described above, increased by 29% to $1.582 billion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fourth quarter of 2017, compared to $1.227 billion in the fourth quarter of 2016. Total revenues include Sanofi and Bayer collaboration revenues of $497 million in the fourth quarter of 2017, compared to $313 million in the fourth quarter of 2016. Full year 2017 total revenues increased by 21% to $5.872 billion, compared to $4.860 billion for the full year 2016. Total revenues include Sanofi and Bayer collaboration revenues of $1.815 billion for the full year 2017, compared to $1.403 billion for the full year 2016. Sanofi collaboration revenue in the fourth quarter and full year 2017 included higher reimbursements by Sanofi in connection with commercial manufacturing activities and the recognition of a higher amount of previously deferred revenue from up-front and other payments in connection with the Company's Antibody Discovery Agreement ending on December 31, 2017 without any extension. Bayer collaboration revenue increased in the fourth quarter and full year 2017 primarily due to an increase in the Company's share of net profits in connection with higher sales of EYLEA outside the United States. In addition, in the fourth quarter of 2017, the Company reported that results from two nesvacumab/aflibercept Phase 2 studies did not provide sufficient differentiation to warrant Phase 3 development (as described above); therefore, the Company accelerated the recognition of deferred revenue from the up-front payment previously received from Bayer.</w:t>
      </w:r>
    </w:p>
    <w:p>
      <w:pPr>
        <w:spacing w:after="0" w:line="260"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Other revenue in the fourth quarter and full year 2017 increased primarily due to higher reimbursements of the Company's research and development expenses in connection with the collaboration agreement the Company entered into with Teva in September 2016. In addition, in the fourth quarter and full year 2017, the Company earned, and recognized as revenue, development milestones from collaboration partners in connection with the Company's fasinumab clinical program.</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and other revenue.</w:t>
      </w:r>
    </w:p>
    <w:p>
      <w:pPr>
        <w:spacing w:after="0" w:line="194" w:lineRule="exact"/>
        <w:rPr>
          <w:sz w:val="20"/>
          <w:szCs w:val="20"/>
          <w:color w:val="auto"/>
        </w:rPr>
      </w:pPr>
    </w:p>
    <w:p>
      <w:pPr>
        <w:ind w:right="100"/>
        <w:spacing w:after="0" w:line="247"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$528 million in the fourth quarter and</w:t>
      </w:r>
      <w:r>
        <w:rPr>
          <w:rFonts w:ascii="Arial" w:cs="Arial" w:eastAsia="Arial" w:hAnsi="Arial"/>
          <w:sz w:val="22"/>
          <w:szCs w:val="22"/>
          <w:b w:val="1"/>
          <w:bCs w:val="1"/>
          <w:color w:val="auto"/>
        </w:rPr>
        <w:t xml:space="preserve"> </w:t>
      </w:r>
      <w:r>
        <w:rPr>
          <w:rFonts w:ascii="Arial" w:cs="Arial" w:eastAsia="Arial" w:hAnsi="Arial"/>
          <w:sz w:val="22"/>
          <w:szCs w:val="22"/>
          <w:color w:val="auto"/>
        </w:rPr>
        <w:t>$2.075 billion for the full year 2017, compared to $479 million in the fourth quarter and $2.052 billion for the full year 2016. The higher R&amp;D expenses in the fourth quarter and full year 2017 were principally due to an increase in cemiplimab and fasinumab clinical trial costs and a $25 million up-front payment made in connection with the Decibel Therapeutics agreement described under "Business Development Update". GAAP R&amp;D expenses for full year 2016 included $75 million and $25 million of up-front payments in connection with license and collaboration agreements with Intellia Therapeutics and Adicet Bio, respectively. R&amp;D-related non-cash share-based compensation expense was $59 million in the fourth quarter and $272 million for the full year 2017, compared to $75 million in the fourth quarter and $313 million for the full year 2016.</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10" w:name="page11"/>
    <w:bookmarkEnd w:id="10"/>
    <w:p>
      <w:pPr>
        <w:ind w:right="40"/>
        <w:spacing w:after="0" w:line="249"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$410 million in the fourth</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and $1.320 billion for the full year 2017, compared to $326 million in the fourth quarter and $1.178 billion for the full year 2016. The higher selling, general, and administrative expenses in the fourth quarter and full year 2017 were primarily due to the launches of Dupixent and Kevzara, an increase in commercialization-related expenses associated with EYLEA, as well as launch preparation for cemiplimab. In addition, for full year 2017, these increases were partly offset by lower commercialization-related expenses associated with Praluent</w:t>
      </w:r>
      <w:r>
        <w:rPr>
          <w:rFonts w:ascii="Arial" w:cs="Arial" w:eastAsia="Arial" w:hAnsi="Arial"/>
          <w:sz w:val="18"/>
          <w:szCs w:val="18"/>
          <w:color w:val="auto"/>
        </w:rPr>
        <w:t>.</w:t>
      </w:r>
      <w:r>
        <w:rPr>
          <w:rFonts w:ascii="Arial" w:cs="Arial" w:eastAsia="Arial" w:hAnsi="Arial"/>
          <w:sz w:val="22"/>
          <w:szCs w:val="22"/>
          <w:color w:val="auto"/>
        </w:rPr>
        <w:t xml:space="preserve"> SG&amp;A-related non-cash share-based compensation expense was $62 million in the fourth quarter and $208 million for the full year 2017, compared to $74 million in the fourth quarter and $231 million for the full year 2016.</w:t>
      </w:r>
    </w:p>
    <w:p>
      <w:pPr>
        <w:spacing w:after="0" w:line="223" w:lineRule="exact"/>
        <w:rPr>
          <w:sz w:val="20"/>
          <w:szCs w:val="20"/>
          <w:color w:val="auto"/>
        </w:rPr>
      </w:pPr>
    </w:p>
    <w:p>
      <w:pPr>
        <w:spacing w:after="0" w:line="251"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GAAP COGS was $53 million in the fourth quarter and $203 million for the full year</w:t>
      </w:r>
      <w:r>
        <w:rPr>
          <w:rFonts w:ascii="Arial" w:cs="Arial" w:eastAsia="Arial" w:hAnsi="Arial"/>
          <w:sz w:val="22"/>
          <w:szCs w:val="22"/>
          <w:b w:val="1"/>
          <w:bCs w:val="1"/>
          <w:color w:val="auto"/>
        </w:rPr>
        <w:t xml:space="preserve"> </w:t>
      </w:r>
      <w:r>
        <w:rPr>
          <w:rFonts w:ascii="Arial" w:cs="Arial" w:eastAsia="Arial" w:hAnsi="Arial"/>
          <w:sz w:val="22"/>
          <w:szCs w:val="22"/>
          <w:color w:val="auto"/>
        </w:rPr>
        <w:t>2017, compared to $45 million in the fourth quarter and $195 million for the full year 2016. Cost of goods sold increased slightly for full year 2017, compared to 2016, principally due to an increase in start-up costs for the Company's Limerick manufacturing facility, partly offset due to the fact that, effective May 2016, the Company was no longer obligated to pay royalties to Genentech based on U.S. sales of EYLEA.</w:t>
      </w:r>
    </w:p>
    <w:p>
      <w:pPr>
        <w:spacing w:after="0" w:line="217"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b w:val="1"/>
          <w:bCs w:val="1"/>
          <w:color w:val="auto"/>
        </w:rPr>
        <w:t xml:space="preserve">Cost of Collaboration and Contract Manufacturing (COCM): </w:t>
      </w:r>
      <w:r>
        <w:rPr>
          <w:rFonts w:ascii="Arial" w:cs="Arial" w:eastAsia="Arial" w:hAnsi="Arial"/>
          <w:sz w:val="22"/>
          <w:szCs w:val="22"/>
          <w:color w:val="auto"/>
        </w:rPr>
        <w:t>GAAP COCM was $53 million in the fourth quarter and</w:t>
      </w:r>
      <w:r>
        <w:rPr>
          <w:rFonts w:ascii="Arial" w:cs="Arial" w:eastAsia="Arial" w:hAnsi="Arial"/>
          <w:sz w:val="22"/>
          <w:szCs w:val="22"/>
          <w:b w:val="1"/>
          <w:bCs w:val="1"/>
          <w:color w:val="auto"/>
        </w:rPr>
        <w:t xml:space="preserve"> </w:t>
      </w:r>
      <w:r>
        <w:rPr>
          <w:rFonts w:ascii="Arial" w:cs="Arial" w:eastAsia="Arial" w:hAnsi="Arial"/>
          <w:sz w:val="22"/>
          <w:szCs w:val="22"/>
          <w:color w:val="auto"/>
        </w:rPr>
        <w:t>$195 million for the full year 2017, compared to $30 million in the fourth quarter and $105 million for the full year 2016. The higher COCM costs for full year 2017 were primarily due to validation activities at the Company's Limerick manufacturing facility related to products that are in collaboration with Sanofi, partly offset by the fact that 2016 included royalties payable to Genentech based on sales of EYLEA outside the United States (which ended in May 2016). GAAP COCM was also adversely impacted by inventory write-offs and reserves in 2017 primarily related to product that no longer met quality specifications.</w:t>
      </w:r>
    </w:p>
    <w:p>
      <w:pPr>
        <w:spacing w:after="0" w:line="223"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GAAP income tax expense was $381 million and the effective tax rate was 68.7% in the fourth</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2017, compared to $88 million and 25.9% in the fourth quarter of 2016. GAAP income tax expense was $880 million and the effective tax rate was 42.3% for the full year 2017, compared to $434 million and 32.7% for the full year 2016. The effective tax rate for both the fourth quarter and full year 2017 was negatively impacted by the provisional charge of $326.2 million related to the re-measurement of the Company's U.S. net deferred tax assets upon the December 2017 enactment of the bill known as the Tax Cuts and Jobs Act (the "U.S. Tax Reform Act"), partly offset by the tax benefit associated with stock-based compensation.</w:t>
      </w:r>
    </w:p>
    <w:p>
      <w:pPr>
        <w:spacing w:after="0" w:line="249"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The Company's effective tax rate forecast for 2018 includes the estimated impact of the U.S. Tax Reform Act, which significantly revises U.S. corporate income tax laws by, among other things, reducing the U.S. federal corporate income tax rate from 35% to 21% and changing the taxation of foreign earnings.</w:t>
      </w:r>
    </w:p>
    <w:p>
      <w:pPr>
        <w:spacing w:after="0" w:line="223" w:lineRule="exact"/>
        <w:rPr>
          <w:sz w:val="20"/>
          <w:szCs w:val="20"/>
          <w:color w:val="auto"/>
        </w:rPr>
      </w:pPr>
    </w:p>
    <w:p>
      <w:pPr>
        <w:ind w:right="140"/>
        <w:spacing w:after="0" w:line="242" w:lineRule="auto"/>
        <w:rPr>
          <w:sz w:val="20"/>
          <w:szCs w:val="20"/>
          <w:color w:val="auto"/>
        </w:rPr>
      </w:pPr>
      <w:r>
        <w:rPr>
          <w:rFonts w:ascii="Arial" w:cs="Arial" w:eastAsia="Arial" w:hAnsi="Arial"/>
          <w:sz w:val="22"/>
          <w:szCs w:val="22"/>
          <w:b w:val="1"/>
          <w:bCs w:val="1"/>
          <w:color w:val="auto"/>
        </w:rPr>
        <w:t>GAAP and Non-GAAP Net Income</w:t>
      </w:r>
      <w:r>
        <w:rPr>
          <w:rFonts w:ascii="Arial" w:cs="Arial" w:eastAsia="Arial" w:hAnsi="Arial"/>
          <w:sz w:val="25"/>
          <w:szCs w:val="25"/>
          <w:b w:val="1"/>
          <w:bCs w:val="1"/>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GAAP net income was $174 million, or $1.62 per basic share and $1.50 per</w:t>
      </w:r>
      <w:r>
        <w:rPr>
          <w:rFonts w:ascii="Arial" w:cs="Arial" w:eastAsia="Arial" w:hAnsi="Arial"/>
          <w:sz w:val="22"/>
          <w:szCs w:val="22"/>
          <w:b w:val="1"/>
          <w:bCs w:val="1"/>
          <w:color w:val="auto"/>
        </w:rPr>
        <w:t xml:space="preserve"> </w:t>
      </w:r>
      <w:r>
        <w:rPr>
          <w:rFonts w:ascii="Arial" w:cs="Arial" w:eastAsia="Arial" w:hAnsi="Arial"/>
          <w:sz w:val="22"/>
          <w:szCs w:val="22"/>
          <w:color w:val="auto"/>
        </w:rPr>
        <w:t>diluted share, in the fourth quarter of 2017, compared to GAAP net income of $253 million, or $2.41 per basic share and $2.19 per diluted share, in the fourth quarter of 2016. GAAP net income was $1.199 billion, or $11.27 per basic share and $10.34 per diluted share, for the full year 2017, compared to GAAP net income of $896 million, or $8.55 per basic share and $7.70 per diluted share, for the full year 2016.</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11" w:name="page12"/>
    <w:bookmarkEnd w:id="11"/>
    <w:p>
      <w:pPr>
        <w:ind w:right="20"/>
        <w:spacing w:after="0" w:line="245" w:lineRule="auto"/>
        <w:rPr>
          <w:sz w:val="20"/>
          <w:szCs w:val="20"/>
          <w:color w:val="auto"/>
        </w:rPr>
      </w:pPr>
      <w:r>
        <w:rPr>
          <w:rFonts w:ascii="Arial" w:cs="Arial" w:eastAsia="Arial" w:hAnsi="Arial"/>
          <w:sz w:val="22"/>
          <w:szCs w:val="22"/>
          <w:color w:val="auto"/>
        </w:rPr>
        <w:t>Non-GAAP net income was $607 million, or $5.67 per basic share and $5.23 per diluted share, in the fourth quarter of 2017, compared to non-GAAP net income of $353 million, or $3.35 per basic share and $3.04 per diluted share, in the fourth quarter of 2016. Non-GAAP net income was $1.901 billion, or $17.88 per basic share and $16.32 per diluted share, for the full year 2017, compared to non-GAAP net income of $1.319 billion, or $12.60 per basic share and $11.32 per diluted share, for the full year 2016.</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2018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2018 financial guidance consists of the following components:</w:t>
      </w:r>
    </w:p>
    <w:p>
      <w:pPr>
        <w:spacing w:after="0" w:line="112" w:lineRule="exact"/>
        <w:rPr>
          <w:sz w:val="20"/>
          <w:szCs w:val="20"/>
          <w:color w:val="auto"/>
        </w:rPr>
      </w:pPr>
    </w:p>
    <w:tbl>
      <w:tblPr>
        <w:tblLayout w:type="fixed"/>
        <w:tblInd w:w="170" w:type="dxa"/>
        <w:tblCellMar>
          <w:top w:w="0" w:type="dxa"/>
          <w:left w:w="0" w:type="dxa"/>
          <w:bottom w:w="0" w:type="dxa"/>
          <w:right w:w="0" w:type="dxa"/>
        </w:tblCellMar>
      </w:tblPr>
      <w:tr>
        <w:trPr>
          <w:trHeight w:val="253"/>
        </w:trPr>
        <w:tc>
          <w:tcPr>
            <w:tcW w:w="5400" w:type="dxa"/>
            <w:vAlign w:val="bottom"/>
            <w:tcBorders>
              <w:top w:val="single" w:sz="8" w:color="auto"/>
              <w:lef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w w:val="90"/>
              </w:rPr>
              <w:t>Sanofi collaboration revenue: Sanofi reimbursement of Regeneron</w:t>
            </w:r>
          </w:p>
        </w:tc>
        <w:tc>
          <w:tcPr>
            <w:tcW w:w="280" w:type="dxa"/>
            <w:vAlign w:val="bottom"/>
            <w:tcBorders>
              <w:top w:val="single" w:sz="8" w:color="auto"/>
              <w:right w:val="single" w:sz="8" w:color="auto"/>
            </w:tcBorders>
            <w:shd w:val="clear" w:color="auto" w:fill="CCEEFF"/>
          </w:tcPr>
          <w:p>
            <w:pPr>
              <w:spacing w:after="0"/>
              <w:rPr>
                <w:sz w:val="22"/>
                <w:szCs w:val="22"/>
                <w:color w:val="auto"/>
              </w:rPr>
            </w:pPr>
          </w:p>
        </w:tc>
        <w:tc>
          <w:tcPr>
            <w:tcW w:w="546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$450 million–$500 million</w:t>
            </w:r>
          </w:p>
        </w:tc>
      </w:tr>
      <w:tr>
        <w:trPr>
          <w:trHeight w:val="278"/>
        </w:trPr>
        <w:tc>
          <w:tcPr>
            <w:tcW w:w="54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commercialization-related expenses</w:t>
            </w:r>
          </w:p>
        </w:tc>
        <w:tc>
          <w:tcPr>
            <w:tcW w:w="280" w:type="dxa"/>
            <w:vAlign w:val="bottom"/>
            <w:tcBorders>
              <w:bottom w:val="single" w:sz="8" w:color="CCEEFF"/>
              <w:right w:val="single" w:sz="8" w:color="auto"/>
            </w:tcBorders>
            <w:shd w:val="clear" w:color="auto" w:fill="CCEEFF"/>
          </w:tcPr>
          <w:p>
            <w:pPr>
              <w:spacing w:after="0"/>
              <w:rPr>
                <w:sz w:val="23"/>
                <w:szCs w:val="23"/>
                <w:color w:val="auto"/>
              </w:rPr>
            </w:pPr>
          </w:p>
        </w:tc>
        <w:tc>
          <w:tcPr>
            <w:tcW w:w="5460" w:type="dxa"/>
            <w:vAlign w:val="bottom"/>
            <w:tcBorders>
              <w:bottom w:val="single" w:sz="8" w:color="CCEEFF"/>
              <w:right w:val="single" w:sz="8" w:color="auto"/>
            </w:tcBorders>
            <w:shd w:val="clear" w:color="auto" w:fill="CCEEFF"/>
          </w:tcPr>
          <w:p>
            <w:pPr>
              <w:spacing w:after="0"/>
              <w:rPr>
                <w:sz w:val="23"/>
                <w:szCs w:val="23"/>
                <w:color w:val="auto"/>
              </w:rPr>
            </w:pPr>
          </w:p>
        </w:tc>
      </w:tr>
      <w:tr>
        <w:trPr>
          <w:trHeight w:val="277"/>
        </w:trPr>
        <w:tc>
          <w:tcPr>
            <w:tcW w:w="5400" w:type="dxa"/>
            <w:vAlign w:val="bottom"/>
            <w:tcBorders>
              <w:top w:val="single" w:sz="8" w:color="auto"/>
              <w:left w:val="single" w:sz="8" w:color="auto"/>
              <w:bottom w:val="single" w:sz="8" w:color="auto"/>
            </w:tcBorders>
          </w:tcPr>
          <w:p>
            <w:pPr>
              <w:ind w:left="40"/>
              <w:spacing w:after="0" w:line="277"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(2)(4)</w:t>
            </w:r>
          </w:p>
        </w:tc>
        <w:tc>
          <w:tcPr>
            <w:tcW w:w="280" w:type="dxa"/>
            <w:vAlign w:val="bottom"/>
            <w:tcBorders>
              <w:top w:val="single" w:sz="8" w:color="auto"/>
              <w:bottom w:val="single" w:sz="8" w:color="auto"/>
              <w:right w:val="single" w:sz="8" w:color="auto"/>
            </w:tcBorders>
          </w:tcPr>
          <w:p>
            <w:pPr>
              <w:spacing w:after="0"/>
              <w:rPr>
                <w:sz w:val="24"/>
                <w:szCs w:val="24"/>
                <w:color w:val="auto"/>
              </w:rPr>
            </w:pPr>
          </w:p>
        </w:tc>
        <w:tc>
          <w:tcPr>
            <w:tcW w:w="54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$1.230 billion–$1.330 billion</w:t>
            </w:r>
          </w:p>
        </w:tc>
      </w:tr>
      <w:tr>
        <w:trPr>
          <w:trHeight w:val="277"/>
        </w:trPr>
        <w:tc>
          <w:tcPr>
            <w:tcW w:w="5400" w:type="dxa"/>
            <w:vAlign w:val="bottom"/>
            <w:tcBorders>
              <w:left w:val="single" w:sz="8" w:color="auto"/>
              <w:bottom w:val="single" w:sz="8" w:color="auto"/>
            </w:tcBorders>
            <w:shd w:val="clear" w:color="auto" w:fill="CCEEFF"/>
          </w:tcPr>
          <w:p>
            <w:pPr>
              <w:ind w:left="40"/>
              <w:spacing w:after="0" w:line="277"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(2)(4)</w:t>
            </w:r>
          </w:p>
        </w:tc>
        <w:tc>
          <w:tcPr>
            <w:tcW w:w="280" w:type="dxa"/>
            <w:vAlign w:val="bottom"/>
            <w:tcBorders>
              <w:bottom w:val="single" w:sz="8" w:color="auto"/>
              <w:right w:val="single" w:sz="8" w:color="auto"/>
            </w:tcBorders>
            <w:shd w:val="clear" w:color="auto" w:fill="CCEEFF"/>
          </w:tcPr>
          <w:p>
            <w:pPr>
              <w:spacing w:after="0"/>
              <w:rPr>
                <w:sz w:val="24"/>
                <w:szCs w:val="24"/>
                <w:color w:val="auto"/>
              </w:rPr>
            </w:pPr>
          </w:p>
        </w:tc>
        <w:tc>
          <w:tcPr>
            <w:tcW w:w="54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$1.350 billion–$1.450 billion</w:t>
            </w:r>
          </w:p>
        </w:tc>
      </w:tr>
      <w:tr>
        <w:trPr>
          <w:trHeight w:val="254"/>
        </w:trPr>
        <w:tc>
          <w:tcPr>
            <w:tcW w:w="540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Effective tax rate</w:t>
            </w:r>
          </w:p>
        </w:tc>
        <w:tc>
          <w:tcPr>
            <w:tcW w:w="28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15%–19%</w:t>
            </w:r>
          </w:p>
        </w:tc>
      </w:tr>
      <w:tr>
        <w:trPr>
          <w:trHeight w:val="23"/>
        </w:trPr>
        <w:tc>
          <w:tcPr>
            <w:tcW w:w="54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82"/>
        </w:trPr>
        <w:tc>
          <w:tcPr>
            <w:tcW w:w="54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Capital expenditures</w:t>
            </w:r>
          </w:p>
        </w:tc>
        <w:tc>
          <w:tcPr>
            <w:tcW w:w="280" w:type="dxa"/>
            <w:vAlign w:val="bottom"/>
            <w:tcBorders>
              <w:bottom w:val="single" w:sz="8" w:color="CCEEFF"/>
              <w:right w:val="single" w:sz="8" w:color="auto"/>
            </w:tcBorders>
            <w:shd w:val="clear" w:color="auto" w:fill="CCEEFF"/>
          </w:tcPr>
          <w:p>
            <w:pPr>
              <w:spacing w:after="0"/>
              <w:rPr>
                <w:sz w:val="24"/>
                <w:szCs w:val="24"/>
                <w:color w:val="auto"/>
              </w:rPr>
            </w:pPr>
          </w:p>
        </w:tc>
        <w:tc>
          <w:tcPr>
            <w:tcW w:w="54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$420 million–$500 million</w:t>
            </w:r>
          </w:p>
        </w:tc>
      </w:tr>
      <w:tr>
        <w:trPr>
          <w:trHeight w:val="777"/>
        </w:trPr>
        <w:tc>
          <w:tcPr>
            <w:tcW w:w="54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5460" w:type="dxa"/>
            <w:vAlign w:val="bottom"/>
            <w:tcBorders>
              <w:top w:val="single" w:sz="8" w:color="auto"/>
            </w:tcBorders>
          </w:tcPr>
          <w:p>
            <w:pPr>
              <w:spacing w:after="0"/>
              <w:rPr>
                <w:sz w:val="24"/>
                <w:szCs w:val="24"/>
                <w:color w:val="auto"/>
              </w:rPr>
            </w:pPr>
          </w:p>
        </w:tc>
      </w:tr>
    </w:tbl>
    <w:p>
      <w:pPr>
        <w:sectPr>
          <w:pgSz w:w="11900" w:h="16838" w:orient="portrait"/>
          <w:cols w:equalWidth="0" w:num="1">
            <w:col w:w="11280"/>
          </w:cols>
          <w:pgMar w:left="240" w:top="390" w:right="379" w:bottom="1440" w:gutter="0" w:footer="0" w:header="0"/>
        </w:sectPr>
      </w:pPr>
    </w:p>
    <w:bookmarkStart w:id="12" w:name="page13"/>
    <w:bookmarkEnd w:id="12"/>
    <w:p>
      <w:pPr>
        <w:ind w:left="345" w:right="200" w:hanging="345"/>
        <w:spacing w:after="0" w:line="225" w:lineRule="auto"/>
        <w:tabs>
          <w:tab w:leader="none" w:pos="345" w:val="left"/>
        </w:tabs>
        <w:numPr>
          <w:ilvl w:val="0"/>
          <w:numId w:val="13"/>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83" w:lineRule="exact"/>
        <w:rPr>
          <w:rFonts w:ascii="Arial" w:cs="Arial" w:eastAsia="Arial" w:hAnsi="Arial"/>
          <w:sz w:val="22"/>
          <w:szCs w:val="22"/>
          <w:color w:val="auto"/>
          <w:vertAlign w:val="superscript"/>
        </w:rPr>
      </w:pPr>
    </w:p>
    <w:p>
      <w:pPr>
        <w:ind w:left="345" w:right="20" w:hanging="345"/>
        <w:spacing w:after="0" w:line="225" w:lineRule="auto"/>
        <w:tabs>
          <w:tab w:leader="none" w:pos="345" w:val="left"/>
        </w:tabs>
        <w:numPr>
          <w:ilvl w:val="0"/>
          <w:numId w:val="13"/>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w:t>
      </w:r>
    </w:p>
    <w:p>
      <w:pPr>
        <w:spacing w:after="0" w:line="196" w:lineRule="exact"/>
        <w:rPr>
          <w:rFonts w:ascii="Arial" w:cs="Arial" w:eastAsia="Arial" w:hAnsi="Arial"/>
          <w:sz w:val="22"/>
          <w:szCs w:val="22"/>
          <w:color w:val="auto"/>
          <w:vertAlign w:val="superscript"/>
        </w:rPr>
      </w:pPr>
    </w:p>
    <w:p>
      <w:pPr>
        <w:ind w:left="345"/>
        <w:spacing w:after="0" w:line="239" w:lineRule="auto"/>
        <w:rPr>
          <w:rFonts w:ascii="Arial" w:cs="Arial" w:eastAsia="Arial" w:hAnsi="Arial"/>
          <w:sz w:val="22"/>
          <w:szCs w:val="22"/>
          <w:color w:val="auto"/>
          <w:vertAlign w:val="superscript"/>
        </w:rPr>
      </w:pPr>
      <w:r>
        <w:rPr>
          <w:rFonts w:ascii="Arial" w:cs="Arial" w:eastAsia="Arial" w:hAnsi="Arial"/>
          <w:sz w:val="19"/>
          <w:szCs w:val="19"/>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57" w:lineRule="exact"/>
        <w:rPr>
          <w:rFonts w:ascii="Arial" w:cs="Arial" w:eastAsia="Arial" w:hAnsi="Arial"/>
          <w:sz w:val="22"/>
          <w:szCs w:val="22"/>
          <w:color w:val="auto"/>
          <w:vertAlign w:val="superscript"/>
        </w:rPr>
      </w:pPr>
    </w:p>
    <w:p>
      <w:pPr>
        <w:ind w:left="345" w:right="960" w:hanging="345"/>
        <w:spacing w:after="0" w:line="225" w:lineRule="auto"/>
        <w:tabs>
          <w:tab w:leader="none" w:pos="345" w:val="left"/>
        </w:tabs>
        <w:numPr>
          <w:ilvl w:val="0"/>
          <w:numId w:val="13"/>
        </w:numPr>
        <w:rPr>
          <w:rFonts w:ascii="Arial" w:cs="Arial" w:eastAsia="Arial" w:hAnsi="Arial"/>
          <w:sz w:val="22"/>
          <w:szCs w:val="22"/>
          <w:color w:val="auto"/>
          <w:vertAlign w:val="superscript"/>
        </w:rPr>
      </w:pPr>
      <w:r>
        <w:rPr>
          <w:rFonts w:ascii="Arial" w:cs="Arial" w:eastAsia="Arial" w:hAnsi="Arial"/>
          <w:sz w:val="20"/>
          <w:szCs w:val="20"/>
          <w:color w:val="auto"/>
        </w:rPr>
        <w:t>The Company's 2018 financial guidance does not assume the completion of any significant business development transactions not completed as of the date of this press release.</w:t>
      </w:r>
    </w:p>
    <w:p>
      <w:pPr>
        <w:spacing w:after="0" w:line="139"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13"/>
        </w:numPr>
        <w:rPr>
          <w:rFonts w:ascii="Arial" w:cs="Arial" w:eastAsia="Arial" w:hAnsi="Arial"/>
          <w:sz w:val="22"/>
          <w:szCs w:val="22"/>
          <w:color w:val="auto"/>
          <w:vertAlign w:val="superscript"/>
        </w:rPr>
      </w:pPr>
      <w:r>
        <w:rPr>
          <w:rFonts w:ascii="Arial" w:cs="Arial" w:eastAsia="Arial" w:hAnsi="Arial"/>
          <w:sz w:val="20"/>
          <w:szCs w:val="20"/>
          <w:color w:val="auto"/>
        </w:rPr>
        <w:t>A reconciliation of full year 2018 non-GAAP to GAAP financial guidance is included below:</w:t>
      </w:r>
    </w:p>
    <w:p>
      <w:pPr>
        <w:spacing w:after="0" w:line="153" w:lineRule="exact"/>
        <w:rPr>
          <w:sz w:val="20"/>
          <w:szCs w:val="20"/>
          <w:color w:val="auto"/>
        </w:rPr>
      </w:pPr>
    </w:p>
    <w:tbl>
      <w:tblPr>
        <w:tblLayout w:type="fixed"/>
        <w:tblInd w:w="1045"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Projected Range</w:t>
            </w:r>
          </w:p>
        </w:tc>
        <w:tc>
          <w:tcPr>
            <w:tcW w:w="13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Low</w:t>
            </w:r>
          </w:p>
        </w:tc>
        <w:tc>
          <w:tcPr>
            <w:tcW w:w="700" w:type="dxa"/>
            <w:vAlign w:val="bottom"/>
          </w:tcPr>
          <w:p>
            <w:pPr>
              <w:spacing w:after="0"/>
              <w:rPr>
                <w:sz w:val="20"/>
                <w:szCs w:val="20"/>
                <w:color w:val="auto"/>
              </w:rPr>
            </w:pPr>
          </w:p>
        </w:tc>
        <w:tc>
          <w:tcPr>
            <w:tcW w:w="1360" w:type="dxa"/>
            <w:vAlign w:val="bottom"/>
          </w:tcPr>
          <w:p>
            <w:pPr>
              <w:jc w:val="right"/>
              <w:ind w:right="770"/>
              <w:spacing w:after="0"/>
              <w:rPr>
                <w:sz w:val="20"/>
                <w:szCs w:val="20"/>
                <w:color w:val="auto"/>
              </w:rPr>
            </w:pPr>
            <w:r>
              <w:rPr>
                <w:rFonts w:ascii="Arial" w:cs="Arial" w:eastAsia="Arial" w:hAnsi="Arial"/>
                <w:sz w:val="18"/>
                <w:szCs w:val="18"/>
                <w:b w:val="1"/>
                <w:bCs w:val="1"/>
                <w:color w:val="auto"/>
              </w:rPr>
              <w:t>High</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GAAP unreimbursed R&amp;D </w:t>
            </w:r>
            <w:r>
              <w:rPr>
                <w:rFonts w:ascii="Arial" w:cs="Arial" w:eastAsia="Arial" w:hAnsi="Arial"/>
                <w:sz w:val="25"/>
                <w:szCs w:val="25"/>
                <w:color w:val="auto"/>
                <w:vertAlign w:val="superscript"/>
              </w:rPr>
              <w:t>(5)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unreimbursed R&amp;D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r>
      <w:tr>
        <w:trPr>
          <w:trHeight w:val="318"/>
        </w:trPr>
        <w:tc>
          <w:tcPr>
            <w:tcW w:w="50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w:t>
            </w:r>
          </w:p>
        </w:tc>
      </w:tr>
      <w:tr>
        <w:trPr>
          <w:trHeight w:val="20"/>
        </w:trPr>
        <w:tc>
          <w:tcPr>
            <w:tcW w:w="5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58" w:lineRule="exact"/>
        <w:rPr>
          <w:sz w:val="20"/>
          <w:szCs w:val="20"/>
          <w:color w:val="auto"/>
        </w:rPr>
      </w:pPr>
    </w:p>
    <w:p>
      <w:pPr>
        <w:ind w:left="365" w:right="40" w:hanging="351"/>
        <w:spacing w:after="0" w:line="225" w:lineRule="auto"/>
        <w:tabs>
          <w:tab w:leader="none" w:pos="365" w:val="left"/>
        </w:tabs>
        <w:numPr>
          <w:ilvl w:val="0"/>
          <w:numId w:val="14"/>
        </w:numPr>
        <w:rPr>
          <w:rFonts w:ascii="Arial" w:cs="Arial" w:eastAsia="Arial" w:hAnsi="Arial"/>
          <w:sz w:val="22"/>
          <w:szCs w:val="22"/>
          <w:color w:val="auto"/>
          <w:vertAlign w:val="superscript"/>
        </w:rPr>
      </w:pPr>
      <w:r>
        <w:rPr>
          <w:rFonts w:ascii="Arial" w:cs="Arial" w:eastAsia="Arial" w:hAnsi="Arial"/>
          <w:sz w:val="20"/>
          <w:szCs w:val="20"/>
          <w:color w:val="auto"/>
        </w:rPr>
        <w:t>Unreimbursed R&amp;D represents R&amp;D expenses reduced by R&amp;D expense reimbursements from the Company's collaborators and/or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194945</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5"/>
          </w:cols>
          <w:pgMar w:left="275" w:top="555"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220"/>
        <w:spacing w:after="0" w:line="245" w:lineRule="auto"/>
        <w:rPr>
          <w:sz w:val="20"/>
          <w:szCs w:val="20"/>
          <w:color w:val="auto"/>
        </w:rPr>
      </w:pPr>
      <w:r>
        <w:rPr>
          <w:rFonts w:ascii="Arial" w:cs="Arial" w:eastAsia="Arial" w:hAnsi="Arial"/>
          <w:sz w:val="22"/>
          <w:szCs w:val="22"/>
          <w:color w:val="auto"/>
        </w:rPr>
        <w:t>Regeneron will host a conference call and simultaneous webcast to discuss its fourth quarter and full year 2017 financial and operating results on Thursday, February 8, 2018, at 8:30 AM. To access this call, dial (800) 708-4539 (U.S.) or (847) 619-6396 (International). A link to the webcast may be accessed from the "Investors &amp; Media" page of Regeneron's website at http://investor.regeneron.com/events.cfm.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30 years by physician-scientists, Regeneron's unique ability to repeatedly and consistently translate science into medicine has led to six FDA-approved treatments and numerous product candidates in development, all of which were homegrown in Regeneron's laboratories. Regeneron's medicines and pipeline are designed to help patients with eye disease, heart disease, allergic and inflammatory diseases, pain, cancer, infectious diseases, and rare diseases.</w:t>
      </w:r>
    </w:p>
    <w:p>
      <w:pPr>
        <w:spacing w:after="0" w:line="231" w:lineRule="exact"/>
        <w:rPr>
          <w:sz w:val="20"/>
          <w:szCs w:val="20"/>
          <w:color w:val="auto"/>
        </w:rPr>
      </w:pPr>
    </w:p>
    <w:p>
      <w:pPr>
        <w:ind w:right="80"/>
        <w:spacing w:after="0" w:line="219" w:lineRule="auto"/>
        <w:rPr>
          <w:sz w:val="20"/>
          <w:szCs w:val="20"/>
          <w:color w:val="auto"/>
        </w:rPr>
      </w:pPr>
      <w:r>
        <w:rPr>
          <w:rFonts w:ascii="Arial" w:cs="Arial" w:eastAsia="Arial" w:hAnsi="Arial"/>
          <w:sz w:val="22"/>
          <w:szCs w:val="22"/>
          <w:color w:val="auto"/>
        </w:rPr>
        <w:t xml:space="preserve">Regeneron is accelerating and improving the traditional drug development process through its proprietary </w:t>
      </w:r>
      <w:r>
        <w:rPr>
          <w:rFonts w:ascii="Arial" w:cs="Arial" w:eastAsia="Arial" w:hAnsi="Arial"/>
          <w:sz w:val="22"/>
          <w:szCs w:val="22"/>
          <w:i w:val="1"/>
          <w:iCs w:val="1"/>
          <w:color w:val="auto"/>
        </w:rPr>
        <w:t>VelociSuite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technologies, such as </w:t>
      </w:r>
      <w:r>
        <w:rPr>
          <w:rFonts w:ascii="Arial" w:cs="Arial" w:eastAsia="Arial" w:hAnsi="Arial"/>
          <w:sz w:val="22"/>
          <w:szCs w:val="22"/>
          <w:i w:val="1"/>
          <w:iCs w:val="1"/>
          <w:color w:val="auto"/>
        </w:rPr>
        <w:t>VelocImmune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which produces optimized fully human antibodies, and ambitious research initiatives such as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which is conducting one of the largest genetics sequencing efforts in the world.</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the likelihood and timing of achieving any of the anticipated milestones described in this news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(aflibercept) Injection, Dupixent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(dupilumab) Injection, Praluent</w:t>
      </w:r>
      <w:r>
        <w:rPr>
          <w:rFonts w:ascii="Arial" w:cs="Arial" w:eastAsia="Arial" w:hAnsi="Arial"/>
          <w:sz w:val="27"/>
          <w:szCs w:val="27"/>
          <w:color w:val="auto"/>
          <w:vertAlign w:val="superscript"/>
        </w:rPr>
        <w:t>®</w:t>
      </w:r>
      <w:r>
        <w:rPr>
          <w:rFonts w:ascii="Arial" w:cs="Arial" w:eastAsia="Arial" w:hAnsi="Arial"/>
          <w:sz w:val="21"/>
          <w:szCs w:val="21"/>
          <w:color w:val="auto"/>
        </w:rPr>
        <w:t xml:space="preserve"> (alirocumab) Injection, Kevzara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(sarilumab) Injection, cemiplimab, fasinumab, and evinacumab; the extent to which the results from the research and development programs conducted by Regeneron or its collaborators may be replicated in other studies and lead to therapeutic applications; ongoing regulatory obligations and oversight impacting Regeneron's marketed products (such as EYLEA, Dupixent,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64" w:right="259" w:bottom="1440" w:gutter="0" w:footer="0" w:header="0"/>
        </w:sectPr>
      </w:pPr>
    </w:p>
    <w:bookmarkStart w:id="14" w:name="page15"/>
    <w:bookmarkEnd w:id="14"/>
    <w:p>
      <w:pPr>
        <w:spacing w:after="0" w:line="243" w:lineRule="auto"/>
        <w:rPr>
          <w:sz w:val="20"/>
          <w:szCs w:val="20"/>
          <w:color w:val="auto"/>
        </w:rPr>
      </w:pPr>
      <w:r>
        <w:rPr>
          <w:rFonts w:ascii="Arial" w:cs="Arial" w:eastAsia="Arial" w:hAnsi="Arial"/>
          <w:sz w:val="22"/>
          <w:szCs w:val="22"/>
          <w:color w:val="auto"/>
        </w:rPr>
        <w:t>Praluent, and Kevzara),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to perform filling, finishing, packaging, labeling, distribution, and other steps related to Regeneron’s products and product candidates; coverage and reimbursement determinations by third-party payers, including Medicare and Medicaid; unanticipated expenses; the costs of developing, producing, and selling products; the ability of Regeneron to meet any of its financial projections or guidance and changes to the assumptions underlying those projections or guidance, including without limitation those relating to Sanofi reimbursement of Regeneron commercialization-related expenses, non-GAAP unreimbursed R&amp;D, non-GAAP SG&amp;A, effective tax rate, and capital expenditures;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Praluent, the ultimate outcome of any such litigation proceedings, and the impact any of the foregoing may have on Regeneron’s business, prospects, operating results, and financial condition.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68" w:lineRule="exact"/>
        <w:rPr>
          <w:sz w:val="20"/>
          <w:szCs w:val="20"/>
          <w:color w:val="auto"/>
        </w:rPr>
      </w:pPr>
    </w:p>
    <w:p>
      <w:pPr>
        <w:ind w:right="30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and/or the financial results attached to this press release include amounts that are considered "non-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390" w:right="27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Contact Information:</w:t>
      </w:r>
    </w:p>
    <w:p>
      <w:pPr>
        <w:sectPr>
          <w:pgSz w:w="11900" w:h="16838" w:orient="portrait"/>
          <w:cols w:equalWidth="0" w:num="1">
            <w:col w:w="10179"/>
          </w:cols>
          <w:pgMar w:left="280" w:top="670" w:right="1440"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3359"/>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line="19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179"/>
          </w:cols>
          <w:pgMar w:left="280" w:top="670"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TABLE 1</w:t>
      </w:r>
    </w:p>
    <w:p>
      <w:pPr>
        <w:spacing w:after="0" w:line="200" w:lineRule="exact"/>
        <w:rPr>
          <w:sz w:val="20"/>
          <w:szCs w:val="20"/>
          <w:color w:val="auto"/>
        </w:rPr>
      </w:pPr>
    </w:p>
    <w:p>
      <w:pPr>
        <w:spacing w:after="0" w:line="23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i w:val="1"/>
          <w:iCs w:val="1"/>
          <w:color w:val="auto"/>
        </w:rPr>
        <w:t>(In thousands)</w:t>
      </w:r>
    </w:p>
    <w:p>
      <w:pPr>
        <w:spacing w:after="0" w:line="369"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Cash and marketable securities</w:t>
            </w:r>
          </w:p>
        </w:tc>
        <w:tc>
          <w:tcPr>
            <w:tcW w:w="3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2,896,074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1,902,944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 trade, net</w:t>
            </w:r>
          </w:p>
        </w:tc>
        <w:tc>
          <w:tcPr>
            <w:tcW w:w="2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1,538,642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1,343,368</w:t>
            </w:r>
          </w:p>
        </w:tc>
        <w:tc>
          <w:tcPr>
            <w:tcW w:w="0" w:type="dxa"/>
            <w:vAlign w:val="bottom"/>
          </w:tcPr>
          <w:p>
            <w:pPr>
              <w:spacing w:after="0"/>
              <w:rPr>
                <w:sz w:val="1"/>
                <w:szCs w:val="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Accounts receivable from Sanofi and Bayer</w:t>
            </w:r>
          </w:p>
        </w:tc>
        <w:tc>
          <w:tcPr>
            <w:tcW w:w="2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435,698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268,252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726,138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399,356</w:t>
            </w:r>
          </w:p>
        </w:tc>
        <w:tc>
          <w:tcPr>
            <w:tcW w:w="0" w:type="dxa"/>
            <w:vAlign w:val="bottom"/>
          </w:tcPr>
          <w:p>
            <w:pPr>
              <w:spacing w:after="0"/>
              <w:rPr>
                <w:sz w:val="1"/>
                <w:szCs w:val="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2,358,605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2,083,421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2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506,291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825,303</w:t>
            </w:r>
          </w:p>
        </w:tc>
        <w:tc>
          <w:tcPr>
            <w:tcW w:w="0" w:type="dxa"/>
            <w:vAlign w:val="bottom"/>
          </w:tcPr>
          <w:p>
            <w:pPr>
              <w:spacing w:after="0"/>
              <w:rPr>
                <w:sz w:val="1"/>
                <w:szCs w:val="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302,838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150,822</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3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8,764,286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6,973,466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2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w w:val="99"/>
              </w:rPr>
              <w:t>Accounts payable, accrued expenses, and other liabilities</w:t>
            </w:r>
          </w:p>
        </w:tc>
        <w:tc>
          <w:tcPr>
            <w:tcW w:w="3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967,418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980,659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949,337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1,062,436</w:t>
            </w:r>
          </w:p>
        </w:tc>
        <w:tc>
          <w:tcPr>
            <w:tcW w:w="0" w:type="dxa"/>
            <w:vAlign w:val="bottom"/>
          </w:tcPr>
          <w:p>
            <w:pPr>
              <w:spacing w:after="0"/>
              <w:rPr>
                <w:sz w:val="1"/>
                <w:szCs w:val="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Capital and facility lease obligations</w:t>
            </w:r>
          </w:p>
        </w:tc>
        <w:tc>
          <w:tcPr>
            <w:tcW w:w="2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703,453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481,126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7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6,144,078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4,449,245</w:t>
            </w:r>
          </w:p>
        </w:tc>
        <w:tc>
          <w:tcPr>
            <w:tcW w:w="0" w:type="dxa"/>
            <w:vAlign w:val="bottom"/>
          </w:tcPr>
          <w:p>
            <w:pPr>
              <w:spacing w:after="0"/>
              <w:rPr>
                <w:sz w:val="1"/>
                <w:szCs w:val="1"/>
                <w:color w:val="auto"/>
              </w:rPr>
            </w:pPr>
          </w:p>
        </w:tc>
      </w:tr>
      <w:tr>
        <w:trPr>
          <w:trHeight w:val="257"/>
        </w:trPr>
        <w:tc>
          <w:tcPr>
            <w:tcW w:w="472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7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8,764,286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6,973,466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780" w:type="dxa"/>
            <w:vAlign w:val="bottom"/>
            <w:vMerge w:val="restart"/>
          </w:tcPr>
          <w:p>
            <w:pPr>
              <w:jc w:val="right"/>
              <w:ind w:right="2050"/>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7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368" w:right="6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TABLE 2</w:t>
      </w:r>
    </w:p>
    <w:p>
      <w:pPr>
        <w:spacing w:after="0" w:line="200" w:lineRule="exact"/>
        <w:rPr>
          <w:sz w:val="20"/>
          <w:szCs w:val="20"/>
          <w:color w:val="auto"/>
        </w:rPr>
      </w:pPr>
    </w:p>
    <w:p>
      <w:pPr>
        <w:spacing w:after="0" w:line="237" w:lineRule="exact"/>
        <w:rPr>
          <w:sz w:val="20"/>
          <w:szCs w:val="20"/>
          <w:color w:val="auto"/>
        </w:rPr>
      </w:pPr>
    </w:p>
    <w:p>
      <w:pPr>
        <w:jc w:val="center"/>
        <w:ind w:left="740" w:right="2040"/>
        <w:spacing w:after="0" w:line="266"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thousands, except per share data)</w:t>
      </w:r>
    </w:p>
    <w:p>
      <w:pPr>
        <w:spacing w:after="0" w:line="338"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8"/>
                <w:szCs w:val="18"/>
                <w:color w:val="auto"/>
              </w:rPr>
            </w:pPr>
          </w:p>
        </w:tc>
      </w:t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Net product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978,718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862,521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3,718,463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3,338,390</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Sanofi collaboration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877,193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658,665</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Bayer collaboration revenue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297,133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181,484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938,052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744,270</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338,519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119,102</w:t>
            </w:r>
          </w:p>
        </w:tc>
      </w:tr>
      <w:tr>
        <w:trPr>
          <w:trHeight w:val="237"/>
        </w:trPr>
        <w:tc>
          <w:tcPr>
            <w:tcW w:w="46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1,582,447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1,226,827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5,872,227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4,860,427</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527,983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479,206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2,075,142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2,052,295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409,913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1,320,433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1,177,697</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52,733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44,534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202,507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194,624</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collaboration and contract manufacturing</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53,007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194,554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105,070</w:t>
            </w:r>
          </w:p>
        </w:tc>
      </w:tr>
      <w:tr>
        <w:trPr>
          <w:trHeight w:val="237"/>
        </w:trPr>
        <w:tc>
          <w:tcPr>
            <w:tcW w:w="46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1,043,636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879,824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3,792,636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3,529,686</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538,811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347,003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2,079,591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1,330,741</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46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15,956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554,767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341,527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2,078,511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1,329,815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(381,248)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(88,412)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(434,293)</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304"/>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173,519</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253,115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1,198,511</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895,522</w:t>
            </w:r>
          </w:p>
        </w:tc>
      </w:tr>
      <w:tr>
        <w:trPr>
          <w:trHeight w:val="311"/>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324"/>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104,719</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115,876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115,788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115,954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116,367</w:t>
            </w:r>
          </w:p>
        </w:tc>
      </w:tr>
      <w:tr>
        <w:trPr>
          <w:trHeight w:val="891"/>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6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940"/>
          </w:cols>
          <w:pgMar w:left="240" w:top="368" w:right="7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TABLE 3</w:t>
      </w:r>
    </w:p>
    <w:p>
      <w:pPr>
        <w:spacing w:after="0" w:line="200" w:lineRule="exact"/>
        <w:rPr>
          <w:sz w:val="20"/>
          <w:szCs w:val="20"/>
          <w:color w:val="auto"/>
        </w:rPr>
      </w:pPr>
    </w:p>
    <w:p>
      <w:pPr>
        <w:spacing w:after="0" w:line="23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RECONCILIATION OF GAAP NET INCOME TO NON-GAAP NET INCOME (Unaudited)</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369"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8"/>
                <w:szCs w:val="18"/>
                <w:color w:val="auto"/>
              </w:rPr>
            </w:pPr>
          </w:p>
        </w:tc>
      </w:t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1,198,511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895,522</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Adjustments: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313,048</w:t>
            </w:r>
          </w:p>
        </w:tc>
      </w:tr>
      <w:tr>
        <w:trPr>
          <w:trHeight w:val="229"/>
        </w:trPr>
        <w:tc>
          <w:tcPr>
            <w:tcW w:w="4680" w:type="dxa"/>
            <w:vAlign w:val="bottom"/>
          </w:tcPr>
          <w:p>
            <w:pPr>
              <w:ind w:left="160"/>
              <w:spacing w:after="0"/>
              <w:rPr>
                <w:sz w:val="20"/>
                <w:szCs w:val="20"/>
                <w:color w:val="auto"/>
              </w:rPr>
            </w:pPr>
            <w:r>
              <w:rPr>
                <w:rFonts w:ascii="Arial" w:cs="Arial" w:eastAsia="Arial" w:hAnsi="Arial"/>
                <w:sz w:val="18"/>
                <w:szCs w:val="18"/>
                <w:color w:val="auto"/>
              </w:rPr>
              <w:t>R&amp;D: Up-front payments related to license and</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680" w:type="dxa"/>
            <w:vAlign w:val="bottom"/>
          </w:tcPr>
          <w:p>
            <w:pPr>
              <w:ind w:left="320"/>
              <w:spacing w:after="0"/>
              <w:rPr>
                <w:sz w:val="20"/>
                <w:szCs w:val="20"/>
                <w:color w:val="auto"/>
              </w:rPr>
            </w:pPr>
            <w:r>
              <w:rPr>
                <w:rFonts w:ascii="Arial" w:cs="Arial" w:eastAsia="Arial" w:hAnsi="Arial"/>
                <w:sz w:val="18"/>
                <w:szCs w:val="18"/>
                <w:color w:val="auto"/>
              </w:rPr>
              <w:t>collaboration agreements</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231,183</w:t>
            </w:r>
          </w:p>
        </w:tc>
      </w:tr>
      <w:tr>
        <w:trPr>
          <w:trHeight w:val="229"/>
        </w:trPr>
        <w:tc>
          <w:tcPr>
            <w:tcW w:w="4680" w:type="dxa"/>
            <w:vAlign w:val="bottom"/>
          </w:tcPr>
          <w:p>
            <w:pPr>
              <w:ind w:left="160"/>
              <w:spacing w:after="0"/>
              <w:rPr>
                <w:sz w:val="20"/>
                <w:szCs w:val="20"/>
                <w:color w:val="auto"/>
              </w:rPr>
            </w:pPr>
            <w:r>
              <w:rPr>
                <w:rFonts w:ascii="Arial" w:cs="Arial" w:eastAsia="Arial" w:hAnsi="Arial"/>
                <w:sz w:val="18"/>
                <w:szCs w:val="18"/>
                <w:color w:val="auto"/>
                <w:w w:val="98"/>
              </w:rPr>
              <w:t>COGS and COCM: Non-cash share-based compensation</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680" w:type="dxa"/>
            <w:vAlign w:val="bottom"/>
          </w:tcPr>
          <w:p>
            <w:pPr>
              <w:ind w:left="32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6,226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27,004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15,647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expense: 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Income tax effect of reconciling items above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(55,132)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(186,039)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(236,663)</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Income tax expense: Charge related to enactment of U.S.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Tax Reform Act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326,202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326,202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46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607,273</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352,542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1,901,051</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1,319,204</w:t>
            </w:r>
          </w:p>
        </w:tc>
      </w:tr>
      <w:tr>
        <w:trPr>
          <w:trHeight w:val="311"/>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70"/>
        </w:trPr>
        <w:tc>
          <w:tcPr>
            <w:tcW w:w="4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107,022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105,113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106,338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104,719</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116,548</w:t>
            </w:r>
          </w:p>
        </w:tc>
      </w:tr>
      <w:tr>
        <w:trPr>
          <w:trHeight w:val="675"/>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6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940"/>
          </w:cols>
          <w:pgMar w:left="240" w:top="368" w:right="7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TABLE 4</w:t>
      </w:r>
    </w:p>
    <w:p>
      <w:pPr>
        <w:spacing w:after="0" w:line="262"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COLLABORATION AND OTHER REVENUE (Unaudited)</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i w:val="1"/>
          <w:iCs w:val="1"/>
          <w:color w:val="auto"/>
        </w:rPr>
        <w:t>(In thousands)</w:t>
      </w:r>
    </w:p>
    <w:p>
      <w:pPr>
        <w:spacing w:after="0" w:line="369"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8"/>
                <w:szCs w:val="18"/>
                <w:color w:val="auto"/>
              </w:rPr>
            </w:pPr>
          </w:p>
        </w:tc>
      </w:t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4680" w:type="dxa"/>
            <w:vAlign w:val="bottom"/>
          </w:tcPr>
          <w:p>
            <w:pPr>
              <w:ind w:left="160"/>
              <w:spacing w:after="0"/>
              <w:rPr>
                <w:sz w:val="20"/>
                <w:szCs w:val="20"/>
                <w:color w:val="auto"/>
              </w:rPr>
            </w:pPr>
            <w:r>
              <w:rPr>
                <w:rFonts w:ascii="Arial" w:cs="Arial" w:eastAsia="Arial" w:hAnsi="Arial"/>
                <w:sz w:val="18"/>
                <w:szCs w:val="18"/>
                <w:color w:val="auto"/>
                <w:w w:val="97"/>
              </w:rPr>
              <w:t>Reimbursement of Regeneron research and development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680" w:type="dxa"/>
            <w:vAlign w:val="bottom"/>
          </w:tcPr>
          <w:p>
            <w:pPr>
              <w:ind w:left="320"/>
              <w:spacing w:after="0"/>
              <w:rPr>
                <w:sz w:val="20"/>
                <w:szCs w:val="20"/>
                <w:color w:val="auto"/>
              </w:rPr>
            </w:pPr>
            <w:r>
              <w:rPr>
                <w:rFonts w:ascii="Arial" w:cs="Arial" w:eastAsia="Arial" w:hAnsi="Arial"/>
                <w:sz w:val="18"/>
                <w:szCs w:val="18"/>
                <w:color w:val="auto"/>
              </w:rPr>
              <w:t>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138,881</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136,323</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748,345</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703,397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Reimbursement of Regeneron commercialization-related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117,857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368,859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305,947</w:t>
            </w:r>
          </w:p>
        </w:tc>
      </w:tr>
      <w:tr>
        <w:trPr>
          <w:trHeight w:val="229"/>
        </w:trPr>
        <w:tc>
          <w:tcPr>
            <w:tcW w:w="4680" w:type="dxa"/>
            <w:vAlign w:val="bottom"/>
          </w:tcPr>
          <w:p>
            <w:pPr>
              <w:ind w:left="160"/>
              <w:spacing w:after="0"/>
              <w:rPr>
                <w:sz w:val="20"/>
                <w:szCs w:val="20"/>
                <w:color w:val="auto"/>
              </w:rPr>
            </w:pPr>
            <w:r>
              <w:rPr>
                <w:rFonts w:ascii="Arial" w:cs="Arial" w:eastAsia="Arial" w:hAnsi="Arial"/>
                <w:sz w:val="18"/>
                <w:szCs w:val="18"/>
                <w:color w:val="auto"/>
              </w:rPr>
              <w:t>Regeneron's share of losses in connection with</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680" w:type="dxa"/>
            <w:vAlign w:val="bottom"/>
          </w:tcPr>
          <w:p>
            <w:pPr>
              <w:ind w:left="320"/>
              <w:spacing w:after="0"/>
              <w:rPr>
                <w:sz w:val="20"/>
                <w:szCs w:val="20"/>
                <w:color w:val="auto"/>
              </w:rPr>
            </w:pPr>
            <w:r>
              <w:rPr>
                <w:rFonts w:ascii="Arial" w:cs="Arial" w:eastAsia="Arial" w:hAnsi="Arial"/>
                <w:sz w:val="18"/>
                <w:szCs w:val="18"/>
                <w:color w:val="auto"/>
              </w:rPr>
              <w:t>commercialization of antibodies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(113,612)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(125,528)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(442,610)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(459,058)</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56,397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202,599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108,379</w:t>
            </w:r>
          </w:p>
        </w:tc>
      </w:tr>
      <w:tr>
        <w:trPr>
          <w:trHeight w:val="237"/>
        </w:trPr>
        <w:tc>
          <w:tcPr>
            <w:tcW w:w="4680" w:type="dxa"/>
            <w:vAlign w:val="bottom"/>
          </w:tcPr>
          <w:p>
            <w:pPr>
              <w:ind w:left="280"/>
              <w:spacing w:after="0"/>
              <w:rPr>
                <w:sz w:val="20"/>
                <w:szCs w:val="20"/>
                <w:color w:val="auto"/>
              </w:rPr>
            </w:pPr>
            <w:r>
              <w:rPr>
                <w:rFonts w:ascii="Arial" w:cs="Arial" w:eastAsia="Arial" w:hAnsi="Arial"/>
                <w:sz w:val="18"/>
                <w:szCs w:val="18"/>
                <w:color w:val="auto"/>
              </w:rPr>
              <w:t>Total Sanofi collaboration 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199,523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131,165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877,193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658,665</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Regeneron's net profit in connection with commercialization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of EYLEA outside the United States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231,172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802,298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649,232</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Reimbursement of Regeneron development expenses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27,337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61,242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104,588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67,701</w:t>
            </w:r>
          </w:p>
        </w:tc>
      </w:tr>
      <w:tr>
        <w:trPr>
          <w:trHeight w:val="237"/>
        </w:trPr>
        <w:tc>
          <w:tcPr>
            <w:tcW w:w="4680" w:type="dxa"/>
            <w:vAlign w:val="bottom"/>
          </w:tcPr>
          <w:p>
            <w:pPr>
              <w:ind w:left="280"/>
              <w:spacing w:after="0"/>
              <w:rPr>
                <w:sz w:val="20"/>
                <w:szCs w:val="20"/>
                <w:color w:val="auto"/>
              </w:rPr>
            </w:pPr>
            <w:r>
              <w:rPr>
                <w:rFonts w:ascii="Arial" w:cs="Arial" w:eastAsia="Arial" w:hAnsi="Arial"/>
                <w:sz w:val="18"/>
                <w:szCs w:val="18"/>
                <w:color w:val="auto"/>
              </w:rPr>
              <w:t>Total Bayer collaboration 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297,133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181,484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938,052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744,270</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304"/>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and Bayer collaboration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496,656</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312,649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1,815,245</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1,402,935</w:t>
            </w:r>
          </w:p>
        </w:tc>
      </w:tr>
      <w:tr>
        <w:trPr>
          <w:trHeight w:val="311"/>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Other revenue: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Reimbursement of Regeneron research and development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expenses - Teva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33,057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115,125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24,234</w:t>
            </w:r>
          </w:p>
        </w:tc>
      </w:tr>
      <w:tr>
        <w:trPr>
          <w:trHeight w:val="229"/>
        </w:trPr>
        <w:tc>
          <w:tcPr>
            <w:tcW w:w="4680" w:type="dxa"/>
            <w:vAlign w:val="bottom"/>
          </w:tcPr>
          <w:p>
            <w:pPr>
              <w:ind w:left="160"/>
              <w:spacing w:after="0"/>
              <w:rPr>
                <w:sz w:val="20"/>
                <w:szCs w:val="20"/>
                <w:color w:val="auto"/>
              </w:rPr>
            </w:pPr>
            <w:r>
              <w:rPr>
                <w:rFonts w:ascii="Arial" w:cs="Arial" w:eastAsia="Arial" w:hAnsi="Arial"/>
                <w:sz w:val="18"/>
                <w:szCs w:val="18"/>
                <w:color w:val="auto"/>
                <w:w w:val="97"/>
              </w:rPr>
              <w:t>Reimbursement of Regeneron research and development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680" w:type="dxa"/>
            <w:vAlign w:val="bottom"/>
          </w:tcPr>
          <w:p>
            <w:pPr>
              <w:ind w:left="320"/>
              <w:spacing w:after="0"/>
              <w:rPr>
                <w:sz w:val="20"/>
                <w:szCs w:val="20"/>
                <w:color w:val="auto"/>
              </w:rPr>
            </w:pPr>
            <w:r>
              <w:rPr>
                <w:rFonts w:ascii="Arial" w:cs="Arial" w:eastAsia="Arial" w:hAnsi="Arial"/>
                <w:sz w:val="18"/>
                <w:szCs w:val="18"/>
                <w:color w:val="auto"/>
              </w:rPr>
              <w:t>expenses - other</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6,459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2,323</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Substantive development milestones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36,119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29,717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126,935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92,545</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338,519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119,102</w:t>
            </w: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78"/>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6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240" w:top="368"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2019-12-29T00:51:23Z</dcterms:created>
  <dcterms:modified xsi:type="dcterms:W3CDTF">2019-12-29T00:51:23Z</dcterms:modified>
</cp:coreProperties>
</file>