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2023 (April 14, 2023)</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14, 2023, P. Roy Vagelos, M.D., Chair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notified Regeneron of his decision not to stand for re-election at the 2023 Annual Meeting of Shareholders to be held on June 9,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Annual Meeting</w:t>
      </w:r>
      <w:r>
        <w:rPr>
          <w:rFonts w:ascii="Times New Roman" w:cs="Times New Roman" w:eastAsia="Times New Roman" w:hAnsi="Times New Roman"/>
          <w:sz w:val="18"/>
          <w:szCs w:val="18"/>
          <w:color w:val="auto"/>
        </w:rPr>
        <w:t>”). Dr. Vagelos will continue to serve as Chair of the Board for the remainder of his term until the conclusion of the 2023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Effective upon the expiration of Dr. Vagelos’s term, the Board plans to elect Leonard S. Schleifer, M.D., Ph.D., President and Chief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the Company, and George D. Yancopoulos, M.D., Ph.D., President and Chief Scientific Officer of the Company, as Co-Chairs of the Board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to Dr. Schleifer’s and Dr. Yancopoulos’s continued roles as President and Chief Executive Officer and President and Chief Scientific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respectively) and to designate Christine A. Poon as the Lead Independent Director of the Board. Dr. Vagelos’s decision to not stand for re-election was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caused in whole or in part by a disagreement with Regeneron on any matter relating to Regeneron’s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116" w:right="4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2023-04-17T06:40:06Z</dcterms:created>
  <dcterms:modified xsi:type="dcterms:W3CDTF">2023-04-17T06:40:06Z</dcterms:modified>
</cp:coreProperties>
</file>