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1, 2024 (August 1, 2024)</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1, 2024, Regeneron Pharmaceuticals, Inc. issued a press release announcing its financial and operating results for the quarter ended June 30, 2024.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54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August 1, 2024, Reporting Second Quarter 2024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6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19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1940" w:type="dxa"/>
            <w:vAlign w:val="bottom"/>
          </w:tcPr>
          <w:p>
            <w:pPr>
              <w:spacing w:after="0"/>
              <w:rPr>
                <w:sz w:val="18"/>
                <w:szCs w:val="18"/>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194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2024 Financial and Operating Results</w:t>
      </w:r>
    </w:p>
    <w:p>
      <w:pPr>
        <w:spacing w:after="0" w:line="17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2024 revenues increased 12% to $3.55 billion versus second quarter 2023</w:t>
      </w:r>
    </w:p>
    <w:p>
      <w:pPr>
        <w:spacing w:after="0" w:line="23" w:lineRule="exact"/>
        <w:rPr>
          <w:rFonts w:ascii="Arial" w:cs="Arial" w:eastAsia="Arial" w:hAnsi="Arial"/>
          <w:sz w:val="22"/>
          <w:szCs w:val="22"/>
          <w:i w:val="1"/>
          <w:iCs w:val="1"/>
          <w:color w:val="auto"/>
        </w:rPr>
      </w:pPr>
    </w:p>
    <w:p>
      <w:pPr>
        <w:ind w:left="340" w:right="70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2024 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27% to $3.56 billion versus second quarter 2023</w:t>
      </w:r>
    </w:p>
    <w:p>
      <w:pPr>
        <w:spacing w:after="0" w:line="1" w:lineRule="exact"/>
        <w:rPr>
          <w:rFonts w:ascii="Arial" w:cs="Arial" w:eastAsia="Arial" w:hAnsi="Arial"/>
          <w:sz w:val="22"/>
          <w:szCs w:val="22"/>
          <w:i w:val="1"/>
          <w:iCs w:val="1"/>
          <w:color w:val="auto"/>
        </w:rPr>
      </w:pPr>
    </w:p>
    <w:p>
      <w:pPr>
        <w:ind w:left="340" w:right="42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2024 U.S. net sales for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HD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increased 2% to $1.53 billion versus second quarter 2023, including $304 million from EYLEA HD</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2024 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increased 42% to $297 million versus second quarter 2023</w:t>
      </w:r>
    </w:p>
    <w:p>
      <w:pPr>
        <w:spacing w:after="0" w:line="3" w:lineRule="exact"/>
        <w:rPr>
          <w:rFonts w:ascii="Arial" w:cs="Arial" w:eastAsia="Arial" w:hAnsi="Arial"/>
          <w:sz w:val="22"/>
          <w:szCs w:val="22"/>
          <w:i w:val="1"/>
          <w:iCs w:val="1"/>
          <w:color w:val="auto"/>
        </w:rPr>
      </w:pPr>
    </w:p>
    <w:p>
      <w:pPr>
        <w:ind w:left="340" w:right="20" w:hanging="332"/>
        <w:spacing w:after="0" w:line="247"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2024 GAAP diluted EPS increased 46% to $12.41 and non-GAAP diluted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increased 13% to $11.56 versus second quarter 2023; second quarter 2024 includes unfavorable $0.18 impact from acquired IPR&amp;D charge</w:t>
      </w:r>
    </w:p>
    <w:p>
      <w:pPr>
        <w:spacing w:after="0" w:line="1" w:lineRule="exact"/>
        <w:rPr>
          <w:rFonts w:ascii="Arial" w:cs="Arial" w:eastAsia="Arial" w:hAnsi="Arial"/>
          <w:sz w:val="22"/>
          <w:szCs w:val="22"/>
          <w:i w:val="1"/>
          <w:iCs w:val="1"/>
          <w:color w:val="auto"/>
        </w:rPr>
      </w:pPr>
    </w:p>
    <w:p>
      <w:pPr>
        <w:ind w:left="340" w:right="680" w:hanging="332"/>
        <w:spacing w:after="0" w:line="25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European Commission approved Dupixent as first-ever biologic therapy for uncontrolled chronic obstructive pulmonary disease (COPD) characterized by raised blood eosinophils</w:t>
      </w:r>
    </w:p>
    <w:p>
      <w:pPr>
        <w:spacing w:after="0" w:line="174"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Tarrytown, New York (August 1, 2024)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2024 and provided a business update.</w:t>
      </w:r>
    </w:p>
    <w:p>
      <w:pPr>
        <w:spacing w:after="0" w:line="72"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"Regeneron had a strong quarter, with total revenue up 12% driven by notable growth for EYLEA HD, Dupixent, and Libtayo," said Leonard S. Schleifer, M.D., Ph.D., Board co-Chair, President and Chief Executive Officer of Regeneron. "Importantly, Dupixent was granted its first regulatory approval for COPD by the European Commission, with FDA action anticipated in the third quarter, presenting an opportunity to help even more patients around the globe. As always, we remain focused on driving forward our diverse clinical pipeline, progressing late-stage trials for Dupixent in chronic spontaneous urticaria and other dermatologic indications; itepekimab, our IL-33 antibody in COPD; fianlimab, our LAG-3 antibody in metastatic melanoma; and Libtayo in adjuvant cutaneous squamous cell carcinoma. Finally, we were excited to advance several promising earlier-stage programs, including various antibody and GLP-1 combinations for obesity and our gene therapy DB-OTO for genetic hearing loss."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Q2 2024</w:t>
            </w:r>
          </w:p>
        </w:tc>
        <w:tc>
          <w:tcPr>
            <w:tcW w:w="18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Q2 2023</w:t>
            </w:r>
          </w:p>
        </w:tc>
        <w:tc>
          <w:tcPr>
            <w:tcW w:w="1460" w:type="dxa"/>
            <w:vAlign w:val="bottom"/>
          </w:tcPr>
          <w:p>
            <w:pPr>
              <w:jc w:val="right"/>
              <w:ind w:right="14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3,547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3,158</w:t>
            </w:r>
          </w:p>
        </w:tc>
        <w:tc>
          <w:tcPr>
            <w:tcW w:w="8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12 %</w:t>
            </w:r>
          </w:p>
        </w:tc>
      </w:tr>
      <w:tr>
        <w:trPr>
          <w:trHeight w:val="256"/>
        </w:trPr>
        <w:tc>
          <w:tcPr>
            <w:tcW w:w="498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1,432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968</w:t>
            </w:r>
          </w:p>
        </w:tc>
        <w:tc>
          <w:tcPr>
            <w:tcW w:w="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48 %</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8.50</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46 %</w:t>
            </w:r>
          </w:p>
        </w:tc>
      </w:tr>
      <w:tr>
        <w:trPr>
          <w:trHeight w:val="256"/>
        </w:trPr>
        <w:tc>
          <w:tcPr>
            <w:tcW w:w="498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1,182</w:t>
            </w:r>
          </w:p>
        </w:tc>
        <w:tc>
          <w:tcPr>
            <w:tcW w:w="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14 %</w:t>
            </w:r>
          </w:p>
        </w:tc>
      </w:tr>
      <w:tr>
        <w:trPr>
          <w:trHeight w:val="257"/>
        </w:trPr>
        <w:tc>
          <w:tcPr>
            <w:tcW w:w="498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10.24</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13 %</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right="20"/>
        <w:spacing w:after="0" w:line="250" w:lineRule="auto"/>
        <w:rPr>
          <w:sz w:val="20"/>
          <w:szCs w:val="20"/>
          <w:color w:val="auto"/>
        </w:rPr>
      </w:pPr>
      <w:r>
        <w:rPr>
          <w:rFonts w:ascii="Arial" w:cs="Arial" w:eastAsia="Arial" w:hAnsi="Arial"/>
          <w:sz w:val="22"/>
          <w:szCs w:val="22"/>
          <w:color w:val="auto"/>
        </w:rPr>
        <w:t>"Our second quarter financial performance reflects continued strong momentum across our business, highlighted by double-digit revenue and earnings growth," said Christopher Fenimore, Senior Vice President, Finance and Chief Financial Officer of Regeneron. "In the second half of the year, we look forward to advancing our pipeline with several important clinical data readouts as well as continued commercial execution and prudent capital deployment to drive long-term value creation."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500"/>
        <w:spacing w:after="0" w:line="253" w:lineRule="auto"/>
        <w:rPr>
          <w:sz w:val="20"/>
          <w:szCs w:val="20"/>
          <w:color w:val="auto"/>
        </w:rPr>
      </w:pPr>
      <w:r>
        <w:rPr>
          <w:rFonts w:ascii="Arial" w:cs="Arial" w:eastAsia="Arial" w:hAnsi="Arial"/>
          <w:sz w:val="22"/>
          <w:szCs w:val="22"/>
          <w:color w:val="auto"/>
        </w:rPr>
        <w:t>Regeneron has over 35 product candidates in clinical development, including a number of marketed products for which it is investigating additional indications. Updates from the clinical pipeline include: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31" w:lineRule="exact"/>
        <w:rPr>
          <w:sz w:val="20"/>
          <w:szCs w:val="20"/>
          <w:color w:val="auto"/>
        </w:rPr>
      </w:pPr>
    </w:p>
    <w:p>
      <w:pPr>
        <w:ind w:left="340" w:hanging="332"/>
        <w:spacing w:after="0" w:line="251"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June 2024, a supplemental Biologics License Application (sBLA) with two-year data for wet age-related macular degeneration (wAMD) and diabetic macular edema (DME) was submitted to the U.S. Food and Drug Administration (FDA).</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160" w:hanging="332"/>
        <w:spacing w:after="0" w:line="245"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May 2024, after requesting additional efficacy analyses, the FDA extended by three months the target action date of its priority review of the sBLA for Dupixent as an add-on maintenance treatment in certain adult patients with uncontrolled COPD, with a revised target action date of September 27, 2024. Regeneron and Sanofi remain confident that the additional analyses strongly support the approval of Dupixent in COPD with evidence of type 2 inflammation, and are committed to working with the FDA to bring Dupixent to patients living with uncontrolled COPD as quickly as possible.</w:t>
      </w:r>
    </w:p>
    <w:p>
      <w:pPr>
        <w:spacing w:after="0" w:line="3" w:lineRule="exact"/>
        <w:rPr>
          <w:rFonts w:ascii="Arial" w:cs="Arial" w:eastAsia="Arial" w:hAnsi="Arial"/>
          <w:sz w:val="22"/>
          <w:szCs w:val="22"/>
          <w:color w:val="auto"/>
        </w:rPr>
      </w:pPr>
    </w:p>
    <w:p>
      <w:pPr>
        <w:ind w:left="340" w:right="6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June 2024, the European Commission (EC) approved Dupixent as an add-on maintenance treatment for adults with uncontrolled COPD characterized by raised blood eosinophils. The EC is the first regulatory authority in the world to have approved Dupixent for COPD patients. Additional submissions are under review with other regulatory authorities outside the United States, including in China and Japan.</w:t>
      </w:r>
    </w:p>
    <w:p>
      <w:pPr>
        <w:spacing w:after="0" w:line="2" w:lineRule="exact"/>
        <w:rPr>
          <w:rFonts w:ascii="Arial" w:cs="Arial" w:eastAsia="Arial" w:hAnsi="Arial"/>
          <w:sz w:val="22"/>
          <w:szCs w:val="22"/>
          <w:color w:val="auto"/>
        </w:rPr>
      </w:pPr>
    </w:p>
    <w:p>
      <w:pPr>
        <w:ind w:left="340" w:right="200" w:hanging="332"/>
        <w:spacing w:after="0" w:line="245"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The Company and Sanofi presented at the 2024 American Thoracic Society International Conference positive data from the NOTUS Phase 3 trial evaluating Dupixent as an add-on maintenance treatment in adults with uncontrolled COPD on maximal standard-of-care inhaled therapy (nearly all on triple therapy) and evidence of type 2 inflammation. The NOTUS trial confirmed the positive results demonstrated in the Phase 3 BOREAS trial. The data from the NOTUS trial were also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w:t>
      </w:r>
      <w:r>
        <w:rPr>
          <w:rFonts w:ascii="Arial" w:cs="Arial" w:eastAsia="Arial" w:hAnsi="Arial"/>
          <w:sz w:val="22"/>
          <w:szCs w:val="22"/>
          <w:i w:val="1"/>
          <w:iCs w:val="1"/>
          <w:color w:val="auto"/>
        </w:rPr>
        <w:t>NEJM</w:t>
      </w:r>
      <w:r>
        <w:rPr>
          <w:rFonts w:ascii="Arial" w:cs="Arial" w:eastAsia="Arial" w:hAnsi="Arial"/>
          <w:sz w:val="22"/>
          <w:szCs w:val="22"/>
          <w:color w:val="auto"/>
        </w:rPr>
        <w:t>).</w:t>
      </w:r>
    </w:p>
    <w:p>
      <w:pPr>
        <w:spacing w:after="0" w:line="4" w:lineRule="exact"/>
        <w:rPr>
          <w:rFonts w:ascii="Arial" w:cs="Arial" w:eastAsia="Arial" w:hAnsi="Arial"/>
          <w:sz w:val="22"/>
          <w:szCs w:val="22"/>
          <w:color w:val="auto"/>
        </w:rPr>
      </w:pPr>
    </w:p>
    <w:p>
      <w:pPr>
        <w:ind w:left="340" w:right="12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accepted for priority review the sBLA for Dupixent as an add-on maintenance treatment for adolescents aged 12 to 17 years with inadequately controlled chronic rhinosinusitis with nasal polyposis (CRSwNP), with a target action date of September 15, 2024.</w:t>
      </w:r>
    </w:p>
    <w:p>
      <w:pPr>
        <w:spacing w:after="0" w:line="1" w:lineRule="exact"/>
        <w:rPr>
          <w:rFonts w:ascii="Arial" w:cs="Arial" w:eastAsia="Arial" w:hAnsi="Arial"/>
          <w:sz w:val="22"/>
          <w:szCs w:val="22"/>
          <w:color w:val="auto"/>
        </w:rPr>
      </w:pPr>
    </w:p>
    <w:p>
      <w:pPr>
        <w:ind w:left="340" w:right="100" w:hanging="332"/>
        <w:spacing w:after="0" w:line="250"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NEJM</w:t>
      </w:r>
      <w:r>
        <w:rPr>
          <w:rFonts w:ascii="Arial" w:cs="Arial" w:eastAsia="Arial" w:hAnsi="Arial"/>
          <w:sz w:val="22"/>
          <w:szCs w:val="22"/>
          <w:color w:val="auto"/>
        </w:rPr>
        <w:t xml:space="preserve"> published results from a positive Phase 3 trial for Dupixent in children aged 1 to 11 years with eosinophilic esophagitis (EoE). The trial showed a greater proportion of those receiving weight-tiered higher dose Dupixent experienced significant improvements in many key disease measures of EoE, compared to placebo at week 16.</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4" w:lineRule="exact"/>
        <w:rPr>
          <w:sz w:val="20"/>
          <w:szCs w:val="20"/>
          <w:color w:val="auto"/>
        </w:rPr>
      </w:pPr>
    </w:p>
    <w:p>
      <w:pPr>
        <w:ind w:left="340" w:right="220" w:hanging="332"/>
        <w:spacing w:after="0" w:line="25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European Medicines Agency’s (EMA) Committee for Medicinal Products for Human Use (CHMP) adopted a positive opinion recommending conditional marketing authorization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045" w:right="359" w:bottom="1440" w:gutter="0" w:footer="0" w:header="0"/>
        </w:sectPr>
      </w:pPr>
    </w:p>
    <w:bookmarkStart w:id="5" w:name="page6"/>
    <w:bookmarkEnd w:id="5"/>
    <w:p>
      <w:pPr>
        <w:jc w:val="both"/>
        <w:ind w:left="340" w:right="700"/>
        <w:spacing w:after="0" w:line="251" w:lineRule="auto"/>
        <w:rPr>
          <w:sz w:val="20"/>
          <w:szCs w:val="20"/>
          <w:color w:val="auto"/>
        </w:rPr>
      </w:pPr>
      <w:r>
        <w:rPr>
          <w:rFonts w:ascii="Arial" w:cs="Arial" w:eastAsia="Arial" w:hAnsi="Arial"/>
          <w:sz w:val="22"/>
          <w:szCs w:val="22"/>
          <w:color w:val="auto"/>
        </w:rPr>
        <w:t>odronextamab, a bispecific antibody targeting CD20 and CD3, to treat adults with relapsed/refractory (R/R) follicular lymphoma (FL) or R/R diffuse large B-cell lymphoma (DLBCL), after two or more lines of systemic therapy. The EC is expected to announce a final decision in the coming months.</w:t>
      </w:r>
    </w:p>
    <w:p>
      <w:pPr>
        <w:spacing w:after="0" w:line="3" w:lineRule="exact"/>
        <w:rPr>
          <w:sz w:val="20"/>
          <w:szCs w:val="20"/>
          <w:color w:val="auto"/>
        </w:rPr>
      </w:pPr>
    </w:p>
    <w:p>
      <w:pPr>
        <w:ind w:left="340" w:right="200" w:hanging="332"/>
        <w:spacing w:after="0" w:line="245"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In June 2024, the 14-month median follow-up data from the pivotal Phase 1/2 trial of linvoseltamab, a bispecific antibody targeting BCMA and CD3, in patients with R/R multiple myeloma were presented at the European Hematology Association (EHA) Congress 2024 and published in the </w:t>
      </w:r>
      <w:r>
        <w:rPr>
          <w:rFonts w:ascii="Arial" w:cs="Arial" w:eastAsia="Arial" w:hAnsi="Arial"/>
          <w:sz w:val="22"/>
          <w:szCs w:val="22"/>
          <w:i w:val="1"/>
          <w:iCs w:val="1"/>
          <w:color w:val="auto"/>
        </w:rPr>
        <w:t>Journal of Clinical Oncology</w:t>
      </w:r>
      <w:r>
        <w:rPr>
          <w:rFonts w:ascii="Arial" w:cs="Arial" w:eastAsia="Arial" w:hAnsi="Arial"/>
          <w:sz w:val="22"/>
          <w:szCs w:val="22"/>
          <w:color w:val="auto"/>
        </w:rPr>
        <w:t>. These longer-term results show a deepening of responses following the 11-month median follow-up data previously presented in April 2024.</w:t>
      </w:r>
    </w:p>
    <w:p>
      <w:pPr>
        <w:spacing w:after="0" w:line="4" w:lineRule="exact"/>
        <w:rPr>
          <w:rFonts w:ascii="Arial" w:cs="Arial" w:eastAsia="Arial" w:hAnsi="Arial"/>
          <w:sz w:val="22"/>
          <w:szCs w:val="22"/>
          <w:color w:val="auto"/>
        </w:rPr>
      </w:pPr>
    </w:p>
    <w:p>
      <w:pPr>
        <w:ind w:left="340" w:right="20" w:hanging="332"/>
        <w:spacing w:after="0" w:line="245"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2 study for fianlimab, an antibody to LAG-3, in combination with Libtayo (cemiplimab) for perioperative non-small cell lung cancer (NSCLC) was initiated. A Phase 2/3 study for fianlimab, in combination with Libtayo, for perioperative melanoma was also initiated.</w:t>
      </w:r>
    </w:p>
    <w:p>
      <w:pPr>
        <w:spacing w:after="0" w:line="1" w:lineRule="exact"/>
        <w:rPr>
          <w:rFonts w:ascii="Arial" w:cs="Arial" w:eastAsia="Arial" w:hAnsi="Arial"/>
          <w:sz w:val="22"/>
          <w:szCs w:val="22"/>
          <w:color w:val="auto"/>
        </w:rPr>
      </w:pPr>
    </w:p>
    <w:p>
      <w:pPr>
        <w:ind w:left="340" w:hanging="332"/>
        <w:spacing w:after="0" w:line="263" w:lineRule="auto"/>
        <w:tabs>
          <w:tab w:leader="none" w:pos="3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Company announced positive updated results from an ongoing Phase 1/2 trial evaluating REGN7075, a costimulatory bispecific antibody targeting EGFR and CD28, in combination with Libtayo in patients with advanced solid tumors. Data from the dose-escalation portion of the trial showed the investigational combination led to anti-tumor responses in certain patients with microsatellite stable colorectal cancer. The results were shared during an oral presentation at the American Society of Clinical Oncology (ASCO) 2024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11" w:lineRule="exact"/>
        <w:rPr>
          <w:sz w:val="20"/>
          <w:szCs w:val="20"/>
          <w:color w:val="auto"/>
        </w:rPr>
      </w:pPr>
    </w:p>
    <w:p>
      <w:pPr>
        <w:ind w:left="340" w:right="40" w:hanging="332"/>
        <w:spacing w:after="0" w:line="228" w:lineRule="auto"/>
        <w:tabs>
          <w:tab w:leader="none" w:pos="335"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June 2024, the FDA approved Kevzara</w:t>
      </w:r>
      <w:r>
        <w:rPr>
          <w:rFonts w:ascii="Arial" w:cs="Arial" w:eastAsia="Arial" w:hAnsi="Arial"/>
          <w:sz w:val="27"/>
          <w:szCs w:val="27"/>
          <w:color w:val="auto"/>
          <w:vertAlign w:val="superscript"/>
        </w:rPr>
        <w:t>®</w:t>
      </w:r>
      <w:r>
        <w:rPr>
          <w:rFonts w:ascii="Arial" w:cs="Arial" w:eastAsia="Arial" w:hAnsi="Arial"/>
          <w:sz w:val="21"/>
          <w:szCs w:val="21"/>
          <w:color w:val="auto"/>
        </w:rPr>
        <w:t xml:space="preserve"> (sarilumab) for the treatment of patients weighing 63 kg or greater with active polyarticular juvenile idiopathic arthritis (pJIA), a form of arthritis that impacts multiple joints at a time.</w:t>
      </w:r>
    </w:p>
    <w:p>
      <w:pPr>
        <w:spacing w:after="0" w:line="1" w:lineRule="exact"/>
        <w:rPr>
          <w:rFonts w:ascii="Arial" w:cs="Arial" w:eastAsia="Arial" w:hAnsi="Arial"/>
          <w:sz w:val="21"/>
          <w:szCs w:val="21"/>
          <w:color w:val="auto"/>
        </w:rPr>
      </w:pPr>
    </w:p>
    <w:p>
      <w:pPr>
        <w:ind w:left="340" w:right="32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2 study in obesity was initiated for trevogrumab, an antibody to myostatin (GDF8), in combination with semaglutide with and without garetosmab, an antibody to Activin A.</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2 study for REGN7508, an antibody to Factor XI, was initiated in patients with thrombosis.</w:t>
      </w:r>
    </w:p>
    <w:p>
      <w:pPr>
        <w:spacing w:after="0" w:line="10" w:lineRule="exact"/>
        <w:rPr>
          <w:rFonts w:ascii="Arial" w:cs="Arial" w:eastAsia="Arial" w:hAnsi="Arial"/>
          <w:sz w:val="22"/>
          <w:szCs w:val="22"/>
          <w:color w:val="auto"/>
        </w:rPr>
      </w:pPr>
    </w:p>
    <w:p>
      <w:pPr>
        <w:ind w:left="340" w:right="80" w:hanging="332"/>
        <w:spacing w:after="0" w:line="263" w:lineRule="auto"/>
        <w:tabs>
          <w:tab w:leader="none" w:pos="335"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Company presented updated data from the Phase 1/2 trial of DB-OTO, an AAV-based gene therapy, at the American Society of Gene and Cell Therapy (ASGCT) annual conference and announced that DB-OTO improved hearing to normal levels in one child and that initial hearing improvements were observed in a second child. In addition, the FDA recently granted DB-OTO Regenerative Medicine Advanced Therapy (RMAT) designation for the treatment of congenital auditory neuropathy secondary to biallelic mutations of the otoferlin gene.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96"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Second Quarter 2024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Q2 2024</w:t>
            </w:r>
          </w:p>
        </w:tc>
        <w:tc>
          <w:tcPr>
            <w:tcW w:w="20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Q2 2023</w:t>
            </w:r>
          </w:p>
        </w:tc>
        <w:tc>
          <w:tcPr>
            <w:tcW w:w="120" w:type="dxa"/>
            <w:vAlign w:val="bottom"/>
          </w:tcPr>
          <w:p>
            <w:pPr>
              <w:spacing w:after="0"/>
              <w:rPr>
                <w:sz w:val="23"/>
                <w:szCs w:val="23"/>
                <w:color w:val="auto"/>
              </w:rPr>
            </w:pPr>
          </w:p>
        </w:tc>
        <w:tc>
          <w:tcPr>
            <w:tcW w:w="150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r>
      <w:tr>
        <w:trPr>
          <w:trHeight w:val="256"/>
        </w:trPr>
        <w:tc>
          <w:tcPr>
            <w:tcW w:w="496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304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(18 %)</w:t>
            </w:r>
          </w:p>
        </w:tc>
      </w:tr>
      <w:tr>
        <w:trPr>
          <w:trHeight w:val="250"/>
        </w:trPr>
        <w:tc>
          <w:tcPr>
            <w:tcW w:w="4960" w:type="dxa"/>
            <w:vAlign w:val="bottom"/>
          </w:tcPr>
          <w:p>
            <w:pPr>
              <w:ind w:left="520"/>
              <w:spacing w:after="0"/>
              <w:rPr>
                <w:sz w:val="20"/>
                <w:szCs w:val="20"/>
                <w:color w:val="auto"/>
              </w:rPr>
            </w:pPr>
            <w:r>
              <w:rPr>
                <w:rFonts w:ascii="Arial" w:cs="Arial" w:eastAsia="Arial" w:hAnsi="Arial"/>
                <w:sz w:val="20"/>
                <w:szCs w:val="20"/>
                <w:color w:val="auto"/>
              </w:rPr>
              <w:t>Total EYLEA HD and EYLEA - U.S.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1,500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2 %</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Global</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41 %</w:t>
            </w: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Praluent - U.S.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37 %</w:t>
            </w:r>
          </w:p>
        </w:tc>
      </w:tr>
      <w:tr>
        <w:trPr>
          <w:trHeight w:val="257"/>
        </w:trPr>
        <w:tc>
          <w:tcPr>
            <w:tcW w:w="496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63 %</w:t>
            </w:r>
          </w:p>
        </w:tc>
      </w:tr>
      <w:tr>
        <w:trPr>
          <w:trHeight w:val="256"/>
        </w:trPr>
        <w:tc>
          <w:tcPr>
            <w:tcW w:w="4960" w:type="dxa"/>
            <w:vAlign w:val="bottom"/>
          </w:tcPr>
          <w:p>
            <w:pPr>
              <w:ind w:left="26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Global</w:t>
            </w:r>
          </w:p>
        </w:tc>
        <w:tc>
          <w:tcPr>
            <w:tcW w:w="2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(100 %)</w:t>
            </w:r>
          </w:p>
        </w:tc>
      </w:tr>
      <w:tr>
        <w:trPr>
          <w:trHeight w:val="25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1,919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1,772</w:t>
            </w:r>
          </w:p>
        </w:tc>
        <w:tc>
          <w:tcPr>
            <w:tcW w:w="16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8 %</w:t>
            </w:r>
          </w:p>
        </w:tc>
      </w:tr>
      <w:tr>
        <w:trPr>
          <w:trHeight w:val="95"/>
        </w:trPr>
        <w:tc>
          <w:tcPr>
            <w:tcW w:w="4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Sanofi</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944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21 %</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Bayer</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(1 %)</w:t>
            </w: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w:t>
            </w:r>
          </w:p>
        </w:tc>
        <w:tc>
          <w:tcPr>
            <w:tcW w:w="1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51 %</w:t>
            </w:r>
          </w:p>
        </w:tc>
      </w:tr>
      <w:tr>
        <w:trPr>
          <w:trHeight w:val="250"/>
        </w:trPr>
        <w:tc>
          <w:tcPr>
            <w:tcW w:w="496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3,158</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12 %</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8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Total EYLEA HD and EYLEA net product sales in the U.S. increased 2% in the second quarter of 2024 compared to the second quarter of 2023. EYLEA HD was approved by the FDA in August 2023 and EYLEA HD net product sales in the second quarter of 2024 were driven by the transition of patients from other anti-VEGF products, including EYLEA, to EYLEA HD, as well as new patients naïve to anti-VEGF therapy. Net product sales of EYLEA decreased in the second quarter of 2024, compared to the second quarter of 2023, primarily due to (i) the aforementioned approval and transition of certain patients to EYLEA HD, and (ii) other market dynamics that resulted in lower volumes and a lower net selling price.</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21"/>
          <w:szCs w:val="21"/>
          <w:color w:val="auto"/>
        </w:rPr>
        <w:t>Sanofi collaboration revenue increased in the second quarter of 2024, compared to the second quarter of 2023, due to the Company's share of profits from commercialization of antibodies, which were $988 million in the second quarter of 2024, compared to $751 million in the second quarter of 2023. The change in the Company's share of profits from commercialization of antibodies was driven by higher profits associated with an increase in Dupixent sales.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GAAP</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b w:val="1"/>
                <w:bCs w:val="1"/>
                <w:color w:val="auto"/>
              </w:rPr>
              <w:t>Q2 2024</w:t>
            </w:r>
          </w:p>
        </w:tc>
        <w:tc>
          <w:tcPr>
            <w:tcW w:w="14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Q2 2023</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 Change</w:t>
            </w:r>
          </w:p>
        </w:tc>
        <w:tc>
          <w:tcPr>
            <w:tcW w:w="16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Arial" w:cs="Arial" w:eastAsia="Arial" w:hAnsi="Arial"/>
                <w:sz w:val="20"/>
                <w:szCs w:val="20"/>
                <w:b w:val="1"/>
                <w:bCs w:val="1"/>
                <w:color w:val="auto"/>
              </w:rPr>
              <w:t>Q2 2024</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Q2 2023</w:t>
            </w:r>
          </w:p>
        </w:tc>
        <w:tc>
          <w:tcPr>
            <w:tcW w:w="1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1,085</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11 %</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974</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center"/>
              <w:ind w:left="601"/>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vMerge w:val="restart"/>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8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16 %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562</w:t>
            </w:r>
          </w:p>
        </w:tc>
        <w:tc>
          <w:tcPr>
            <w:tcW w:w="1300" w:type="dxa"/>
            <w:vAlign w:val="bottom"/>
            <w:gridSpan w:val="2"/>
            <w:shd w:val="clear" w:color="auto" w:fill="CCEEFF"/>
          </w:tcPr>
          <w:p>
            <w:pPr>
              <w:jc w:val="center"/>
              <w:ind w:left="701"/>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56"/>
        </w:trPr>
        <w:tc>
          <w:tcPr>
            <w:tcW w:w="398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192</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34 %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163</w:t>
            </w:r>
          </w:p>
        </w:tc>
        <w:tc>
          <w:tcPr>
            <w:tcW w:w="1300" w:type="dxa"/>
            <w:vAlign w:val="bottom"/>
            <w:gridSpan w:val="2"/>
          </w:tcPr>
          <w:p>
            <w:pPr>
              <w:jc w:val="center"/>
              <w:ind w:left="701"/>
              <w:spacing w:after="0"/>
              <w:rPr>
                <w:sz w:val="20"/>
                <w:szCs w:val="20"/>
                <w:color w:val="auto"/>
              </w:rPr>
            </w:pPr>
            <w:r>
              <w:rPr>
                <w:rFonts w:ascii="Arial" w:cs="Arial" w:eastAsia="Arial" w:hAnsi="Arial"/>
                <w:sz w:val="20"/>
                <w:szCs w:val="20"/>
                <w:color w:val="auto"/>
              </w:rPr>
              <w:t>31 %</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213</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2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980" w:type="dxa"/>
            <w:vAlign w:val="bottom"/>
          </w:tcPr>
          <w:p>
            <w:pPr>
              <w:ind w:left="20"/>
              <w:spacing w:after="0"/>
              <w:rPr>
                <w:sz w:val="20"/>
                <w:szCs w:val="20"/>
                <w:color w:val="auto"/>
              </w:rPr>
            </w:pPr>
            <w:r>
              <w:rPr>
                <w:rFonts w:ascii="Arial" w:cs="Arial" w:eastAsia="Arial" w:hAnsi="Arial"/>
                <w:sz w:val="20"/>
                <w:szCs w:val="20"/>
                <w:color w:val="auto"/>
              </w:rPr>
              <w:t>Other operating expense (income), net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1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80" w:right="3900" w:firstLine="8"/>
        <w:spacing w:after="0" w:line="298"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2" w:lineRule="exact"/>
        <w:rPr>
          <w:rFonts w:ascii="Arial" w:cs="Arial" w:eastAsia="Arial" w:hAnsi="Arial"/>
          <w:sz w:val="18"/>
          <w:szCs w:val="18"/>
          <w:color w:val="auto"/>
        </w:rPr>
      </w:pPr>
    </w:p>
    <w:p>
      <w:pPr>
        <w:jc w:val="both"/>
        <w:ind w:left="660" w:right="600" w:hanging="328"/>
        <w:spacing w:after="0" w:line="257"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GAAP and non-GAAP R&amp;D expenses increased in the second quarter of 2024, compared to the second quarter of 2023, driven by the advancement of the Company's late-stage oncology programs, and higher headcount and headcount-related costs.</w:t>
      </w:r>
    </w:p>
    <w:p>
      <w:pPr>
        <w:spacing w:after="0" w:line="37" w:lineRule="exact"/>
        <w:rPr>
          <w:rFonts w:ascii="Arial" w:cs="Arial" w:eastAsia="Arial" w:hAnsi="Arial"/>
          <w:sz w:val="22"/>
          <w:szCs w:val="22"/>
          <w:color w:val="auto"/>
        </w:rPr>
      </w:pPr>
    </w:p>
    <w:p>
      <w:pPr>
        <w:ind w:left="660" w:right="300" w:hanging="328"/>
        <w:spacing w:after="0" w:line="272"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Acquired IPR&amp;D for the second quarter of 2024 included up-front payments, as well as a premium on equity securities purchased, in connection with collaboration and licensing agreements.</w:t>
      </w:r>
    </w:p>
    <w:p>
      <w:pPr>
        <w:spacing w:after="0" w:line="7" w:lineRule="exact"/>
        <w:rPr>
          <w:rFonts w:ascii="Arial" w:cs="Arial" w:eastAsia="Arial" w:hAnsi="Arial"/>
          <w:sz w:val="22"/>
          <w:szCs w:val="22"/>
          <w:color w:val="auto"/>
        </w:rPr>
      </w:pPr>
    </w:p>
    <w:p>
      <w:pPr>
        <w:ind w:left="660" w:hanging="328"/>
        <w:spacing w:after="0" w:line="257"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second quarter of 2024, compared to the second quarter of 2023, due to higher commercialization-related expenses to support the Company's launch of EYLEA HD and higher headcount and headcount-related costs partly related to the Company's international commercial expansion.</w:t>
      </w:r>
    </w:p>
    <w:p>
      <w:pPr>
        <w:spacing w:after="0" w:line="23" w:lineRule="exact"/>
        <w:rPr>
          <w:rFonts w:ascii="Arial" w:cs="Arial" w:eastAsia="Arial" w:hAnsi="Arial"/>
          <w:sz w:val="22"/>
          <w:szCs w:val="22"/>
          <w:color w:val="auto"/>
        </w:rPr>
      </w:pPr>
    </w:p>
    <w:p>
      <w:pPr>
        <w:ind w:left="660" w:right="480" w:hanging="328"/>
        <w:spacing w:after="0" w:line="295" w:lineRule="auto"/>
        <w:tabs>
          <w:tab w:leader="none" w:pos="655" w:val="left"/>
        </w:tabs>
        <w:numPr>
          <w:ilvl w:val="1"/>
          <w:numId w:val="9"/>
        </w:numPr>
        <w:rPr>
          <w:rFonts w:ascii="Arial" w:cs="Arial" w:eastAsia="Arial" w:hAnsi="Arial"/>
          <w:sz w:val="21"/>
          <w:szCs w:val="21"/>
          <w:color w:val="auto"/>
        </w:rPr>
      </w:pPr>
      <w:r>
        <w:rPr>
          <w:rFonts w:ascii="Arial" w:cs="Arial" w:eastAsia="Arial" w:hAnsi="Arial"/>
          <w:sz w:val="21"/>
          <w:szCs w:val="21"/>
          <w:color w:val="auto"/>
        </w:rPr>
        <w:t>GAAP and non-GAAP COGS increased in the second quarter of 2024, compared to the second quarter of 2023, primarily due to higher start-up costs for the Company's Rensselaer, New York fill/finish facility.</w:t>
      </w:r>
    </w:p>
    <w:p>
      <w:pPr>
        <w:jc w:val="both"/>
        <w:ind w:left="660" w:right="260" w:hanging="328"/>
        <w:spacing w:after="0" w:line="264"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GAAP other operating expense (income), net, for the second quarter of 2024 reflects a charge related to the increase in the estimated fair value of the contingent consideration liability recognized in connection with the Company's 2023 acquisition of Decibel Therapeutics, Inc.</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GAAP other income (expense) included the recognition of net unrealized gains on equity securities of $393 million in the second quarter of 2024, compared to $31 million of net unrealized losses in the second quarter of 2023. GAAP and Non-GAAP other income (expense) also included interest income of $179 million in the second quarter of 2024, compared to $118 million in the second quarter of 2023.</w:t>
      </w:r>
    </w:p>
    <w:p>
      <w:pPr>
        <w:spacing w:after="0" w:line="10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In the second quarter of 2024, the Company's GAAP effective tax rate (ETR) was 12.0%, compared to 10.6% in the second quarter of 2023. The GAAP ETR increased in the second quarter of 2024, compared to the second quarter of 2023, due to the remeasurement of existing uncertain tax positions, offset by a higher benefit from stock-based compensation. In the second quarter of 2024, the non-GAAP ETR was 10.8%, compared to 12.2%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45" w:right="359" w:bottom="1440" w:gutter="0" w:footer="0" w:header="0"/>
        </w:sectPr>
      </w:pPr>
    </w:p>
    <w:bookmarkStart w:id="8" w:name="page9"/>
    <w:bookmarkEnd w:id="8"/>
    <w:p>
      <w:pPr>
        <w:jc w:val="both"/>
        <w:ind w:right="240"/>
        <w:spacing w:after="0" w:line="253" w:lineRule="auto"/>
        <w:rPr>
          <w:sz w:val="20"/>
          <w:szCs w:val="20"/>
          <w:color w:val="auto"/>
        </w:rPr>
      </w:pPr>
      <w:r>
        <w:rPr>
          <w:rFonts w:ascii="Arial" w:cs="Arial" w:eastAsia="Arial" w:hAnsi="Arial"/>
          <w:sz w:val="22"/>
          <w:szCs w:val="22"/>
          <w:color w:val="auto"/>
        </w:rPr>
        <w:t>GAAP net income per diluted share was $12.41 in the second quarter of 2024, compared to $8.50 in the second quarter of 2023. Non-GAAP net income per diluted share was $11.56 in the second quarter of 2024, compared to $10.24 in the second quarter of 2023. A reconciliation of the Company's GAAP to non-GAAP results is included in Table 3 of this press release.</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In April 2024, the Company's board of directors authorized a new share repurchase program to repurchase up to an additional $3.0 billion of the Company's common stock. During the second quarter of 2024, the Company repurchased shares of its common stock and recorded the cost of the shares, or $601 million, as Treasury Stock. As of June 30, 2024, an aggregate of $3.6 billion remained available for share repurchases under the Company's share repurchase programs.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2024 Financial Guidance</w:t>
      </w:r>
      <w:r>
        <w:rPr>
          <w:rFonts w:ascii="Arial" w:cs="Arial" w:eastAsia="Arial" w:hAnsi="Arial"/>
          <w:sz w:val="12"/>
          <w:szCs w:val="12"/>
          <w:b w:val="1"/>
          <w:bCs w:val="1"/>
          <w:i w:val="1"/>
          <w:iCs w:val="1"/>
          <w:color w:val="auto"/>
        </w:rPr>
        <w:t>(c)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2024 financial guidance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00" w:type="dxa"/>
            <w:vAlign w:val="bottom"/>
          </w:tcPr>
          <w:p>
            <w:pPr>
              <w:spacing w:after="0"/>
              <w:rPr>
                <w:sz w:val="23"/>
                <w:szCs w:val="23"/>
                <w:color w:val="auto"/>
              </w:rPr>
            </w:pPr>
          </w:p>
        </w:tc>
        <w:tc>
          <w:tcPr>
            <w:tcW w:w="4640" w:type="dxa"/>
            <w:vAlign w:val="bottom"/>
            <w:gridSpan w:val="3"/>
          </w:tcPr>
          <w:p>
            <w:pPr>
              <w:ind w:left="1620"/>
              <w:spacing w:after="0"/>
              <w:rPr>
                <w:sz w:val="20"/>
                <w:szCs w:val="20"/>
                <w:color w:val="auto"/>
              </w:rPr>
            </w:pPr>
            <w:r>
              <w:rPr>
                <w:rFonts w:ascii="Arial" w:cs="Arial" w:eastAsia="Arial" w:hAnsi="Arial"/>
                <w:sz w:val="20"/>
                <w:szCs w:val="20"/>
                <w:b w:val="1"/>
                <w:bCs w:val="1"/>
                <w:color w:val="auto"/>
              </w:rPr>
              <w:t>2024 Guidance</w:t>
            </w:r>
          </w:p>
        </w:tc>
      </w:tr>
      <w:tr>
        <w:trPr>
          <w:trHeight w:val="34"/>
        </w:trPr>
        <w:tc>
          <w:tcPr>
            <w:tcW w:w="4600" w:type="dxa"/>
            <w:vAlign w:val="bottom"/>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4600" w:type="dxa"/>
            <w:vAlign w:val="bottom"/>
          </w:tcPr>
          <w:p>
            <w:pPr>
              <w:spacing w:after="0"/>
              <w:rPr>
                <w:sz w:val="21"/>
                <w:szCs w:val="21"/>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98"/>
              </w:rPr>
              <w:t>Prior</w:t>
            </w: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5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$4.920–$5.170 billion</w:t>
            </w:r>
          </w:p>
        </w:tc>
        <w:tc>
          <w:tcPr>
            <w:tcW w:w="14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$5.020–$5.170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$4.400–$4.600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$4.500–$4.600 billion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$2.940–$3.090 billion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$2.920–$3.060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$2.550–$2.650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380" w:type="dxa"/>
            <w:vAlign w:val="bottom"/>
            <w:gridSpan w:val="2"/>
            <w:shd w:val="clear" w:color="auto" w:fill="CCEEFF"/>
          </w:tcPr>
          <w:p>
            <w:pPr>
              <w:jc w:val="right"/>
              <w:ind w:right="820"/>
              <w:spacing w:after="0"/>
              <w:rPr>
                <w:sz w:val="20"/>
                <w:szCs w:val="20"/>
                <w:color w:val="auto"/>
              </w:rPr>
            </w:pPr>
            <w:r>
              <w:rPr>
                <w:rFonts w:ascii="Arial" w:cs="Arial" w:eastAsia="Arial" w:hAnsi="Arial"/>
                <w:sz w:val="20"/>
                <w:szCs w:val="20"/>
                <w:color w:val="auto"/>
              </w:rPr>
              <w:t>86%–88%</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Approximately 86%</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380" w:type="dxa"/>
            <w:vAlign w:val="bottom"/>
            <w:gridSpan w:val="2"/>
          </w:tcPr>
          <w:p>
            <w:pPr>
              <w:jc w:val="right"/>
              <w:ind w:right="820"/>
              <w:spacing w:after="0"/>
              <w:rPr>
                <w:sz w:val="20"/>
                <w:szCs w:val="20"/>
                <w:color w:val="auto"/>
              </w:rPr>
            </w:pPr>
            <w:r>
              <w:rPr>
                <w:rFonts w:ascii="Arial" w:cs="Arial" w:eastAsia="Arial" w:hAnsi="Arial"/>
                <w:sz w:val="20"/>
                <w:szCs w:val="20"/>
                <w:color w:val="auto"/>
              </w:rPr>
              <w:t>89%–91%</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Approximately 89%</w:t>
            </w:r>
          </w:p>
        </w:tc>
      </w:tr>
      <w:tr>
        <w:trPr>
          <w:trHeight w:val="270"/>
        </w:trPr>
        <w:tc>
          <w:tcPr>
            <w:tcW w:w="46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$850–$910 million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$780–$880 million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$750–$820 million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380" w:type="dxa"/>
            <w:vAlign w:val="bottom"/>
            <w:gridSpan w:val="2"/>
            <w:shd w:val="clear" w:color="auto" w:fill="CCEEFF"/>
          </w:tcPr>
          <w:p>
            <w:pPr>
              <w:jc w:val="right"/>
              <w:ind w:right="920"/>
              <w:spacing w:after="0"/>
              <w:rPr>
                <w:sz w:val="20"/>
                <w:szCs w:val="20"/>
                <w:color w:val="auto"/>
              </w:rPr>
            </w:pPr>
            <w:r>
              <w:rPr>
                <w:rFonts w:ascii="Arial" w:cs="Arial" w:eastAsia="Arial" w:hAnsi="Arial"/>
                <w:sz w:val="20"/>
                <w:szCs w:val="20"/>
                <w:color w:val="auto"/>
              </w:rPr>
              <w:t>7%–9%</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8%–9%</w:t>
            </w:r>
          </w:p>
        </w:tc>
      </w:tr>
      <w:tr>
        <w:trPr>
          <w:trHeight w:val="343"/>
        </w:trPr>
        <w:tc>
          <w:tcPr>
            <w:tcW w:w="460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380" w:type="dxa"/>
            <w:vAlign w:val="bottom"/>
            <w:gridSpan w:val="2"/>
          </w:tcPr>
          <w:p>
            <w:pPr>
              <w:jc w:val="right"/>
              <w:ind w:right="820"/>
              <w:spacing w:after="0"/>
              <w:rPr>
                <w:sz w:val="20"/>
                <w:szCs w:val="20"/>
                <w:color w:val="auto"/>
              </w:rPr>
            </w:pPr>
            <w:r>
              <w:rPr>
                <w:rFonts w:ascii="Arial" w:cs="Arial" w:eastAsia="Arial" w:hAnsi="Arial"/>
                <w:sz w:val="20"/>
                <w:szCs w:val="20"/>
                <w:color w:val="auto"/>
              </w:rPr>
              <w:t>10%–12%</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10%–11%</w:t>
            </w:r>
          </w:p>
        </w:tc>
      </w:tr>
    </w:tbl>
    <w:p>
      <w:pPr>
        <w:spacing w:after="0" w:line="34" w:lineRule="exact"/>
        <w:rPr>
          <w:sz w:val="20"/>
          <w:szCs w:val="20"/>
          <w:color w:val="auto"/>
        </w:rPr>
      </w:pPr>
    </w:p>
    <w:p>
      <w:pPr>
        <w:ind w:left="300" w:hanging="11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1045" w:right="47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2024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420" w:type="dxa"/>
            <w:vAlign w:val="bottom"/>
            <w:tcBorders>
              <w:bottom w:val="single" w:sz="8" w:color="auto"/>
            </w:tcBorders>
          </w:tcPr>
          <w:p>
            <w:pPr>
              <w:spacing w:after="0"/>
              <w:rPr>
                <w:sz w:val="23"/>
                <w:szCs w:val="23"/>
                <w:color w:val="auto"/>
              </w:rPr>
            </w:pPr>
          </w:p>
        </w:tc>
        <w:tc>
          <w:tcPr>
            <w:tcW w:w="4760" w:type="dxa"/>
            <w:vAlign w:val="bottom"/>
            <w:tcBorders>
              <w:bottom w:val="single" w:sz="8" w:color="auto"/>
            </w:tcBorders>
            <w:gridSpan w:val="4"/>
          </w:tcPr>
          <w:p>
            <w:pPr>
              <w:jc w:val="right"/>
              <w:ind w:right="1701"/>
              <w:spacing w:after="0"/>
              <w:rPr>
                <w:sz w:val="20"/>
                <w:szCs w:val="20"/>
                <w:color w:val="auto"/>
              </w:rPr>
            </w:pPr>
            <w:r>
              <w:rPr>
                <w:rFonts w:ascii="Arial" w:cs="Arial" w:eastAsia="Arial" w:hAnsi="Arial"/>
                <w:sz w:val="20"/>
                <w:szCs w:val="20"/>
                <w:b w:val="1"/>
                <w:bCs w:val="1"/>
                <w:color w:val="auto"/>
              </w:rPr>
              <w:t>Projected Range</w:t>
            </w:r>
          </w:p>
        </w:tc>
        <w:tc>
          <w:tcPr>
            <w:tcW w:w="0" w:type="dxa"/>
            <w:vAlign w:val="bottom"/>
          </w:tcPr>
          <w:p>
            <w:pPr>
              <w:spacing w:after="0"/>
              <w:rPr>
                <w:sz w:val="1"/>
                <w:szCs w:val="1"/>
                <w:color w:val="auto"/>
              </w:rPr>
            </w:pPr>
          </w:p>
        </w:tc>
      </w:tr>
      <w:tr>
        <w:trPr>
          <w:trHeight w:val="250"/>
        </w:trPr>
        <w:tc>
          <w:tcPr>
            <w:tcW w:w="53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2220" w:type="dxa"/>
            <w:vAlign w:val="bottom"/>
            <w:gridSpan w:val="2"/>
          </w:tcPr>
          <w:p>
            <w:pPr>
              <w:ind w:left="660"/>
              <w:spacing w:after="0"/>
              <w:rPr>
                <w:sz w:val="20"/>
                <w:szCs w:val="20"/>
                <w:color w:val="auto"/>
              </w:rPr>
            </w:pPr>
            <w:r>
              <w:rPr>
                <w:rFonts w:ascii="Arial" w:cs="Arial" w:eastAsia="Arial" w:hAnsi="Arial"/>
                <w:sz w:val="20"/>
                <w:szCs w:val="20"/>
                <w:b w:val="1"/>
                <w:bCs w:val="1"/>
                <w:color w:val="auto"/>
              </w:rPr>
              <w:t>Low</w:t>
            </w:r>
          </w:p>
        </w:tc>
        <w:tc>
          <w:tcPr>
            <w:tcW w:w="420" w:type="dxa"/>
            <w:vAlign w:val="bottom"/>
          </w:tcPr>
          <w:p>
            <w:pPr>
              <w:spacing w:after="0"/>
              <w:rPr>
                <w:sz w:val="21"/>
                <w:szCs w:val="21"/>
                <w:color w:val="auto"/>
              </w:rPr>
            </w:pPr>
          </w:p>
        </w:tc>
        <w:tc>
          <w:tcPr>
            <w:tcW w:w="2120" w:type="dxa"/>
            <w:vAlign w:val="bottom"/>
          </w:tcPr>
          <w:p>
            <w:pPr>
              <w:jc w:val="right"/>
              <w:ind w:right="96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42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5,020</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5,170</w:t>
            </w:r>
          </w:p>
        </w:tc>
        <w:tc>
          <w:tcPr>
            <w:tcW w:w="0" w:type="dxa"/>
            <w:vAlign w:val="bottom"/>
          </w:tcPr>
          <w:p>
            <w:pPr>
              <w:spacing w:after="0"/>
              <w:rPr>
                <w:sz w:val="1"/>
                <w:szCs w:val="1"/>
                <w:color w:val="auto"/>
              </w:rPr>
            </w:pPr>
          </w:p>
        </w:tc>
      </w:tr>
      <w:tr>
        <w:trPr>
          <w:trHeight w:val="257"/>
        </w:trPr>
        <w:tc>
          <w:tcPr>
            <w:tcW w:w="532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420" w:type="dxa"/>
            <w:vAlign w:val="bottom"/>
          </w:tcPr>
          <w:p>
            <w:pPr>
              <w:spacing w:after="0"/>
              <w:rPr>
                <w:sz w:val="22"/>
                <w:szCs w:val="22"/>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510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540</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 and integration costs</w:t>
            </w:r>
          </w:p>
        </w:tc>
        <w:tc>
          <w:tcPr>
            <w:tcW w:w="42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4,500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4,600</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2,920</w:t>
            </w:r>
          </w:p>
        </w:tc>
        <w:tc>
          <w:tcPr>
            <w:tcW w:w="100" w:type="dxa"/>
            <w:vAlign w:val="bottom"/>
          </w:tcPr>
          <w:p>
            <w:pPr>
              <w:spacing w:after="0"/>
              <w:rPr>
                <w:sz w:val="22"/>
                <w:szCs w:val="22"/>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3,060</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2,550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2,650</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42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Approximately 86%</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Approximately 86%</w:t>
            </w:r>
          </w:p>
        </w:tc>
        <w:tc>
          <w:tcPr>
            <w:tcW w:w="0" w:type="dxa"/>
            <w:vAlign w:val="bottom"/>
          </w:tcPr>
          <w:p>
            <w:pPr>
              <w:spacing w:after="0"/>
              <w:rPr>
                <w:sz w:val="1"/>
                <w:szCs w:val="1"/>
                <w:color w:val="auto"/>
              </w:rPr>
            </w:pPr>
          </w:p>
        </w:tc>
      </w:tr>
      <w:tr>
        <w:trPr>
          <w:trHeight w:val="257"/>
        </w:trPr>
        <w:tc>
          <w:tcPr>
            <w:tcW w:w="532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420" w:type="dxa"/>
            <w:vAlign w:val="bottom"/>
          </w:tcPr>
          <w:p>
            <w:pPr>
              <w:spacing w:after="0"/>
              <w:rPr>
                <w:sz w:val="22"/>
                <w:szCs w:val="22"/>
                <w:color w:val="auto"/>
              </w:rPr>
            </w:pPr>
          </w:p>
        </w:tc>
        <w:tc>
          <w:tcPr>
            <w:tcW w:w="212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&lt;1%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20"/>
                <w:szCs w:val="20"/>
                <w:color w:val="auto"/>
              </w:rPr>
              <w:t>Approximately 89%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Approximately 89%</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420" w:type="dxa"/>
            <w:vAlign w:val="bottom"/>
          </w:tcPr>
          <w:p>
            <w:pPr>
              <w:spacing w:after="0"/>
              <w:rPr>
                <w:sz w:val="16"/>
                <w:szCs w:val="16"/>
                <w:color w:val="auto"/>
              </w:rPr>
            </w:pPr>
          </w:p>
        </w:tc>
        <w:tc>
          <w:tcPr>
            <w:tcW w:w="2120" w:type="dxa"/>
            <w:vAlign w:val="bottom"/>
            <w:vMerge w:val="restart"/>
          </w:tcPr>
          <w:p>
            <w:pPr>
              <w:jc w:val="right"/>
              <w:ind w:right="41"/>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vMerge w:val="restart"/>
          </w:tcPr>
          <w:p>
            <w:pPr>
              <w:jc w:val="right"/>
              <w:ind w:right="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w:t>
            </w: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00"/>
          </w:cols>
          <w:pgMar w:left="320" w:top="1045" w:right="1079" w:bottom="1440" w:gutter="0" w:footer="0" w:header="0"/>
        </w:sectPr>
      </w:pPr>
    </w:p>
    <w:bookmarkStart w:id="10" w:name="page11"/>
    <w:bookmarkEnd w:id="10"/>
    <w:p>
      <w:pPr>
        <w:ind w:left="394" w:hanging="394"/>
        <w:spacing w:after="0" w:line="219" w:lineRule="auto"/>
        <w:tabs>
          <w:tab w:leader="none" w:pos="394" w:val="left"/>
        </w:tabs>
        <w:numPr>
          <w:ilvl w:val="0"/>
          <w:numId w:val="11"/>
        </w:numPr>
        <w:rPr>
          <w:rFonts w:ascii="Arial" w:cs="Arial" w:eastAsia="Arial" w:hAnsi="Arial"/>
          <w:sz w:val="16"/>
          <w:szCs w:val="16"/>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This press release uses non-GAAP R&amp;D, non-GAAP SG&amp;A, non-GAAP COGS, non-GAAP gross margin on net product sales, non-GAAP other operating (income) expense, net, non-GAAP other income (expense), net, non-GAAP ETR, non-GAAP net income, non-GAAP net income per share, total revenues excluding Ronapreve</w:t>
      </w:r>
      <w:r>
        <w:rPr>
          <w:rFonts w:ascii="Arial" w:cs="Arial" w:eastAsia="Arial" w:hAnsi="Arial"/>
          <w:sz w:val="24"/>
          <w:szCs w:val="24"/>
          <w:color w:val="auto"/>
          <w:vertAlign w:val="superscript"/>
        </w:rPr>
        <w:t>™(b)</w:t>
      </w:r>
      <w:r>
        <w:rPr>
          <w:rFonts w:ascii="Arial" w:cs="Arial" w:eastAsia="Arial" w:hAnsi="Arial"/>
          <w:sz w:val="19"/>
          <w:szCs w:val="19"/>
          <w:color w:val="auto"/>
        </w:rPr>
        <w:t>,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7" w:lineRule="exact"/>
        <w:rPr>
          <w:rFonts w:ascii="Arial" w:cs="Arial" w:eastAsia="Arial" w:hAnsi="Arial"/>
          <w:sz w:val="16"/>
          <w:szCs w:val="16"/>
          <w:color w:val="auto"/>
        </w:rPr>
      </w:pPr>
    </w:p>
    <w:p>
      <w:pPr>
        <w:ind w:left="394" w:right="8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ability to generate cash flows from its operations.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700" w:hanging="394"/>
        <w:spacing w:after="0" w:line="234" w:lineRule="auto"/>
        <w:tabs>
          <w:tab w:leader="none" w:pos="394" w:val="left"/>
        </w:tabs>
        <w:numPr>
          <w:ilvl w:val="0"/>
          <w:numId w:val="11"/>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 in the United States and Ronapreve in other countries. Roche records net product sales of Ronapreve outside the United States.</w:t>
      </w:r>
    </w:p>
    <w:p>
      <w:pPr>
        <w:spacing w:after="0" w:line="91" w:lineRule="exact"/>
        <w:rPr>
          <w:rFonts w:ascii="Arial" w:cs="Arial" w:eastAsia="Arial" w:hAnsi="Arial"/>
          <w:sz w:val="16"/>
          <w:szCs w:val="16"/>
          <w:color w:val="auto"/>
        </w:rPr>
      </w:pPr>
    </w:p>
    <w:p>
      <w:pPr>
        <w:ind w:left="394" w:right="280" w:hanging="394"/>
        <w:spacing w:after="0" w:line="234" w:lineRule="auto"/>
        <w:tabs>
          <w:tab w:leader="none" w:pos="394" w:val="left"/>
        </w:tabs>
        <w:numPr>
          <w:ilvl w:val="0"/>
          <w:numId w:val="11"/>
        </w:numPr>
        <w:rPr>
          <w:rFonts w:ascii="Arial" w:cs="Arial" w:eastAsia="Arial" w:hAnsi="Arial"/>
          <w:sz w:val="16"/>
          <w:szCs w:val="16"/>
          <w:color w:val="auto"/>
        </w:rPr>
      </w:pPr>
      <w:r>
        <w:rPr>
          <w:rFonts w:ascii="Arial" w:cs="Arial" w:eastAsia="Arial" w:hAnsi="Arial"/>
          <w:sz w:val="20"/>
          <w:szCs w:val="20"/>
          <w:color w:val="auto"/>
        </w:rPr>
        <w:t>The Company's 2024 financial guidance does not assume the completion of any business development transactions not completed as of the date of this press release.</w:t>
      </w:r>
    </w:p>
    <w:p>
      <w:pPr>
        <w:spacing w:after="0" w:line="91"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1"/>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right="100" w:hanging="394"/>
        <w:spacing w:after="0" w:line="234" w:lineRule="auto"/>
        <w:tabs>
          <w:tab w:leader="none" w:pos="394" w:val="left"/>
        </w:tabs>
        <w:numPr>
          <w:ilvl w:val="0"/>
          <w:numId w:val="11"/>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54"/>
          </w:cols>
          <w:pgMar w:left="346" w:top="1090"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second quarter 2024 financial and operating results on Thursday, August 1, 2024,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HD (aflibercept) Injection 8 mg,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Veopoz</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(pozelimab), odronextamab, itepekimab, fianlimab, garetosmab, linvoseltamab, REGN5713-5714-5715, NTLA-2001, Regeneron's other oncology programs (including its costimulatory bispecific portfolio), Regeneron's and its collaborators' earlier-stage programs, and the use of human genetics in Regeneron's research programs; the likelihood and timing of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43" w:right="359" w:bottom="1440" w:gutter="0" w:footer="0" w:header="0"/>
        </w:sectPr>
      </w:pPr>
    </w:p>
    <w:bookmarkStart w:id="12" w:name="page13"/>
    <w:bookmarkEnd w:id="12"/>
    <w:p>
      <w:pPr>
        <w:spacing w:after="0" w:line="258" w:lineRule="auto"/>
        <w:rPr>
          <w:sz w:val="20"/>
          <w:szCs w:val="20"/>
          <w:color w:val="auto"/>
        </w:rPr>
      </w:pPr>
      <w:r>
        <w:rPr>
          <w:rFonts w:ascii="Arial" w:cs="Arial" w:eastAsia="Arial" w:hAnsi="Arial"/>
          <w:sz w:val="21"/>
          <w:szCs w:val="21"/>
          <w:color w:val="auto"/>
        </w:rPr>
        <w:t>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other litigation and other proceedings and government investigations relating to the Company and/or its operations (including the pending civil proceedings initiated or joined by the U.S. Department of Justice and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2023 and its Form 10-Q for the quarterly period ended June 30, 2024. Any forward-looking statements are made based on management's current beliefs and judgment, and the reader is cautioned not to rely on any forward-looking statements made by Regeneron.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896" w:right="37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22"/>
          <w:szCs w:val="22"/>
          <w:color w:val="auto"/>
        </w:rPr>
        <w:t>Regeneron does not undertake any obligation to update (publicly or otherwise) any forward-looking statement, including without limitation any financial projection or guidance, whether as a result of new information, future events, or otherwise.</w:t>
      </w:r>
    </w:p>
    <w:p>
      <w:pPr>
        <w:spacing w:after="0" w:line="21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160"/>
          </w:cols>
          <w:pgMar w:left="320" w:top="896" w:right="41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340"/>
          </w:cols>
          <w:pgMar w:left="320" w:top="896" w:right="41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896" w:right="4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60" w:right="230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17,531.4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16,241.3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4,385.8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3,818.6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25,973.1</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890" w:right="9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940" w:right="178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0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2023</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1,772.1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3,679.9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3,440.1</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2,694.8</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r>
      <w:tr>
        <w:trPr>
          <w:trHeight w:val="223"/>
        </w:trPr>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6,320.2</w:t>
            </w: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2,186.5</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400.8</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4,357.0</w:t>
            </w:r>
          </w:p>
        </w:tc>
      </w:tr>
      <w:tr>
        <w:trPr>
          <w:trHeight w:val="250"/>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1,963.2</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1,940.9</w:t>
            </w:r>
          </w:p>
        </w:tc>
      </w:t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0"/>
          </w:cols>
          <w:pgMar w:left="320" w:top="890" w:right="9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9"/>
        </w:trPr>
        <w:tc>
          <w:tcPr>
            <w:tcW w:w="52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6"/>
        </w:trPr>
        <w:tc>
          <w:tcPr>
            <w:tcW w:w="80" w:type="dxa"/>
            <w:vAlign w:val="bottom"/>
          </w:tcPr>
          <w:p>
            <w:pPr>
              <w:spacing w:after="0"/>
              <w:rPr>
                <w:sz w:val="24"/>
                <w:szCs w:val="24"/>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994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9"/>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23"/>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2,186.5</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248.6</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1,933.7</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1,253.1</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29"/>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related to REGEN-COV</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other operating expense (income), net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other operating expense (income), net</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1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1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1,432.3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1,786.2</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r>
      <w:tr>
        <w:trPr>
          <w:trHeight w:val="230"/>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2,349.1</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162"/>
        </w:trPr>
        <w:tc>
          <w:tcPr>
            <w:tcW w:w="80" w:type="dxa"/>
            <w:vAlign w:val="bottom"/>
          </w:tcPr>
          <w:p>
            <w:pPr>
              <w:spacing w:after="0"/>
              <w:rPr>
                <w:sz w:val="14"/>
                <w:szCs w:val="14"/>
                <w:color w:val="auto"/>
              </w:rPr>
            </w:pPr>
          </w:p>
        </w:tc>
        <w:tc>
          <w:tcPr>
            <w:tcW w:w="5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39"/>
        </w:trPr>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841"/>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80"/>
          </w:cols>
          <w:pgMar w:left="320" w:top="890" w:right="3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68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 reconciliation: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3,158.1</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6,692.1</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6,320.2</w:t>
            </w:r>
          </w:p>
        </w:tc>
        <w:tc>
          <w:tcPr>
            <w:tcW w:w="0" w:type="dxa"/>
            <w:vAlign w:val="bottom"/>
          </w:tcPr>
          <w:p>
            <w:pPr>
              <w:spacing w:after="0"/>
              <w:rPr>
                <w:sz w:val="1"/>
                <w:szCs w:val="1"/>
                <w:color w:val="auto"/>
              </w:rPr>
            </w:pPr>
          </w:p>
        </w:tc>
      </w:tr>
      <w:tr>
        <w:trPr>
          <w:trHeight w:val="176"/>
        </w:trPr>
        <w:tc>
          <w:tcPr>
            <w:tcW w:w="59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Global gross profit payment from Roche in connection with sales of</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Ronapreve</w:t>
            </w: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excluding Ronapreve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r>
              <w:rPr>
                <w:rFonts w:ascii="Arial" w:cs="Arial" w:eastAsia="Arial" w:hAnsi="Arial"/>
                <w:sz w:val="18"/>
                <w:szCs w:val="18"/>
                <w:u w:val="single" w:color="auto"/>
                <w:color w:val="auto"/>
              </w:rPr>
              <w:t>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r>
              <w:rPr>
                <w:rFonts w:ascii="Arial" w:cs="Arial" w:eastAsia="Arial" w:hAnsi="Arial"/>
                <w:sz w:val="18"/>
                <w:szCs w:val="18"/>
                <w:u w:val="single" w:color="auto"/>
                <w:color w:val="auto"/>
              </w:rPr>
              <w:t>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GAAP ETR</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1,866.5</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r>
              <w:rPr>
                <w:rFonts w:ascii="Arial" w:cs="Arial" w:eastAsia="Arial" w:hAnsi="Arial"/>
                <w:sz w:val="18"/>
                <w:szCs w:val="18"/>
                <w:u w:val="single" w:color="auto"/>
                <w:color w:val="auto"/>
              </w:rPr>
              <w:t>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133" w:right="4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744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9"/>
              </w:rPr>
              <w:t>COLLABORATION REVENUE (Unaudited)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180" w:type="dxa"/>
            <w:vAlign w:val="bottom"/>
          </w:tcPr>
          <w:p>
            <w:pPr>
              <w:jc w:val="center"/>
              <w:ind w:left="4810"/>
              <w:spacing w:after="0"/>
              <w:rPr>
                <w:sz w:val="20"/>
                <w:szCs w:val="20"/>
                <w:color w:val="auto"/>
              </w:rPr>
            </w:pPr>
            <w:r>
              <w:rPr>
                <w:rFonts w:ascii="Arial" w:cs="Arial" w:eastAsia="Arial" w:hAnsi="Arial"/>
                <w:sz w:val="18"/>
                <w:szCs w:val="18"/>
                <w:b w:val="1"/>
                <w:bCs w:val="1"/>
                <w:i w:val="1"/>
                <w:iCs w:val="1"/>
                <w:color w:val="auto"/>
                <w:w w:val="98"/>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988.3</w:t>
            </w:r>
          </w:p>
        </w:tc>
        <w:tc>
          <w:tcPr>
            <w:tcW w:w="1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1,387.6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EYLEA 8 mg and EYLEA outside the United States</w:t>
            </w: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ex-U.S. commercial supplies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collaboration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Global gross profit payment from Roche in connection with sales of</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Ronapreve</w:t>
            </w:r>
          </w:p>
        </w:tc>
        <w:tc>
          <w:tcPr>
            <w:tcW w:w="2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890"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Three Months Ended</w:t>
      </w:r>
    </w:p>
    <w:p>
      <w:pPr>
        <w:jc w:val="center"/>
        <w:ind w:left="114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960" w:type="dxa"/>
            <w:vAlign w:val="bottom"/>
            <w:gridSpan w:val="2"/>
          </w:tcPr>
          <w:p>
            <w:pPr>
              <w:jc w:val="center"/>
              <w:ind w:right="260"/>
              <w:spacing w:after="0" w:line="223"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color w:val="auto"/>
                <w:w w:val="92"/>
                <w:vertAlign w:val="superscript"/>
              </w:rPr>
              <w:t>(g)</w:t>
            </w:r>
          </w:p>
        </w:tc>
        <w:tc>
          <w:tcPr>
            <w:tcW w:w="18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 and EYLEA</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w:t>
            </w:r>
          </w:p>
        </w:tc>
        <w:tc>
          <w:tcPr>
            <w:tcW w:w="2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2,105.2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2,789.4</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140.3</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7"/>
        </w:trPr>
        <w:tc>
          <w:tcPr>
            <w:tcW w:w="2900" w:type="dxa"/>
            <w:vAlign w:val="bottom"/>
          </w:tcPr>
          <w:p>
            <w:pPr>
              <w:ind w:left="20"/>
              <w:spacing w:after="0" w:line="25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346"/>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ind w:left="8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ROW</w:t>
            </w:r>
          </w:p>
        </w:tc>
        <w:tc>
          <w:tcPr>
            <w:tcW w:w="18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 and EYLEA</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4,667.3</w:t>
            </w:r>
          </w:p>
        </w:tc>
        <w:tc>
          <w:tcPr>
            <w:tcW w:w="2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4,003.3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5,274.4</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286.2</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613.2</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80"/>
        <w:spacing w:after="0" w:line="246"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Percentage not meaningful</w:t>
      </w:r>
    </w:p>
    <w:p>
      <w:pPr>
        <w:spacing w:after="0" w:line="32" w:lineRule="exact"/>
        <w:rPr>
          <w:sz w:val="20"/>
          <w:szCs w:val="20"/>
          <w:color w:val="auto"/>
        </w:rPr>
      </w:pPr>
    </w:p>
    <w:p>
      <w:pPr>
        <w:ind w:left="240" w:right="520" w:firstLine="2"/>
        <w:spacing w:after="0" w:line="206" w:lineRule="auto"/>
        <w:tabs>
          <w:tab w:leader="none" w:pos="428"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2" w:lineRule="exact"/>
        <w:rPr>
          <w:rFonts w:ascii="Arial" w:cs="Arial" w:eastAsia="Arial" w:hAnsi="Arial"/>
          <w:sz w:val="22"/>
          <w:szCs w:val="22"/>
          <w:color w:val="auto"/>
          <w:vertAlign w:val="superscript"/>
        </w:rPr>
      </w:pPr>
    </w:p>
    <w:p>
      <w:pPr>
        <w:ind w:left="240" w:right="120" w:firstLine="2"/>
        <w:spacing w:after="0" w:line="206" w:lineRule="auto"/>
        <w:tabs>
          <w:tab w:leader="none" w:pos="428"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2" w:lineRule="exact"/>
        <w:rPr>
          <w:rFonts w:ascii="Arial" w:cs="Arial" w:eastAsia="Arial" w:hAnsi="Arial"/>
          <w:sz w:val="22"/>
          <w:szCs w:val="22"/>
          <w:color w:val="auto"/>
          <w:vertAlign w:val="superscript"/>
        </w:rPr>
      </w:pPr>
    </w:p>
    <w:p>
      <w:pPr>
        <w:ind w:left="240" w:right="200" w:firstLine="2"/>
        <w:spacing w:after="0" w:line="205" w:lineRule="auto"/>
        <w:tabs>
          <w:tab w:leader="none" w:pos="421"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The Company records global net product sales of Libtayo and pays Sanofi a royalty on such sales. Prior to July 1, 2022, Sanofi recorded net product sales of Libtayo outside the United States. Included in this line item for the six months ended June 30, 2023 is approximately $6 million of first quarter 2023 net product sales recorded by Sanofi in connection with sales in certain markets outside the United States (Sanofi recorded net product sales in such markets during a transition period).</w:t>
      </w:r>
    </w:p>
    <w:p>
      <w:pPr>
        <w:spacing w:after="0" w:line="4" w:lineRule="exact"/>
        <w:rPr>
          <w:rFonts w:ascii="Arial" w:cs="Arial" w:eastAsia="Arial" w:hAnsi="Arial"/>
          <w:sz w:val="23"/>
          <w:szCs w:val="23"/>
          <w:color w:val="auto"/>
          <w:vertAlign w:val="superscript"/>
        </w:rPr>
      </w:pPr>
    </w:p>
    <w:p>
      <w:pPr>
        <w:ind w:left="240" w:right="220" w:firstLine="2"/>
        <w:spacing w:after="0" w:line="206" w:lineRule="auto"/>
        <w:tabs>
          <w:tab w:leader="none" w:pos="428"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2" w:lineRule="exact"/>
        <w:rPr>
          <w:rFonts w:ascii="Arial" w:cs="Arial" w:eastAsia="Arial" w:hAnsi="Arial"/>
          <w:sz w:val="22"/>
          <w:szCs w:val="22"/>
          <w:color w:val="auto"/>
          <w:vertAlign w:val="superscript"/>
        </w:rPr>
      </w:pPr>
    </w:p>
    <w:p>
      <w:pPr>
        <w:ind w:left="240" w:right="340" w:firstLine="2"/>
        <w:spacing w:after="0" w:line="206" w:lineRule="auto"/>
        <w:tabs>
          <w:tab w:leader="none" w:pos="428"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Roche records net product sales outside the United States and the Company records its share of gross profits from sales based on a pre-specified formula, which is recorded within Collaboration revenue.</w:t>
      </w:r>
    </w:p>
    <w:p>
      <w:pPr>
        <w:spacing w:after="0" w:line="2" w:lineRule="exact"/>
        <w:rPr>
          <w:rFonts w:ascii="Arial" w:cs="Arial" w:eastAsia="Arial" w:hAnsi="Arial"/>
          <w:sz w:val="22"/>
          <w:szCs w:val="22"/>
          <w:color w:val="auto"/>
          <w:vertAlign w:val="superscript"/>
        </w:rPr>
      </w:pPr>
    </w:p>
    <w:p>
      <w:pPr>
        <w:jc w:val="both"/>
        <w:ind w:left="240" w:right="120" w:firstLine="2"/>
        <w:spacing w:after="0" w:line="187" w:lineRule="auto"/>
        <w:tabs>
          <w:tab w:leader="none" w:pos="395"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Included in this line item are products which are sold by the Company and others. Refer to "Second Quarter 2024 Financial Results" section above for a complete listing of net product sales recorded by the Company. Not included in this line item are net product sales of ARCALYST</w:t>
      </w:r>
      <w:r>
        <w:rPr>
          <w:rFonts w:ascii="Arial" w:cs="Arial" w:eastAsia="Arial" w:hAnsi="Arial"/>
          <w:sz w:val="21"/>
          <w:szCs w:val="21"/>
          <w:color w:val="auto"/>
          <w:vertAlign w:val="superscript"/>
        </w:rPr>
        <w:t>®</w:t>
      </w:r>
      <w:r>
        <w:rPr>
          <w:rFonts w:ascii="Arial" w:cs="Arial" w:eastAsia="Arial" w:hAnsi="Arial"/>
          <w:sz w:val="16"/>
          <w:szCs w:val="16"/>
          <w:color w:val="auto"/>
        </w:rPr>
        <w:t>, which are recorded by Kiniksa; net product sales of ARCALYST were $79 million for the first quarter of 2024.</w:t>
      </w:r>
    </w:p>
    <w:p>
      <w:pPr>
        <w:spacing w:after="0" w:line="1" w:lineRule="exact"/>
        <w:rPr>
          <w:rFonts w:ascii="Arial" w:cs="Arial" w:eastAsia="Arial" w:hAnsi="Arial"/>
          <w:sz w:val="23"/>
          <w:szCs w:val="23"/>
          <w:color w:val="auto"/>
          <w:vertAlign w:val="superscript"/>
        </w:rPr>
      </w:pPr>
    </w:p>
    <w:p>
      <w:pPr>
        <w:ind w:left="420" w:hanging="178"/>
        <w:spacing w:after="0" w:line="214" w:lineRule="auto"/>
        <w:tabs>
          <w:tab w:leader="none" w:pos="42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Rest of world (ROW)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2024-08-01T06:14:45Z</dcterms:created>
  <dcterms:modified xsi:type="dcterms:W3CDTF">2024-08-01T06:14:45Z</dcterms:modified>
</cp:coreProperties>
</file>