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9396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939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00"/>
          </w:cols>
          <w:pgMar w:left="460" w:top="221" w:right="37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STAHL NEIL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160" w:type="dxa"/>
            <w:vAlign w:val="bottom"/>
            <w:gridSpan w:val="6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335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52,795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08/04/2022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95,000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270.43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147,795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08/04/2022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71,218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613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76,577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606.78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76,401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607.47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75,677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608.7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609.62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72,023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3,931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610.49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68,092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611.44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66,070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2,076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612.43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63,994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3,218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613.49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60,776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614.35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56,664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615.49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55,054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616.4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54,519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617.43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54,095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618.27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53,574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619.64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(14)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53,072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620.11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(15)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52,895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621.11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(16)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52,795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5,814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4,605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Trustee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60"/>
          </w:cols>
          <w:pgMar w:left="460" w:top="221" w:right="3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280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28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12/13/2023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95,000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20" w:right="3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176 shares of Company stock on August 5, 2022 at prices ranging from $606.60 to $606.96.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724 shares of Company stock on August 5, 2022 at prices ranging from $607.00 to $607.99.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610 shares of Company stock on August 5, 2022 at prices ranging from $608.03 to $608.98.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3,044 shares of Company stock on August 5, 2022 at prices ranging from $609.00 to $609.97.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3,931 shares of Company stock on August 5, 2022 at prices ranging from $610.00 to $610.99.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2,022 shares of Company stock on August 5, 2022 at prices ranging from $611.00 to $611.97.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2,076 shares of Company stock on August 5, 2022 at prices ranging from $612.00 to $612.99.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3,218 shares of Company stock on August 5, 2022 at prices ranging from $613.00 to $613.98.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4,112 shares of Company stock on August 5, 2022 at prices ranging from $614.00 to $614.97.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1,610 shares of Company stock on August 5, 2022 at prices ranging from $615.00 to $615.96.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40" w:firstLine="2"/>
        <w:spacing w:after="0" w:line="290" w:lineRule="auto"/>
        <w:tabs>
          <w:tab w:leader="none" w:pos="20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535 shares of Company stock on August 5, 2022 at prices ranging from $616.08 to $616.91.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424 shares of Company stock on August 5, 2022 at prices ranging from $617.04 to $617.75.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521 shares of Company stock on August 5, 2022 at prices ranging from $618.06 to $618.94.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502 shares of Company stock on August 5, 2022 at prices ranging from $619.00 to $619.91.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4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177 shares of Company stock on August 5, 2022 at prices ranging from $620.11 to $620.17.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100 shares of Company stock on August 5, 2022 at prices ranging from $621.09 to $621.14. Upon request by the Commission staff, the Company, or a security holder of the Company, the reporting person will provide full information regarding the number of shares sold by the reporting person on August 5,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/s/**Neil Stahl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08/08/2022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4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2022-08-09T02:12:29Z</dcterms:created>
  <dcterms:modified xsi:type="dcterms:W3CDTF">2022-08-09T02:12:29Z</dcterms:modified>
</cp:coreProperties>
</file>