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3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OMB Number: 3235-0145</w:t>
      </w:r>
    </w:p>
    <w:p>
      <w:pPr>
        <w:spacing w:after="0" w:line="2"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Expires: February 28, 2009</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hours per response...10.4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335" w:lineRule="exact"/>
        <w:rPr>
          <w:sz w:val="20"/>
          <w:szCs w:val="20"/>
          <w:color w:val="auto"/>
        </w:rPr>
      </w:pPr>
    </w:p>
    <w:p>
      <w:pPr>
        <w:jc w:val="center"/>
        <w:ind w:right="40"/>
        <w:spacing w:after="0" w:line="238"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jc w:val="center"/>
        <w:ind w:right="-19"/>
        <w:spacing w:after="0" w:line="236" w:lineRule="auto"/>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1</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75886F107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Rule 13d-1(b)</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Rule 13d-1(c)</w:t>
      </w:r>
    </w:p>
    <w:p>
      <w:pPr>
        <w:spacing w:after="0" w:line="185" w:lineRule="exact"/>
        <w:rPr>
          <w:sz w:val="20"/>
          <w:szCs w:val="20"/>
          <w:color w:val="auto"/>
        </w:rPr>
      </w:pPr>
    </w:p>
    <w:p>
      <w:pPr>
        <w:ind w:left="660" w:hanging="2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43" w:lineRule="exact"/>
        <w:rPr>
          <w:sz w:val="20"/>
          <w:szCs w:val="20"/>
          <w:color w:val="auto"/>
        </w:rPr>
      </w:pPr>
    </w:p>
    <w:p>
      <w:pPr>
        <w:ind w:right="20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i w:val="1"/>
          <w:iCs w:val="1"/>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88"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75886F105</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P Roy Vagelos, M.D.</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2,556,314 (See Item 4)</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58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542,851 (See Item 4)</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958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2,556,314 (See Item 4)</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542,851 (See Item 4)</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3,099,165 (See Item 4)</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4.8% (See Item 4)</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5"/>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w:t>
            </w:r>
          </w:p>
        </w:tc>
        <w:tc>
          <w:tcPr>
            <w:tcW w:w="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40" w:type="dxa"/>
            <w:vAlign w:val="bottom"/>
            <w:gridSpan w:val="2"/>
          </w:tcPr>
          <w:p>
            <w:pPr>
              <w:ind w:left="7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39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
          </w:tcPr>
          <w:p>
            <w:pPr>
              <w:ind w:left="37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p>
      <w:pPr>
        <w:spacing w:after="0"/>
        <w:tabs>
          <w:tab w:leader="none" w:pos="2500" w:val="left"/>
        </w:tabs>
        <w:rPr>
          <w:sz w:val="20"/>
          <w:szCs w:val="20"/>
          <w:color w:val="auto"/>
        </w:rPr>
      </w:pPr>
      <w:r>
        <w:rPr>
          <w:rFonts w:ascii="Arial" w:cs="Arial" w:eastAsia="Arial" w:hAnsi="Arial"/>
          <w:sz w:val="18"/>
          <w:szCs w:val="18"/>
          <w:b w:val="1"/>
          <w:bCs w:val="1"/>
          <w:color w:val="auto"/>
        </w:rPr>
        <w:t>Item 1(a). Name of Issuer:</w:t>
      </w:r>
      <w:r>
        <w:rPr>
          <w:sz w:val="20"/>
          <w:szCs w:val="20"/>
          <w:color w:val="auto"/>
        </w:rPr>
        <w:tab/>
      </w:r>
      <w:r>
        <w:rPr>
          <w:rFonts w:ascii="Arial" w:cs="Arial" w:eastAsia="Arial" w:hAnsi="Arial"/>
          <w:sz w:val="15"/>
          <w:szCs w:val="15"/>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Address of Issuer’s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110" w:lineRule="exact"/>
        <w:rPr>
          <w:sz w:val="20"/>
          <w:szCs w:val="20"/>
          <w:color w:val="auto"/>
        </w:rPr>
      </w:pPr>
    </w:p>
    <w:p>
      <w:pPr>
        <w:sectPr>
          <w:pgSz w:w="11900" w:h="16838" w:orient="portrait"/>
          <w:cols w:equalWidth="0" w:num="2">
            <w:col w:w="5560" w:space="720"/>
            <w:col w:w="4160"/>
          </w:cols>
          <w:pgMar w:left="240" w:top="931" w:right="1219" w:bottom="1440" w:gutter="0" w:footer="0" w:header="0"/>
        </w:sect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 Roy Vagelos, M.D.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Old Saw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75886F105</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If this statement is filed pursuant to Rule 13d-1(b), or 13d-2(b) or (c), check whether the person filing is a: </w:t>
      </w:r>
      <w:r>
        <w:rPr>
          <w:rFonts w:ascii="Arial" w:cs="Arial" w:eastAsia="Arial" w:hAnsi="Arial"/>
          <w:sz w:val="17"/>
          <w:szCs w:val="17"/>
          <w:color w:val="auto"/>
        </w:rPr>
        <w:t>Not applicable.</w:t>
      </w:r>
    </w:p>
    <w:p>
      <w:pPr>
        <w:spacing w:after="0" w:line="133"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13d- 1(b)(1)(ii)(G);</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931"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color w:val="auto"/>
        </w:rPr>
        <w:t>3,099,165 shares, including 203,199 shares held by the Marianthi Foundation and 339,652 shares held by the Pindaros Foundation. These Foundations are not-for-profit corporations of which Dr. Vagelos is an officer and director. Dr. Vagelos disclaims beneficial ownership of the shares held by these Foundations.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ind w:right="560" w:firstLine="225"/>
        <w:spacing w:after="0" w:line="264" w:lineRule="auto"/>
        <w:rPr>
          <w:sz w:val="20"/>
          <w:szCs w:val="20"/>
          <w:color w:val="auto"/>
        </w:rPr>
      </w:pPr>
      <w:r>
        <w:rPr>
          <w:rFonts w:ascii="Arial" w:cs="Arial" w:eastAsia="Arial" w:hAnsi="Arial"/>
          <w:sz w:val="18"/>
          <w:szCs w:val="18"/>
          <w:color w:val="auto"/>
        </w:rPr>
        <w:t>4.8%, based on 63,130,962 shares outstanding as of December 31, 2006, as reported by the Issuer, and 1,749,374 shares underlying options held by Dr. Vagelos which were exercisable as of December 31, 2006 or became exercisable within 60 days thereafter as described in Item 4(c).</w:t>
      </w:r>
    </w:p>
    <w:p>
      <w:pPr>
        <w:spacing w:after="0" w:line="73"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ind w:right="120" w:firstLine="675"/>
        <w:spacing w:after="0" w:line="302" w:lineRule="auto"/>
        <w:rPr>
          <w:sz w:val="20"/>
          <w:szCs w:val="20"/>
          <w:color w:val="auto"/>
        </w:rPr>
      </w:pPr>
      <w:r>
        <w:rPr>
          <w:rFonts w:ascii="Arial" w:cs="Arial" w:eastAsia="Arial" w:hAnsi="Arial"/>
          <w:sz w:val="16"/>
          <w:szCs w:val="16"/>
          <w:color w:val="auto"/>
        </w:rPr>
        <w:t>2,556,314 shares which consist of (i) 1,490 shares held in an account under the Issuer’s 401(k) Plan as of December 31, 2006; (ii) 1,749,374 shares purchasable upon exercise of options granted to Dr. Vagelos under the Issuer’s 1990 and 2000 Long-Term Incentive Plans which were exercisable as of December 31, 2006 or became exercisable within 60 days thereafter; (iii) 349,113 shares held in a charitable lead annuity trust of which Dr. Vagelos is the sole trustee; and (iv) an aggregate of 456,337 shares held in two grantor retained annuity trusts of which Dr. Vagelos is the sole trustee.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Shared power to vote or to direct the vote:</w:t>
      </w:r>
    </w:p>
    <w:p>
      <w:pPr>
        <w:spacing w:after="0" w:line="117"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542,851 shares which consist of 203,199 shares held by the Marianthi Foundation and 339,652 shares held by the Pindros Foundation. Dr. Vagelos disclaims beneficial ownership of these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117" w:lineRule="exact"/>
        <w:rPr>
          <w:sz w:val="20"/>
          <w:szCs w:val="20"/>
          <w:color w:val="auto"/>
        </w:rPr>
      </w:pPr>
    </w:p>
    <w:p>
      <w:pPr>
        <w:ind w:right="300" w:firstLine="450"/>
        <w:spacing w:after="0" w:line="302" w:lineRule="auto"/>
        <w:rPr>
          <w:sz w:val="20"/>
          <w:szCs w:val="20"/>
          <w:color w:val="auto"/>
        </w:rPr>
      </w:pPr>
      <w:r>
        <w:rPr>
          <w:rFonts w:ascii="Arial" w:cs="Arial" w:eastAsia="Arial" w:hAnsi="Arial"/>
          <w:sz w:val="16"/>
          <w:szCs w:val="16"/>
          <w:color w:val="auto"/>
        </w:rPr>
        <w:t>2,556,314 shares which consist of (i) 1,490 shares held in an account under the Issuer’s 401(k) Plan as of December 31, 2006; (ii) 1,749,374 shares purchasable upon exercise of options granted to Dr. Vagelos under the Issuer’s 1990 and 2000 Long-Term Incentive Plans which were exercisable as of December 31, 2006 or became exercisable within 60 days thereafter; (iii) 349,113 shares held in a charitable lead annuity trust of which Dr. Vagelos is the sole trustee; and (iv) an aggregate of 456,337 shares held in two grantor retained annuity trusts of which Dr. Vagelos is the sole trustee.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17"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542,851 shares which consist of 203,199 shares held by the Marianthi Foundation and 339,652 shares held by the Pindaros Foundation. Dr. Vagelos disclaims beneficial ownership of these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88" w:lineRule="exact"/>
        <w:rPr>
          <w:sz w:val="20"/>
          <w:szCs w:val="20"/>
          <w:color w:val="auto"/>
        </w:rPr>
      </w:pPr>
    </w:p>
    <w:p>
      <w:pPr>
        <w:ind w:left="240"/>
        <w:spacing w:after="0" w:line="181" w:lineRule="exact"/>
        <w:rPr>
          <w:sz w:val="20"/>
          <w:szCs w:val="20"/>
          <w:color w:val="auto"/>
        </w:rPr>
      </w:pPr>
      <w:r>
        <w:rPr>
          <w:rFonts w:ascii="MS PGothic" w:cs="MS PGothic" w:eastAsia="MS PGothic" w:hAnsi="MS PGothic"/>
          <w:sz w:val="18"/>
          <w:szCs w:val="18"/>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30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 Roy Vagelos, M.D.</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sectPr>
      <w:pgSz w:w="11900" w:h="16838" w:orient="portrait"/>
      <w:cols w:equalWidth="0" w:num="1">
        <w:col w:w="11300"/>
      </w:cols>
      <w:pgMar w:left="240" w:top="95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2019-12-11T21:30:42Z</dcterms:created>
  <dcterms:modified xsi:type="dcterms:W3CDTF">2019-12-11T21:30:42Z</dcterms:modified>
</cp:coreProperties>
</file>