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Regeneron Pharmaceuticals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7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11430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December 20,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jc w:val="both"/>
        <w:ind w:right="10100" w:firstLine="8"/>
        <w:spacing w:after="0" w:line="224" w:lineRule="exact"/>
        <w:tabs>
          <w:tab w:leader="none" w:pos="20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 (b)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 (c)</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 (d)</w:t>
      </w:r>
    </w:p>
    <w:p>
      <w:pPr>
        <w:spacing w:after="0" w:line="198" w:lineRule="exact"/>
        <w:rPr>
          <w:sz w:val="24"/>
          <w:szCs w:val="24"/>
          <w:color w:val="auto"/>
        </w:rPr>
      </w:pPr>
    </w:p>
    <w:p>
      <w:pPr>
        <w:ind w:left="220" w:hanging="212"/>
        <w:spacing w:after="0" w:line="26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could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to the liabilities of that section of the Act but shall be subject to all other provisions of the Act (however, see the Notes).</w:t>
      </w:r>
    </w:p>
    <w:p>
      <w:pPr>
        <w:spacing w:after="0" w:line="8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ectPr>
          <w:pgSz w:w="11900" w:h="16838" w:orient="portrait"/>
          <w:cols w:equalWidth="0" w:num="1">
            <w:col w:w="11340"/>
          </w:cols>
          <w:pgMar w:left="240" w:top="584" w:right="319" w:bottom="1440" w:gutter="0" w:footer="0" w:header="0"/>
        </w:sectPr>
      </w:pPr>
    </w:p>
    <w:bookmarkStart w:id="1" w:name="page2"/>
    <w:bookmarkEnd w:id="1"/>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sanofi-aventis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The Republic of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020" w:hanging="317"/>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Number of</w:t>
            </w:r>
          </w:p>
        </w:tc>
        <w:tc>
          <w:tcPr>
            <w:tcW w:w="420" w:type="dxa"/>
            <w:vAlign w:val="bottom"/>
          </w:tcPr>
          <w:p>
            <w:pPr>
              <w:spacing w:after="0"/>
              <w:rPr>
                <w:sz w:val="21"/>
                <w:szCs w:val="21"/>
                <w:color w:val="auto"/>
              </w:rPr>
            </w:pPr>
          </w:p>
        </w:tc>
        <w:tc>
          <w:tcPr>
            <w:tcW w:w="9500" w:type="dxa"/>
            <w:vAlign w:val="bottom"/>
          </w:tcPr>
          <w:p>
            <w:pPr>
              <w:ind w:left="5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41"/>
        </w:trPr>
        <w:tc>
          <w:tcPr>
            <w:tcW w:w="1180" w:type="dxa"/>
            <w:vAlign w:val="bottom"/>
            <w:vMerge w:val="restart"/>
          </w:tcPr>
          <w:p>
            <w:pPr>
              <w:jc w:val="center"/>
              <w:ind w:right="232"/>
              <w:spacing w:after="0"/>
              <w:rPr>
                <w:sz w:val="20"/>
                <w:szCs w:val="20"/>
                <w:color w:val="auto"/>
              </w:rPr>
            </w:pPr>
            <w:r>
              <w:rPr>
                <w:rFonts w:ascii="Arial" w:cs="Arial" w:eastAsia="Arial" w:hAnsi="Arial"/>
                <w:sz w:val="18"/>
                <w:szCs w:val="18"/>
                <w:b w:val="1"/>
                <w:bCs w:val="1"/>
                <w:color w:val="auto"/>
                <w:w w:val="83"/>
              </w:rPr>
              <w:t>Shares</w:t>
            </w:r>
          </w:p>
        </w:tc>
        <w:tc>
          <w:tcPr>
            <w:tcW w:w="42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Arial" w:cs="Arial" w:eastAsia="Arial" w:hAnsi="Arial"/>
                <w:sz w:val="18"/>
                <w:szCs w:val="18"/>
                <w:color w:val="auto"/>
              </w:rPr>
              <w:t>6.</w:t>
            </w:r>
          </w:p>
        </w:tc>
        <w:tc>
          <w:tcPr>
            <w:tcW w:w="950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85"/>
              </w:rPr>
              <w:t>Beneficially</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14,799,552 shares</w:t>
            </w:r>
          </w:p>
        </w:tc>
        <w:tc>
          <w:tcPr>
            <w:tcW w:w="0" w:type="dxa"/>
            <w:vAlign w:val="bottom"/>
          </w:tcPr>
          <w:p>
            <w:pPr>
              <w:spacing w:after="0"/>
              <w:rPr>
                <w:sz w:val="1"/>
                <w:szCs w:val="1"/>
                <w:color w:val="auto"/>
              </w:rPr>
            </w:pPr>
          </w:p>
        </w:tc>
      </w:tr>
      <w:tr>
        <w:trPr>
          <w:trHeight w:val="230"/>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Owned by</w:t>
            </w:r>
          </w:p>
        </w:tc>
        <w:tc>
          <w:tcPr>
            <w:tcW w:w="42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80" w:type="dxa"/>
            <w:vAlign w:val="bottom"/>
          </w:tcPr>
          <w:p>
            <w:pPr>
              <w:jc w:val="center"/>
              <w:ind w:right="232"/>
              <w:spacing w:after="0" w:line="182" w:lineRule="exact"/>
              <w:rPr>
                <w:sz w:val="20"/>
                <w:szCs w:val="20"/>
                <w:color w:val="auto"/>
              </w:rPr>
            </w:pPr>
            <w:r>
              <w:rPr>
                <w:rFonts w:ascii="Arial" w:cs="Arial" w:eastAsia="Arial" w:hAnsi="Arial"/>
                <w:sz w:val="18"/>
                <w:szCs w:val="18"/>
                <w:b w:val="1"/>
                <w:bCs w:val="1"/>
                <w:color w:val="auto"/>
                <w:w w:val="88"/>
              </w:rPr>
              <w:t>Each</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5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Reporting</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03"/>
        </w:trPr>
        <w:tc>
          <w:tcPr>
            <w:tcW w:w="1180" w:type="dxa"/>
            <w:vAlign w:val="bottom"/>
          </w:tcPr>
          <w:p>
            <w:pPr>
              <w:jc w:val="center"/>
              <w:ind w:right="232"/>
              <w:spacing w:after="0" w:line="203" w:lineRule="exact"/>
              <w:rPr>
                <w:sz w:val="20"/>
                <w:szCs w:val="20"/>
                <w:color w:val="auto"/>
              </w:rPr>
            </w:pPr>
            <w:r>
              <w:rPr>
                <w:rFonts w:ascii="Arial" w:cs="Arial" w:eastAsia="Arial" w:hAnsi="Arial"/>
                <w:sz w:val="18"/>
                <w:szCs w:val="18"/>
                <w:b w:val="1"/>
                <w:bCs w:val="1"/>
                <w:color w:val="auto"/>
                <w:w w:val="81"/>
              </w:rPr>
              <w:t>Person</w:t>
            </w:r>
          </w:p>
        </w:tc>
        <w:tc>
          <w:tcPr>
            <w:tcW w:w="42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93"/>
              </w:rPr>
              <w:t>With:</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5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14,799,552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14,799,552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81" w:lineRule="exact"/>
        <w:rPr>
          <w:sz w:val="20"/>
          <w:szCs w:val="20"/>
          <w:color w:val="auto"/>
        </w:rPr>
      </w:pPr>
    </w:p>
    <w:p>
      <w:pPr>
        <w:jc w:val="right"/>
        <w:ind w:right="2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2" w:name="page3"/>
    <w:bookmarkEnd w:id="2"/>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sanofi-aventis Amerique du Nord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color w:val="auto"/>
        </w:rPr>
      </w:pPr>
    </w:p>
    <w:p>
      <w:pPr>
        <w:ind w:left="380" w:hanging="284"/>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rFonts w:ascii="Arial" w:cs="Arial" w:eastAsia="Arial" w:hAnsi="Arial"/>
          <w:sz w:val="18"/>
          <w:szCs w:val="18"/>
          <w:color w:val="auto"/>
        </w:rPr>
      </w:pPr>
    </w:p>
    <w:p>
      <w:pPr>
        <w:ind w:left="380" w:hanging="284"/>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The Republic of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020" w:hanging="317"/>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Number of</w:t>
            </w:r>
          </w:p>
        </w:tc>
        <w:tc>
          <w:tcPr>
            <w:tcW w:w="420" w:type="dxa"/>
            <w:vAlign w:val="bottom"/>
          </w:tcPr>
          <w:p>
            <w:pPr>
              <w:spacing w:after="0"/>
              <w:rPr>
                <w:sz w:val="21"/>
                <w:szCs w:val="21"/>
                <w:color w:val="auto"/>
              </w:rPr>
            </w:pPr>
          </w:p>
        </w:tc>
        <w:tc>
          <w:tcPr>
            <w:tcW w:w="9500" w:type="dxa"/>
            <w:vAlign w:val="bottom"/>
          </w:tcPr>
          <w:p>
            <w:pPr>
              <w:ind w:left="5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41"/>
        </w:trPr>
        <w:tc>
          <w:tcPr>
            <w:tcW w:w="1180" w:type="dxa"/>
            <w:vAlign w:val="bottom"/>
            <w:vMerge w:val="restart"/>
          </w:tcPr>
          <w:p>
            <w:pPr>
              <w:jc w:val="center"/>
              <w:ind w:right="232"/>
              <w:spacing w:after="0"/>
              <w:rPr>
                <w:sz w:val="20"/>
                <w:szCs w:val="20"/>
                <w:color w:val="auto"/>
              </w:rPr>
            </w:pPr>
            <w:r>
              <w:rPr>
                <w:rFonts w:ascii="Arial" w:cs="Arial" w:eastAsia="Arial" w:hAnsi="Arial"/>
                <w:sz w:val="18"/>
                <w:szCs w:val="18"/>
                <w:b w:val="1"/>
                <w:bCs w:val="1"/>
                <w:color w:val="auto"/>
                <w:w w:val="83"/>
              </w:rPr>
              <w:t>Shares</w:t>
            </w:r>
          </w:p>
        </w:tc>
        <w:tc>
          <w:tcPr>
            <w:tcW w:w="42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Arial" w:cs="Arial" w:eastAsia="Arial" w:hAnsi="Arial"/>
                <w:sz w:val="18"/>
                <w:szCs w:val="18"/>
                <w:color w:val="auto"/>
              </w:rPr>
              <w:t>6.</w:t>
            </w:r>
          </w:p>
        </w:tc>
        <w:tc>
          <w:tcPr>
            <w:tcW w:w="950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85"/>
              </w:rPr>
              <w:t>Beneficially</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14,799,552 shares</w:t>
            </w:r>
          </w:p>
        </w:tc>
        <w:tc>
          <w:tcPr>
            <w:tcW w:w="0" w:type="dxa"/>
            <w:vAlign w:val="bottom"/>
          </w:tcPr>
          <w:p>
            <w:pPr>
              <w:spacing w:after="0"/>
              <w:rPr>
                <w:sz w:val="1"/>
                <w:szCs w:val="1"/>
                <w:color w:val="auto"/>
              </w:rPr>
            </w:pPr>
          </w:p>
        </w:tc>
      </w:tr>
      <w:tr>
        <w:trPr>
          <w:trHeight w:val="230"/>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Owned by</w:t>
            </w:r>
          </w:p>
        </w:tc>
        <w:tc>
          <w:tcPr>
            <w:tcW w:w="42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80" w:type="dxa"/>
            <w:vAlign w:val="bottom"/>
          </w:tcPr>
          <w:p>
            <w:pPr>
              <w:jc w:val="center"/>
              <w:ind w:right="232"/>
              <w:spacing w:after="0" w:line="182" w:lineRule="exact"/>
              <w:rPr>
                <w:sz w:val="20"/>
                <w:szCs w:val="20"/>
                <w:color w:val="auto"/>
              </w:rPr>
            </w:pPr>
            <w:r>
              <w:rPr>
                <w:rFonts w:ascii="Arial" w:cs="Arial" w:eastAsia="Arial" w:hAnsi="Arial"/>
                <w:sz w:val="18"/>
                <w:szCs w:val="18"/>
                <w:b w:val="1"/>
                <w:bCs w:val="1"/>
                <w:color w:val="auto"/>
                <w:w w:val="88"/>
              </w:rPr>
              <w:t>Each</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5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Reporting</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03"/>
        </w:trPr>
        <w:tc>
          <w:tcPr>
            <w:tcW w:w="1180" w:type="dxa"/>
            <w:vAlign w:val="bottom"/>
          </w:tcPr>
          <w:p>
            <w:pPr>
              <w:jc w:val="center"/>
              <w:ind w:right="232"/>
              <w:spacing w:after="0" w:line="203" w:lineRule="exact"/>
              <w:rPr>
                <w:sz w:val="20"/>
                <w:szCs w:val="20"/>
                <w:color w:val="auto"/>
              </w:rPr>
            </w:pPr>
            <w:r>
              <w:rPr>
                <w:rFonts w:ascii="Arial" w:cs="Arial" w:eastAsia="Arial" w:hAnsi="Arial"/>
                <w:sz w:val="18"/>
                <w:szCs w:val="18"/>
                <w:b w:val="1"/>
                <w:bCs w:val="1"/>
                <w:color w:val="auto"/>
                <w:w w:val="81"/>
              </w:rPr>
              <w:t>Person</w:t>
            </w:r>
          </w:p>
        </w:tc>
        <w:tc>
          <w:tcPr>
            <w:tcW w:w="42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93"/>
              </w:rPr>
              <w:t>With:</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5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14,799,552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14,799,552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81" w:lineRule="exact"/>
        <w:rPr>
          <w:sz w:val="20"/>
          <w:szCs w:val="20"/>
          <w:color w:val="auto"/>
        </w:rPr>
      </w:pPr>
    </w:p>
    <w:p>
      <w:pPr>
        <w:jc w:val="right"/>
        <w:ind w:right="2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 w:name="page4"/>
    <w:bookmarkEnd w:id="3"/>
    <w:p>
      <w:pPr>
        <w:ind w:left="380" w:hanging="28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Aventis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color w:val="auto"/>
        </w:rPr>
      </w:pPr>
    </w:p>
    <w:p>
      <w:pPr>
        <w:ind w:left="380" w:hanging="284"/>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rFonts w:ascii="Arial" w:cs="Arial" w:eastAsia="Arial" w:hAnsi="Arial"/>
          <w:sz w:val="18"/>
          <w:szCs w:val="18"/>
          <w:color w:val="auto"/>
        </w:rPr>
      </w:pPr>
    </w:p>
    <w:p>
      <w:pPr>
        <w:ind w:left="380" w:hanging="284"/>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7"/>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420" w:type="dxa"/>
            <w:vAlign w:val="bottom"/>
          </w:tcPr>
          <w:p>
            <w:pPr>
              <w:spacing w:after="0"/>
              <w:rPr>
                <w:sz w:val="24"/>
                <w:szCs w:val="24"/>
                <w:color w:val="auto"/>
              </w:rPr>
            </w:pPr>
          </w:p>
        </w:tc>
        <w:tc>
          <w:tcPr>
            <w:tcW w:w="9500" w:type="dxa"/>
            <w:vAlign w:val="bottom"/>
          </w:tcPr>
          <w:p>
            <w:pPr>
              <w:ind w:left="5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41"/>
        </w:trPr>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Shares</w:t>
            </w:r>
          </w:p>
        </w:tc>
        <w:tc>
          <w:tcPr>
            <w:tcW w:w="42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500" w:type="dxa"/>
            <w:vAlign w:val="bottom"/>
            <w:vMerge w:val="continue"/>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Arial" w:cs="Arial" w:eastAsia="Arial" w:hAnsi="Arial"/>
                <w:sz w:val="18"/>
                <w:szCs w:val="18"/>
                <w:color w:val="auto"/>
              </w:rPr>
              <w:t>6.</w:t>
            </w:r>
          </w:p>
        </w:tc>
        <w:tc>
          <w:tcPr>
            <w:tcW w:w="950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5"/>
              </w:rPr>
              <w:t>Beneficially</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14,799,552 shares</w:t>
            </w:r>
          </w:p>
        </w:tc>
        <w:tc>
          <w:tcPr>
            <w:tcW w:w="0" w:type="dxa"/>
            <w:vAlign w:val="bottom"/>
          </w:tcPr>
          <w:p>
            <w:pPr>
              <w:spacing w:after="0"/>
              <w:rPr>
                <w:sz w:val="1"/>
                <w:szCs w:val="1"/>
                <w:color w:val="auto"/>
              </w:rPr>
            </w:pPr>
          </w:p>
        </w:tc>
      </w:tr>
      <w:tr>
        <w:trPr>
          <w:trHeight w:val="230"/>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Owned by</w:t>
            </w:r>
          </w:p>
        </w:tc>
        <w:tc>
          <w:tcPr>
            <w:tcW w:w="42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8"/>
              </w:rPr>
              <w:t>Each</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5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Reporting</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03"/>
        </w:trPr>
        <w:tc>
          <w:tcPr>
            <w:tcW w:w="150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81"/>
              </w:rPr>
              <w:t>Person</w:t>
            </w:r>
          </w:p>
        </w:tc>
        <w:tc>
          <w:tcPr>
            <w:tcW w:w="42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With:</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5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14,799,552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14,799,552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81" w:lineRule="exact"/>
        <w:rPr>
          <w:sz w:val="20"/>
          <w:szCs w:val="20"/>
          <w:color w:val="auto"/>
        </w:rPr>
      </w:pPr>
    </w:p>
    <w:p>
      <w:pPr>
        <w:ind w:left="1098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 w:name="page5"/>
    <w:bookmarkEnd w:id="4"/>
    <w:p>
      <w:pPr>
        <w:ind w:left="380" w:hanging="284"/>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Aventis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color w:val="auto"/>
        </w:rPr>
      </w:pPr>
    </w:p>
    <w:p>
      <w:pPr>
        <w:ind w:left="380" w:hanging="284"/>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rFonts w:ascii="Arial" w:cs="Arial" w:eastAsia="Arial" w:hAnsi="Arial"/>
          <w:sz w:val="18"/>
          <w:szCs w:val="18"/>
          <w:color w:val="auto"/>
        </w:rPr>
      </w:pPr>
    </w:p>
    <w:p>
      <w:pPr>
        <w:ind w:left="380" w:hanging="284"/>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7"/>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420" w:type="dxa"/>
            <w:vAlign w:val="bottom"/>
          </w:tcPr>
          <w:p>
            <w:pPr>
              <w:spacing w:after="0"/>
              <w:rPr>
                <w:sz w:val="24"/>
                <w:szCs w:val="24"/>
                <w:color w:val="auto"/>
              </w:rPr>
            </w:pPr>
          </w:p>
        </w:tc>
        <w:tc>
          <w:tcPr>
            <w:tcW w:w="9500" w:type="dxa"/>
            <w:vAlign w:val="bottom"/>
          </w:tcPr>
          <w:p>
            <w:pPr>
              <w:ind w:left="5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41"/>
        </w:trPr>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Shares</w:t>
            </w:r>
          </w:p>
        </w:tc>
        <w:tc>
          <w:tcPr>
            <w:tcW w:w="42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500" w:type="dxa"/>
            <w:vAlign w:val="bottom"/>
            <w:vMerge w:val="continue"/>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Arial" w:cs="Arial" w:eastAsia="Arial" w:hAnsi="Arial"/>
                <w:sz w:val="18"/>
                <w:szCs w:val="18"/>
                <w:color w:val="auto"/>
              </w:rPr>
              <w:t>6.</w:t>
            </w:r>
          </w:p>
        </w:tc>
        <w:tc>
          <w:tcPr>
            <w:tcW w:w="950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5"/>
              </w:rPr>
              <w:t>Beneficially</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14,799,552 shares</w:t>
            </w:r>
          </w:p>
        </w:tc>
        <w:tc>
          <w:tcPr>
            <w:tcW w:w="0" w:type="dxa"/>
            <w:vAlign w:val="bottom"/>
          </w:tcPr>
          <w:p>
            <w:pPr>
              <w:spacing w:after="0"/>
              <w:rPr>
                <w:sz w:val="1"/>
                <w:szCs w:val="1"/>
                <w:color w:val="auto"/>
              </w:rPr>
            </w:pPr>
          </w:p>
        </w:tc>
      </w:tr>
      <w:tr>
        <w:trPr>
          <w:trHeight w:val="230"/>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Owned by</w:t>
            </w:r>
          </w:p>
        </w:tc>
        <w:tc>
          <w:tcPr>
            <w:tcW w:w="42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8"/>
              </w:rPr>
              <w:t>Each</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5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Reporting</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03"/>
        </w:trPr>
        <w:tc>
          <w:tcPr>
            <w:tcW w:w="150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81"/>
              </w:rPr>
              <w:t>Person</w:t>
            </w:r>
          </w:p>
        </w:tc>
        <w:tc>
          <w:tcPr>
            <w:tcW w:w="42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With:</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5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14,799,552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14,799,552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81" w:lineRule="exact"/>
        <w:rPr>
          <w:sz w:val="20"/>
          <w:szCs w:val="20"/>
          <w:color w:val="auto"/>
        </w:rPr>
      </w:pPr>
    </w:p>
    <w:p>
      <w:pPr>
        <w:ind w:left="1098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5" w:name="page6"/>
    <w:bookmarkEnd w:id="5"/>
    <w:p>
      <w:pPr>
        <w:ind w:left="380" w:hanging="284"/>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Aventis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color w:val="auto"/>
        </w:rPr>
      </w:pPr>
    </w:p>
    <w:p>
      <w:pPr>
        <w:ind w:left="380" w:hanging="284"/>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rFonts w:ascii="Arial" w:cs="Arial" w:eastAsia="Arial" w:hAnsi="Arial"/>
          <w:sz w:val="18"/>
          <w:szCs w:val="18"/>
          <w:color w:val="auto"/>
        </w:rPr>
      </w:pPr>
    </w:p>
    <w:p>
      <w:pPr>
        <w:ind w:left="380" w:hanging="284"/>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020" w:hanging="317"/>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Number of</w:t>
            </w:r>
          </w:p>
        </w:tc>
        <w:tc>
          <w:tcPr>
            <w:tcW w:w="420" w:type="dxa"/>
            <w:vAlign w:val="bottom"/>
          </w:tcPr>
          <w:p>
            <w:pPr>
              <w:spacing w:after="0"/>
              <w:rPr>
                <w:sz w:val="21"/>
                <w:szCs w:val="21"/>
                <w:color w:val="auto"/>
              </w:rPr>
            </w:pPr>
          </w:p>
        </w:tc>
        <w:tc>
          <w:tcPr>
            <w:tcW w:w="9500" w:type="dxa"/>
            <w:vAlign w:val="bottom"/>
          </w:tcPr>
          <w:p>
            <w:pPr>
              <w:ind w:left="5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41"/>
        </w:trPr>
        <w:tc>
          <w:tcPr>
            <w:tcW w:w="1180" w:type="dxa"/>
            <w:vAlign w:val="bottom"/>
            <w:vMerge w:val="restart"/>
          </w:tcPr>
          <w:p>
            <w:pPr>
              <w:jc w:val="center"/>
              <w:ind w:right="232"/>
              <w:spacing w:after="0"/>
              <w:rPr>
                <w:sz w:val="20"/>
                <w:szCs w:val="20"/>
                <w:color w:val="auto"/>
              </w:rPr>
            </w:pPr>
            <w:r>
              <w:rPr>
                <w:rFonts w:ascii="Arial" w:cs="Arial" w:eastAsia="Arial" w:hAnsi="Arial"/>
                <w:sz w:val="18"/>
                <w:szCs w:val="18"/>
                <w:b w:val="1"/>
                <w:bCs w:val="1"/>
                <w:color w:val="auto"/>
                <w:w w:val="83"/>
              </w:rPr>
              <w:t>Shares</w:t>
            </w:r>
          </w:p>
        </w:tc>
        <w:tc>
          <w:tcPr>
            <w:tcW w:w="42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420" w:type="dxa"/>
            <w:vAlign w:val="bottom"/>
          </w:tcPr>
          <w:p>
            <w:pPr>
              <w:jc w:val="right"/>
              <w:spacing w:after="0" w:line="156" w:lineRule="exact"/>
              <w:rPr>
                <w:sz w:val="20"/>
                <w:szCs w:val="20"/>
                <w:color w:val="auto"/>
              </w:rPr>
            </w:pPr>
            <w:r>
              <w:rPr>
                <w:rFonts w:ascii="Arial" w:cs="Arial" w:eastAsia="Arial" w:hAnsi="Arial"/>
                <w:sz w:val="18"/>
                <w:szCs w:val="18"/>
                <w:color w:val="auto"/>
              </w:rPr>
              <w:t>6.</w:t>
            </w:r>
          </w:p>
        </w:tc>
        <w:tc>
          <w:tcPr>
            <w:tcW w:w="9500" w:type="dxa"/>
            <w:vAlign w:val="bottom"/>
          </w:tcPr>
          <w:p>
            <w:pPr>
              <w:ind w:left="14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85"/>
              </w:rPr>
              <w:t>Beneficially</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14,799,552 shares</w:t>
            </w:r>
          </w:p>
        </w:tc>
        <w:tc>
          <w:tcPr>
            <w:tcW w:w="0" w:type="dxa"/>
            <w:vAlign w:val="bottom"/>
          </w:tcPr>
          <w:p>
            <w:pPr>
              <w:spacing w:after="0"/>
              <w:rPr>
                <w:sz w:val="1"/>
                <w:szCs w:val="1"/>
                <w:color w:val="auto"/>
              </w:rPr>
            </w:pPr>
          </w:p>
        </w:tc>
      </w:tr>
      <w:tr>
        <w:trPr>
          <w:trHeight w:val="230"/>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Owned by</w:t>
            </w:r>
          </w:p>
        </w:tc>
        <w:tc>
          <w:tcPr>
            <w:tcW w:w="42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80" w:type="dxa"/>
            <w:vAlign w:val="bottom"/>
          </w:tcPr>
          <w:p>
            <w:pPr>
              <w:jc w:val="center"/>
              <w:ind w:right="232"/>
              <w:spacing w:after="0" w:line="182" w:lineRule="exact"/>
              <w:rPr>
                <w:sz w:val="20"/>
                <w:szCs w:val="20"/>
                <w:color w:val="auto"/>
              </w:rPr>
            </w:pPr>
            <w:r>
              <w:rPr>
                <w:rFonts w:ascii="Arial" w:cs="Arial" w:eastAsia="Arial" w:hAnsi="Arial"/>
                <w:sz w:val="18"/>
                <w:szCs w:val="18"/>
                <w:b w:val="1"/>
                <w:bCs w:val="1"/>
                <w:color w:val="auto"/>
                <w:w w:val="88"/>
              </w:rPr>
              <w:t>Each</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5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Reporting</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03"/>
        </w:trPr>
        <w:tc>
          <w:tcPr>
            <w:tcW w:w="1180" w:type="dxa"/>
            <w:vAlign w:val="bottom"/>
          </w:tcPr>
          <w:p>
            <w:pPr>
              <w:jc w:val="center"/>
              <w:ind w:right="232"/>
              <w:spacing w:after="0" w:line="203" w:lineRule="exact"/>
              <w:rPr>
                <w:sz w:val="20"/>
                <w:szCs w:val="20"/>
                <w:color w:val="auto"/>
              </w:rPr>
            </w:pPr>
            <w:r>
              <w:rPr>
                <w:rFonts w:ascii="Arial" w:cs="Arial" w:eastAsia="Arial" w:hAnsi="Arial"/>
                <w:sz w:val="18"/>
                <w:szCs w:val="18"/>
                <w:b w:val="1"/>
                <w:bCs w:val="1"/>
                <w:color w:val="auto"/>
                <w:w w:val="81"/>
              </w:rPr>
              <w:t>Person</w:t>
            </w:r>
          </w:p>
        </w:tc>
        <w:tc>
          <w:tcPr>
            <w:tcW w:w="42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93"/>
              </w:rPr>
              <w:t>With:</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5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14,799,552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14,799,552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CHECK BOX IF THE AGGREGATE AMOUNT IN ROW (9) EXCLUDES CERTAIN SHARES*</w:t>
      </w:r>
    </w:p>
    <w:p>
      <w:pPr>
        <w:spacing w:after="0" w:line="181" w:lineRule="exact"/>
        <w:rPr>
          <w:sz w:val="20"/>
          <w:szCs w:val="20"/>
          <w:color w:val="auto"/>
        </w:rPr>
      </w:pPr>
    </w:p>
    <w:p>
      <w:pPr>
        <w:jc w:val="right"/>
        <w:ind w:right="2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600" w:type="dxa"/>
            <w:vAlign w:val="bottom"/>
          </w:tcPr>
          <w:p>
            <w:pPr>
              <w:ind w:left="140"/>
              <w:spacing w:after="0"/>
              <w:rPr>
                <w:sz w:val="20"/>
                <w:szCs w:val="20"/>
                <w:color w:val="auto"/>
              </w:rPr>
            </w:pPr>
            <w:r>
              <w:rPr>
                <w:rFonts w:ascii="Arial" w:cs="Arial" w:eastAsia="Arial" w:hAnsi="Arial"/>
                <w:sz w:val="18"/>
                <w:szCs w:val="18"/>
                <w:color w:val="auto"/>
              </w:rPr>
              <w:t>(a).</w:t>
            </w: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Name of Issuer:</w:t>
            </w:r>
          </w:p>
        </w:tc>
      </w:tr>
      <w:tr>
        <w:trPr>
          <w:trHeight w:val="324"/>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Regeneron Pharmaceuticals Incorporated</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600" w:type="dxa"/>
            <w:vAlign w:val="bottom"/>
          </w:tcPr>
          <w:p>
            <w:pPr>
              <w:ind w:left="140"/>
              <w:spacing w:after="0"/>
              <w:rPr>
                <w:sz w:val="20"/>
                <w:szCs w:val="20"/>
                <w:color w:val="auto"/>
              </w:rPr>
            </w:pPr>
            <w:r>
              <w:rPr>
                <w:rFonts w:ascii="Arial" w:cs="Arial" w:eastAsia="Arial" w:hAnsi="Arial"/>
                <w:sz w:val="18"/>
                <w:szCs w:val="18"/>
                <w:color w:val="auto"/>
              </w:rPr>
              <w:t>(b).</w:t>
            </w: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Address of Issuer’s Principal Executive Offices:</w:t>
            </w:r>
          </w:p>
        </w:tc>
      </w:tr>
      <w:tr>
        <w:trPr>
          <w:trHeight w:val="324"/>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w w:val="90"/>
              </w:rPr>
              <w:t>777 Old Saw Mill River Road, Tarrytown, New York, 10591-6707</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600" w:type="dxa"/>
            <w:vAlign w:val="bottom"/>
          </w:tcPr>
          <w:p>
            <w:pPr>
              <w:ind w:left="140"/>
              <w:spacing w:after="0"/>
              <w:rPr>
                <w:sz w:val="20"/>
                <w:szCs w:val="20"/>
                <w:color w:val="auto"/>
              </w:rPr>
            </w:pPr>
            <w:r>
              <w:rPr>
                <w:rFonts w:ascii="Arial" w:cs="Arial" w:eastAsia="Arial" w:hAnsi="Arial"/>
                <w:sz w:val="18"/>
                <w:szCs w:val="18"/>
                <w:color w:val="auto"/>
              </w:rPr>
              <w:t>(a).</w:t>
            </w: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Name of Person Filing:</w:t>
            </w:r>
          </w:p>
        </w:tc>
      </w:tr>
      <w:tr>
        <w:trPr>
          <w:trHeight w:val="324"/>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(i)</w:t>
            </w:r>
          </w:p>
        </w:tc>
        <w:tc>
          <w:tcPr>
            <w:tcW w:w="4360" w:type="dxa"/>
            <w:vAlign w:val="bottom"/>
          </w:tcPr>
          <w:p>
            <w:pPr>
              <w:ind w:left="80"/>
              <w:spacing w:after="0"/>
              <w:rPr>
                <w:sz w:val="20"/>
                <w:szCs w:val="20"/>
                <w:color w:val="auto"/>
              </w:rPr>
            </w:pPr>
            <w:r>
              <w:rPr>
                <w:rFonts w:ascii="Arial" w:cs="Arial" w:eastAsia="Arial" w:hAnsi="Arial"/>
                <w:sz w:val="18"/>
                <w:szCs w:val="18"/>
                <w:color w:val="auto"/>
              </w:rPr>
              <w:t>sanofi-aventis</w:t>
            </w:r>
          </w:p>
        </w:tc>
      </w:tr>
      <w:tr>
        <w:trPr>
          <w:trHeight w:val="297"/>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(ii)  sanofi-aventis Amerique du Nord</w:t>
            </w:r>
          </w:p>
        </w:tc>
      </w:tr>
      <w:tr>
        <w:trPr>
          <w:trHeight w:val="297"/>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(iii) Aventis Pharmaceuticals Inc.</w:t>
            </w:r>
          </w:p>
        </w:tc>
      </w:tr>
      <w:tr>
        <w:trPr>
          <w:trHeight w:val="297"/>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(iv)</w:t>
            </w:r>
          </w:p>
        </w:tc>
        <w:tc>
          <w:tcPr>
            <w:tcW w:w="4360" w:type="dxa"/>
            <w:vAlign w:val="bottom"/>
          </w:tcPr>
          <w:p>
            <w:pPr>
              <w:ind w:left="60"/>
              <w:spacing w:after="0"/>
              <w:rPr>
                <w:sz w:val="20"/>
                <w:szCs w:val="20"/>
                <w:color w:val="auto"/>
              </w:rPr>
            </w:pPr>
            <w:r>
              <w:rPr>
                <w:rFonts w:ascii="Arial" w:cs="Arial" w:eastAsia="Arial" w:hAnsi="Arial"/>
                <w:sz w:val="18"/>
                <w:szCs w:val="18"/>
                <w:color w:val="auto"/>
              </w:rPr>
              <w:t>Aventis Holdings Inc.</w:t>
            </w:r>
          </w:p>
        </w:tc>
      </w:tr>
      <w:tr>
        <w:trPr>
          <w:trHeight w:val="297"/>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(v)</w:t>
            </w:r>
          </w:p>
        </w:tc>
        <w:tc>
          <w:tcPr>
            <w:tcW w:w="4360" w:type="dxa"/>
            <w:vAlign w:val="bottom"/>
          </w:tcPr>
          <w:p>
            <w:pPr>
              <w:ind w:left="60"/>
              <w:spacing w:after="0"/>
              <w:rPr>
                <w:sz w:val="20"/>
                <w:szCs w:val="20"/>
                <w:color w:val="auto"/>
              </w:rPr>
            </w:pPr>
            <w:r>
              <w:rPr>
                <w:rFonts w:ascii="Arial" w:cs="Arial" w:eastAsia="Arial" w:hAnsi="Arial"/>
                <w:sz w:val="18"/>
                <w:szCs w:val="18"/>
                <w:color w:val="auto"/>
              </w:rPr>
              <w:t>Aventis Inc.</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600" w:type="dxa"/>
            <w:vAlign w:val="bottom"/>
          </w:tcPr>
          <w:p>
            <w:pPr>
              <w:ind w:left="140"/>
              <w:spacing w:after="0"/>
              <w:rPr>
                <w:sz w:val="20"/>
                <w:szCs w:val="20"/>
                <w:color w:val="auto"/>
              </w:rPr>
            </w:pPr>
            <w:r>
              <w:rPr>
                <w:rFonts w:ascii="Arial" w:cs="Arial" w:eastAsia="Arial" w:hAnsi="Arial"/>
                <w:sz w:val="18"/>
                <w:szCs w:val="18"/>
                <w:color w:val="auto"/>
              </w:rPr>
              <w:t>(b).</w:t>
            </w: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w w:val="97"/>
              </w:rPr>
              <w:t>Address of Principal Business Office, or if none, Residence:</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800" w:hanging="387"/>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174, avenue de France, 75013 Paris, France</w:t>
      </w:r>
    </w:p>
    <w:p>
      <w:pPr>
        <w:spacing w:after="0" w:line="90" w:lineRule="exact"/>
        <w:rPr>
          <w:rFonts w:ascii="Arial" w:cs="Arial" w:eastAsia="Arial" w:hAnsi="Arial"/>
          <w:sz w:val="18"/>
          <w:szCs w:val="18"/>
          <w:color w:val="auto"/>
        </w:rPr>
      </w:pPr>
    </w:p>
    <w:p>
      <w:pPr>
        <w:ind w:left="1800" w:hanging="387"/>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174, avenue de France, 75013 Paris, France</w:t>
      </w:r>
    </w:p>
    <w:p>
      <w:pPr>
        <w:spacing w:after="0" w:line="90" w:lineRule="exact"/>
        <w:rPr>
          <w:rFonts w:ascii="Arial" w:cs="Arial" w:eastAsia="Arial" w:hAnsi="Arial"/>
          <w:sz w:val="18"/>
          <w:szCs w:val="18"/>
          <w:color w:val="auto"/>
        </w:rPr>
      </w:pPr>
    </w:p>
    <w:p>
      <w:pPr>
        <w:ind w:left="1760" w:hanging="347"/>
        <w:spacing w:after="0"/>
        <w:tabs>
          <w:tab w:leader="none" w:pos="1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55 Corporate Drive, Bridgewater, New Jersey 08807</w:t>
      </w:r>
    </w:p>
    <w:p>
      <w:pPr>
        <w:spacing w:after="0" w:line="90" w:lineRule="exact"/>
        <w:rPr>
          <w:rFonts w:ascii="Arial" w:cs="Arial" w:eastAsia="Arial" w:hAnsi="Arial"/>
          <w:sz w:val="18"/>
          <w:szCs w:val="18"/>
          <w:color w:val="auto"/>
        </w:rPr>
      </w:pPr>
    </w:p>
    <w:p>
      <w:pPr>
        <w:ind w:left="1800" w:hanging="387"/>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3711 Kenneth Pike, Suite 200 Greenville, Delaware 19801</w:t>
      </w:r>
    </w:p>
    <w:p>
      <w:pPr>
        <w:spacing w:after="0" w:line="90" w:lineRule="exact"/>
        <w:rPr>
          <w:rFonts w:ascii="Arial" w:cs="Arial" w:eastAsia="Arial" w:hAnsi="Arial"/>
          <w:sz w:val="18"/>
          <w:szCs w:val="18"/>
          <w:color w:val="auto"/>
        </w:rPr>
      </w:pPr>
    </w:p>
    <w:p>
      <w:pPr>
        <w:ind w:left="1800" w:hanging="387"/>
        <w:spacing w:after="0"/>
        <w:tabs>
          <w:tab w:leader="none" w:pos="1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300 Somerset Corporate Boulevard, Bridgewater, New Jersey 08807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20"/>
              <w:spacing w:after="0"/>
              <w:rPr>
                <w:sz w:val="20"/>
                <w:szCs w:val="20"/>
                <w:color w:val="auto"/>
              </w:rPr>
            </w:pPr>
            <w:r>
              <w:rPr>
                <w:rFonts w:ascii="Arial" w:cs="Arial" w:eastAsia="Arial" w:hAnsi="Arial"/>
                <w:sz w:val="18"/>
                <w:szCs w:val="18"/>
                <w:color w:val="auto"/>
              </w:rPr>
              <w:t>(c).</w:t>
            </w:r>
          </w:p>
        </w:tc>
        <w:tc>
          <w:tcPr>
            <w:tcW w:w="4720" w:type="dxa"/>
            <w:vAlign w:val="bottom"/>
          </w:tcPr>
          <w:p>
            <w:pPr>
              <w:ind w:left="240"/>
              <w:spacing w:after="0"/>
              <w:rPr>
                <w:sz w:val="20"/>
                <w:szCs w:val="20"/>
                <w:color w:val="auto"/>
              </w:rPr>
            </w:pPr>
            <w:r>
              <w:rPr>
                <w:rFonts w:ascii="Arial" w:cs="Arial" w:eastAsia="Arial" w:hAnsi="Arial"/>
                <w:sz w:val="18"/>
                <w:szCs w:val="18"/>
                <w:color w:val="auto"/>
              </w:rPr>
              <w:t>Citizenship:</w:t>
            </w:r>
          </w:p>
        </w:tc>
      </w:tr>
      <w:tr>
        <w:trPr>
          <w:trHeight w:val="32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(i)   sanofi-aventis: The Republic of France</w:t>
            </w:r>
          </w:p>
        </w:tc>
      </w:tr>
      <w:tr>
        <w:trPr>
          <w:trHeight w:val="297"/>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w w:val="91"/>
              </w:rPr>
              <w:t>(ii)  sanofi-aventis Amerique du Nord: The Republic of France</w:t>
            </w:r>
          </w:p>
        </w:tc>
      </w:tr>
      <w:tr>
        <w:trPr>
          <w:trHeight w:val="297"/>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(iii) Aventis Pharmaceuticals Inc.: Delaware</w:t>
            </w:r>
          </w:p>
        </w:tc>
      </w:tr>
      <w:tr>
        <w:trPr>
          <w:trHeight w:val="297"/>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(iv)  Aventis Holdings Inc.: Delaware</w:t>
            </w:r>
          </w:p>
        </w:tc>
      </w:tr>
      <w:tr>
        <w:trPr>
          <w:trHeight w:val="297"/>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(v)  Aventis Inc.: Pennsylvania</w:t>
            </w: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20"/>
              <w:spacing w:after="0"/>
              <w:rPr>
                <w:sz w:val="20"/>
                <w:szCs w:val="20"/>
                <w:color w:val="auto"/>
              </w:rPr>
            </w:pPr>
            <w:r>
              <w:rPr>
                <w:rFonts w:ascii="Arial" w:cs="Arial" w:eastAsia="Arial" w:hAnsi="Arial"/>
                <w:sz w:val="18"/>
                <w:szCs w:val="18"/>
                <w:color w:val="auto"/>
              </w:rPr>
              <w:t>(d).</w:t>
            </w:r>
          </w:p>
        </w:tc>
        <w:tc>
          <w:tcPr>
            <w:tcW w:w="4720" w:type="dxa"/>
            <w:vAlign w:val="bottom"/>
          </w:tcPr>
          <w:p>
            <w:pPr>
              <w:ind w:left="24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Arial" w:cs="Arial" w:eastAsia="Arial" w:hAnsi="Arial"/>
                <w:sz w:val="18"/>
                <w:szCs w:val="18"/>
                <w:b w:val="1"/>
                <w:bCs w:val="1"/>
                <w:color w:val="auto"/>
              </w:rPr>
              <w:t>COMMON STOCK, $.001 PAR VALUE</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20"/>
              <w:spacing w:after="0"/>
              <w:rPr>
                <w:sz w:val="20"/>
                <w:szCs w:val="20"/>
                <w:color w:val="auto"/>
              </w:rPr>
            </w:pPr>
            <w:r>
              <w:rPr>
                <w:rFonts w:ascii="Arial" w:cs="Arial" w:eastAsia="Arial" w:hAnsi="Arial"/>
                <w:sz w:val="18"/>
                <w:szCs w:val="18"/>
                <w:color w:val="auto"/>
              </w:rPr>
              <w:t>(e).</w:t>
            </w:r>
          </w:p>
        </w:tc>
        <w:tc>
          <w:tcPr>
            <w:tcW w:w="4720" w:type="dxa"/>
            <w:vAlign w:val="bottom"/>
          </w:tcPr>
          <w:p>
            <w:pPr>
              <w:ind w:left="240"/>
              <w:spacing w:after="0"/>
              <w:rPr>
                <w:sz w:val="20"/>
                <w:szCs w:val="20"/>
                <w:color w:val="auto"/>
              </w:rPr>
            </w:pPr>
            <w:r>
              <w:rPr>
                <w:rFonts w:ascii="Arial" w:cs="Arial" w:eastAsia="Arial" w:hAnsi="Arial"/>
                <w:sz w:val="18"/>
                <w:szCs w:val="18"/>
                <w:color w:val="auto"/>
              </w:rPr>
              <w:t>CUSIP Number:</w:t>
            </w:r>
          </w:p>
        </w:tc>
      </w:tr>
      <w:tr>
        <w:trPr>
          <w:trHeight w:val="32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75886F107</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Item 3.</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Item 3 is not applicable.</w:t>
            </w:r>
          </w:p>
        </w:tc>
      </w:tr>
    </w:tbl>
    <w:p>
      <w:pPr>
        <w:sectPr>
          <w:pgSz w:w="11900" w:h="16838" w:orient="portrait"/>
          <w:cols w:equalWidth="0" w:num="1">
            <w:col w:w="10219"/>
          </w:cols>
          <w:pgMar w:left="240" w:top="280" w:right="1440" w:bottom="1440" w:gutter="0" w:footer="0" w:header="0"/>
        </w:sectPr>
      </w:pPr>
    </w:p>
    <w:bookmarkStart w:id="7" w:name="page8"/>
    <w:bookmarkEnd w:id="7"/>
    <w:p>
      <w:pPr>
        <w:spacing w:after="0"/>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6"/>
          <w:szCs w:val="16"/>
          <w:color w:val="auto"/>
        </w:rPr>
        <w:t>(a). Amount Beneficially Owned:</w:t>
      </w:r>
      <w:r>
        <w:rPr>
          <w:rFonts w:ascii="Arial" w:cs="Arial" w:eastAsia="Arial" w:hAnsi="Arial"/>
          <w:sz w:val="20"/>
          <w:szCs w:val="20"/>
          <w:color w:val="auto"/>
          <w:vertAlign w:val="superscript"/>
        </w:rPr>
        <w:t>1</w:t>
      </w:r>
    </w:p>
    <w:p>
      <w:pPr>
        <w:spacing w:after="0" w:line="94" w:lineRule="exact"/>
        <w:rPr>
          <w:sz w:val="20"/>
          <w:szCs w:val="20"/>
          <w:color w:val="auto"/>
        </w:rPr>
      </w:pPr>
    </w:p>
    <w:p>
      <w:pPr>
        <w:ind w:left="1420" w:hanging="372"/>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sanofi-aventis: 14,799,552 shares</w:t>
      </w:r>
    </w:p>
    <w:p>
      <w:pPr>
        <w:spacing w:after="0" w:line="117" w:lineRule="exact"/>
        <w:rPr>
          <w:rFonts w:ascii="Arial" w:cs="Arial" w:eastAsia="Arial" w:hAnsi="Arial"/>
          <w:sz w:val="18"/>
          <w:szCs w:val="18"/>
          <w:color w:val="auto"/>
        </w:rPr>
      </w:pPr>
    </w:p>
    <w:p>
      <w:pPr>
        <w:ind w:left="1420" w:hanging="372"/>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sanofi-aventis Amerique du Nord: 14,799,552 shares</w:t>
      </w:r>
    </w:p>
    <w:p>
      <w:pPr>
        <w:spacing w:after="0" w:line="117" w:lineRule="exact"/>
        <w:rPr>
          <w:rFonts w:ascii="Arial" w:cs="Arial" w:eastAsia="Arial" w:hAnsi="Arial"/>
          <w:sz w:val="18"/>
          <w:szCs w:val="18"/>
          <w:color w:val="auto"/>
        </w:rPr>
      </w:pPr>
    </w:p>
    <w:p>
      <w:pPr>
        <w:ind w:left="1420" w:hanging="372"/>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Aventis Pharmaceuticals Inc.: 14,799,552 shares</w:t>
      </w:r>
    </w:p>
    <w:p>
      <w:pPr>
        <w:spacing w:after="0" w:line="117" w:lineRule="exact"/>
        <w:rPr>
          <w:rFonts w:ascii="Arial" w:cs="Arial" w:eastAsia="Arial" w:hAnsi="Arial"/>
          <w:sz w:val="18"/>
          <w:szCs w:val="18"/>
          <w:color w:val="auto"/>
        </w:rPr>
      </w:pPr>
    </w:p>
    <w:p>
      <w:pPr>
        <w:ind w:left="1420" w:hanging="372"/>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Aventis Holdings Inc.: 14,799,552 shares</w:t>
      </w:r>
    </w:p>
    <w:p>
      <w:pPr>
        <w:spacing w:after="0" w:line="117" w:lineRule="exact"/>
        <w:rPr>
          <w:rFonts w:ascii="Arial" w:cs="Arial" w:eastAsia="Arial" w:hAnsi="Arial"/>
          <w:sz w:val="18"/>
          <w:szCs w:val="18"/>
          <w:color w:val="auto"/>
        </w:rPr>
      </w:pPr>
    </w:p>
    <w:p>
      <w:pPr>
        <w:ind w:left="1420" w:hanging="372"/>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Aventis Inc.: 14,799,552 shares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(b). Percent of Class:</w:t>
      </w:r>
    </w:p>
    <w:p>
      <w:pPr>
        <w:spacing w:after="0" w:line="117" w:lineRule="exact"/>
        <w:rPr>
          <w:sz w:val="20"/>
          <w:szCs w:val="20"/>
          <w:color w:val="auto"/>
        </w:rPr>
      </w:pPr>
    </w:p>
    <w:p>
      <w:pPr>
        <w:ind w:left="1420" w:hanging="372"/>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sanofi-aventis: 19.5%</w:t>
      </w:r>
    </w:p>
    <w:p>
      <w:pPr>
        <w:spacing w:after="0" w:line="117" w:lineRule="exact"/>
        <w:rPr>
          <w:rFonts w:ascii="Arial" w:cs="Arial" w:eastAsia="Arial" w:hAnsi="Arial"/>
          <w:sz w:val="18"/>
          <w:szCs w:val="18"/>
          <w:color w:val="auto"/>
        </w:rPr>
      </w:pPr>
    </w:p>
    <w:p>
      <w:pPr>
        <w:ind w:left="1420" w:hanging="372"/>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sanofi-aventis Amerique du Nord: 19.5%</w:t>
      </w:r>
    </w:p>
    <w:p>
      <w:pPr>
        <w:spacing w:after="0" w:line="117" w:lineRule="exact"/>
        <w:rPr>
          <w:rFonts w:ascii="Arial" w:cs="Arial" w:eastAsia="Arial" w:hAnsi="Arial"/>
          <w:sz w:val="18"/>
          <w:szCs w:val="18"/>
          <w:color w:val="auto"/>
        </w:rPr>
      </w:pPr>
    </w:p>
    <w:p>
      <w:pPr>
        <w:ind w:left="1420" w:hanging="372"/>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Aventis Pharmaceuticals Inc.: 19.5%</w:t>
      </w:r>
    </w:p>
    <w:p>
      <w:pPr>
        <w:spacing w:after="0" w:line="117" w:lineRule="exact"/>
        <w:rPr>
          <w:rFonts w:ascii="Arial" w:cs="Arial" w:eastAsia="Arial" w:hAnsi="Arial"/>
          <w:sz w:val="18"/>
          <w:szCs w:val="18"/>
          <w:color w:val="auto"/>
        </w:rPr>
      </w:pPr>
    </w:p>
    <w:p>
      <w:pPr>
        <w:ind w:left="1420" w:hanging="372"/>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Aventis Holdings Inc.: 19.5%</w:t>
      </w:r>
    </w:p>
    <w:p>
      <w:pPr>
        <w:spacing w:after="0" w:line="117" w:lineRule="exact"/>
        <w:rPr>
          <w:rFonts w:ascii="Arial" w:cs="Arial" w:eastAsia="Arial" w:hAnsi="Arial"/>
          <w:sz w:val="18"/>
          <w:szCs w:val="18"/>
          <w:color w:val="auto"/>
        </w:rPr>
      </w:pPr>
    </w:p>
    <w:p>
      <w:pPr>
        <w:ind w:left="1420" w:hanging="372"/>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Aventis Inc.: 19.5%</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 Number of shares as to which such person has:</w:t>
      </w:r>
    </w:p>
    <w:p>
      <w:pPr>
        <w:spacing w:after="0" w:line="117" w:lineRule="exact"/>
        <w:rPr>
          <w:sz w:val="20"/>
          <w:szCs w:val="20"/>
          <w:color w:val="auto"/>
        </w:rPr>
      </w:pPr>
    </w:p>
    <w:p>
      <w:pPr>
        <w:ind w:left="1420" w:hanging="372"/>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90" w:lineRule="exact"/>
        <w:rPr>
          <w:rFonts w:ascii="Arial" w:cs="Arial" w:eastAsia="Arial" w:hAnsi="Arial"/>
          <w:sz w:val="18"/>
          <w:szCs w:val="18"/>
          <w:color w:val="auto"/>
        </w:rPr>
      </w:pPr>
    </w:p>
    <w:p>
      <w:pPr>
        <w:ind w:left="1800" w:hanging="387"/>
        <w:spacing w:after="0"/>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sanofi-aventis: 0 shares</w:t>
      </w:r>
    </w:p>
    <w:p>
      <w:pPr>
        <w:spacing w:after="0" w:line="90" w:lineRule="exact"/>
        <w:rPr>
          <w:rFonts w:ascii="Arial" w:cs="Arial" w:eastAsia="Arial" w:hAnsi="Arial"/>
          <w:sz w:val="18"/>
          <w:szCs w:val="18"/>
          <w:color w:val="auto"/>
        </w:rPr>
      </w:pPr>
    </w:p>
    <w:p>
      <w:pPr>
        <w:ind w:left="1800" w:hanging="387"/>
        <w:spacing w:after="0"/>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sanofi-aventis Amerique du Nord: 0 shares</w:t>
      </w:r>
    </w:p>
    <w:p>
      <w:pPr>
        <w:spacing w:after="0" w:line="90" w:lineRule="exact"/>
        <w:rPr>
          <w:rFonts w:ascii="Arial" w:cs="Arial" w:eastAsia="Arial" w:hAnsi="Arial"/>
          <w:sz w:val="18"/>
          <w:szCs w:val="18"/>
          <w:color w:val="auto"/>
        </w:rPr>
      </w:pPr>
    </w:p>
    <w:p>
      <w:pPr>
        <w:ind w:left="1760" w:hanging="347"/>
        <w:spacing w:after="0"/>
        <w:tabs>
          <w:tab w:leader="none" w:pos="17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Aventis Pharmaceuticals Inc.: 0 shares</w:t>
      </w:r>
    </w:p>
    <w:p>
      <w:pPr>
        <w:spacing w:after="0" w:line="90" w:lineRule="exact"/>
        <w:rPr>
          <w:rFonts w:ascii="Arial" w:cs="Arial" w:eastAsia="Arial" w:hAnsi="Arial"/>
          <w:sz w:val="18"/>
          <w:szCs w:val="18"/>
          <w:color w:val="auto"/>
        </w:rPr>
      </w:pPr>
    </w:p>
    <w:p>
      <w:pPr>
        <w:ind w:left="1780" w:hanging="367"/>
        <w:spacing w:after="0"/>
        <w:tabs>
          <w:tab w:leader="none" w:pos="17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Aventis Holdings Inc.: 0 shares</w:t>
      </w:r>
    </w:p>
    <w:p>
      <w:pPr>
        <w:spacing w:after="0" w:line="90" w:lineRule="exact"/>
        <w:rPr>
          <w:rFonts w:ascii="Arial" w:cs="Arial" w:eastAsia="Arial" w:hAnsi="Arial"/>
          <w:sz w:val="18"/>
          <w:szCs w:val="18"/>
          <w:color w:val="auto"/>
        </w:rPr>
      </w:pPr>
    </w:p>
    <w:p>
      <w:pPr>
        <w:ind w:left="1780" w:hanging="367"/>
        <w:spacing w:after="0"/>
        <w:tabs>
          <w:tab w:leader="none" w:pos="17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Aventis Inc.: 0 shares</w:t>
      </w:r>
    </w:p>
    <w:p>
      <w:pPr>
        <w:spacing w:after="0" w:line="130" w:lineRule="exact"/>
        <w:rPr>
          <w:rFonts w:ascii="Arial" w:cs="Arial" w:eastAsia="Arial" w:hAnsi="Arial"/>
          <w:sz w:val="18"/>
          <w:szCs w:val="18"/>
          <w:color w:val="auto"/>
        </w:rPr>
      </w:pPr>
    </w:p>
    <w:p>
      <w:pPr>
        <w:ind w:left="1420" w:hanging="372"/>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90" w:lineRule="exact"/>
        <w:rPr>
          <w:rFonts w:ascii="Arial" w:cs="Arial" w:eastAsia="Arial" w:hAnsi="Arial"/>
          <w:sz w:val="18"/>
          <w:szCs w:val="18"/>
          <w:color w:val="auto"/>
        </w:rPr>
      </w:pPr>
    </w:p>
    <w:p>
      <w:pPr>
        <w:ind w:left="1800" w:hanging="387"/>
        <w:spacing w:after="0"/>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sanofi-aventis: 14,799,552 shares</w:t>
      </w:r>
    </w:p>
    <w:p>
      <w:pPr>
        <w:spacing w:after="0" w:line="90" w:lineRule="exact"/>
        <w:rPr>
          <w:rFonts w:ascii="Arial" w:cs="Arial" w:eastAsia="Arial" w:hAnsi="Arial"/>
          <w:sz w:val="18"/>
          <w:szCs w:val="18"/>
          <w:color w:val="auto"/>
        </w:rPr>
      </w:pPr>
    </w:p>
    <w:p>
      <w:pPr>
        <w:ind w:left="1800" w:hanging="387"/>
        <w:spacing w:after="0"/>
        <w:tabs>
          <w:tab w:leader="none" w:pos="18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sanofi-aventis Amerique du Nord: 14,799,552 shares</w:t>
      </w:r>
    </w:p>
    <w:p>
      <w:pPr>
        <w:spacing w:after="0" w:line="90" w:lineRule="exact"/>
        <w:rPr>
          <w:rFonts w:ascii="Arial" w:cs="Arial" w:eastAsia="Arial" w:hAnsi="Arial"/>
          <w:sz w:val="18"/>
          <w:szCs w:val="18"/>
          <w:color w:val="auto"/>
        </w:rPr>
      </w:pPr>
    </w:p>
    <w:p>
      <w:pPr>
        <w:ind w:left="1760" w:hanging="347"/>
        <w:spacing w:after="0"/>
        <w:tabs>
          <w:tab w:leader="none" w:pos="17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Aventis Pharmaceuticals Inc.: 14,799,552 shares</w:t>
      </w:r>
    </w:p>
    <w:p>
      <w:pPr>
        <w:spacing w:after="0" w:line="90" w:lineRule="exact"/>
        <w:rPr>
          <w:rFonts w:ascii="Arial" w:cs="Arial" w:eastAsia="Arial" w:hAnsi="Arial"/>
          <w:sz w:val="18"/>
          <w:szCs w:val="18"/>
          <w:color w:val="auto"/>
        </w:rPr>
      </w:pPr>
    </w:p>
    <w:p>
      <w:pPr>
        <w:ind w:left="1780" w:hanging="367"/>
        <w:spacing w:after="0"/>
        <w:tabs>
          <w:tab w:leader="none" w:pos="17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Aventis Holdings Inc.: 14,799,552 shares</w:t>
      </w:r>
    </w:p>
    <w:p>
      <w:pPr>
        <w:spacing w:after="0" w:line="90" w:lineRule="exact"/>
        <w:rPr>
          <w:rFonts w:ascii="Arial" w:cs="Arial" w:eastAsia="Arial" w:hAnsi="Arial"/>
          <w:sz w:val="18"/>
          <w:szCs w:val="18"/>
          <w:color w:val="auto"/>
        </w:rPr>
      </w:pPr>
    </w:p>
    <w:p>
      <w:pPr>
        <w:ind w:left="1780" w:hanging="367"/>
        <w:spacing w:after="0"/>
        <w:tabs>
          <w:tab w:leader="none" w:pos="17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Aventis Inc.: 14,799,552 shares</w:t>
      </w:r>
    </w:p>
    <w:p>
      <w:pPr>
        <w:spacing w:after="0" w:line="225" w:lineRule="exact"/>
        <w:rPr>
          <w:rFonts w:ascii="Arial" w:cs="Arial" w:eastAsia="Arial" w:hAnsi="Arial"/>
          <w:sz w:val="18"/>
          <w:szCs w:val="18"/>
          <w:color w:val="auto"/>
        </w:rPr>
      </w:pPr>
    </w:p>
    <w:p>
      <w:pPr>
        <w:ind w:left="460" w:hanging="446"/>
        <w:spacing w:after="0" w:line="270" w:lineRule="auto"/>
        <w:rPr>
          <w:rFonts w:ascii="Arial" w:cs="Arial" w:eastAsia="Arial" w:hAnsi="Arial"/>
          <w:sz w:val="18"/>
          <w:szCs w:val="18"/>
          <w:color w:val="auto"/>
        </w:rPr>
      </w:pPr>
      <w:r>
        <w:rPr>
          <w:rFonts w:ascii="Arial" w:cs="Arial" w:eastAsia="Arial" w:hAnsi="Arial"/>
          <w:sz w:val="11"/>
          <w:szCs w:val="11"/>
          <w:color w:val="auto"/>
        </w:rPr>
        <w:t>1</w:t>
      </w:r>
      <w:r>
        <w:rPr>
          <w:rFonts w:ascii="Arial" w:cs="Arial" w:eastAsia="Arial" w:hAnsi="Arial"/>
          <w:sz w:val="16"/>
          <w:szCs w:val="16"/>
          <w:color w:val="auto"/>
        </w:rPr>
        <w:t>12,000,000 shares are held directly by sanofi-aventis Amerique du Nord and 2,799,552 of the shares are held directly by Aventis Pharmaceuticals Inc. Sanofi-aventis Amerique du Nord is indirectly wholly owned by sanofi-aventis. Aventis Pharmaceuticals Inc., Aventis Holdings Inc. and Aventis Inc. are each indirectly wholly owned by sanofi-aventis and controlled by sanofi-aventis Amerique du Nord. Pursuant to an Investor Agreement, dated as of December 20, 2007, by and among sanofi-aventis, sanofi-aventis Amerique du Nord, sanofi-aventis US LLC, Aventis Pharmaceuticals Inc. and Regeneron Pharmaceuticals Incorporated, sanofi-aventis Amerique du Nord, and Aventis Pharmaceuticals Inc. have agreed to vote their respective shares of Regeneron Pharmaceuticals Incorporated, subject to specified exceptions, either (a) in accordance with the recommendation of Regeneron Pharmaceuticals Incorporated’s Board of Directors or (b) in the same proportion as the votes cast by all other holders of all classes of voting securities of Regeneron Pharmaceuticals Incorporated. Accordingly, the group formed as a result of such shareholders of Regeneron Pharmaceuticals Incorporated entering into the Investor Agreement is deemed to have acquired beneficial ownership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-1236980</wp:posOffset>
            </wp:positionV>
            <wp:extent cx="6000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360"/>
          </w:cols>
          <w:pgMar w:left="240" w:top="388" w:right="299" w:bottom="1440" w:gutter="0" w:footer="0" w:header="0"/>
        </w:sectPr>
      </w:pPr>
    </w:p>
    <w:bookmarkStart w:id="8" w:name="page9"/>
    <w:bookmarkEnd w:id="8"/>
    <w:p>
      <w:pPr>
        <w:ind w:left="1360" w:hanging="366"/>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Sole power to dispose or to direct the disposition of:</w:t>
      </w:r>
    </w:p>
    <w:p>
      <w:pPr>
        <w:spacing w:after="0" w:line="90" w:lineRule="exact"/>
        <w:rPr>
          <w:rFonts w:ascii="Arial" w:cs="Arial" w:eastAsia="Arial" w:hAnsi="Arial"/>
          <w:sz w:val="18"/>
          <w:szCs w:val="18"/>
          <w:color w:val="auto"/>
        </w:rPr>
      </w:pPr>
    </w:p>
    <w:p>
      <w:pPr>
        <w:ind w:left="1740" w:hanging="381"/>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sanofi-aventis: 0 shares</w:t>
      </w:r>
    </w:p>
    <w:p>
      <w:pPr>
        <w:spacing w:after="0" w:line="90" w:lineRule="exact"/>
        <w:rPr>
          <w:rFonts w:ascii="Arial" w:cs="Arial" w:eastAsia="Arial" w:hAnsi="Arial"/>
          <w:sz w:val="18"/>
          <w:szCs w:val="18"/>
          <w:color w:val="auto"/>
        </w:rPr>
      </w:pPr>
    </w:p>
    <w:p>
      <w:pPr>
        <w:ind w:left="1740" w:hanging="381"/>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sanofi-aventis Amerique du Nord: 0 shares</w:t>
      </w:r>
    </w:p>
    <w:p>
      <w:pPr>
        <w:spacing w:after="0" w:line="90" w:lineRule="exact"/>
        <w:rPr>
          <w:rFonts w:ascii="Arial" w:cs="Arial" w:eastAsia="Arial" w:hAnsi="Arial"/>
          <w:sz w:val="18"/>
          <w:szCs w:val="18"/>
          <w:color w:val="auto"/>
        </w:rPr>
      </w:pPr>
    </w:p>
    <w:p>
      <w:pPr>
        <w:ind w:left="1700" w:hanging="341"/>
        <w:spacing w:after="0"/>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Aventis Pharmaceuticals Inc.: 0 shares</w:t>
      </w:r>
    </w:p>
    <w:p>
      <w:pPr>
        <w:spacing w:after="0" w:line="90" w:lineRule="exact"/>
        <w:rPr>
          <w:rFonts w:ascii="Arial" w:cs="Arial" w:eastAsia="Arial" w:hAnsi="Arial"/>
          <w:sz w:val="18"/>
          <w:szCs w:val="18"/>
          <w:color w:val="auto"/>
        </w:rPr>
      </w:pPr>
    </w:p>
    <w:p>
      <w:pPr>
        <w:ind w:left="1740" w:hanging="381"/>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Aventis Holdings Inc.: 0 shares</w:t>
      </w:r>
    </w:p>
    <w:p>
      <w:pPr>
        <w:spacing w:after="0" w:line="90" w:lineRule="exact"/>
        <w:rPr>
          <w:rFonts w:ascii="Arial" w:cs="Arial" w:eastAsia="Arial" w:hAnsi="Arial"/>
          <w:sz w:val="18"/>
          <w:szCs w:val="18"/>
          <w:color w:val="auto"/>
        </w:rPr>
      </w:pPr>
    </w:p>
    <w:p>
      <w:pPr>
        <w:ind w:left="1720" w:hanging="361"/>
        <w:spacing w:after="0"/>
        <w:tabs>
          <w:tab w:leader="none" w:pos="1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Aventis Inc.: 0 shares</w:t>
      </w:r>
    </w:p>
    <w:p>
      <w:pPr>
        <w:spacing w:after="0" w:line="130" w:lineRule="exact"/>
        <w:rPr>
          <w:rFonts w:ascii="Arial" w:cs="Arial" w:eastAsia="Arial" w:hAnsi="Arial"/>
          <w:sz w:val="18"/>
          <w:szCs w:val="18"/>
          <w:color w:val="auto"/>
        </w:rPr>
      </w:pPr>
    </w:p>
    <w:p>
      <w:pPr>
        <w:ind w:left="1360" w:hanging="366"/>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90" w:lineRule="exact"/>
        <w:rPr>
          <w:rFonts w:ascii="Arial" w:cs="Arial" w:eastAsia="Arial" w:hAnsi="Arial"/>
          <w:sz w:val="18"/>
          <w:szCs w:val="18"/>
          <w:color w:val="auto"/>
        </w:rPr>
      </w:pPr>
    </w:p>
    <w:p>
      <w:pPr>
        <w:ind w:left="1740" w:hanging="381"/>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sanofi-aventis: 14,799,552 shares</w:t>
      </w:r>
    </w:p>
    <w:p>
      <w:pPr>
        <w:spacing w:after="0" w:line="90" w:lineRule="exact"/>
        <w:rPr>
          <w:rFonts w:ascii="Arial" w:cs="Arial" w:eastAsia="Arial" w:hAnsi="Arial"/>
          <w:sz w:val="18"/>
          <w:szCs w:val="18"/>
          <w:color w:val="auto"/>
        </w:rPr>
      </w:pPr>
    </w:p>
    <w:p>
      <w:pPr>
        <w:ind w:left="1740" w:hanging="381"/>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sanofi-aventis Amerique du Nord: 14,799,552 shares</w:t>
      </w:r>
    </w:p>
    <w:p>
      <w:pPr>
        <w:spacing w:after="0" w:line="90" w:lineRule="exact"/>
        <w:rPr>
          <w:rFonts w:ascii="Arial" w:cs="Arial" w:eastAsia="Arial" w:hAnsi="Arial"/>
          <w:sz w:val="18"/>
          <w:szCs w:val="18"/>
          <w:color w:val="auto"/>
        </w:rPr>
      </w:pPr>
    </w:p>
    <w:p>
      <w:pPr>
        <w:ind w:left="1700" w:hanging="341"/>
        <w:spacing w:after="0"/>
        <w:tabs>
          <w:tab w:leader="none" w:pos="1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Aventis Pharmaceuticals Inc.: 14,799,552 shares</w:t>
      </w:r>
    </w:p>
    <w:p>
      <w:pPr>
        <w:spacing w:after="0" w:line="90" w:lineRule="exact"/>
        <w:rPr>
          <w:rFonts w:ascii="Arial" w:cs="Arial" w:eastAsia="Arial" w:hAnsi="Arial"/>
          <w:sz w:val="18"/>
          <w:szCs w:val="18"/>
          <w:color w:val="auto"/>
        </w:rPr>
      </w:pPr>
    </w:p>
    <w:p>
      <w:pPr>
        <w:ind w:left="1740" w:hanging="381"/>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Aventis Holdings Inc.: 14,799,552 shares</w:t>
      </w:r>
    </w:p>
    <w:p>
      <w:pPr>
        <w:spacing w:after="0" w:line="90" w:lineRule="exact"/>
        <w:rPr>
          <w:rFonts w:ascii="Arial" w:cs="Arial" w:eastAsia="Arial" w:hAnsi="Arial"/>
          <w:sz w:val="18"/>
          <w:szCs w:val="18"/>
          <w:color w:val="auto"/>
        </w:rPr>
      </w:pPr>
    </w:p>
    <w:p>
      <w:pPr>
        <w:ind w:left="1720" w:hanging="361"/>
        <w:spacing w:after="0"/>
        <w:tabs>
          <w:tab w:leader="none" w:pos="1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Aventis Inc.: 14,799,552 shares</w:t>
      </w:r>
    </w:p>
    <w:p>
      <w:pPr>
        <w:spacing w:after="0" w:line="1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90" w:lineRule="exact"/>
        <w:rPr>
          <w:sz w:val="20"/>
          <w:szCs w:val="20"/>
          <w:color w:val="auto"/>
        </w:rPr>
      </w:pPr>
    </w:p>
    <w:p>
      <w:pPr>
        <w:ind w:left="700" w:right="139"/>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6 is not applicable.</w:t>
      </w:r>
    </w:p>
    <w:p>
      <w:pPr>
        <w:spacing w:after="0" w:line="1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7 is not applicable.</w:t>
      </w:r>
    </w:p>
    <w:p>
      <w:pPr>
        <w:spacing w:after="0" w:line="1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a Group:</w:t>
      </w:r>
    </w:p>
    <w:p>
      <w:pPr>
        <w:spacing w:after="0" w:line="117" w:lineRule="exact"/>
        <w:rPr>
          <w:sz w:val="20"/>
          <w:szCs w:val="20"/>
          <w:color w:val="auto"/>
        </w:rPr>
      </w:pPr>
    </w:p>
    <w:p>
      <w:pPr>
        <w:ind w:left="1740" w:hanging="381"/>
        <w:spacing w:after="0"/>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sanofi-aventis</w:t>
      </w:r>
    </w:p>
    <w:p>
      <w:pPr>
        <w:spacing w:after="0" w:line="117" w:lineRule="exact"/>
        <w:rPr>
          <w:rFonts w:ascii="Arial" w:cs="Arial" w:eastAsia="Arial" w:hAnsi="Arial"/>
          <w:sz w:val="18"/>
          <w:szCs w:val="18"/>
          <w:color w:val="auto"/>
        </w:rPr>
      </w:pPr>
    </w:p>
    <w:p>
      <w:pPr>
        <w:ind w:left="1740" w:hanging="381"/>
        <w:spacing w:after="0"/>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sanofi-aventis Amerique du Nord</w:t>
      </w:r>
    </w:p>
    <w:p>
      <w:pPr>
        <w:spacing w:after="0" w:line="117" w:lineRule="exact"/>
        <w:rPr>
          <w:rFonts w:ascii="Arial" w:cs="Arial" w:eastAsia="Arial" w:hAnsi="Arial"/>
          <w:sz w:val="18"/>
          <w:szCs w:val="18"/>
          <w:color w:val="auto"/>
        </w:rPr>
      </w:pPr>
    </w:p>
    <w:p>
      <w:pPr>
        <w:ind w:left="1700" w:hanging="341"/>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Aventis Pharmaceuticals Inc.</w:t>
      </w:r>
    </w:p>
    <w:p>
      <w:pPr>
        <w:spacing w:after="0" w:line="117" w:lineRule="exact"/>
        <w:rPr>
          <w:rFonts w:ascii="Arial" w:cs="Arial" w:eastAsia="Arial" w:hAnsi="Arial"/>
          <w:sz w:val="18"/>
          <w:szCs w:val="18"/>
          <w:color w:val="auto"/>
        </w:rPr>
      </w:pPr>
    </w:p>
    <w:p>
      <w:pPr>
        <w:ind w:left="1740" w:hanging="381"/>
        <w:spacing w:after="0"/>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Aventis Holdings Inc.</w:t>
      </w:r>
    </w:p>
    <w:p>
      <w:pPr>
        <w:spacing w:after="0" w:line="117" w:lineRule="exact"/>
        <w:rPr>
          <w:rFonts w:ascii="Arial" w:cs="Arial" w:eastAsia="Arial" w:hAnsi="Arial"/>
          <w:sz w:val="18"/>
          <w:szCs w:val="18"/>
          <w:color w:val="auto"/>
        </w:rPr>
      </w:pPr>
    </w:p>
    <w:p>
      <w:pPr>
        <w:ind w:left="1720" w:hanging="361"/>
        <w:spacing w:after="0"/>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Aventis Inc.</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9 is not applicable.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90" w:lineRule="exact"/>
        <w:rPr>
          <w:sz w:val="20"/>
          <w:szCs w:val="20"/>
          <w:color w:val="auto"/>
        </w:rPr>
      </w:pPr>
    </w:p>
    <w:p>
      <w:pPr>
        <w:ind w:left="700" w:right="319"/>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280" w:right="1440" w:bottom="1440" w:gutter="0" w:footer="0" w:header="0"/>
        </w:sectPr>
      </w:pPr>
    </w:p>
    <w:bookmarkStart w:id="9" w:name="page10"/>
    <w:bookmarkEnd w:id="9"/>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SANOFI-AVENTIS</w:t>
            </w:r>
          </w:p>
        </w:tc>
      </w:tr>
      <w:tr>
        <w:trPr>
          <w:trHeight w:val="434"/>
        </w:trPr>
        <w:tc>
          <w:tcPr>
            <w:tcW w:w="3700" w:type="dxa"/>
            <w:vAlign w:val="bottom"/>
          </w:tcPr>
          <w:p>
            <w:pPr>
              <w:spacing w:after="0"/>
              <w:rPr>
                <w:sz w:val="20"/>
                <w:szCs w:val="20"/>
                <w:color w:val="auto"/>
              </w:rPr>
            </w:pPr>
            <w:r>
              <w:rPr>
                <w:rFonts w:ascii="Arial" w:cs="Arial" w:eastAsia="Arial" w:hAnsi="Arial"/>
                <w:sz w:val="18"/>
                <w:szCs w:val="18"/>
                <w:color w:val="auto"/>
              </w:rPr>
              <w:t>Date: December 21, 2007</w:t>
            </w: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By: /s/ Laurence DEBROUX</w:t>
            </w:r>
          </w:p>
        </w:tc>
      </w:tr>
      <w:tr>
        <w:trPr>
          <w:trHeight w:val="215"/>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Laurence DEBROUX</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SANOFI-AVENTIS AMERIQUE DU NORD</w:t>
            </w:r>
          </w:p>
        </w:tc>
      </w:tr>
      <w:tr>
        <w:trPr>
          <w:trHeight w:val="434"/>
        </w:trPr>
        <w:tc>
          <w:tcPr>
            <w:tcW w:w="3700" w:type="dxa"/>
            <w:vAlign w:val="bottom"/>
          </w:tcPr>
          <w:p>
            <w:pPr>
              <w:spacing w:after="0"/>
              <w:rPr>
                <w:sz w:val="20"/>
                <w:szCs w:val="20"/>
                <w:color w:val="auto"/>
              </w:rPr>
            </w:pPr>
            <w:r>
              <w:rPr>
                <w:rFonts w:ascii="Arial" w:cs="Arial" w:eastAsia="Arial" w:hAnsi="Arial"/>
                <w:sz w:val="18"/>
                <w:szCs w:val="18"/>
                <w:color w:val="auto"/>
              </w:rPr>
              <w:t>Date: December 21, 2007</w:t>
            </w: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By: /s/ Laurence DEBROUX</w:t>
            </w:r>
          </w:p>
        </w:tc>
      </w:tr>
      <w:tr>
        <w:trPr>
          <w:trHeight w:val="215"/>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Laurence DEBROUX</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Gerant (Managing Agent)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AVENTIS PHARMACEUTICALS INC.</w:t>
            </w:r>
          </w:p>
        </w:tc>
      </w:tr>
      <w:tr>
        <w:trPr>
          <w:trHeight w:val="434"/>
        </w:trPr>
        <w:tc>
          <w:tcPr>
            <w:tcW w:w="3700" w:type="dxa"/>
            <w:vAlign w:val="bottom"/>
          </w:tcPr>
          <w:p>
            <w:pPr>
              <w:spacing w:after="0"/>
              <w:rPr>
                <w:sz w:val="20"/>
                <w:szCs w:val="20"/>
                <w:color w:val="auto"/>
              </w:rPr>
            </w:pPr>
            <w:r>
              <w:rPr>
                <w:rFonts w:ascii="Arial" w:cs="Arial" w:eastAsia="Arial" w:hAnsi="Arial"/>
                <w:sz w:val="18"/>
                <w:szCs w:val="18"/>
                <w:color w:val="auto"/>
              </w:rPr>
              <w:t>Date: December 21, 2007</w:t>
            </w: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By: /s/ Greg IRACE</w:t>
            </w:r>
          </w:p>
        </w:tc>
      </w:tr>
      <w:tr>
        <w:trPr>
          <w:trHeight w:val="215"/>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 IRACE</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AVENTIS HOLDINGS INC.</w:t>
            </w:r>
          </w:p>
        </w:tc>
      </w:tr>
      <w:tr>
        <w:trPr>
          <w:trHeight w:val="434"/>
        </w:trPr>
        <w:tc>
          <w:tcPr>
            <w:tcW w:w="3700" w:type="dxa"/>
            <w:vAlign w:val="bottom"/>
          </w:tcPr>
          <w:p>
            <w:pPr>
              <w:spacing w:after="0"/>
              <w:rPr>
                <w:sz w:val="20"/>
                <w:szCs w:val="20"/>
                <w:color w:val="auto"/>
              </w:rPr>
            </w:pPr>
            <w:r>
              <w:rPr>
                <w:rFonts w:ascii="Arial" w:cs="Arial" w:eastAsia="Arial" w:hAnsi="Arial"/>
                <w:sz w:val="18"/>
                <w:szCs w:val="18"/>
                <w:color w:val="auto"/>
              </w:rPr>
              <w:t>Date: December 21, 2007</w:t>
            </w: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By: /s/ Kathleen A. WINTER</w:t>
            </w:r>
          </w:p>
        </w:tc>
      </w:tr>
      <w:tr>
        <w:trPr>
          <w:trHeight w:val="215"/>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Kathleen A. WINTER</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1420"/>
          </w:cols>
          <w:pgMar w:left="240" w:top="274" w:right="239" w:bottom="1440" w:gutter="0" w:footer="0" w:header="0"/>
        </w:sectPr>
      </w:pPr>
    </w:p>
    <w:bookmarkStart w:id="10" w:name="page11"/>
    <w:bookmarkEnd w:id="10"/>
    <w:p>
      <w:pPr>
        <w:ind w:left="5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AVENTIS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December 21, 2007</w:t>
      </w:r>
      <w:r>
        <w:rPr>
          <w:sz w:val="20"/>
          <w:szCs w:val="20"/>
          <w:color w:val="auto"/>
        </w:rPr>
        <w:tab/>
      </w:r>
      <w:r>
        <w:rPr>
          <w:rFonts w:ascii="Arial" w:cs="Arial" w:eastAsia="Arial" w:hAnsi="Arial"/>
          <w:sz w:val="16"/>
          <w:szCs w:val="16"/>
          <w:color w:val="auto"/>
        </w:rPr>
        <w:t>By: /s/ Kathleen A.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Kathleen A. WINTER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0219"/>
          </w:cols>
          <w:pgMar w:left="240" w:top="280" w:right="1440"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171" w:lineRule="exact"/>
        <w:rPr>
          <w:sz w:val="20"/>
          <w:szCs w:val="20"/>
          <w:color w:val="auto"/>
        </w:rPr>
      </w:pPr>
    </w:p>
    <w:p>
      <w:pPr>
        <w:ind w:right="1640"/>
        <w:spacing w:after="0" w:line="268" w:lineRule="auto"/>
        <w:rPr>
          <w:sz w:val="20"/>
          <w:szCs w:val="20"/>
          <w:color w:val="auto"/>
        </w:rPr>
      </w:pPr>
      <w:r>
        <w:rPr>
          <w:rFonts w:ascii="Arial" w:cs="Arial" w:eastAsia="Arial" w:hAnsi="Arial"/>
          <w:sz w:val="18"/>
          <w:szCs w:val="18"/>
          <w:color w:val="auto"/>
        </w:rPr>
        <w:t>DECLARATION OF CONSENT TO JOINT FILING BY SANOFI-AVENTIS, SANOFI-AVENTIS AMERIQUE DU NORD, AVENTIS PHARMACEUTICALS INC., AVENTIS HOLDINGS INC AND AVENTIS INC.</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WHEREAS, in accordance with Rule 13d-1(k)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agree as follows: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Sanofi-aventis, sanofi-aventis Amerique du Nord, Aventis Pharmaceuticals Inc., Aventis Holdings Inc and Aventis Inc. hereby agree, in accordance with Rule 13d-1(k) under the Act, to file a statement on Schedule 13G relating to their ownership of the Common Stock of the Issuer and do hereby further agree that said statement shall be filed on behalf of each of them.</w:t>
      </w:r>
    </w:p>
    <w:p>
      <w:pPr>
        <w:sectPr>
          <w:pgSz w:w="11900" w:h="16838" w:orient="portrait"/>
          <w:cols w:equalWidth="0" w:num="1">
            <w:col w:w="11320"/>
          </w:cols>
          <w:pgMar w:left="240" w:top="2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Date: December 21,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Date: December 21,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auto"/>
        </w:rPr>
        <w:t>Date: December 21, 2007</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SANOFI-AVENTIS.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Laurence DEBROUX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10795</wp:posOffset>
            </wp:positionV>
            <wp:extent cx="34734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Laurence DEBROUX</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SANOFI-AVENTIS AMERIQUE DU NORD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Laurence DEBROUX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10795</wp:posOffset>
            </wp:positionV>
            <wp:extent cx="34734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Laurence DEBROUX</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Gerant (Managing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AVENTIS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Greg IRACE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10795</wp:posOffset>
            </wp:positionV>
            <wp:extent cx="3473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Greg IRACE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4860" w:space="720"/>
            <w:col w:w="5740"/>
          </w:cols>
          <w:pgMar w:left="240" w:top="280"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AVENTIS HOLDINGS INC.</w:t>
            </w:r>
          </w:p>
        </w:tc>
      </w:tr>
      <w:tr>
        <w:trPr>
          <w:trHeight w:val="434"/>
        </w:trPr>
        <w:tc>
          <w:tcPr>
            <w:tcW w:w="3700" w:type="dxa"/>
            <w:vAlign w:val="bottom"/>
          </w:tcPr>
          <w:p>
            <w:pPr>
              <w:spacing w:after="0"/>
              <w:rPr>
                <w:sz w:val="20"/>
                <w:szCs w:val="20"/>
                <w:color w:val="auto"/>
              </w:rPr>
            </w:pPr>
            <w:r>
              <w:rPr>
                <w:rFonts w:ascii="Arial" w:cs="Arial" w:eastAsia="Arial" w:hAnsi="Arial"/>
                <w:sz w:val="18"/>
                <w:szCs w:val="18"/>
                <w:color w:val="auto"/>
              </w:rPr>
              <w:t>Date: December 21, 2007</w:t>
            </w: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By: /s/ Kathleen A. WINTER</w:t>
            </w:r>
          </w:p>
        </w:tc>
      </w:tr>
      <w:tr>
        <w:trPr>
          <w:trHeight w:val="215"/>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Kathleen A. WINTER</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3700" w:type="dxa"/>
            <w:vAlign w:val="bottom"/>
          </w:tcPr>
          <w:p>
            <w:pPr>
              <w:spacing w:after="0"/>
              <w:rPr>
                <w:sz w:val="24"/>
                <w:szCs w:val="24"/>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AVENTIS INC.</w:t>
            </w:r>
          </w:p>
        </w:tc>
      </w:tr>
      <w:tr>
        <w:trPr>
          <w:trHeight w:val="434"/>
        </w:trPr>
        <w:tc>
          <w:tcPr>
            <w:tcW w:w="3700" w:type="dxa"/>
            <w:vAlign w:val="bottom"/>
          </w:tcPr>
          <w:p>
            <w:pPr>
              <w:spacing w:after="0"/>
              <w:rPr>
                <w:sz w:val="20"/>
                <w:szCs w:val="20"/>
                <w:color w:val="auto"/>
              </w:rPr>
            </w:pPr>
            <w:r>
              <w:rPr>
                <w:rFonts w:ascii="Arial" w:cs="Arial" w:eastAsia="Arial" w:hAnsi="Arial"/>
                <w:sz w:val="18"/>
                <w:szCs w:val="18"/>
                <w:color w:val="auto"/>
              </w:rPr>
              <w:t>Date: December 21, 2007</w:t>
            </w: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By: /s/ Kathleen A. WINTER</w:t>
            </w:r>
          </w:p>
        </w:tc>
      </w:tr>
      <w:tr>
        <w:trPr>
          <w:trHeight w:val="215"/>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Kathleen A. WINTER</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lvl w:ilvl="1">
      <w:lvlJc w:val="left"/>
      <w:lvlText w:val="(%2)"/>
      <w:numFmt w:val="lowerLetter"/>
      <w:start w:val="1"/>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2"/>
    </w:lvl>
    <w:lvl w:ilvl="1">
      <w:lvlJc w:val="left"/>
      <w:lvlText w:val="(%2)"/>
      <w:numFmt w:val="lowerLetter"/>
      <w:start w:val="1"/>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lvl w:ilvl="1">
      <w:lvlJc w:val="left"/>
      <w:lvlText w:val="(%2)"/>
      <w:numFmt w:val="lowerLetter"/>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lvl w:ilvl="1">
      <w:lvlJc w:val="left"/>
      <w:lvlText w:val="(%2)"/>
      <w:numFmt w:val="lowerLetter"/>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2"/>
    </w:lvl>
    <w:lvl w:ilvl="1">
      <w:lvlJc w:val="left"/>
      <w:lvlText w:val="(%2)"/>
      <w:numFmt w:val="lowerLetter"/>
      <w:start w:val="1"/>
    </w:lvl>
  </w:abstractNum>
  <w:abstractNum w:abstractNumId="14">
    <w:nsid w:val="431BD7B7"/>
    <w:multiLevelType w:val="hybridMultilevel"/>
    <w:lvl w:ilvl="0">
      <w:lvlJc w:val="left"/>
      <w:lvlText w:val="%1."/>
      <w:numFmt w:val="decimal"/>
      <w:start w:val="5"/>
    </w:lvl>
  </w:abstractNum>
  <w:abstractNum w:abstractNumId="15">
    <w:nsid w:val="3F2DBA31"/>
    <w:multiLevelType w:val="hybridMultilevel"/>
    <w:lvl w:ilvl="0">
      <w:lvlJc w:val="left"/>
      <w:lvlText w:val="(%1)"/>
      <w:numFmt w:val="lowerRoman"/>
      <w:start w:val="1"/>
    </w:lvl>
  </w:abstractNum>
  <w:abstractNum w:abstractNumId="16">
    <w:nsid w:val="7C83E458"/>
    <w:multiLevelType w:val="hybridMultilevel"/>
    <w:lvl w:ilvl="0">
      <w:lvlJc w:val="left"/>
      <w:lvlText w:val="(%1)"/>
      <w:numFmt w:val="lowerRoman"/>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9">
    <w:nsid w:val="436C6125"/>
    <w:multiLevelType w:val="hybridMultilevel"/>
    <w:lvl w:ilvl="0">
      <w:lvlJc w:val="left"/>
      <w:lvlText w:val="(%1)"/>
      <w:numFmt w:val="lowerRoman"/>
      <w:start w:val="3"/>
    </w:lvl>
    <w:lvl w:ilvl="1">
      <w:lvlJc w:val="left"/>
      <w:lvlText w:val="(%2)"/>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2019-12-20T18:22:51Z</dcterms:created>
  <dcterms:modified xsi:type="dcterms:W3CDTF">2019-12-20T18:22:51Z</dcterms:modified>
</cp:coreProperties>
</file>