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7"/>
        <w:spacing w:after="0"/>
        <w:rPr>
          <w:sz w:val="20"/>
          <w:szCs w:val="20"/>
          <w:color w:val="auto"/>
        </w:rPr>
      </w:pPr>
      <w:r>
        <w:rPr>
          <w:rFonts w:ascii="Courier New" w:cs="Courier New" w:eastAsia="Courier New" w:hAnsi="Courier New"/>
          <w:sz w:val="15"/>
          <w:szCs w:val="15"/>
          <w:color w:val="auto"/>
        </w:rPr>
        <w:t>AS FILED WITH THE SECURITIES AND EXCHANGE COMMISSION ON SEPTEMBER 24, 2004.</w:t>
      </w:r>
    </w:p>
    <w:p>
      <w:pPr>
        <w:spacing w:after="0" w:line="180" w:lineRule="exact"/>
        <w:rPr>
          <w:sz w:val="24"/>
          <w:szCs w:val="24"/>
          <w:color w:val="auto"/>
        </w:rPr>
      </w:pPr>
    </w:p>
    <w:p>
      <w:pPr>
        <w:jc w:val="right"/>
        <w:ind w:right="4260"/>
        <w:spacing w:after="0"/>
        <w:rPr>
          <w:sz w:val="20"/>
          <w:szCs w:val="20"/>
          <w:color w:val="auto"/>
        </w:rPr>
      </w:pPr>
      <w:r>
        <w:rPr>
          <w:rFonts w:ascii="Courier New" w:cs="Courier New" w:eastAsia="Courier New" w:hAnsi="Courier New"/>
          <w:sz w:val="15"/>
          <w:szCs w:val="15"/>
          <w:color w:val="auto"/>
        </w:rPr>
        <w:t>REGISTRATION NO. 333-</w:t>
      </w:r>
    </w:p>
    <w:p>
      <w:pPr>
        <w:spacing w:after="0" w:line="180"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S-8</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p>
      <w:pPr>
        <w:ind w:left="3447"/>
        <w:spacing w:after="0"/>
        <w:rPr>
          <w:sz w:val="20"/>
          <w:szCs w:val="20"/>
          <w:color w:val="auto"/>
        </w:rPr>
      </w:pPr>
      <w:r>
        <w:rPr>
          <w:rFonts w:ascii="Courier New" w:cs="Courier New" w:eastAsia="Courier New" w:hAnsi="Courier New"/>
          <w:sz w:val="15"/>
          <w:szCs w:val="15"/>
          <w:color w:val="auto"/>
        </w:rPr>
        <w:t>UNDER</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THE SECURITIES ACT OF 1933</w:t>
      </w:r>
    </w:p>
    <w:p>
      <w:pPr>
        <w:spacing w:after="0" w:line="180" w:lineRule="exact"/>
        <w:rPr>
          <w:sz w:val="24"/>
          <w:szCs w:val="24"/>
          <w:color w:val="auto"/>
        </w:rPr>
      </w:pPr>
    </w:p>
    <w:p>
      <w:pPr>
        <w:jc w:val="center"/>
        <w:ind w:right="4153"/>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7"/>
          </w:cols>
          <w:pgMar w:left="233" w:top="409" w:right="139" w:bottom="1440" w:gutter="0" w:footer="0" w:header="0"/>
        </w:sectPr>
      </w:pPr>
    </w:p>
    <w:p>
      <w:pPr>
        <w:spacing w:after="0" w:line="180" w:lineRule="exact"/>
        <w:rPr>
          <w:sz w:val="24"/>
          <w:szCs w:val="24"/>
          <w:color w:val="auto"/>
        </w:rPr>
      </w:pPr>
    </w:p>
    <w:p>
      <w:pPr>
        <w:ind w:left="1007"/>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ind w:left="187"/>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267"/>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13-3444607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0" w:lineRule="exact"/>
        <w:rPr>
          <w:sz w:val="24"/>
          <w:szCs w:val="24"/>
          <w:color w:val="auto"/>
        </w:rPr>
      </w:pPr>
    </w:p>
    <w:p>
      <w:pPr>
        <w:sectPr>
          <w:pgSz w:w="11900" w:h="16838" w:orient="portrait"/>
          <w:cols w:equalWidth="0" w:num="2">
            <w:col w:w="3547" w:space="720"/>
            <w:col w:w="7260"/>
          </w:cols>
          <w:pgMar w:left="233" w:top="409" w:right="139" w:bottom="1440" w:gutter="0" w:footer="0" w:header="0"/>
          <w:type w:val="continuous"/>
        </w:sectPr>
      </w:pPr>
    </w:p>
    <w:p>
      <w:pPr>
        <w:ind w:left="2447"/>
        <w:spacing w:after="0"/>
        <w:rPr>
          <w:sz w:val="20"/>
          <w:szCs w:val="20"/>
          <w:color w:val="auto"/>
        </w:rPr>
      </w:pPr>
      <w:r>
        <w:rPr>
          <w:rFonts w:ascii="Courier New" w:cs="Courier New" w:eastAsia="Courier New" w:hAnsi="Courier New"/>
          <w:sz w:val="15"/>
          <w:szCs w:val="15"/>
          <w:color w:val="auto"/>
        </w:rPr>
        <w:t>777 OLD SAW MILL RIVER ROAD</w:t>
      </w:r>
    </w:p>
    <w:p>
      <w:pPr>
        <w:spacing w:after="0" w:line="5"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TARRYTOWN, NEW YORK 10591-6707</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(914) 347-7000</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(Address, Including Zip Code, and Telephone Number, Including Area Code,</w:t>
      </w:r>
    </w:p>
    <w:p>
      <w:pPr>
        <w:spacing w:after="0" w:line="5"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of Principal Executive Offices)</w:t>
      </w:r>
    </w:p>
    <w:p>
      <w:pPr>
        <w:spacing w:after="0" w:line="180" w:lineRule="exact"/>
        <w:rPr>
          <w:sz w:val="24"/>
          <w:szCs w:val="24"/>
          <w:color w:val="auto"/>
        </w:rPr>
      </w:pPr>
    </w:p>
    <w:p>
      <w:pPr>
        <w:jc w:val="center"/>
        <w:ind w:right="4153"/>
        <w:spacing w:after="0"/>
        <w:rPr>
          <w:sz w:val="20"/>
          <w:szCs w:val="20"/>
          <w:color w:val="auto"/>
        </w:rPr>
      </w:pPr>
      <w:r>
        <w:rPr>
          <w:rFonts w:ascii="Courier New" w:cs="Courier New" w:eastAsia="Courier New" w:hAnsi="Courier New"/>
          <w:sz w:val="15"/>
          <w:szCs w:val="15"/>
          <w:color w:val="auto"/>
        </w:rPr>
        <w:t>2000 LONG-TERM INCENTIVE PLAN</w:t>
      </w:r>
    </w:p>
    <w:p>
      <w:pPr>
        <w:spacing w:after="0" w:line="180" w:lineRule="exact"/>
        <w:rPr>
          <w:sz w:val="24"/>
          <w:szCs w:val="24"/>
          <w:color w:val="auto"/>
        </w:rPr>
      </w:pPr>
    </w:p>
    <w:p>
      <w:pPr>
        <w:jc w:val="center"/>
        <w:ind w:right="4153"/>
        <w:spacing w:after="0"/>
        <w:rPr>
          <w:sz w:val="20"/>
          <w:szCs w:val="20"/>
          <w:color w:val="auto"/>
        </w:rPr>
      </w:pPr>
      <w:r>
        <w:rPr>
          <w:rFonts w:ascii="Courier New" w:cs="Courier New" w:eastAsia="Courier New" w:hAnsi="Courier New"/>
          <w:sz w:val="15"/>
          <w:szCs w:val="15"/>
          <w:color w:val="auto"/>
        </w:rPr>
        <w:t>(Full Title of the Plans)</w:t>
      </w:r>
    </w:p>
    <w:p>
      <w:pPr>
        <w:spacing w:after="0" w:line="180"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STUART KOLINSKI, ESQ.</w:t>
      </w:r>
    </w:p>
    <w:p>
      <w:pPr>
        <w:spacing w:after="0" w:line="5"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VICE PRESIDENT, GENERAL COUNSEL AND SECRETARY</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777 OLD SAW MILL RIVER ROAD</w:t>
      </w:r>
    </w:p>
    <w:p>
      <w:pPr>
        <w:spacing w:after="0" w:line="5"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TARRYTOWN, NEW YORK 10591-6707</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(914) 347-7000</w:t>
      </w:r>
    </w:p>
    <w:p>
      <w:pPr>
        <w:spacing w:after="0" w:line="5" w:lineRule="exact"/>
        <w:rPr>
          <w:sz w:val="24"/>
          <w:szCs w:val="24"/>
          <w:color w:val="auto"/>
        </w:rPr>
      </w:pPr>
    </w:p>
    <w:p>
      <w:pPr>
        <w:ind w:left="1087"/>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Copies to:</w:t>
      </w:r>
    </w:p>
    <w:p>
      <w:pPr>
        <w:spacing w:after="0" w:line="180"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DAVID GOLDSCHMIDT, ESQ.</w:t>
      </w:r>
    </w:p>
    <w:p>
      <w:pPr>
        <w:spacing w:after="0" w:line="5" w:lineRule="exact"/>
        <w:rPr>
          <w:sz w:val="24"/>
          <w:szCs w:val="24"/>
          <w:color w:val="auto"/>
        </w:rPr>
      </w:pPr>
    </w:p>
    <w:p>
      <w:pPr>
        <w:ind w:left="1827"/>
        <w:spacing w:after="0"/>
        <w:rPr>
          <w:sz w:val="20"/>
          <w:szCs w:val="20"/>
          <w:color w:val="auto"/>
        </w:rPr>
      </w:pPr>
      <w:r>
        <w:rPr>
          <w:rFonts w:ascii="Courier New" w:cs="Courier New" w:eastAsia="Courier New" w:hAnsi="Courier New"/>
          <w:sz w:val="15"/>
          <w:szCs w:val="15"/>
          <w:color w:val="auto"/>
        </w:rPr>
        <w:t>SKADDEN, ARPS, SLATE, MEAGHER &amp; FLOM LLP</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FOUR TIMES SQUARE</w:t>
      </w:r>
    </w:p>
    <w:p>
      <w:pPr>
        <w:spacing w:after="0" w:line="5" w:lineRule="exact"/>
        <w:rPr>
          <w:sz w:val="24"/>
          <w:szCs w:val="24"/>
          <w:color w:val="auto"/>
        </w:rPr>
      </w:pPr>
    </w:p>
    <w:p>
      <w:pPr>
        <w:ind w:left="2367"/>
        <w:spacing w:after="0"/>
        <w:rPr>
          <w:sz w:val="20"/>
          <w:szCs w:val="20"/>
          <w:color w:val="auto"/>
        </w:rPr>
      </w:pPr>
      <w:r>
        <w:rPr>
          <w:rFonts w:ascii="Courier New" w:cs="Courier New" w:eastAsia="Courier New" w:hAnsi="Courier New"/>
          <w:sz w:val="15"/>
          <w:szCs w:val="15"/>
          <w:color w:val="auto"/>
        </w:rPr>
        <w:t>NEW YORK, NEW YORK 10036-6522</w:t>
      </w:r>
    </w:p>
    <w:p>
      <w:pPr>
        <w:spacing w:after="0" w:line="5" w:lineRule="exact"/>
        <w:rPr>
          <w:sz w:val="24"/>
          <w:szCs w:val="24"/>
          <w:color w:val="auto"/>
        </w:rPr>
      </w:pPr>
    </w:p>
    <w:p>
      <w:pPr>
        <w:ind w:left="3547" w:hanging="548"/>
        <w:spacing w:after="0"/>
        <w:tabs>
          <w:tab w:leader="none" w:pos="3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735-3000</w:t>
      </w:r>
    </w:p>
    <w:p>
      <w:pPr>
        <w:spacing w:after="0" w:line="179"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9" w:lineRule="exact"/>
        <w:rPr>
          <w:sz w:val="24"/>
          <w:szCs w:val="24"/>
          <w:color w:val="auto"/>
        </w:rPr>
      </w:pPr>
    </w:p>
    <w:tbl>
      <w:tblPr>
        <w:tblLayout w:type="fixed"/>
        <w:tblInd w:w="7" w:type="dxa"/>
        <w:tblCellMar>
          <w:top w:w="0" w:type="dxa"/>
          <w:left w:w="0" w:type="dxa"/>
          <w:bottom w:w="0" w:type="dxa"/>
          <w:right w:w="0" w:type="dxa"/>
        </w:tblCellMar>
      </w:tblPr>
      <w:tr>
        <w:trPr>
          <w:trHeight w:val="170"/>
        </w:trPr>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TITLE</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OF SECURITIES TO BE</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AMOUNT TO BE REGISTERED</w:t>
            </w:r>
          </w:p>
        </w:tc>
        <w:tc>
          <w:tcPr>
            <w:tcW w:w="258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PROPOSED MAXIMUM</w:t>
            </w:r>
          </w:p>
        </w:tc>
        <w:tc>
          <w:tcPr>
            <w:tcW w:w="2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PROPOSED MAXIMUM</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AMOUNT OF</w:t>
            </w:r>
          </w:p>
        </w:tc>
      </w:tr>
      <w:tr>
        <w:trPr>
          <w:trHeight w:val="175"/>
        </w:trPr>
        <w:tc>
          <w:tcPr>
            <w:tcW w:w="620" w:type="dxa"/>
            <w:vAlign w:val="bottom"/>
          </w:tcPr>
          <w:p>
            <w:pPr>
              <w:spacing w:after="0"/>
              <w:rPr>
                <w:sz w:val="15"/>
                <w:szCs w:val="15"/>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5"/>
                <w:szCs w:val="15"/>
                <w:color w:val="auto"/>
              </w:rPr>
              <w:t>REGISTERED</w:t>
            </w:r>
          </w:p>
        </w:tc>
        <w:tc>
          <w:tcPr>
            <w:tcW w:w="236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w:t>
            </w:r>
          </w:p>
        </w:tc>
        <w:tc>
          <w:tcPr>
            <w:tcW w:w="258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OFFERING PRICE PER SHARE</w:t>
            </w:r>
          </w:p>
        </w:tc>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AGGREGATE OFFERING</w:t>
            </w:r>
          </w:p>
        </w:tc>
        <w:tc>
          <w:tcPr>
            <w:tcW w:w="1800" w:type="dxa"/>
            <w:vAlign w:val="bottom"/>
          </w:tcPr>
          <w:p>
            <w:pPr>
              <w:ind w:left="360"/>
              <w:spacing w:after="0"/>
              <w:rPr>
                <w:sz w:val="20"/>
                <w:szCs w:val="20"/>
                <w:color w:val="auto"/>
              </w:rPr>
            </w:pPr>
            <w:r>
              <w:rPr>
                <w:rFonts w:ascii="Courier New" w:cs="Courier New" w:eastAsia="Courier New" w:hAnsi="Courier New"/>
                <w:sz w:val="15"/>
                <w:szCs w:val="15"/>
                <w:color w:val="auto"/>
                <w:w w:val="98"/>
              </w:rPr>
              <w:t>REGISTRATION FEE</w:t>
            </w:r>
          </w:p>
        </w:tc>
      </w:tr>
      <w:tr>
        <w:trPr>
          <w:trHeight w:val="175"/>
        </w:trPr>
        <w:tc>
          <w:tcPr>
            <w:tcW w:w="6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580" w:type="dxa"/>
            <w:vAlign w:val="bottom"/>
          </w:tcPr>
          <w:p>
            <w:pPr>
              <w:ind w:left="860"/>
              <w:spacing w:after="0"/>
              <w:rPr>
                <w:sz w:val="20"/>
                <w:szCs w:val="20"/>
                <w:color w:val="auto"/>
              </w:rPr>
            </w:pPr>
            <w:r>
              <w:rPr>
                <w:rFonts w:ascii="Courier New" w:cs="Courier New" w:eastAsia="Courier New" w:hAnsi="Courier New"/>
                <w:sz w:val="15"/>
                <w:szCs w:val="15"/>
                <w:color w:val="auto"/>
              </w:rPr>
              <w:t>(2) (3)</w:t>
            </w:r>
          </w:p>
        </w:tc>
        <w:tc>
          <w:tcPr>
            <w:tcW w:w="22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PRICE (3)</w:t>
            </w:r>
          </w:p>
        </w:tc>
        <w:tc>
          <w:tcPr>
            <w:tcW w:w="1800" w:type="dxa"/>
            <w:vAlign w:val="bottom"/>
          </w:tcPr>
          <w:p>
            <w:pPr>
              <w:spacing w:after="0"/>
              <w:rPr>
                <w:sz w:val="15"/>
                <w:szCs w:val="15"/>
                <w:color w:val="auto"/>
              </w:rPr>
            </w:pPr>
          </w:p>
        </w:tc>
      </w:tr>
      <w:tr>
        <w:trPr>
          <w:trHeight w:val="175"/>
        </w:trPr>
        <w:tc>
          <w:tcPr>
            <w:tcW w:w="2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36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Common</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Stock, par value</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7,500,000 shares</w:t>
            </w:r>
          </w:p>
        </w:tc>
        <w:tc>
          <w:tcPr>
            <w:tcW w:w="2580" w:type="dxa"/>
            <w:vAlign w:val="bottom"/>
          </w:tcPr>
          <w:p>
            <w:pPr>
              <w:ind w:left="860"/>
              <w:spacing w:after="0"/>
              <w:rPr>
                <w:sz w:val="20"/>
                <w:szCs w:val="20"/>
                <w:color w:val="auto"/>
              </w:rPr>
            </w:pPr>
            <w:r>
              <w:rPr>
                <w:rFonts w:ascii="Courier New" w:cs="Courier New" w:eastAsia="Courier New" w:hAnsi="Courier New"/>
                <w:sz w:val="15"/>
                <w:szCs w:val="15"/>
                <w:color w:val="auto"/>
              </w:rPr>
              <w:t>$9.075</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$68,062,500</w:t>
            </w:r>
          </w:p>
        </w:tc>
        <w:tc>
          <w:tcPr>
            <w:tcW w:w="1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$8,623.52</w:t>
            </w:r>
          </w:p>
        </w:tc>
      </w:tr>
      <w:tr>
        <w:trPr>
          <w:trHeight w:val="175"/>
        </w:trPr>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$0.001</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2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spacing w:after="0" w:line="200" w:lineRule="exact"/>
        <w:rPr>
          <w:sz w:val="24"/>
          <w:szCs w:val="24"/>
          <w:color w:val="auto"/>
        </w:rPr>
      </w:pPr>
    </w:p>
    <w:p>
      <w:pPr>
        <w:spacing w:after="0" w:line="329" w:lineRule="exact"/>
        <w:rPr>
          <w:sz w:val="24"/>
          <w:szCs w:val="24"/>
          <w:color w:val="auto"/>
        </w:rPr>
      </w:pPr>
    </w:p>
    <w:p>
      <w:pPr>
        <w:ind w:left="827" w:right="4260" w:hanging="827"/>
        <w:spacing w:after="0" w:line="246" w:lineRule="auto"/>
        <w:tabs>
          <w:tab w:leader="none" w:pos="8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416 under the Securities Act of 1933, as amended, (the "Securities Act") this Registration Statement shall also cover, in addition to the number of shares stated above, an indeterminate number of additional shares of Common Stock, par value $.001 ("Common Stock") of the Registrant which may become issuable under the Registrant's</w:t>
      </w:r>
    </w:p>
    <w:p>
      <w:pPr>
        <w:spacing w:after="0" w:line="3" w:lineRule="exact"/>
        <w:rPr>
          <w:rFonts w:ascii="Courier New" w:cs="Courier New" w:eastAsia="Courier New" w:hAnsi="Courier New"/>
          <w:sz w:val="15"/>
          <w:szCs w:val="15"/>
          <w:color w:val="auto"/>
        </w:rPr>
      </w:pPr>
    </w:p>
    <w:p>
      <w:pPr>
        <w:ind w:left="827" w:right="4260"/>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2000 Long-Term Incentive Plan (the "2000 Plan") by reason of certain corporate transactions or events, including any stock dividend, stock split or any other similar transaction effected which results in an increase in the number of the Registrant's outstanding shares of Common Stock.</w:t>
      </w:r>
    </w:p>
    <w:p>
      <w:pPr>
        <w:spacing w:after="0" w:line="177" w:lineRule="exact"/>
        <w:rPr>
          <w:rFonts w:ascii="Courier New" w:cs="Courier New" w:eastAsia="Courier New" w:hAnsi="Courier New"/>
          <w:sz w:val="15"/>
          <w:szCs w:val="15"/>
          <w:color w:val="auto"/>
        </w:rPr>
      </w:pPr>
    </w:p>
    <w:p>
      <w:pPr>
        <w:ind w:left="827" w:right="4260" w:hanging="827"/>
        <w:spacing w:after="0" w:line="246" w:lineRule="auto"/>
        <w:tabs>
          <w:tab w:leader="none" w:pos="8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fee is based solely on the 7,500,000 shares of Common Stock newly available for issuance under the 2000 Plan and is estimated in accordance with paragraphs (c) and (h) of Rule 457 under the Securities Act solely for the purpose of calculating the registration fee based upon the average of the high and low sales prices for a share of Common Stock as reported on the NASDAQ National Market on September 20, 2004.</w:t>
      </w:r>
    </w:p>
    <w:p>
      <w:pPr>
        <w:spacing w:after="0" w:line="178"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w:t>
      </w:r>
    </w:p>
    <w:p>
      <w:pPr>
        <w:spacing w:after="0" w:line="180" w:lineRule="exact"/>
        <w:rPr>
          <w:sz w:val="24"/>
          <w:szCs w:val="24"/>
          <w:color w:val="auto"/>
        </w:rPr>
      </w:pPr>
    </w:p>
    <w:p>
      <w:pPr>
        <w:ind w:left="7" w:right="4620"/>
        <w:spacing w:after="0" w:line="247" w:lineRule="auto"/>
        <w:rPr>
          <w:sz w:val="20"/>
          <w:szCs w:val="20"/>
          <w:color w:val="auto"/>
        </w:rPr>
      </w:pPr>
      <w:r>
        <w:rPr>
          <w:rFonts w:ascii="Courier New" w:cs="Courier New" w:eastAsia="Courier New" w:hAnsi="Courier New"/>
          <w:sz w:val="15"/>
          <w:szCs w:val="15"/>
          <w:color w:val="auto"/>
        </w:rPr>
        <w:t>This Registration Statement shall become effective upon filing in accordance with Rule 462(a) under the Securities Act.</w:t>
      </w:r>
    </w:p>
    <w:p>
      <w:pPr>
        <w:sectPr>
          <w:pgSz w:w="11900" w:h="16838" w:orient="portrait"/>
          <w:cols w:equalWidth="0" w:num="1">
            <w:col w:w="11527"/>
          </w:cols>
          <w:pgMar w:left="233" w:top="409"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Explanatory Note</w:t>
      </w:r>
    </w:p>
    <w:p>
      <w:pPr>
        <w:spacing w:after="0" w:line="180"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This registration statement is being filed solely to register the issuance of up to 7,500,000 additional shares of Common Stock of the Registrant pursuant to the Registrant's 2000 Plan.</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This registration statement is being filed pursuant to General Instruction E of Form S-8 under the Securities Act ("Instruction E"), and includes the registration statement facing page, this page, the signature page, an exhibit index and relevant opinions and consents. Pursuant to Instruction E, the contents of the Registrant's registration statements on Form S-8 (File Nos.</w:t>
      </w:r>
    </w:p>
    <w:p>
      <w:pPr>
        <w:spacing w:after="0" w:line="3"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333-61132 and 333-97375) filed with the Securities and Exchange Commission on May 17, 2001 and July 30, 2002, respectively, are incorporated by reference into this Registration Statement.</w:t>
      </w:r>
    </w:p>
    <w:p>
      <w:pPr>
        <w:sectPr>
          <w:pgSz w:w="11900" w:h="16838" w:orient="portrait"/>
          <w:cols w:equalWidth="0" w:num="1">
            <w:col w:w="10219"/>
          </w:cols>
          <w:pgMar w:left="240" w:top="468" w:right="1440" w:bottom="1440" w:gutter="0" w:footer="0" w:header="0"/>
        </w:sectPr>
      </w:pPr>
    </w:p>
    <w:bookmarkStart w:id="2" w:name="page3"/>
    <w:bookmarkEnd w:id="2"/>
    <w:p>
      <w:pPr>
        <w:jc w:val="center"/>
        <w:ind w:right="46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460" w:firstLine="818"/>
        <w:spacing w:after="0" w:line="24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VILLAGE OF TARRYTOWN, STATE OF NEW YORK, ON THE 24TH DAY OF SEPTEMBER, 2004.</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REGENERON PHARMACEUTICALS, INC.</w:t>
      </w:r>
    </w:p>
    <w:p>
      <w:pPr>
        <w:spacing w:after="0" w:line="354" w:lineRule="exact"/>
        <w:rPr>
          <w:sz w:val="20"/>
          <w:szCs w:val="20"/>
          <w:color w:val="auto"/>
        </w:rPr>
      </w:pPr>
    </w:p>
    <w:p>
      <w:pPr>
        <w:ind w:left="3360"/>
        <w:spacing w:after="0"/>
        <w:tabs>
          <w:tab w:leader="none" w:pos="3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Leonard S. Schleifer, M.D., Ph.D.</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Leonard S. Schleifer, M.D., Ph.D.</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80" w:lineRule="exact"/>
        <w:rPr>
          <w:sz w:val="20"/>
          <w:szCs w:val="20"/>
          <w:color w:val="auto"/>
        </w:rPr>
      </w:pPr>
    </w:p>
    <w:p>
      <w:pPr>
        <w:ind w:right="460" w:firstLine="818"/>
        <w:spacing w:after="0" w:line="246" w:lineRule="auto"/>
        <w:rPr>
          <w:sz w:val="20"/>
          <w:szCs w:val="20"/>
          <w:color w:val="auto"/>
        </w:rPr>
      </w:pPr>
      <w:r>
        <w:rPr>
          <w:rFonts w:ascii="Courier New" w:cs="Courier New" w:eastAsia="Courier New" w:hAnsi="Courier New"/>
          <w:sz w:val="15"/>
          <w:szCs w:val="15"/>
          <w:color w:val="auto"/>
        </w:rPr>
        <w:t>Each person whose signature appears below hereby constitutes and appoints Leonard S. Schleifer and Stuart A. Kolinski, and each of them, his true and lawful attorneys-in-fact and agents with full power of substitution and resubstitution, for him and in his name, place, and stead, in any and all capacities, to sign any and all amendments (including post-effective amendments) and additions to this Registration Statement, and to file the same, with all exhibits thereto, and other documents in connection therewith, with the Securities and Exchange Commission, and hereby grants to such attorneys-in-fact and agents full power and authority to do and perform each and every act and thing requisite and necessary to be done, as fully to all intents and purposes as he or she might or could do in person, hereby ratifying and confirming all that said attorneys-in-fact and agents or his substitute or substitutes may lawfully do or cause to be done by virtue hereof.</w:t>
      </w:r>
    </w:p>
    <w:p>
      <w:pPr>
        <w:spacing w:after="0" w:line="183" w:lineRule="exact"/>
        <w:rPr>
          <w:sz w:val="20"/>
          <w:szCs w:val="20"/>
          <w:color w:val="auto"/>
        </w:rPr>
      </w:pPr>
    </w:p>
    <w:p>
      <w:pPr>
        <w:ind w:right="1100" w:firstLine="818"/>
        <w:spacing w:after="0" w:line="24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50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NAME</w:t>
            </w:r>
          </w:p>
        </w:tc>
        <w:tc>
          <w:tcPr>
            <w:tcW w:w="3860" w:type="dxa"/>
            <w:vAlign w:val="bottom"/>
          </w:tcPr>
          <w:p>
            <w:pPr>
              <w:ind w:left="1860"/>
              <w:spacing w:after="0"/>
              <w:rPr>
                <w:sz w:val="20"/>
                <w:szCs w:val="20"/>
                <w:color w:val="auto"/>
              </w:rPr>
            </w:pPr>
            <w:r>
              <w:rPr>
                <w:rFonts w:ascii="Courier New" w:cs="Courier New" w:eastAsia="Courier New" w:hAnsi="Courier New"/>
                <w:sz w:val="15"/>
                <w:szCs w:val="15"/>
                <w:color w:val="auto"/>
              </w:rPr>
              <w:t>TITLE</w:t>
            </w:r>
          </w:p>
        </w:tc>
      </w:tr>
      <w:tr>
        <w:trPr>
          <w:trHeight w:val="175"/>
        </w:trPr>
        <w:tc>
          <w:tcPr>
            <w:tcW w:w="350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r>
      <w:tr>
        <w:trPr>
          <w:trHeight w:val="524"/>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/s/ P. Roy Vagelos, M.D.</w:t>
            </w:r>
          </w:p>
        </w:tc>
        <w:tc>
          <w:tcPr>
            <w:tcW w:w="3860" w:type="dxa"/>
            <w:vAlign w:val="bottom"/>
          </w:tcPr>
          <w:p>
            <w:pPr>
              <w:spacing w:after="0"/>
              <w:rPr>
                <w:sz w:val="24"/>
                <w:szCs w:val="24"/>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175"/>
        </w:trPr>
        <w:tc>
          <w:tcPr>
            <w:tcW w:w="350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P. Roy Vagelos, M.D.</w:t>
            </w:r>
          </w:p>
        </w:tc>
        <w:tc>
          <w:tcPr>
            <w:tcW w:w="3860" w:type="dxa"/>
            <w:vAlign w:val="bottom"/>
          </w:tcPr>
          <w:p>
            <w:pPr>
              <w:spacing w:after="0"/>
              <w:rPr>
                <w:sz w:val="15"/>
                <w:szCs w:val="15"/>
                <w:color w:val="auto"/>
              </w:rPr>
            </w:pP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Leonard S. Schleifer, M.D., Ph.D.</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President and Chief Executive Officer and</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Director (Principal Executive Officer)</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3860" w:type="dxa"/>
            <w:vAlign w:val="bottom"/>
          </w:tcPr>
          <w:p>
            <w:pPr>
              <w:spacing w:after="0"/>
              <w:rPr>
                <w:sz w:val="15"/>
                <w:szCs w:val="15"/>
                <w:color w:val="auto"/>
              </w:rPr>
            </w:pPr>
          </w:p>
        </w:tc>
      </w:tr>
      <w:tr>
        <w:trPr>
          <w:trHeight w:val="350"/>
        </w:trPr>
        <w:tc>
          <w:tcPr>
            <w:tcW w:w="3500" w:type="dxa"/>
            <w:vAlign w:val="bottom"/>
          </w:tcPr>
          <w:p>
            <w:pPr>
              <w:spacing w:after="0"/>
              <w:rPr>
                <w:sz w:val="24"/>
                <w:szCs w:val="24"/>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Finance &amp;</w:t>
            </w:r>
          </w:p>
        </w:tc>
      </w:tr>
      <w:tr>
        <w:trPr>
          <w:trHeight w:val="175"/>
        </w:trPr>
        <w:tc>
          <w:tcPr>
            <w:tcW w:w="3500" w:type="dxa"/>
            <w:vAlign w:val="bottom"/>
          </w:tcPr>
          <w:p>
            <w:pPr>
              <w:spacing w:after="0"/>
              <w:rPr>
                <w:sz w:val="15"/>
                <w:szCs w:val="15"/>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Administration, Chief Financial Officer,</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Murray A. Goldberg</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Treasurer and Assistant  Secretary</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(Principal Financial Officer)</w:t>
            </w:r>
          </w:p>
        </w:tc>
      </w:tr>
      <w:tr>
        <w:trPr>
          <w:trHeight w:val="175"/>
        </w:trPr>
        <w:tc>
          <w:tcPr>
            <w:tcW w:w="3500" w:type="dxa"/>
            <w:vAlign w:val="bottom"/>
          </w:tcPr>
          <w:p>
            <w:pPr>
              <w:jc w:val="center"/>
              <w:ind w:right="524"/>
              <w:spacing w:after="0"/>
              <w:rPr>
                <w:sz w:val="20"/>
                <w:szCs w:val="20"/>
                <w:color w:val="auto"/>
              </w:rPr>
            </w:pPr>
            <w:r>
              <w:rPr>
                <w:rFonts w:ascii="Courier New" w:cs="Courier New" w:eastAsia="Courier New" w:hAnsi="Courier New"/>
                <w:sz w:val="15"/>
                <w:szCs w:val="15"/>
                <w:color w:val="auto"/>
                <w:w w:val="99"/>
              </w:rPr>
              <w:t>Murray A. Goldberg</w:t>
            </w:r>
          </w:p>
        </w:tc>
        <w:tc>
          <w:tcPr>
            <w:tcW w:w="3860" w:type="dxa"/>
            <w:vAlign w:val="bottom"/>
          </w:tcPr>
          <w:p>
            <w:pPr>
              <w:spacing w:after="0"/>
              <w:rPr>
                <w:sz w:val="15"/>
                <w:szCs w:val="15"/>
                <w:color w:val="auto"/>
              </w:rPr>
            </w:pP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Douglas S. McCorkle</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Controller and Assistant Treasurer (Chief</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Accounting Officer)</w:t>
            </w:r>
          </w:p>
        </w:tc>
      </w:tr>
      <w:tr>
        <w:trPr>
          <w:trHeight w:val="175"/>
        </w:trPr>
        <w:tc>
          <w:tcPr>
            <w:tcW w:w="3500" w:type="dxa"/>
            <w:vAlign w:val="bottom"/>
          </w:tcPr>
          <w:p>
            <w:pPr>
              <w:ind w:left="640"/>
              <w:spacing w:after="0"/>
              <w:rPr>
                <w:sz w:val="20"/>
                <w:szCs w:val="20"/>
                <w:color w:val="auto"/>
              </w:rPr>
            </w:pPr>
            <w:r>
              <w:rPr>
                <w:rFonts w:ascii="Courier New" w:cs="Courier New" w:eastAsia="Courier New" w:hAnsi="Courier New"/>
                <w:sz w:val="15"/>
                <w:szCs w:val="15"/>
                <w:color w:val="auto"/>
              </w:rPr>
              <w:t>Douglas S. McCorkle</w:t>
            </w:r>
          </w:p>
        </w:tc>
        <w:tc>
          <w:tcPr>
            <w:tcW w:w="38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ectPr>
          <w:pgSz w:w="11900" w:h="16838" w:orient="portrait"/>
          <w:cols w:equalWidth="0" w:num="2">
            <w:col w:w="7720" w:space="540"/>
            <w:col w:w="1959"/>
          </w:cols>
          <w:pgMar w:left="240" w:top="468" w:right="1440" w:bottom="1440" w:gutter="0" w:footer="0" w:header="0"/>
        </w:sectPr>
      </w:pPr>
    </w:p>
    <w:bookmarkStart w:id="3" w:name="page4"/>
    <w:bookmarkEnd w:id="3"/>
    <w:p>
      <w:pPr>
        <w:ind w:left="460"/>
        <w:spacing w:after="0"/>
        <w:rPr>
          <w:sz w:val="20"/>
          <w:szCs w:val="20"/>
          <w:color w:val="auto"/>
        </w:rPr>
      </w:pPr>
      <w:r>
        <w:rPr>
          <w:rFonts w:ascii="Courier New" w:cs="Courier New" w:eastAsia="Courier New" w:hAnsi="Courier New"/>
          <w:sz w:val="14"/>
          <w:szCs w:val="14"/>
          <w:color w:val="auto"/>
        </w:rPr>
        <w:t>/s/ Charles A. Baker</w:t>
      </w:r>
    </w:p>
    <w:p>
      <w:pPr>
        <w:sectPr>
          <w:pgSz w:w="11900" w:h="16838" w:orient="portrait"/>
          <w:cols w:equalWidth="0" w:num="1">
            <w:col w:w="9859"/>
          </w:cols>
          <w:pgMar w:left="600" w:top="992" w:right="1440" w:bottom="1440" w:gutter="0" w:footer="0" w:header="0"/>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Charles A. Baker</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Michael S. Brown,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Michael S. Brown, M.D.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Alfred G. Gilman, M.D.,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Alfred G. Gilman, M.D., Ph.D.</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Joseph L. Goldstein,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Joseph L. Goldstein, M.D.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F. Ryan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Arthur F. Ryan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Eric M. Shooter,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Eric M. Shooter, Ph.D.</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 George Sing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George Sing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George D. Yancopoulos, M.D.,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September 24, 2004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5" w:lineRule="exact"/>
        <w:rPr>
          <w:sz w:val="20"/>
          <w:szCs w:val="20"/>
          <w:color w:val="auto"/>
        </w:rPr>
      </w:pPr>
    </w:p>
    <w:p>
      <w:pPr>
        <w:sectPr>
          <w:pgSz w:w="11900" w:h="16838" w:orient="portrait"/>
          <w:cols w:equalWidth="0" w:num="3">
            <w:col w:w="3460" w:space="540"/>
            <w:col w:w="3180" w:space="720"/>
            <w:col w:w="1959"/>
          </w:cols>
          <w:pgMar w:left="600" w:top="99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George D. Yancopoulos, M.D., Ph.D.</w:t>
      </w:r>
    </w:p>
    <w:p>
      <w:pPr>
        <w:sectPr>
          <w:pgSz w:w="11900" w:h="16838" w:orient="portrait"/>
          <w:cols w:equalWidth="0" w:num="1">
            <w:col w:w="9859"/>
          </w:cols>
          <w:pgMar w:left="600" w:top="992" w:right="1440" w:bottom="1440" w:gutter="0" w:footer="0" w:header="0"/>
          <w:type w:val="continuous"/>
        </w:sectPr>
      </w:pPr>
    </w:p>
    <w:bookmarkStart w:id="4" w:name="page5"/>
    <w:bookmarkEnd w:id="4"/>
    <w:tbl>
      <w:tblPr>
        <w:tblLayout w:type="fixed"/>
        <w:tblInd w:w="7"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960" w:type="dxa"/>
            <w:vAlign w:val="bottom"/>
          </w:tcPr>
          <w:p>
            <w:pPr>
              <w:ind w:left="1680"/>
              <w:spacing w:after="0"/>
              <w:rPr>
                <w:sz w:val="20"/>
                <w:szCs w:val="20"/>
                <w:color w:val="auto"/>
              </w:rPr>
            </w:pPr>
            <w:r>
              <w:rPr>
                <w:rFonts w:ascii="Courier New" w:cs="Courier New" w:eastAsia="Courier New" w:hAnsi="Courier New"/>
                <w:sz w:val="15"/>
                <w:szCs w:val="15"/>
                <w:color w:val="auto"/>
              </w:rPr>
              <w:t>EXHIBIT INDEX</w:t>
            </w:r>
          </w:p>
        </w:tc>
      </w:tr>
      <w:tr>
        <w:trPr>
          <w:trHeight w:val="874"/>
        </w:trPr>
        <w:tc>
          <w:tcPr>
            <w:tcW w:w="14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w w:val="95"/>
              </w:rPr>
              <w:t>EXHIBIT</w:t>
            </w:r>
          </w:p>
        </w:tc>
        <w:tc>
          <w:tcPr>
            <w:tcW w:w="5960" w:type="dxa"/>
            <w:vAlign w:val="bottom"/>
          </w:tcPr>
          <w:p>
            <w:pPr>
              <w:spacing w:after="0"/>
              <w:rPr>
                <w:sz w:val="24"/>
                <w:szCs w:val="24"/>
                <w:color w:val="auto"/>
              </w:rPr>
            </w:pPr>
          </w:p>
        </w:tc>
      </w:tr>
      <w:tr>
        <w:trPr>
          <w:trHeight w:val="175"/>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NUMBER</w:t>
            </w:r>
          </w:p>
        </w:tc>
        <w:tc>
          <w:tcPr>
            <w:tcW w:w="5960" w:type="dxa"/>
            <w:vAlign w:val="bottom"/>
          </w:tcPr>
          <w:p>
            <w:pPr>
              <w:spacing w:after="0"/>
              <w:rPr>
                <w:sz w:val="15"/>
                <w:szCs w:val="15"/>
                <w:color w:val="auto"/>
              </w:rPr>
            </w:pPr>
          </w:p>
        </w:tc>
      </w:tr>
      <w:tr>
        <w:trPr>
          <w:trHeight w:val="524"/>
        </w:trPr>
        <w:tc>
          <w:tcPr>
            <w:tcW w:w="3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(a, b, c)</w:t>
            </w: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Restated Certificate of Incorporation, as of June 21, 1991, as</w:t>
            </w:r>
          </w:p>
        </w:tc>
      </w:tr>
      <w:tr>
        <w:trPr>
          <w:trHeight w:val="175"/>
        </w:trPr>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amended on October 18, 1996 and December 17, 2001.</w:t>
            </w: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10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88"/>
              </w:rPr>
              <w:t>(d)</w:t>
            </w: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By-Laws of the Company, currently in effect (amended as of</w:t>
            </w:r>
          </w:p>
        </w:tc>
      </w:tr>
      <w:tr>
        <w:trPr>
          <w:trHeight w:val="175"/>
        </w:trPr>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January 22, 1995).</w:t>
            </w: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10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88"/>
              </w:rPr>
              <w:t>(e)</w:t>
            </w: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1040" w:type="dxa"/>
            <w:vAlign w:val="bottom"/>
          </w:tcPr>
          <w:p>
            <w:pPr>
              <w:spacing w:after="0"/>
              <w:rPr>
                <w:sz w:val="24"/>
                <w:szCs w:val="24"/>
                <w:color w:val="auto"/>
              </w:rPr>
            </w:pP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Opinion of Skadden, Arps, Slate, Meagher &amp; Flom LLP.</w:t>
            </w: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23.1</w:t>
            </w:r>
          </w:p>
        </w:tc>
        <w:tc>
          <w:tcPr>
            <w:tcW w:w="1040" w:type="dxa"/>
            <w:vAlign w:val="bottom"/>
          </w:tcPr>
          <w:p>
            <w:pPr>
              <w:spacing w:after="0"/>
              <w:rPr>
                <w:sz w:val="24"/>
                <w:szCs w:val="24"/>
                <w:color w:val="auto"/>
              </w:rPr>
            </w:pP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Consent of PricewaterhouseCoopers LLP, Independent Accountants.</w:t>
            </w: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23.2</w:t>
            </w:r>
          </w:p>
        </w:tc>
        <w:tc>
          <w:tcPr>
            <w:tcW w:w="1040" w:type="dxa"/>
            <w:vAlign w:val="bottom"/>
          </w:tcPr>
          <w:p>
            <w:pPr>
              <w:spacing w:after="0"/>
              <w:rPr>
                <w:sz w:val="24"/>
                <w:szCs w:val="24"/>
                <w:color w:val="auto"/>
              </w:rPr>
            </w:pP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Consent of Skadden, Arps, Slate, Meagher &amp; Flom LLP (included</w:t>
            </w:r>
          </w:p>
        </w:tc>
      </w:tr>
      <w:tr>
        <w:trPr>
          <w:trHeight w:val="175"/>
        </w:trPr>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in Exhibit 5.1).</w:t>
            </w: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24.1</w:t>
            </w:r>
          </w:p>
        </w:tc>
        <w:tc>
          <w:tcPr>
            <w:tcW w:w="1040" w:type="dxa"/>
            <w:vAlign w:val="bottom"/>
          </w:tcPr>
          <w:p>
            <w:pPr>
              <w:spacing w:after="0"/>
              <w:rPr>
                <w:sz w:val="24"/>
                <w:szCs w:val="24"/>
                <w:color w:val="auto"/>
              </w:rPr>
            </w:pPr>
          </w:p>
        </w:tc>
        <w:tc>
          <w:tcPr>
            <w:tcW w:w="5960" w:type="dxa"/>
            <w:vAlign w:val="bottom"/>
          </w:tcPr>
          <w:p>
            <w:pPr>
              <w:ind w:left="220"/>
              <w:spacing w:after="0"/>
              <w:rPr>
                <w:sz w:val="20"/>
                <w:szCs w:val="20"/>
                <w:color w:val="auto"/>
              </w:rPr>
            </w:pPr>
            <w:r>
              <w:rPr>
                <w:rFonts w:ascii="Courier New" w:cs="Courier New" w:eastAsia="Courier New" w:hAnsi="Courier New"/>
                <w:sz w:val="15"/>
                <w:szCs w:val="15"/>
                <w:color w:val="auto"/>
              </w:rPr>
              <w:t>Power of Attorney (included on signature page).</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827" w:right="3219" w:hanging="827"/>
        <w:spacing w:after="0" w:line="24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Company's Form 10-Q for the quarter ended June 30, 1991, filed with the Commission on August 13, 1991.</w:t>
      </w:r>
    </w:p>
    <w:p>
      <w:pPr>
        <w:spacing w:after="0" w:line="174" w:lineRule="exact"/>
        <w:rPr>
          <w:rFonts w:ascii="Courier New" w:cs="Courier New" w:eastAsia="Courier New" w:hAnsi="Courier New"/>
          <w:sz w:val="15"/>
          <w:szCs w:val="15"/>
          <w:color w:val="auto"/>
        </w:rPr>
      </w:pPr>
    </w:p>
    <w:p>
      <w:pPr>
        <w:ind w:left="827" w:right="3219" w:hanging="827"/>
        <w:spacing w:after="0" w:line="24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Company's Form 10-Q for the quarter ended September 30, 1996, filed with the Commission on November 5, 1996.</w:t>
      </w:r>
    </w:p>
    <w:p>
      <w:pPr>
        <w:spacing w:after="0" w:line="174" w:lineRule="exact"/>
        <w:rPr>
          <w:rFonts w:ascii="Courier New" w:cs="Courier New" w:eastAsia="Courier New" w:hAnsi="Courier New"/>
          <w:sz w:val="15"/>
          <w:szCs w:val="15"/>
          <w:color w:val="auto"/>
        </w:rPr>
      </w:pPr>
    </w:p>
    <w:p>
      <w:pPr>
        <w:ind w:left="827" w:right="3139" w:hanging="827"/>
        <w:spacing w:after="0" w:line="24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Company's Form 10-K for the year ended December 31, 2001, filed with the Commission on March 22, 2002.</w:t>
      </w:r>
    </w:p>
    <w:p>
      <w:pPr>
        <w:spacing w:after="0" w:line="174" w:lineRule="exact"/>
        <w:rPr>
          <w:rFonts w:ascii="Courier New" w:cs="Courier New" w:eastAsia="Courier New" w:hAnsi="Courier New"/>
          <w:sz w:val="15"/>
          <w:szCs w:val="15"/>
          <w:color w:val="auto"/>
        </w:rPr>
      </w:pPr>
    </w:p>
    <w:p>
      <w:pPr>
        <w:ind w:left="827" w:right="2959" w:hanging="827"/>
        <w:spacing w:after="0" w:line="24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Company's Form 10-K for the year ended December 31 1994, filed with the Commission on March 30, 1995.</w:t>
      </w:r>
    </w:p>
    <w:p>
      <w:pPr>
        <w:spacing w:after="0" w:line="174" w:lineRule="exact"/>
        <w:rPr>
          <w:rFonts w:ascii="Courier New" w:cs="Courier New" w:eastAsia="Courier New" w:hAnsi="Courier New"/>
          <w:sz w:val="15"/>
          <w:szCs w:val="15"/>
          <w:color w:val="auto"/>
        </w:rPr>
      </w:pPr>
    </w:p>
    <w:p>
      <w:pPr>
        <w:ind w:left="827" w:right="3319" w:hanging="827"/>
        <w:spacing w:after="0" w:line="24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(a) to the Company's Form 8-A, filed with the Commission on February 20, 1991.</w:t>
      </w:r>
    </w:p>
    <w:p>
      <w:pPr>
        <w:sectPr>
          <w:pgSz w:w="11900" w:h="16838" w:orient="portrait"/>
          <w:cols w:equalWidth="0" w:num="1">
            <w:col w:w="10226"/>
          </w:cols>
          <w:pgMar w:left="233" w:top="468" w:right="1440" w:bottom="1440" w:gutter="0" w:footer="0" w:header="0"/>
        </w:sectPr>
      </w:pPr>
    </w:p>
    <w:bookmarkStart w:id="5" w:name="page6"/>
    <w:bookmarkEnd w:id="5"/>
    <w:p>
      <w:pPr>
        <w:ind w:left="1087"/>
        <w:spacing w:after="0"/>
        <w:rPr>
          <w:sz w:val="20"/>
          <w:szCs w:val="20"/>
          <w:color w:val="auto"/>
        </w:rPr>
      </w:pPr>
      <w:r>
        <w:rPr>
          <w:rFonts w:ascii="Courier New" w:cs="Courier New" w:eastAsia="Courier New" w:hAnsi="Courier New"/>
          <w:sz w:val="15"/>
          <w:szCs w:val="15"/>
          <w:color w:val="auto"/>
        </w:rPr>
        <w:t>[Letterhead of Skadden, Arps, Slate, Meagher &amp; Flom LLP]</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September 24, 2004</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777 Old Saw Mill River Road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Tarrytown, New York 10591-6707</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Re: Regeneron Pharmaceuticals, Inc. Registration Statement on Form S-8</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We have acted as special counsel for Regeneron Pharmaceuticals, Inc., a New York corporation (the "Company"), in connection with the proposed issuance by the Company of up to 7,500,000 shares (the "Shares") of common stock, par value $0.001 per share (the "Common Stock"), issuable pursuant to the Company's 2000 Long-Term Incentive Plan (the "2000 Plan").</w:t>
      </w:r>
    </w:p>
    <w:p>
      <w:pPr>
        <w:spacing w:after="0" w:line="178" w:lineRule="exact"/>
        <w:rPr>
          <w:sz w:val="20"/>
          <w:szCs w:val="20"/>
          <w:color w:val="auto"/>
        </w:rPr>
      </w:pPr>
    </w:p>
    <w:p>
      <w:pPr>
        <w:ind w:left="7" w:right="3219" w:firstLine="545"/>
        <w:spacing w:after="0" w:line="247" w:lineRule="auto"/>
        <w:rPr>
          <w:sz w:val="20"/>
          <w:szCs w:val="20"/>
          <w:color w:val="auto"/>
        </w:rPr>
      </w:pPr>
      <w:r>
        <w:rPr>
          <w:rFonts w:ascii="Courier New" w:cs="Courier New" w:eastAsia="Courier New" w:hAnsi="Courier New"/>
          <w:sz w:val="15"/>
          <w:szCs w:val="15"/>
          <w:color w:val="auto"/>
        </w:rPr>
        <w:t>This opinion is delivered in accordance with the requirements of Item 601(b)(5) of Regulation S-K under the Securities Act of 1933, as amended (the "Securities Act").</w:t>
      </w:r>
    </w:p>
    <w:p>
      <w:pPr>
        <w:spacing w:after="0" w:line="174"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In rendering the opinion set forth herein, we have examined and relied on originals or copies of the following: (i) the Company's Registration Statement on Form S-8 filed with the U.S. Securities and Exchange Commission (the "Commission") on the date hereof under the Securities Act (the "Registration Statement"); (ii) the Amended and Restated Certificate of Incorporation of the Company, as certified by the Secretary of State of the State of New York; (iii) the By-Laws of the Company, certified by the Secretary of the Company as currently in effect; (iv) a specimen certificate representing the Common Stock;</w:t>
      </w:r>
    </w:p>
    <w:p>
      <w:pPr>
        <w:spacing w:after="0" w:line="5" w:lineRule="exact"/>
        <w:rPr>
          <w:sz w:val="20"/>
          <w:szCs w:val="20"/>
          <w:color w:val="auto"/>
        </w:rPr>
      </w:pPr>
    </w:p>
    <w:p>
      <w:pPr>
        <w:ind w:left="367" w:hanging="367"/>
        <w:spacing w:after="0"/>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of the Company, adopted April 2, 2004;</w:t>
      </w:r>
    </w:p>
    <w:p>
      <w:pPr>
        <w:spacing w:after="0" w:line="4"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Company's shareholders, adopted June 11, 2004, as certified by the Inspector of Elections of the Company's 2004 Annual Meeting of Shareholders; (vii) the 2000 Plan; (viii) the Company's Registration Statement on Form S-8 (File No. 333-61132) filed with the Commission on May 17, 2001; and</w:t>
      </w:r>
    </w:p>
    <w:p>
      <w:pPr>
        <w:spacing w:after="0" w:line="2" w:lineRule="exact"/>
        <w:rPr>
          <w:rFonts w:ascii="Courier New" w:cs="Courier New" w:eastAsia="Courier New" w:hAnsi="Courier New"/>
          <w:sz w:val="15"/>
          <w:szCs w:val="15"/>
          <w:color w:val="auto"/>
        </w:rPr>
      </w:pPr>
    </w:p>
    <w:p>
      <w:pPr>
        <w:ind w:left="7" w:right="2959" w:hanging="7"/>
        <w:spacing w:after="0" w:line="247" w:lineRule="auto"/>
        <w:tabs>
          <w:tab w:leader="none" w:pos="4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Registration Statement on Form S-8 (File No. 333-97375) filed with the Commission on July 30, 2002.</w:t>
      </w:r>
    </w:p>
    <w:p>
      <w:pPr>
        <w:spacing w:after="0" w:line="175"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opinions set forth below.</w:t>
      </w:r>
    </w:p>
    <w:p>
      <w:pPr>
        <w:sectPr>
          <w:pgSz w:w="11900" w:h="16838" w:orient="portrait"/>
          <w:cols w:equalWidth="0" w:num="1">
            <w:col w:w="10226"/>
          </w:cols>
          <w:pgMar w:left="233" w:top="316" w:right="1440" w:bottom="1440" w:gutter="0" w:footer="0" w:header="0"/>
        </w:sectPr>
      </w:pPr>
    </w:p>
    <w:bookmarkStart w:id="6" w:name="page7"/>
    <w:bookmarkEnd w:id="6"/>
    <w:p>
      <w:pPr>
        <w:ind w:right="2959" w:firstLine="545"/>
        <w:spacing w:after="0" w:line="246" w:lineRule="auto"/>
        <w:rPr>
          <w:sz w:val="20"/>
          <w:szCs w:val="20"/>
          <w:color w:val="auto"/>
        </w:rPr>
      </w:pPr>
      <w:r>
        <w:rPr>
          <w:rFonts w:ascii="Courier New" w:cs="Courier New" w:eastAsia="Courier New" w:hAnsi="Courier New"/>
          <w:sz w:val="15"/>
          <w:szCs w:val="15"/>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and documents to be executed, we have assumed that the parties thereto other than the company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thereof on such parties. As to any facts material to the opinions expressed herein which we did not independently establish or verify, we have relied upon statements and representations of officers and other representatives of the Company and others.</w:t>
      </w:r>
    </w:p>
    <w:p>
      <w:pPr>
        <w:spacing w:after="0" w:line="183"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Members of our firm are admitted to the Bar in the State of New York, and we do not express any opinion as to the laws of any other jurisdiction, and we do not express any opinion as to the effect of any other laws on the opinion stated herein.</w:t>
      </w:r>
    </w:p>
    <w:p>
      <w:pPr>
        <w:spacing w:after="0" w:line="177"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Based upon the foregoing and subject to the limitations, qualifications, exceptions and assumptions set forth herein, we are of the opinion that the issuance of the Shares has been duly authorized by the Company, and when (a) certificates representing the Shares in the form of the specimen certificate examined by us have been countersigned by an authorized officer of the transfer agent and registrar of the Common Stock (the "Transfer Agent"), (b) the Shares have been registered by the Transfer Agent on the stock record books of the Company, and (c) the Shares have been issued and delivered by the Company, and the entire amount of the consideration therefor has been received in full by the Company, in each case in accordance with the terms of the 2000 Plan, the Shares will be validly issued, fully paid and nonassessable.</w:t>
      </w:r>
    </w:p>
    <w:p>
      <w:pPr>
        <w:spacing w:after="0" w:line="181" w:lineRule="exact"/>
        <w:rPr>
          <w:sz w:val="20"/>
          <w:szCs w:val="20"/>
          <w:color w:val="auto"/>
        </w:rPr>
      </w:pPr>
    </w:p>
    <w:p>
      <w:pPr>
        <w:jc w:val="both"/>
        <w:ind w:right="3139" w:firstLine="545"/>
        <w:spacing w:after="0" w:line="246" w:lineRule="auto"/>
        <w:rPr>
          <w:sz w:val="20"/>
          <w:szCs w:val="20"/>
          <w:color w:val="auto"/>
        </w:rPr>
      </w:pPr>
      <w:r>
        <w:rPr>
          <w:rFonts w:ascii="Courier New" w:cs="Courier New" w:eastAsia="Courier New" w:hAnsi="Courier New"/>
          <w:sz w:val="15"/>
          <w:szCs w:val="15"/>
          <w:color w:val="auto"/>
        </w:rPr>
        <w:t>We hereby consent to the filing of this opinion with the Commission as Exhibit 5.1 to the Registration Statement. In giving such consent, we do not thereby admit that we are included in the category of persons whose consent is required under Section 7 of the Securities Act.</w:t>
      </w:r>
    </w:p>
    <w:p>
      <w:pPr>
        <w:spacing w:after="0" w:line="1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/s/ Skadden, Arps, Slate, Meagher &amp; Flom LLP</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8" w:right="1440" w:bottom="1440" w:gutter="0" w:footer="0" w:header="0"/>
        </w:sectPr>
      </w:pPr>
    </w:p>
    <w:bookmarkStart w:id="7" w:name="page8"/>
    <w:bookmarkEnd w:id="7"/>
    <w:p>
      <w:pPr>
        <w:jc w:val="right"/>
        <w:ind w:right="2959"/>
        <w:spacing w:after="0"/>
        <w:rPr>
          <w:sz w:val="20"/>
          <w:szCs w:val="20"/>
          <w:color w:val="auto"/>
        </w:rPr>
      </w:pPr>
      <w:r>
        <w:rPr>
          <w:rFonts w:ascii="Courier New" w:cs="Courier New" w:eastAsia="Courier New" w:hAnsi="Courier New"/>
          <w:sz w:val="15"/>
          <w:szCs w:val="15"/>
          <w:color w:val="auto"/>
        </w:rPr>
        <w:t>Exhibit 23.1</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S-8 of our report, which is based in part on the report of other auditors, dated January 30, 2004, except for the last paragraph of Note 11b, as to which the date is February 27, 2004, relating to the financial statements of Regeneron Pharmaceuticals, Inc. (the "Company"), which appears in the Company's Annual Report on Form 10-K/A for the year ended December 31, 2003.</w:t>
      </w:r>
    </w:p>
    <w:p>
      <w:pPr>
        <w:spacing w:after="0" w:line="200" w:lineRule="exact"/>
        <w:rPr>
          <w:sz w:val="20"/>
          <w:szCs w:val="20"/>
          <w:color w:val="auto"/>
        </w:rPr>
      </w:pPr>
    </w:p>
    <w:p>
      <w:pPr>
        <w:spacing w:after="0" w:line="329"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/s/ PRICEWATERHOUSECOOPERS LLP</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sectPr>
      <w:pgSz w:w="11900" w:h="16838" w:orient="portrait"/>
      <w:cols w:equalWidth="0" w:num="1">
        <w:col w:w="10219"/>
      </w:cols>
      <w:pgMar w:left="24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12"/>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Roman"/>
      <w:start w:val="5"/>
    </w:lvl>
  </w:abstractNum>
  <w:abstractNum w:abstractNumId="4">
    <w:nsid w:val="46E87CCD"/>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2019-12-20T02:49:25Z</dcterms:created>
  <dcterms:modified xsi:type="dcterms:W3CDTF">2019-12-20T02:49:25Z</dcterms:modified>
</cp:coreProperties>
</file>