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TO SECTION 13 OR 15 (D)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29, 2007 (November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54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000-19034</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13-3444607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3"/>
              </w:rPr>
              <w:t>(Commission File No.)</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10591-6707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3.02. Unregistered Sales of Equity Securities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Collaboration Agreements</w:t>
      </w:r>
    </w:p>
    <w:p>
      <w:pPr>
        <w:spacing w:after="0" w:line="117"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On November 28, 2007, Regeneron Pharmaceuticals, Inc. (the “Company”) entered into a global, strategic collaboration with various affiliates of sanofi-aventis, a company organized under the laws of France (sanofi-aventis and its affiliates are referred to herein as “Sanofi”), to discover, develop and commercialize fully-human therapeutic antibodies (the “Collaboration”). The Collaboration is governed by a Discovery and Preclinical Development Agreement, dated November 28, 2007 (the “Discovery Agreement”), by and between Aventis Pharmaceuticals Inc. and the Company, and a License and Collaboration Agreement, dated November 28, 2007, by and among Aventis Pharmaceuticals Inc., sanofi-aventis Amérique du Nord and the Company (the “License and Collaboration Agreement” and, together with the Discovery Agreement, the “Collaboration Agreements”).</w:t>
      </w:r>
    </w:p>
    <w:p>
      <w:pPr>
        <w:spacing w:after="0" w:line="70"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Discovery Agreement provides for an $85 million upfront payment to the Company and up to $475 million of funding for identifying and validating potential drug discovery targets and developing fully-human therapeutic antibodies against such targets (the “Discovery Program”) over the next five years. Sanofi also has an option to extend the Discovery Program for up to an additional three years for further antibody development and preclinical activities. The Company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w:t>
      </w:r>
    </w:p>
    <w:p>
      <w:pPr>
        <w:spacing w:after="0" w:line="5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For each drug candidate identified, Sanofi will have the option to license rights to the candidate under the License and Collaboration Agreement. If it elects to do so, it will co-develop the drug candidate with the Company through product approval. Development costs will be shared between Sanofi and the Company, with Sanofi funding drug candidate development costs up front and the Company reimbursing half of the total development costs for all Collaboration products from its share of future profits to the extent they are sufficient for this purpose. If Sanofi does not exercise its option to license rights to a particular drug candidate under the License and Collaboration Agreement, the Company will retain the exclusive right to develop and commercialize such drug candidate, and Sanofi will receive a royalty on sales.</w:t>
      </w:r>
    </w:p>
    <w:p>
      <w:pPr>
        <w:spacing w:after="0" w:line="85" w:lineRule="exact"/>
        <w:rPr>
          <w:sz w:val="20"/>
          <w:szCs w:val="20"/>
          <w:color w:val="auto"/>
        </w:rPr>
      </w:pPr>
    </w:p>
    <w:p>
      <w:pPr>
        <w:ind w:right="260" w:firstLine="225"/>
        <w:spacing w:after="0" w:line="297" w:lineRule="auto"/>
        <w:rPr>
          <w:sz w:val="20"/>
          <w:szCs w:val="20"/>
          <w:color w:val="auto"/>
        </w:rPr>
      </w:pPr>
      <w:r>
        <w:rPr>
          <w:rFonts w:ascii="Arial" w:cs="Arial" w:eastAsia="Arial" w:hAnsi="Arial"/>
          <w:sz w:val="16"/>
          <w:szCs w:val="16"/>
          <w:color w:val="auto"/>
        </w:rPr>
        <w:t>Sanofi will lead commercialization activities for products developed under the License and Collaboration Agreement, subject to the Company’s right to co-promote such products. The parties will equally share profits from sales within the United States and will share profits outside the United States on a sliding scale based on sales starting at 65% (Sanofi)/35% (Company) and ending at 55% (Sanofi)/45% (Company). The parties have also agreed to share losses associated with commercialization. In addition to profit sharing, the Company is entitled to receive up to $250 million in sales milestone payments, with milestone payments commencing after aggregate annual sales outside the United States exceed $1 billion on a rolling twelve month basis.</w:t>
      </w:r>
    </w:p>
    <w:p>
      <w:pPr>
        <w:spacing w:after="0" w:line="5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With respect to each antibody product which enters development under the License and Collaboration Agreement, Sanofi or the Company may, by giving twelve months notice, opt-out of further development and/or commercialization of the product, in which event the other party retains exclusive rights to continue the development and/or commercialization of the product. Each of the Discovery Agreement and the License and Collaboration Agreement contains other termination provisions, including for material breach by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party and, in the case of the Discovery Agreement, a termination right for Sanofi under certain circumstances, including if certain minimal criteria for the Discovery Program are not achieved.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Placement</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has agreed to sell to Sanofi 12,000,000 shares of its Common Stock, par value $0.001 per share (the “Common Stock”), at an aggregate cash price of $312 million, or $26.00 per share of Common Stock, pursuant to the terms of a Stock Purchase Agreement, dated November 28, 2007, by and among sanofi-aventis Amérique du Nord, sanofi-aventis US LLC and the Company (the “Transaction”). This sale does not involve any public offering and is therefore exempt from registration under Section 4(2) of the Securities Act of 1933, as amended (the “Securities Act”). Based on 63,932,731 shares of Common Stock outstanding as of November 28, 2007, the Transaction will increase Sanofi’s beneficial ownership of Common Stock from approximately 4% to approximately 19%. Subject to the expiration or earlier termination of the Hart-Scott-Rodino waiting period and other customary closing conditions, the Transaction is expected to close near the end of 2007.</w:t>
      </w:r>
    </w:p>
    <w:p>
      <w:pPr>
        <w:spacing w:after="0" w:line="81" w:lineRule="exact"/>
        <w:rPr>
          <w:sz w:val="20"/>
          <w:szCs w:val="20"/>
          <w:color w:val="auto"/>
        </w:rPr>
      </w:pPr>
    </w:p>
    <w:p>
      <w:pPr>
        <w:ind w:firstLine="215"/>
        <w:spacing w:after="0" w:line="285" w:lineRule="auto"/>
        <w:rPr>
          <w:sz w:val="20"/>
          <w:szCs w:val="20"/>
          <w:color w:val="auto"/>
        </w:rPr>
      </w:pPr>
      <w:r>
        <w:rPr>
          <w:rFonts w:ascii="Arial" w:cs="Arial" w:eastAsia="Arial" w:hAnsi="Arial"/>
          <w:sz w:val="16"/>
          <w:szCs w:val="16"/>
          <w:color w:val="auto"/>
        </w:rPr>
        <w:t>As a condition to the closing of the Transaction, Sanofi will enter into an Investor Agreement with the Company. Under the Investor Agreement, Sanofi will have three demand rights to require the Company to conduct a registered underwritten public offering with respect to shares of the Company’s Common Stock beneficially owned by Sanofi immediately after the closing of the Transaction. Until the later of the fifth anniversaries of the expiration or earlier termination of the License and Collaboration Agreement and the Company’s existing collaboration agreement with Aventis Pharmaceuticals Inc. for the development and commercialization of the VEGF Trap, Sanofi will be bound by certain “standstill” provisions which modify the standstill agreement to which Sanofi is currently subject. These new provisions include an agreement not to acquire more than a specified limit of the outstanding shares of Common Stock and Class A Stock, par value $0.001 per share, of the Company (“Class A Stock”). The limit will initially be 25% and will increase to 30% after the fourth anniversary of the closing of the Transaction. Sanofi has also agreed not to dispose of any shares of Common Stock beneficially owned by it immediately after the closing of the Transaction until the fifth anniversary of the closing of the Transaction, subject to certain limited exceptions. Following such fifth anniversary, Sanofi will be permitted to sell such shares of Common Stock (i) in a registered underwritten public offering, subject to the underwriter’s broad distribution of securities sold, (ii) pursuant to Rule 144 under the Securities Act and transactions exempt from registration under the Securities Act, subject to a volume limitation of one million shares of Common Stock every three months and a prohibition on selling to beneficial owners, or persons that would become beneficial owners as a result of such sale, of 5% or more of the outstanding shares of Common Stock and (iii) into an issuer tender offer, or a tender offer by a third party that is recommended or not opposed by the Company’s Board of Directors. Sanofi has agreed to vote, and cause its affiliates to vote, all shares of Regeneron’s voting securities they are entitled to vote, at Sanofi’s election, either as recommended by Regeneron’s Board of Directors or proportionally with the votes cast by other Regeneron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Regeneron’s historical equity compensation practices. The rights and restrictions under the Investor Agreement are subject to termination upon the occurrence of certain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press release issued by the Company, dated November 29, 2007, contains further information concerning the Collaboration and the Transaction. A copy of this press release is attached to this Current Report on Form 8-K as Exhibit 99.1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set forth under the heading “</w:t>
      </w:r>
      <w:r>
        <w:rPr>
          <w:rFonts w:ascii="Arial" w:cs="Arial" w:eastAsia="Arial" w:hAnsi="Arial"/>
          <w:sz w:val="18"/>
          <w:szCs w:val="18"/>
          <w:i w:val="1"/>
          <w:iCs w:val="1"/>
          <w:color w:val="auto"/>
        </w:rPr>
        <w:t>Equity Placement</w:t>
      </w:r>
      <w:r>
        <w:rPr>
          <w:rFonts w:ascii="Arial" w:cs="Arial" w:eastAsia="Arial" w:hAnsi="Arial"/>
          <w:sz w:val="18"/>
          <w:szCs w:val="18"/>
          <w:color w:val="auto"/>
        </w:rPr>
        <w:t>” in Item 1.01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Document</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dated 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360" w:type="dxa"/>
            <w:vAlign w:val="bottom"/>
            <w:gridSpan w:val="2"/>
          </w:tcPr>
          <w:p>
            <w:pPr>
              <w:ind w:left="1580"/>
              <w:spacing w:after="0"/>
              <w:rPr>
                <w:sz w:val="20"/>
                <w:szCs w:val="20"/>
                <w:color w:val="auto"/>
              </w:rPr>
            </w:pPr>
            <w:r>
              <w:rPr>
                <w:rFonts w:ascii="Arial" w:cs="Arial" w:eastAsia="Arial" w:hAnsi="Arial"/>
                <w:sz w:val="18"/>
                <w:szCs w:val="18"/>
                <w:color w:val="auto"/>
              </w:rPr>
              <w:t>REGENERON PHARMACEUTICALS, INC.</w:t>
            </w:r>
          </w:p>
        </w:tc>
        <w:tc>
          <w:tcPr>
            <w:tcW w:w="156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29, 2007</w:t>
            </w:r>
          </w:p>
        </w:tc>
        <w:tc>
          <w:tcPr>
            <w:tcW w:w="6360" w:type="dxa"/>
            <w:vAlign w:val="bottom"/>
            <w:gridSpan w:val="2"/>
          </w:tcPr>
          <w:p>
            <w:pPr>
              <w:ind w:left="15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Stuart Kolinski</w:t>
            </w:r>
          </w:p>
        </w:tc>
        <w:tc>
          <w:tcPr>
            <w:tcW w:w="156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Stuart Kolinski</w:t>
            </w:r>
          </w:p>
        </w:tc>
        <w:tc>
          <w:tcPr>
            <w:tcW w:w="156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Senior Vice President and General Counsel</w:t>
            </w:r>
          </w:p>
        </w:tc>
        <w:tc>
          <w:tcPr>
            <w:tcW w:w="1560" w:type="dxa"/>
            <w:vAlign w:val="bottom"/>
          </w:tcPr>
          <w:p>
            <w:pPr>
              <w:spacing w:after="0"/>
              <w:rPr>
                <w:sz w:val="20"/>
                <w:szCs w:val="20"/>
                <w:color w:val="auto"/>
              </w:rPr>
            </w:pPr>
          </w:p>
        </w:tc>
      </w:tr>
      <w:tr>
        <w:trPr>
          <w:trHeight w:val="632"/>
        </w:trPr>
        <w:tc>
          <w:tcPr>
            <w:tcW w:w="35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dated November 29, 2007</w:t>
      </w:r>
    </w:p>
    <w:p>
      <w:pPr>
        <w:sectPr>
          <w:pgSz w:w="11900" w:h="16838" w:orient="portrait"/>
          <w:cols w:equalWidth="0" w:num="1">
            <w:col w:w="10219"/>
          </w:cols>
          <w:pgMar w:left="240" w:top="419"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Initiates Major Global Collaboration with Sanofi-aventis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Develop and Commercialize Fully-Human Therapeutic Antibodies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 plans to increase its stake in Regeneron to approximately 19%</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Tarrytown, NY – November 29, 2007 – Regeneron Pharmaceuticals, Inc. (Nasdaq: REGN) and sanofi-aventis (Euronext: SAN and NYSE: SNY) announced today that they have entered into a global, strategic collaboration agreement to discover, develop, and commercialize fully-human therapeutic antibodies utilizing Regeneron’s proprietary VelociSuite of technologies (including </w:t>
      </w:r>
      <w:r>
        <w:rPr>
          <w:rFonts w:ascii="Arial" w:cs="Arial" w:eastAsia="Arial" w:hAnsi="Arial"/>
          <w:sz w:val="18"/>
          <w:szCs w:val="18"/>
          <w:i w:val="1"/>
          <w:iCs w:val="1"/>
          <w:color w:val="auto"/>
        </w:rPr>
        <w:t>VelocImmune</w:t>
      </w:r>
      <w:r>
        <w:rPr>
          <w:rFonts w:ascii="Arial" w:cs="Arial" w:eastAsia="Arial" w:hAnsi="Arial"/>
          <w:sz w:val="15"/>
          <w:szCs w:val="15"/>
          <w:color w:val="auto"/>
        </w:rPr>
        <w:t>®</w:t>
      </w:r>
      <w:r>
        <w:rPr>
          <w:rFonts w:ascii="Arial" w:cs="Arial" w:eastAsia="Arial" w:hAnsi="Arial"/>
          <w:sz w:val="18"/>
          <w:szCs w:val="18"/>
          <w:color w:val="auto"/>
        </w:rPr>
        <w:t>).</w:t>
      </w:r>
    </w:p>
    <w:p>
      <w:pPr>
        <w:spacing w:after="0" w:line="7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Sanofi-aventis will also increase its ownership of Regeneron’s outstanding common stock from approximately 4 percent to approximately 19 percent by purchasing 12 million newly issued shares of Regeneron common stock at a price of $26.00 per share, subject to customary closing conditions including antitrust clearance.</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part of the research agreement, sanofi-aventis will make an $85 million upfront payment to Regeneron and will fund up to $475 million of research over the next five years. Sanofi-aventis will have an option to extend the research agreement for up to an additional three years.</w:t>
      </w:r>
    </w:p>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Sanofi-aventis will have the exclusive option to co-develop with Regeneron each drug candidate in the collaboration portfolio. Development costs will be shared between the two companies, with sanofi-aventis funding drug candidate development costs up front and Regeneron reimbursing half of the development costs from its share of future profits to the extent they are sufficient for this purpose.</w:t>
      </w:r>
    </w:p>
    <w:p>
      <w:pPr>
        <w:spacing w:after="0" w:line="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first therapeutic antibody to enter clinical development under the collaboration is an antibody to the Interleukin-6 receptor (IL-6R), which has started clinical trials in rheumatoid arthritis. The second is expected to be an antibody to Delta-like ligand-4 (Dll4), which is currently slated to start its clinical development in 2008.</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any new product successfully developed as part of the collaboration, sanofi-aventis will take the lead in commercialization activities and will consolidate the sales. Regeneron will have the right to co-promote any and all collaboration products worldwide. In the United States, profits will be shared equally. Outside the United States, profits will be split on a pre-determined sliding scale with sanofi-aventis’ share ranging from 65 percent to 55 percent. In addition, Regeneron will be entitled to receive up to a total of $250 million of sales milestone payments when the collaboration achieves certain aggregate annual ex-U.S. sales levels, starting at $1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Sanofi-aventis will host a conference call to discuss the new collaboration today, </w:t>
      </w:r>
      <w:r>
        <w:rPr>
          <w:rFonts w:ascii="Arial" w:cs="Arial" w:eastAsia="Arial" w:hAnsi="Arial"/>
          <w:sz w:val="18"/>
          <w:szCs w:val="18"/>
          <w:b w:val="1"/>
          <w:bCs w:val="1"/>
          <w:color w:val="auto"/>
        </w:rPr>
        <w:t>November 29, 2007, at 12:00 Paris time</w:t>
      </w:r>
      <w:r>
        <w:rPr>
          <w:rFonts w:ascii="Arial" w:cs="Arial" w:eastAsia="Arial" w:hAnsi="Arial"/>
          <w:sz w:val="18"/>
          <w:szCs w:val="18"/>
          <w:color w:val="auto"/>
        </w:rPr>
        <w:t xml:space="preserve">. It will also be available in a hear-only mode on the sanofi-aventis website: </w:t>
      </w:r>
      <w:r>
        <w:rPr>
          <w:rFonts w:ascii="Arial" w:cs="Arial" w:eastAsia="Arial" w:hAnsi="Arial"/>
          <w:sz w:val="18"/>
          <w:szCs w:val="18"/>
          <w:u w:val="single" w:color="auto"/>
          <w:color w:val="auto"/>
        </w:rPr>
        <w:t>http://www.sanofi-aventis.com.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access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France: +33 (0)1 70 99 42 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+44 (0)20 7806 1967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+1 718 354 1391</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Regeneron will host a conference call to discuss the new collaboration today, </w:t>
      </w:r>
      <w:r>
        <w:rPr>
          <w:rFonts w:ascii="Arial" w:cs="Arial" w:eastAsia="Arial" w:hAnsi="Arial"/>
          <w:sz w:val="16"/>
          <w:szCs w:val="16"/>
          <w:b w:val="1"/>
          <w:bCs w:val="1"/>
          <w:color w:val="auto"/>
        </w:rPr>
        <w:t>November 29, 2007, at 8:30 a.m., Eastern Time</w:t>
      </w:r>
      <w:r>
        <w:rPr>
          <w:rFonts w:ascii="Arial" w:cs="Arial" w:eastAsia="Arial" w:hAnsi="Arial"/>
          <w:sz w:val="16"/>
          <w:szCs w:val="16"/>
          <w:color w:val="auto"/>
        </w:rPr>
        <w:t>. The dial-in information 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Domestic Dial-in Number (866) 700-0161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(617) 213-8832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Passcode: 82276731</w:t>
      </w:r>
    </w:p>
    <w:p>
      <w:pPr>
        <w:spacing w:after="0" w:line="1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The slides and management discussion will be available on the Regeneron website: </w:t>
      </w:r>
      <w:r>
        <w:rPr>
          <w:rFonts w:ascii="Arial" w:cs="Arial" w:eastAsia="Arial" w:hAnsi="Arial"/>
          <w:sz w:val="18"/>
          <w:szCs w:val="18"/>
          <w:u w:val="single" w:color="auto"/>
          <w:color w:val="auto"/>
        </w:rPr>
        <w:t>http://www.regeneron.com</w:t>
      </w:r>
      <w:r>
        <w:rPr>
          <w:rFonts w:ascii="Arial" w:cs="Arial" w:eastAsia="Arial" w:hAnsi="Arial"/>
          <w:sz w:val="18"/>
          <w:szCs w:val="18"/>
          <w:color w:val="auto"/>
        </w:rPr>
        <w:t xml:space="preserve"> on the presentation page of the Investor Relations section at the time of the presentation.</w:t>
      </w:r>
    </w:p>
    <w:p>
      <w:pPr>
        <w:spacing w:after="0" w:line="5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The replay of the Regeneron presentation will be available beginning at approximately 10:30 a.m. Eastern Time on </w:t>
      </w:r>
      <w:r>
        <w:rPr>
          <w:rFonts w:ascii="Arial" w:cs="Arial" w:eastAsia="Arial" w:hAnsi="Arial"/>
          <w:sz w:val="18"/>
          <w:szCs w:val="18"/>
          <w:b w:val="1"/>
          <w:bCs w:val="1"/>
          <w:color w:val="auto"/>
        </w:rPr>
        <w:t>November 29, 2007</w:t>
      </w:r>
      <w:r>
        <w:rPr>
          <w:rFonts w:ascii="Arial" w:cs="Arial" w:eastAsia="Arial" w:hAnsi="Arial"/>
          <w:sz w:val="18"/>
          <w:szCs w:val="18"/>
          <w:color w:val="auto"/>
        </w:rPr>
        <w:t xml:space="preserve"> and will end on </w:t>
      </w:r>
      <w:r>
        <w:rPr>
          <w:rFonts w:ascii="Arial" w:cs="Arial" w:eastAsia="Arial" w:hAnsi="Arial"/>
          <w:sz w:val="18"/>
          <w:szCs w:val="18"/>
          <w:b w:val="1"/>
          <w:bCs w:val="1"/>
          <w:color w:val="auto"/>
        </w:rPr>
        <w:t xml:space="preserve">December 13, 2007. </w:t>
      </w:r>
      <w:r>
        <w:rPr>
          <w:rFonts w:ascii="Arial" w:cs="Arial" w:eastAsia="Arial" w:hAnsi="Arial"/>
          <w:sz w:val="18"/>
          <w:szCs w:val="18"/>
          <w:color w:val="auto"/>
        </w:rPr>
        <w:t>The presentation may be accessed through the Regeneron website: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http://www.regeneron.com</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presentation page of the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 section or using the following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Domestic Dial-in Number: (888) 286-8010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(617) 801-6888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Passcode: 53180945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the Regeneron VelociSuite of Technologies</w:t>
      </w:r>
    </w:p>
    <w:p>
      <w:pPr>
        <w:spacing w:after="0" w:line="117"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 xml:space="preserve">Regeneron has developed and validated a group of novel technology platforms, known as the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 technologies, to improve its ability to develop new product candidates. </w:t>
      </w:r>
      <w:r>
        <w:rPr>
          <w:rFonts w:ascii="Arial" w:cs="Arial" w:eastAsia="Arial" w:hAnsi="Arial"/>
          <w:sz w:val="18"/>
          <w:szCs w:val="18"/>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are designed to aid in the identification of specific genes of therapeutic interest for a particular disease or cell type and validate targets through high-throughput production of mammalian models. </w:t>
      </w:r>
      <w:r>
        <w:rPr>
          <w:rFonts w:ascii="Arial" w:cs="Arial" w:eastAsia="Arial" w:hAnsi="Arial"/>
          <w:sz w:val="18"/>
          <w:szCs w:val="18"/>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increases the speed and efficiency of fully-human therapeutic monoclonal antibody development and is currently being used to generate antibodies to address clinically relevant targets of therapeutic interest.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Sanofi-aventis, a leading global pharmaceutical company, discovers, develops and distributes therapeutic solutions to improve the lives of everyone.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Sanofi-aventis is listed in Paris (EURONEXT : SAN) and in New York (NYSE : SNY).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 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 the quarter ended September 30, 2007. Regeneron does not undertake any obligation to update publicly any forward-looking statement, whether as a result of new information, future events, or otherwise unless required by law.</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Charles Poole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1.914.345.7640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charles.poole@regeneron.com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Laura Lindsay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1.914.345.7800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laura.lindsay@regeneron.com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Kimberly 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1.212.845.5634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kchen@biosector2.com</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2019-12-20T02:51:21Z</dcterms:created>
  <dcterms:modified xsi:type="dcterms:W3CDTF">2019-12-20T02:51:21Z</dcterms:modified>
</cp:coreProperties>
</file>